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4D398">
      <w:pPr>
        <w:pStyle w:val="3"/>
        <w:spacing w:line="277" w:lineRule="auto"/>
        <w:rPr>
          <w:color w:val="auto"/>
          <w:highlight w:val="none"/>
        </w:rPr>
      </w:pPr>
    </w:p>
    <w:p w14:paraId="62030295">
      <w:pPr>
        <w:pStyle w:val="3"/>
        <w:spacing w:line="277" w:lineRule="auto"/>
        <w:rPr>
          <w:color w:val="auto"/>
          <w:highlight w:val="none"/>
        </w:rPr>
      </w:pPr>
    </w:p>
    <w:p w14:paraId="7589F978">
      <w:pPr>
        <w:pStyle w:val="3"/>
        <w:spacing w:line="278" w:lineRule="auto"/>
        <w:rPr>
          <w:color w:val="auto"/>
          <w:highlight w:val="none"/>
        </w:rPr>
      </w:pPr>
    </w:p>
    <w:p w14:paraId="18D4E7B8">
      <w:pPr>
        <w:pStyle w:val="3"/>
        <w:spacing w:line="278" w:lineRule="auto"/>
        <w:rPr>
          <w:color w:val="auto"/>
          <w:highlight w:val="none"/>
        </w:rPr>
      </w:pPr>
    </w:p>
    <w:p w14:paraId="1238BCE9">
      <w:pPr>
        <w:pStyle w:val="3"/>
        <w:spacing w:line="278" w:lineRule="auto"/>
        <w:rPr>
          <w:color w:val="auto"/>
          <w:highlight w:val="none"/>
        </w:rPr>
      </w:pPr>
    </w:p>
    <w:p w14:paraId="669BA060">
      <w:pPr>
        <w:pStyle w:val="3"/>
        <w:spacing w:line="279" w:lineRule="auto"/>
        <w:rPr>
          <w:color w:val="auto"/>
          <w:highlight w:val="none"/>
        </w:rPr>
      </w:pPr>
    </w:p>
    <w:p w14:paraId="6638DBA5">
      <w:pPr>
        <w:pStyle w:val="3"/>
        <w:spacing w:line="279" w:lineRule="auto"/>
        <w:rPr>
          <w:color w:val="auto"/>
          <w:highlight w:val="none"/>
        </w:rPr>
      </w:pPr>
    </w:p>
    <w:p w14:paraId="60DA91BF">
      <w:pPr>
        <w:pStyle w:val="3"/>
        <w:spacing w:line="279" w:lineRule="auto"/>
        <w:rPr>
          <w:color w:val="auto"/>
          <w:highlight w:val="none"/>
        </w:rPr>
      </w:pPr>
    </w:p>
    <w:p w14:paraId="69A2C997">
      <w:pPr>
        <w:pStyle w:val="3"/>
        <w:spacing w:line="279" w:lineRule="auto"/>
        <w:rPr>
          <w:color w:val="auto"/>
          <w:highlight w:val="none"/>
        </w:rPr>
      </w:pPr>
    </w:p>
    <w:p w14:paraId="138C78DB">
      <w:pPr>
        <w:pStyle w:val="3"/>
        <w:spacing w:line="279" w:lineRule="auto"/>
        <w:rPr>
          <w:color w:val="auto"/>
          <w:highlight w:val="none"/>
        </w:rPr>
      </w:pPr>
    </w:p>
    <w:p w14:paraId="5116268A">
      <w:pPr>
        <w:tabs>
          <w:tab w:val="left" w:pos="5132"/>
        </w:tabs>
        <w:spacing w:before="104" w:line="221" w:lineRule="auto"/>
        <w:ind w:left="9" w:leftChars="0" w:hanging="9" w:firstLineChars="0"/>
        <w:jc w:val="center"/>
        <w:rPr>
          <w:rFonts w:ascii="宋体" w:hAnsi="宋体" w:eastAsia="宋体" w:cs="宋体"/>
          <w:color w:val="auto"/>
          <w:sz w:val="32"/>
          <w:szCs w:val="32"/>
          <w:highlight w:val="none"/>
        </w:rPr>
      </w:pPr>
      <w:bookmarkStart w:id="0" w:name="EB6cbe765a4abc42f7a96d704a29818f3c"/>
      <w:r>
        <w:rPr>
          <w:rFonts w:hint="eastAsia" w:ascii="宋体" w:hAnsi="宋体" w:eastAsia="宋体" w:cs="宋体"/>
          <w:color w:val="auto"/>
          <w:sz w:val="32"/>
          <w:szCs w:val="32"/>
          <w:highlight w:val="none"/>
          <w:lang w:val="en-US" w:eastAsia="zh-CN"/>
          <w14:textOutline w14:w="5834" w14:cap="flat" w14:cmpd="sng">
            <w14:solidFill>
              <w14:srgbClr w14:val="000000"/>
            </w14:solidFill>
            <w14:prstDash w14:val="solid"/>
            <w14:miter w14:val="0"/>
          </w14:textOutline>
        </w:rPr>
        <w:t xml:space="preserve">     </w:t>
      </w:r>
      <w:bookmarkEnd w:id="0"/>
      <w:r>
        <w:rPr>
          <w:rFonts w:hint="eastAsia" w:ascii="宋体" w:hAnsi="宋体" w:eastAsia="宋体" w:cs="宋体"/>
          <w:color w:val="auto"/>
          <w:sz w:val="32"/>
          <w:szCs w:val="32"/>
          <w:highlight w:val="none"/>
          <w:lang w:eastAsia="zh-CN"/>
          <w14:textOutline w14:w="5834" w14:cap="flat" w14:cmpd="sng">
            <w14:solidFill>
              <w14:srgbClr w14:val="000000"/>
            </w14:solidFill>
            <w14:prstDash w14:val="solid"/>
            <w14:miter w14:val="0"/>
          </w14:textOutline>
        </w:rPr>
        <w:t>营口市保障性租赁住房(2025年第一批)项目装修施工二标段</w:t>
      </w:r>
      <w:r>
        <w:rPr>
          <w:rFonts w:ascii="宋体" w:hAnsi="宋体" w:eastAsia="宋体" w:cs="宋体"/>
          <w:color w:val="auto"/>
          <w:sz w:val="32"/>
          <w:szCs w:val="32"/>
          <w:highlight w:val="none"/>
        </w:rPr>
        <w:t>（</w:t>
      </w:r>
      <w:r>
        <w:rPr>
          <w:rFonts w:ascii="宋体" w:hAnsi="宋体" w:eastAsia="宋体" w:cs="宋体"/>
          <w:color w:val="auto"/>
          <w:sz w:val="32"/>
          <w:szCs w:val="32"/>
          <w:highlight w:val="none"/>
          <w14:textOutline w14:w="5834" w14:cap="flat" w14:cmpd="sng">
            <w14:solidFill>
              <w14:srgbClr w14:val="000000"/>
            </w14:solidFill>
            <w14:prstDash w14:val="solid"/>
            <w14:miter w14:val="0"/>
          </w14:textOutline>
        </w:rPr>
        <w:t>标段名称</w:t>
      </w:r>
      <w:r>
        <w:rPr>
          <w:rFonts w:ascii="宋体" w:hAnsi="宋体" w:eastAsia="宋体" w:cs="宋体"/>
          <w:color w:val="auto"/>
          <w:sz w:val="32"/>
          <w:szCs w:val="32"/>
          <w:highlight w:val="none"/>
        </w:rPr>
        <w:t>）</w:t>
      </w:r>
    </w:p>
    <w:p w14:paraId="4B085048">
      <w:pPr>
        <w:pStyle w:val="3"/>
        <w:spacing w:line="265" w:lineRule="auto"/>
        <w:rPr>
          <w:color w:val="auto"/>
          <w:highlight w:val="none"/>
        </w:rPr>
      </w:pPr>
    </w:p>
    <w:p w14:paraId="66A98D46">
      <w:pPr>
        <w:pStyle w:val="3"/>
        <w:spacing w:line="266" w:lineRule="auto"/>
        <w:rPr>
          <w:color w:val="auto"/>
          <w:highlight w:val="none"/>
        </w:rPr>
      </w:pPr>
    </w:p>
    <w:p w14:paraId="741D05B4">
      <w:pPr>
        <w:pStyle w:val="3"/>
        <w:spacing w:line="266" w:lineRule="auto"/>
        <w:rPr>
          <w:color w:val="auto"/>
          <w:highlight w:val="none"/>
        </w:rPr>
      </w:pPr>
    </w:p>
    <w:p w14:paraId="3C519443">
      <w:pPr>
        <w:pStyle w:val="3"/>
        <w:spacing w:line="266" w:lineRule="auto"/>
        <w:rPr>
          <w:color w:val="auto"/>
          <w:highlight w:val="none"/>
        </w:rPr>
      </w:pPr>
    </w:p>
    <w:p w14:paraId="55276DFC">
      <w:pPr>
        <w:pStyle w:val="3"/>
        <w:spacing w:line="266" w:lineRule="auto"/>
        <w:rPr>
          <w:color w:val="auto"/>
          <w:highlight w:val="none"/>
        </w:rPr>
      </w:pPr>
    </w:p>
    <w:p w14:paraId="64B4FB24">
      <w:pPr>
        <w:pStyle w:val="3"/>
        <w:spacing w:line="266" w:lineRule="auto"/>
        <w:rPr>
          <w:color w:val="auto"/>
          <w:highlight w:val="none"/>
        </w:rPr>
      </w:pPr>
    </w:p>
    <w:p w14:paraId="007272A1">
      <w:pPr>
        <w:pStyle w:val="3"/>
        <w:spacing w:line="266" w:lineRule="auto"/>
        <w:rPr>
          <w:color w:val="auto"/>
          <w:highlight w:val="none"/>
        </w:rPr>
      </w:pPr>
    </w:p>
    <w:p w14:paraId="1C9D9FC4">
      <w:pPr>
        <w:spacing w:before="234" w:line="219" w:lineRule="auto"/>
        <w:ind w:left="2210"/>
        <w:rPr>
          <w:rFonts w:ascii="黑体" w:hAnsi="黑体" w:eastAsia="黑体" w:cs="黑体"/>
          <w:color w:val="auto"/>
          <w:sz w:val="72"/>
          <w:szCs w:val="72"/>
          <w:highlight w:val="none"/>
        </w:rPr>
      </w:pPr>
      <w:r>
        <w:rPr>
          <w:rFonts w:ascii="黑体" w:hAnsi="黑体" w:eastAsia="黑体" w:cs="黑体"/>
          <w:color w:val="auto"/>
          <w:spacing w:val="-13"/>
          <w:sz w:val="72"/>
          <w:szCs w:val="72"/>
          <w:highlight w:val="none"/>
        </w:rPr>
        <w:t>招 标</w:t>
      </w:r>
      <w:r>
        <w:rPr>
          <w:rFonts w:ascii="黑体" w:hAnsi="黑体" w:eastAsia="黑体" w:cs="黑体"/>
          <w:color w:val="auto"/>
          <w:spacing w:val="39"/>
          <w:sz w:val="72"/>
          <w:szCs w:val="72"/>
          <w:highlight w:val="none"/>
        </w:rPr>
        <w:t xml:space="preserve"> </w:t>
      </w:r>
      <w:r>
        <w:rPr>
          <w:rFonts w:ascii="黑体" w:hAnsi="黑体" w:eastAsia="黑体" w:cs="黑体"/>
          <w:color w:val="auto"/>
          <w:spacing w:val="-13"/>
          <w:sz w:val="72"/>
          <w:szCs w:val="72"/>
          <w:highlight w:val="none"/>
        </w:rPr>
        <w:t>文</w:t>
      </w:r>
      <w:r>
        <w:rPr>
          <w:rFonts w:ascii="黑体" w:hAnsi="黑体" w:eastAsia="黑体" w:cs="黑体"/>
          <w:color w:val="auto"/>
          <w:spacing w:val="23"/>
          <w:sz w:val="72"/>
          <w:szCs w:val="72"/>
          <w:highlight w:val="none"/>
        </w:rPr>
        <w:t xml:space="preserve"> </w:t>
      </w:r>
      <w:r>
        <w:rPr>
          <w:rFonts w:ascii="黑体" w:hAnsi="黑体" w:eastAsia="黑体" w:cs="黑体"/>
          <w:color w:val="auto"/>
          <w:spacing w:val="-13"/>
          <w:sz w:val="72"/>
          <w:szCs w:val="72"/>
          <w:highlight w:val="none"/>
        </w:rPr>
        <w:t>件</w:t>
      </w:r>
    </w:p>
    <w:p w14:paraId="3287A29F">
      <w:pPr>
        <w:pStyle w:val="3"/>
        <w:spacing w:line="307" w:lineRule="auto"/>
        <w:rPr>
          <w:color w:val="auto"/>
          <w:highlight w:val="none"/>
        </w:rPr>
      </w:pPr>
    </w:p>
    <w:p w14:paraId="63C309CE">
      <w:pPr>
        <w:pStyle w:val="3"/>
        <w:spacing w:line="308" w:lineRule="auto"/>
        <w:rPr>
          <w:color w:val="auto"/>
          <w:highlight w:val="none"/>
        </w:rPr>
      </w:pPr>
    </w:p>
    <w:p w14:paraId="72020BC0">
      <w:pPr>
        <w:spacing w:before="88" w:line="371" w:lineRule="auto"/>
        <w:ind w:left="2098"/>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（标段唯一标识码</w:t>
      </w:r>
      <w:r>
        <w:rPr>
          <w:rFonts w:ascii="黑体" w:hAnsi="黑体" w:eastAsia="黑体" w:cs="黑体"/>
          <w:color w:val="auto"/>
          <w:spacing w:val="1"/>
          <w:sz w:val="27"/>
          <w:szCs w:val="27"/>
          <w:highlight w:val="none"/>
          <w:u w:val="single" w:color="auto"/>
        </w:rPr>
        <w:t>：</w:t>
      </w:r>
      <w:r>
        <w:rPr>
          <w:rFonts w:hint="eastAsia" w:ascii="黑体" w:hAnsi="黑体" w:eastAsia="黑体" w:cs="黑体"/>
          <w:color w:val="auto"/>
          <w:spacing w:val="1"/>
          <w:sz w:val="27"/>
          <w:szCs w:val="27"/>
          <w:highlight w:val="none"/>
          <w:u w:val="single" w:color="auto"/>
          <w:lang w:val="en-US" w:eastAsia="zh-CN"/>
        </w:rPr>
        <w:t>xxx</w:t>
      </w:r>
      <w:r>
        <w:rPr>
          <w:rFonts w:ascii="黑体" w:hAnsi="黑体" w:eastAsia="黑体" w:cs="黑体"/>
          <w:color w:val="auto"/>
          <w:spacing w:val="6"/>
          <w:sz w:val="27"/>
          <w:szCs w:val="27"/>
          <w:highlight w:val="none"/>
          <w:u w:val="single" w:color="auto"/>
        </w:rPr>
        <w:t xml:space="preserve">          </w:t>
      </w:r>
      <w:r>
        <w:rPr>
          <w:rFonts w:ascii="黑体" w:hAnsi="黑体" w:eastAsia="黑体" w:cs="黑体"/>
          <w:color w:val="auto"/>
          <w:spacing w:val="1"/>
          <w:sz w:val="27"/>
          <w:szCs w:val="27"/>
          <w:highlight w:val="none"/>
        </w:rPr>
        <w:t>）</w:t>
      </w:r>
    </w:p>
    <w:p w14:paraId="549804E9">
      <w:pPr>
        <w:spacing w:before="1" w:line="223" w:lineRule="auto"/>
        <w:ind w:left="1892"/>
        <w:rPr>
          <w:rFonts w:ascii="黑体" w:hAnsi="黑体" w:eastAsia="黑体" w:cs="黑体"/>
          <w:color w:val="auto"/>
          <w:sz w:val="27"/>
          <w:szCs w:val="27"/>
          <w:highlight w:val="none"/>
        </w:rPr>
      </w:pPr>
      <w:r>
        <w:rPr>
          <w:rFonts w:ascii="黑体" w:hAnsi="黑体" w:eastAsia="黑体" w:cs="黑体"/>
          <w:color w:val="auto"/>
          <w:spacing w:val="-19"/>
          <w:sz w:val="27"/>
          <w:szCs w:val="27"/>
          <w:highlight w:val="none"/>
        </w:rPr>
        <w:t>（标段编号</w:t>
      </w:r>
      <w:r>
        <w:rPr>
          <w:rFonts w:ascii="黑体" w:hAnsi="黑体" w:eastAsia="黑体" w:cs="黑体"/>
          <w:color w:val="auto"/>
          <w:sz w:val="27"/>
          <w:szCs w:val="27"/>
          <w:highlight w:val="none"/>
        </w:rPr>
        <w:t>：</w:t>
      </w:r>
      <w:r>
        <w:rPr>
          <w:rFonts w:ascii="黑体" w:hAnsi="黑体" w:eastAsia="黑体" w:cs="黑体"/>
          <w:color w:val="auto"/>
          <w:spacing w:val="-19"/>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z w:val="27"/>
          <w:szCs w:val="27"/>
          <w:highlight w:val="none"/>
        </w:rPr>
        <w:t>）</w:t>
      </w:r>
    </w:p>
    <w:p w14:paraId="272464C5">
      <w:pPr>
        <w:pStyle w:val="3"/>
        <w:rPr>
          <w:color w:val="auto"/>
          <w:highlight w:val="none"/>
        </w:rPr>
      </w:pPr>
    </w:p>
    <w:p w14:paraId="10180896">
      <w:pPr>
        <w:pStyle w:val="3"/>
        <w:rPr>
          <w:color w:val="auto"/>
          <w:highlight w:val="none"/>
        </w:rPr>
      </w:pPr>
    </w:p>
    <w:p w14:paraId="620A02E2">
      <w:pPr>
        <w:pStyle w:val="3"/>
        <w:rPr>
          <w:color w:val="auto"/>
          <w:highlight w:val="none"/>
        </w:rPr>
      </w:pPr>
    </w:p>
    <w:p w14:paraId="1C429172">
      <w:pPr>
        <w:pStyle w:val="3"/>
        <w:rPr>
          <w:color w:val="auto"/>
          <w:highlight w:val="none"/>
        </w:rPr>
      </w:pPr>
    </w:p>
    <w:p w14:paraId="073CEEE1">
      <w:pPr>
        <w:pStyle w:val="3"/>
        <w:rPr>
          <w:color w:val="auto"/>
          <w:highlight w:val="none"/>
        </w:rPr>
      </w:pPr>
    </w:p>
    <w:p w14:paraId="24B30328">
      <w:pPr>
        <w:pStyle w:val="3"/>
        <w:rPr>
          <w:color w:val="auto"/>
          <w:highlight w:val="none"/>
        </w:rPr>
      </w:pPr>
    </w:p>
    <w:p w14:paraId="60E8B9BC">
      <w:pPr>
        <w:pStyle w:val="3"/>
        <w:rPr>
          <w:color w:val="auto"/>
          <w:highlight w:val="none"/>
        </w:rPr>
      </w:pPr>
    </w:p>
    <w:p w14:paraId="0C7FDAFC">
      <w:pPr>
        <w:pStyle w:val="3"/>
        <w:rPr>
          <w:color w:val="auto"/>
          <w:highlight w:val="none"/>
        </w:rPr>
      </w:pPr>
    </w:p>
    <w:p w14:paraId="640698B8">
      <w:pPr>
        <w:pStyle w:val="3"/>
        <w:rPr>
          <w:color w:val="auto"/>
          <w:highlight w:val="none"/>
        </w:rPr>
      </w:pPr>
    </w:p>
    <w:p w14:paraId="2D69C8EF">
      <w:pPr>
        <w:pStyle w:val="3"/>
        <w:rPr>
          <w:color w:val="auto"/>
          <w:highlight w:val="none"/>
        </w:rPr>
      </w:pPr>
    </w:p>
    <w:p w14:paraId="2B4F3926">
      <w:pPr>
        <w:pStyle w:val="3"/>
        <w:rPr>
          <w:color w:val="auto"/>
          <w:highlight w:val="none"/>
        </w:rPr>
      </w:pPr>
    </w:p>
    <w:p w14:paraId="7CA057EB">
      <w:pPr>
        <w:pStyle w:val="3"/>
        <w:rPr>
          <w:color w:val="auto"/>
          <w:highlight w:val="none"/>
        </w:rPr>
      </w:pPr>
    </w:p>
    <w:p w14:paraId="351E748B">
      <w:pPr>
        <w:pStyle w:val="3"/>
        <w:rPr>
          <w:color w:val="auto"/>
          <w:highlight w:val="none"/>
        </w:rPr>
      </w:pPr>
    </w:p>
    <w:p w14:paraId="3F5412A4">
      <w:pPr>
        <w:pStyle w:val="3"/>
        <w:rPr>
          <w:color w:val="auto"/>
          <w:highlight w:val="none"/>
        </w:rPr>
      </w:pPr>
    </w:p>
    <w:p w14:paraId="034CC582">
      <w:pPr>
        <w:pStyle w:val="3"/>
        <w:rPr>
          <w:color w:val="auto"/>
          <w:highlight w:val="none"/>
        </w:rPr>
      </w:pPr>
    </w:p>
    <w:p w14:paraId="25319A00">
      <w:pPr>
        <w:pStyle w:val="3"/>
        <w:rPr>
          <w:color w:val="auto"/>
          <w:highlight w:val="none"/>
        </w:rPr>
      </w:pPr>
    </w:p>
    <w:p w14:paraId="0C78AEE8">
      <w:pPr>
        <w:pStyle w:val="3"/>
        <w:rPr>
          <w:color w:val="auto"/>
          <w:highlight w:val="none"/>
        </w:rPr>
      </w:pPr>
    </w:p>
    <w:p w14:paraId="2DD554B0">
      <w:pPr>
        <w:pStyle w:val="3"/>
        <w:rPr>
          <w:color w:val="auto"/>
          <w:highlight w:val="none"/>
        </w:rPr>
      </w:pPr>
    </w:p>
    <w:p w14:paraId="0067E87E">
      <w:pPr>
        <w:pStyle w:val="3"/>
        <w:spacing w:line="241" w:lineRule="auto"/>
        <w:rPr>
          <w:color w:val="auto"/>
          <w:highlight w:val="none"/>
        </w:rPr>
      </w:pPr>
    </w:p>
    <w:p w14:paraId="6A1C59CE">
      <w:pPr>
        <w:pStyle w:val="3"/>
        <w:spacing w:line="241" w:lineRule="auto"/>
        <w:rPr>
          <w:color w:val="auto"/>
          <w:highlight w:val="none"/>
        </w:rPr>
      </w:pPr>
    </w:p>
    <w:p w14:paraId="13B901DA">
      <w:pPr>
        <w:spacing w:before="88" w:line="476" w:lineRule="auto"/>
        <w:rPr>
          <w:rFonts w:ascii="黑体" w:hAnsi="黑体" w:eastAsia="黑体" w:cs="黑体"/>
          <w:color w:val="auto"/>
          <w:sz w:val="27"/>
          <w:szCs w:val="27"/>
          <w:highlight w:val="none"/>
        </w:rPr>
      </w:pPr>
      <w:r>
        <w:rPr>
          <w:rFonts w:ascii="黑体" w:hAnsi="黑体" w:eastAsia="黑体" w:cs="黑体"/>
          <w:color w:val="auto"/>
          <w:spacing w:val="-12"/>
          <w:sz w:val="27"/>
          <w:szCs w:val="27"/>
          <w:highlight w:val="none"/>
        </w:rPr>
        <w:t>招标人/招标代理机构</w:t>
      </w:r>
      <w:r>
        <w:rPr>
          <w:rFonts w:ascii="黑体" w:hAnsi="黑体" w:eastAsia="黑体" w:cs="黑体"/>
          <w:color w:val="auto"/>
          <w:spacing w:val="1"/>
          <w:sz w:val="27"/>
          <w:szCs w:val="27"/>
          <w:highlight w:val="none"/>
        </w:rPr>
        <w:t>：</w:t>
      </w:r>
      <w:r>
        <w:rPr>
          <w:rFonts w:hint="eastAsia" w:ascii="黑体" w:hAnsi="黑体" w:eastAsia="黑体" w:cs="黑体"/>
          <w:color w:val="auto"/>
          <w:spacing w:val="-12"/>
          <w:sz w:val="27"/>
          <w:szCs w:val="27"/>
          <w:highlight w:val="none"/>
          <w:lang w:eastAsia="zh-CN"/>
        </w:rPr>
        <w:t>沈阳招标中心有限公司</w:t>
      </w:r>
      <w:r>
        <w:rPr>
          <w:rFonts w:ascii="黑体" w:hAnsi="黑体" w:eastAsia="黑体" w:cs="黑体"/>
          <w:color w:val="auto"/>
          <w:spacing w:val="1"/>
          <w:sz w:val="27"/>
          <w:szCs w:val="27"/>
          <w:highlight w:val="none"/>
        </w:rPr>
        <w:t>（</w:t>
      </w:r>
      <w:r>
        <w:rPr>
          <w:rFonts w:ascii="黑体" w:hAnsi="黑体" w:eastAsia="黑体" w:cs="黑体"/>
          <w:color w:val="auto"/>
          <w:spacing w:val="-12"/>
          <w:sz w:val="27"/>
          <w:szCs w:val="27"/>
          <w:highlight w:val="none"/>
        </w:rPr>
        <w:t>盖章）</w:t>
      </w:r>
    </w:p>
    <w:p w14:paraId="06A3A644">
      <w:pPr>
        <w:spacing w:before="1" w:line="225" w:lineRule="auto"/>
        <w:ind w:left="1884"/>
        <w:rPr>
          <w:rFonts w:ascii="黑体" w:hAnsi="黑体" w:eastAsia="黑体" w:cs="黑体"/>
          <w:color w:val="auto"/>
          <w:sz w:val="27"/>
          <w:szCs w:val="27"/>
          <w:highlight w:val="none"/>
        </w:rPr>
      </w:pPr>
      <w:r>
        <w:rPr>
          <w:rFonts w:ascii="黑体" w:hAnsi="黑体" w:eastAsia="黑体" w:cs="黑体"/>
          <w:color w:val="auto"/>
          <w:spacing w:val="-25"/>
          <w:sz w:val="27"/>
          <w:szCs w:val="27"/>
          <w:highlight w:val="none"/>
        </w:rPr>
        <w:t>日</w:t>
      </w:r>
      <w:r>
        <w:rPr>
          <w:rFonts w:ascii="黑体" w:hAnsi="黑体" w:eastAsia="黑体" w:cs="黑体"/>
          <w:color w:val="auto"/>
          <w:spacing w:val="7"/>
          <w:sz w:val="27"/>
          <w:szCs w:val="27"/>
          <w:highlight w:val="none"/>
        </w:rPr>
        <w:t xml:space="preserve">    </w:t>
      </w:r>
      <w:r>
        <w:rPr>
          <w:rFonts w:ascii="黑体" w:hAnsi="黑体" w:eastAsia="黑体" w:cs="黑体"/>
          <w:color w:val="auto"/>
          <w:spacing w:val="-25"/>
          <w:sz w:val="27"/>
          <w:szCs w:val="27"/>
          <w:highlight w:val="none"/>
        </w:rPr>
        <w:t>期：</w:t>
      </w:r>
      <w:r>
        <w:rPr>
          <w:rFonts w:ascii="黑体" w:hAnsi="黑体" w:eastAsia="黑体" w:cs="黑体"/>
          <w:color w:val="auto"/>
          <w:spacing w:val="-34"/>
          <w:sz w:val="27"/>
          <w:szCs w:val="27"/>
          <w:highlight w:val="none"/>
        </w:rPr>
        <w:t xml:space="preserve"> </w:t>
      </w:r>
      <w:r>
        <w:rPr>
          <w:rFonts w:hint="eastAsia" w:ascii="黑体" w:hAnsi="黑体" w:eastAsia="黑体" w:cs="黑体"/>
          <w:color w:val="auto"/>
          <w:spacing w:val="5"/>
          <w:sz w:val="27"/>
          <w:szCs w:val="27"/>
          <w:highlight w:val="none"/>
          <w:u w:val="single" w:color="auto"/>
          <w:lang w:val="en-US" w:eastAsia="zh-CN"/>
        </w:rPr>
        <w:t>2026</w:t>
      </w:r>
      <w:r>
        <w:rPr>
          <w:rFonts w:ascii="黑体" w:hAnsi="黑体" w:eastAsia="黑体" w:cs="黑体"/>
          <w:color w:val="auto"/>
          <w:spacing w:val="-25"/>
          <w:sz w:val="27"/>
          <w:szCs w:val="27"/>
          <w:highlight w:val="none"/>
        </w:rPr>
        <w:t>年</w:t>
      </w:r>
      <w:r>
        <w:rPr>
          <w:rFonts w:hint="eastAsia" w:ascii="黑体" w:hAnsi="黑体" w:eastAsia="黑体" w:cs="黑体"/>
          <w:color w:val="auto"/>
          <w:spacing w:val="5"/>
          <w:sz w:val="27"/>
          <w:szCs w:val="27"/>
          <w:highlight w:val="none"/>
          <w:u w:val="single" w:color="auto"/>
          <w:lang w:val="en-US" w:eastAsia="zh-CN"/>
        </w:rPr>
        <w:t>3</w:t>
      </w:r>
      <w:r>
        <w:rPr>
          <w:rFonts w:ascii="黑体" w:hAnsi="黑体" w:eastAsia="黑体" w:cs="黑体"/>
          <w:color w:val="auto"/>
          <w:spacing w:val="-25"/>
          <w:sz w:val="27"/>
          <w:szCs w:val="27"/>
          <w:highlight w:val="none"/>
        </w:rPr>
        <w:t>月</w:t>
      </w:r>
      <w:r>
        <w:rPr>
          <w:rFonts w:ascii="黑体" w:hAnsi="黑体" w:eastAsia="黑体" w:cs="黑体"/>
          <w:color w:val="auto"/>
          <w:spacing w:val="-130"/>
          <w:sz w:val="27"/>
          <w:szCs w:val="27"/>
          <w:highlight w:val="none"/>
        </w:rPr>
        <w:t xml:space="preserve"> </w:t>
      </w:r>
    </w:p>
    <w:p w14:paraId="4B6D072D">
      <w:pPr>
        <w:spacing w:line="225" w:lineRule="auto"/>
        <w:rPr>
          <w:rFonts w:ascii="黑体" w:hAnsi="黑体" w:eastAsia="黑体" w:cs="黑体"/>
          <w:color w:val="auto"/>
          <w:sz w:val="27"/>
          <w:szCs w:val="27"/>
          <w:highlight w:val="none"/>
        </w:rPr>
        <w:sectPr>
          <w:footerReference r:id="rId5" w:type="default"/>
          <w:pgSz w:w="11905" w:h="16839"/>
          <w:pgMar w:top="1431" w:right="1785" w:bottom="0" w:left="1785" w:header="0" w:footer="0" w:gutter="0"/>
          <w:pgNumType w:fmt="decimal"/>
          <w:cols w:space="720" w:num="1"/>
        </w:sectPr>
      </w:pPr>
    </w:p>
    <w:sdt>
      <w:sdtPr>
        <w:rPr>
          <w:rFonts w:ascii="黑体" w:hAnsi="黑体" w:eastAsia="黑体" w:cs="黑体"/>
          <w:color w:val="auto"/>
          <w:sz w:val="44"/>
          <w:szCs w:val="44"/>
          <w:highlight w:val="none"/>
        </w:rPr>
        <w:id w:val="1"/>
        <w:docPartObj>
          <w:docPartGallery w:val="Table of Contents"/>
          <w:docPartUnique/>
        </w:docPartObj>
      </w:sdtPr>
      <w:sdtEndPr>
        <w:rPr>
          <w:rFonts w:ascii="宋体" w:hAnsi="宋体" w:eastAsia="宋体" w:cs="宋体"/>
          <w:color w:val="auto"/>
          <w:sz w:val="21"/>
          <w:szCs w:val="21"/>
          <w:highlight w:val="none"/>
        </w:rPr>
      </w:sdtEndPr>
      <w:sdtContent>
        <w:p w14:paraId="3F8ADE2E">
          <w:pPr>
            <w:spacing w:before="89" w:line="219" w:lineRule="auto"/>
            <w:ind w:left="3578"/>
            <w:rPr>
              <w:rFonts w:ascii="黑体" w:hAnsi="黑体" w:eastAsia="黑体" w:cs="黑体"/>
              <w:color w:val="auto"/>
              <w:sz w:val="44"/>
              <w:szCs w:val="44"/>
              <w:highlight w:val="none"/>
            </w:rPr>
          </w:pPr>
          <w:bookmarkStart w:id="1" w:name="bookmark1"/>
          <w:bookmarkEnd w:id="1"/>
          <w:r>
            <w:rPr>
              <w:rFonts w:ascii="黑体" w:hAnsi="黑体" w:eastAsia="黑体" w:cs="黑体"/>
              <w:color w:val="auto"/>
              <w:spacing w:val="-36"/>
              <w:sz w:val="44"/>
              <w:szCs w:val="44"/>
              <w:highlight w:val="none"/>
              <w14:textOutline w14:w="8011" w14:cap="flat" w14:cmpd="sng">
                <w14:solidFill>
                  <w14:srgbClr w14:val="000000"/>
                </w14:solidFill>
                <w14:prstDash w14:val="solid"/>
                <w14:miter w14:val="0"/>
              </w14:textOutline>
            </w:rPr>
            <w:t>目</w:t>
          </w:r>
          <w:r>
            <w:rPr>
              <w:rFonts w:ascii="黑体" w:hAnsi="黑体" w:eastAsia="黑体" w:cs="黑体"/>
              <w:color w:val="auto"/>
              <w:spacing w:val="11"/>
              <w:sz w:val="44"/>
              <w:szCs w:val="44"/>
              <w:highlight w:val="none"/>
            </w:rPr>
            <w:t xml:space="preserve">  </w:t>
          </w:r>
          <w:r>
            <w:rPr>
              <w:rFonts w:ascii="黑体" w:hAnsi="黑体" w:eastAsia="黑体" w:cs="黑体"/>
              <w:color w:val="auto"/>
              <w:spacing w:val="-36"/>
              <w:sz w:val="44"/>
              <w:szCs w:val="44"/>
              <w:highlight w:val="none"/>
              <w14:textOutline w14:w="8011" w14:cap="flat" w14:cmpd="sng">
                <w14:solidFill>
                  <w14:srgbClr w14:val="000000"/>
                </w14:solidFill>
                <w14:prstDash w14:val="solid"/>
                <w14:miter w14:val="0"/>
              </w14:textOutline>
            </w:rPr>
            <w:t>录</w:t>
          </w:r>
        </w:p>
        <w:p w14:paraId="2C4F79E9">
          <w:pPr>
            <w:pStyle w:val="3"/>
            <w:spacing w:line="276" w:lineRule="auto"/>
            <w:rPr>
              <w:color w:val="auto"/>
              <w:highlight w:val="none"/>
            </w:rPr>
          </w:pPr>
        </w:p>
        <w:p w14:paraId="6EE6884E">
          <w:pPr>
            <w:tabs>
              <w:tab w:val="right" w:leader="dot" w:pos="8307"/>
            </w:tabs>
            <w:spacing w:before="68"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第一卷</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1</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4062320D">
          <w:pPr>
            <w:tabs>
              <w:tab w:val="right" w:leader="dot" w:pos="8307"/>
            </w:tabs>
            <w:spacing w:before="23"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第一章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招标公告</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41"/>
              <w:sz w:val="21"/>
              <w:szCs w:val="21"/>
              <w:highlight w:val="none"/>
            </w:rPr>
            <w:t xml:space="preserve"> </w:t>
          </w:r>
          <w:r>
            <w:rPr>
              <w:color w:val="auto"/>
              <w:highlight w:val="none"/>
            </w:rPr>
            <w:fldChar w:fldCharType="begin"/>
          </w:r>
          <w:r>
            <w:rPr>
              <w:color w:val="auto"/>
              <w:highlight w:val="none"/>
            </w:rPr>
            <w:instrText xml:space="preserve"> HYPERLINK \l "bookmark3"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2</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0483D99A">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1.招标条件</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14:paraId="3CE8F9D7">
          <w:pPr>
            <w:tabs>
              <w:tab w:val="right" w:leader="dot" w:pos="8317"/>
            </w:tabs>
            <w:spacing w:before="17"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2.项目概况与招标范围</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"bookmark5"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14:paraId="52BDD1CF">
          <w:pPr>
            <w:tabs>
              <w:tab w:val="right" w:leader="dot" w:pos="8317"/>
            </w:tabs>
            <w:spacing w:before="23"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3.投标人资格要求</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"bookmark6"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14:paraId="785C8B56">
          <w:pPr>
            <w:tabs>
              <w:tab w:val="right" w:leader="dot" w:pos="8317"/>
            </w:tabs>
            <w:spacing w:before="22"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4.招标文件的获取</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"bookmark7"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203C31E0">
          <w:pPr>
            <w:tabs>
              <w:tab w:val="right" w:leader="dot" w:pos="8317"/>
            </w:tabs>
            <w:spacing w:before="22"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5.投标文件的递交</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"bookmark8"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4CCA4BDE">
          <w:pPr>
            <w:tabs>
              <w:tab w:val="right" w:leader="dot" w:pos="8317"/>
            </w:tabs>
            <w:spacing w:before="1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6.投标相关事宜</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"bookmark9"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23EFAFB0">
          <w:pPr>
            <w:tabs>
              <w:tab w:val="right" w:leader="dot" w:pos="8317"/>
            </w:tabs>
            <w:spacing w:before="21"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7.评标办法</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5AB611C9">
          <w:pPr>
            <w:tabs>
              <w:tab w:val="right" w:leader="dot" w:pos="8317"/>
            </w:tabs>
            <w:spacing w:before="22" w:line="221"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8.定标方式（评定分离模式适用）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361D141D">
          <w:pPr>
            <w:tabs>
              <w:tab w:val="right" w:leader="dot" w:pos="8317"/>
            </w:tabs>
            <w:spacing w:before="23" w:line="219"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9.发布公告的媒介</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0EDBE1F3">
          <w:pPr>
            <w:tabs>
              <w:tab w:val="right" w:leader="dot" w:pos="8317"/>
            </w:tabs>
            <w:spacing w:before="19"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10.监督信息</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"bookmark13"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638381AF">
          <w:pPr>
            <w:tabs>
              <w:tab w:val="right" w:leader="dot" w:pos="8317"/>
            </w:tabs>
            <w:spacing w:before="23" w:line="222"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12.联系方式</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"bookmark14"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7C02B9CB">
          <w:pPr>
            <w:tabs>
              <w:tab w:val="right" w:leader="dot" w:pos="8307"/>
            </w:tabs>
            <w:spacing w:before="2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14:textOutline w14:w="3831" w14:cap="flat" w14:cmpd="sng">
                <w14:solidFill>
                  <w14:srgbClr w14:val="000000"/>
                </w14:solidFill>
                <w14:prstDash w14:val="solid"/>
                <w14:miter w14:val="0"/>
              </w14:textOutline>
            </w:rPr>
            <w:t>第一章</w:t>
          </w:r>
          <w:r>
            <w:rPr>
              <w:rFonts w:ascii="宋体" w:hAnsi="宋体" w:eastAsia="宋体" w:cs="宋体"/>
              <w:color w:val="auto"/>
              <w:spacing w:val="-6"/>
              <w:sz w:val="21"/>
              <w:szCs w:val="21"/>
              <w:highlight w:val="none"/>
            </w:rPr>
            <w:t xml:space="preserve">  </w:t>
          </w:r>
          <w:r>
            <w:rPr>
              <w:rFonts w:ascii="宋体" w:hAnsi="宋体" w:eastAsia="宋体" w:cs="宋体"/>
              <w:color w:val="auto"/>
              <w:spacing w:val="-6"/>
              <w:sz w:val="21"/>
              <w:szCs w:val="21"/>
              <w:highlight w:val="none"/>
              <w14:textOutline w14:w="3831" w14:cap="flat" w14:cmpd="sng">
                <w14:solidFill>
                  <w14:srgbClr w14:val="000000"/>
                </w14:solidFill>
                <w14:prstDash w14:val="solid"/>
                <w14:miter w14:val="0"/>
              </w14:textOutline>
            </w:rPr>
            <w:t>投标邀请书（适用于邀请招标）</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9"/>
              <w:sz w:val="21"/>
              <w:szCs w:val="21"/>
              <w:highlight w:val="none"/>
            </w:rPr>
            <w:t xml:space="preserve"> </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5</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1C550749">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1.招标条件</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color w:val="auto"/>
              <w:sz w:val="21"/>
              <w:szCs w:val="21"/>
              <w:highlight w:val="none"/>
            </w:rPr>
            <w:t>5</w:t>
          </w:r>
          <w:r>
            <w:rPr>
              <w:rFonts w:ascii="宋体" w:hAnsi="宋体" w:eastAsia="宋体" w:cs="宋体"/>
              <w:color w:val="auto"/>
              <w:sz w:val="21"/>
              <w:szCs w:val="21"/>
              <w:highlight w:val="none"/>
            </w:rPr>
            <w:fldChar w:fldCharType="end"/>
          </w:r>
        </w:p>
        <w:p w14:paraId="68868EC3">
          <w:pPr>
            <w:tabs>
              <w:tab w:val="right" w:leader="dot" w:pos="8317"/>
            </w:tabs>
            <w:spacing w:before="18"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2.项目概况与招标范围</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color w:val="auto"/>
              <w:sz w:val="21"/>
              <w:szCs w:val="21"/>
              <w:highlight w:val="none"/>
            </w:rPr>
            <w:t>5</w:t>
          </w:r>
          <w:r>
            <w:rPr>
              <w:rFonts w:ascii="宋体" w:hAnsi="宋体" w:eastAsia="宋体" w:cs="宋体"/>
              <w:color w:val="auto"/>
              <w:sz w:val="21"/>
              <w:szCs w:val="21"/>
              <w:highlight w:val="none"/>
            </w:rPr>
            <w:fldChar w:fldCharType="end"/>
          </w:r>
        </w:p>
        <w:p w14:paraId="1560AAA7">
          <w:pPr>
            <w:tabs>
              <w:tab w:val="right" w:leader="dot" w:pos="8317"/>
            </w:tabs>
            <w:spacing w:before="22"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3.投标人资格要求</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color w:val="auto"/>
              <w:sz w:val="21"/>
              <w:szCs w:val="21"/>
              <w:highlight w:val="none"/>
            </w:rPr>
            <w:t>5</w:t>
          </w:r>
          <w:r>
            <w:rPr>
              <w:rFonts w:ascii="宋体" w:hAnsi="宋体" w:eastAsia="宋体" w:cs="宋体"/>
              <w:color w:val="auto"/>
              <w:sz w:val="21"/>
              <w:szCs w:val="21"/>
              <w:highlight w:val="none"/>
            </w:rPr>
            <w:fldChar w:fldCharType="end"/>
          </w:r>
        </w:p>
        <w:p w14:paraId="24179842">
          <w:pPr>
            <w:tabs>
              <w:tab w:val="right" w:leader="dot" w:pos="8317"/>
            </w:tabs>
            <w:spacing w:before="22"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4.招标文件的获取</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"bookmark15"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263DEFC3">
          <w:pPr>
            <w:tabs>
              <w:tab w:val="right" w:leader="dot" w:pos="8317"/>
            </w:tabs>
            <w:spacing w:before="22"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5.投标文件的递交</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"bookmark16"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0528B487">
          <w:pPr>
            <w:tabs>
              <w:tab w:val="right" w:leader="dot" w:pos="8317"/>
            </w:tabs>
            <w:spacing w:before="1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6.投标相关事宜</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"bookmark17"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46CE3A88">
          <w:pPr>
            <w:tabs>
              <w:tab w:val="right" w:leader="dot" w:pos="8317"/>
            </w:tabs>
            <w:spacing w:before="21"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7.评标办法</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"bookmark18"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521BE084">
          <w:pPr>
            <w:tabs>
              <w:tab w:val="right" w:leader="dot" w:pos="8317"/>
            </w:tabs>
            <w:spacing w:before="23" w:line="221"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8.定标方式（评定分离模式适用）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"bookmark19"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0DD6D5CC">
          <w:pPr>
            <w:tabs>
              <w:tab w:val="right" w:leader="dot" w:pos="8317"/>
            </w:tabs>
            <w:spacing w:before="17"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9.监督信息</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"bookmark20"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27BBB792">
          <w:pPr>
            <w:tabs>
              <w:tab w:val="right" w:leader="dot" w:pos="8317"/>
            </w:tabs>
            <w:spacing w:before="23" w:line="222"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10.联系方式</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"bookmark21"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65D07079">
          <w:pPr>
            <w:tabs>
              <w:tab w:val="right" w:leader="dot" w:pos="8307"/>
            </w:tabs>
            <w:spacing w:before="21"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第二章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投标人须知</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42"/>
              <w:sz w:val="21"/>
              <w:szCs w:val="21"/>
              <w:highlight w:val="none"/>
            </w:rPr>
            <w:t xml:space="preserve"> </w:t>
          </w:r>
          <w:r>
            <w:rPr>
              <w:color w:val="auto"/>
              <w:highlight w:val="none"/>
            </w:rPr>
            <w:fldChar w:fldCharType="begin"/>
          </w:r>
          <w:r>
            <w:rPr>
              <w:color w:val="auto"/>
              <w:highlight w:val="none"/>
            </w:rPr>
            <w:instrText xml:space="preserve"> HYPERLINK \l "bookmark22"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9</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11B31991">
          <w:pPr>
            <w:tabs>
              <w:tab w:val="right" w:leader="dot" w:pos="8317"/>
            </w:tabs>
            <w:spacing w:before="23" w:line="220"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投标人须知前附表</w:t>
          </w:r>
          <w:r>
            <w:rPr>
              <w:rFonts w:ascii="宋体" w:hAnsi="宋体" w:eastAsia="宋体" w:cs="宋体"/>
              <w:color w:val="auto"/>
              <w:spacing w:val="-8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"bookmark23" </w:instrText>
          </w:r>
          <w:r>
            <w:rPr>
              <w:color w:val="auto"/>
              <w:highlight w:val="none"/>
            </w:rPr>
            <w:fldChar w:fldCharType="separate"/>
          </w:r>
          <w:r>
            <w:rPr>
              <w:rFonts w:ascii="宋体" w:hAnsi="宋体" w:eastAsia="宋体" w:cs="宋体"/>
              <w:color w:val="auto"/>
              <w:sz w:val="21"/>
              <w:szCs w:val="21"/>
              <w:highlight w:val="none"/>
            </w:rPr>
            <w:t>9</w:t>
          </w:r>
          <w:r>
            <w:rPr>
              <w:rFonts w:ascii="宋体" w:hAnsi="宋体" w:eastAsia="宋体" w:cs="宋体"/>
              <w:color w:val="auto"/>
              <w:sz w:val="21"/>
              <w:szCs w:val="21"/>
              <w:highlight w:val="none"/>
            </w:rPr>
            <w:fldChar w:fldCharType="end"/>
          </w:r>
        </w:p>
        <w:p w14:paraId="14452280">
          <w:pPr>
            <w:tabs>
              <w:tab w:val="right" w:leader="dot" w:pos="8317"/>
            </w:tabs>
            <w:spacing w:before="18"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投标人须知正文部分</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"bookmark24"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42BA5BD2">
          <w:pPr>
            <w:tabs>
              <w:tab w:val="right" w:leader="dot" w:pos="8317"/>
            </w:tabs>
            <w:spacing w:before="24" w:line="221" w:lineRule="auto"/>
            <w:ind w:left="45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1.</w:t>
          </w:r>
          <w:r>
            <w:rPr>
              <w:rFonts w:ascii="宋体" w:hAnsi="宋体" w:eastAsia="宋体" w:cs="宋体"/>
              <w:color w:val="auto"/>
              <w:spacing w:val="15"/>
              <w:sz w:val="21"/>
              <w:szCs w:val="21"/>
              <w:highlight w:val="none"/>
            </w:rPr>
            <w:t xml:space="preserve"> </w:t>
          </w:r>
          <w:r>
            <w:rPr>
              <w:rFonts w:ascii="宋体" w:hAnsi="宋体" w:eastAsia="宋体" w:cs="宋体"/>
              <w:color w:val="auto"/>
              <w:spacing w:val="-9"/>
              <w:sz w:val="21"/>
              <w:szCs w:val="21"/>
              <w:highlight w:val="none"/>
            </w:rPr>
            <w:t>总则</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"bookmark25"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7AACF3E9">
          <w:pPr>
            <w:tabs>
              <w:tab w:val="right" w:leader="dot" w:pos="8317"/>
            </w:tabs>
            <w:spacing w:before="21"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1.1</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项目概况</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"bookmark26"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4F8CC2BF">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 资金来源和落实情况</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"bookmark27"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2CFCBB2B">
          <w:pPr>
            <w:tabs>
              <w:tab w:val="right" w:leader="dot" w:pos="8317"/>
            </w:tabs>
            <w:spacing w:before="18"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1.3 招标范围、计划工期和质量要求</w:t>
          </w:r>
          <w:r>
            <w:rPr>
              <w:rFonts w:ascii="宋体" w:hAnsi="宋体" w:eastAsia="宋体" w:cs="宋体"/>
              <w:color w:val="auto"/>
              <w:spacing w:val="-5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4"/>
              <w:sz w:val="21"/>
              <w:szCs w:val="21"/>
              <w:highlight w:val="none"/>
            </w:rPr>
            <w:t xml:space="preserve"> </w:t>
          </w:r>
          <w:r>
            <w:rPr>
              <w:color w:val="auto"/>
              <w:highlight w:val="none"/>
            </w:rPr>
            <w:fldChar w:fldCharType="begin"/>
          </w:r>
          <w:r>
            <w:rPr>
              <w:color w:val="auto"/>
              <w:highlight w:val="none"/>
            </w:rPr>
            <w:instrText xml:space="preserve"> HYPERLINK \l "bookmark28"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691E9D0B">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1.4 投标人资格要求</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"bookmark29"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68B61CDE">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1.5</w:t>
          </w:r>
          <w:r>
            <w:rPr>
              <w:rFonts w:ascii="宋体" w:hAnsi="宋体" w:eastAsia="宋体" w:cs="宋体"/>
              <w:color w:val="auto"/>
              <w:spacing w:val="20"/>
              <w:sz w:val="21"/>
              <w:szCs w:val="21"/>
              <w:highlight w:val="none"/>
            </w:rPr>
            <w:t xml:space="preserve"> </w:t>
          </w:r>
          <w:r>
            <w:rPr>
              <w:rFonts w:ascii="宋体" w:hAnsi="宋体" w:eastAsia="宋体" w:cs="宋体"/>
              <w:color w:val="auto"/>
              <w:spacing w:val="-6"/>
              <w:sz w:val="21"/>
              <w:szCs w:val="21"/>
              <w:highlight w:val="none"/>
            </w:rPr>
            <w:t>费用承担</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"bookmark30"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6817B21E">
          <w:pPr>
            <w:tabs>
              <w:tab w:val="right" w:leader="dot" w:pos="8317"/>
            </w:tabs>
            <w:spacing w:before="24" w:line="221" w:lineRule="auto"/>
            <w:ind w:left="8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1.6</w:t>
          </w:r>
          <w:r>
            <w:rPr>
              <w:rFonts w:ascii="宋体" w:hAnsi="宋体" w:eastAsia="宋体" w:cs="宋体"/>
              <w:color w:val="auto"/>
              <w:spacing w:val="10"/>
              <w:sz w:val="21"/>
              <w:szCs w:val="21"/>
              <w:highlight w:val="none"/>
            </w:rPr>
            <w:t xml:space="preserve"> </w:t>
          </w:r>
          <w:r>
            <w:rPr>
              <w:rFonts w:ascii="宋体" w:hAnsi="宋体" w:eastAsia="宋体" w:cs="宋体"/>
              <w:color w:val="auto"/>
              <w:spacing w:val="-6"/>
              <w:sz w:val="21"/>
              <w:szCs w:val="21"/>
              <w:highlight w:val="none"/>
            </w:rPr>
            <w:t>保密</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"bookmark31"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722EB589">
          <w:pPr>
            <w:tabs>
              <w:tab w:val="right" w:leader="dot" w:pos="8317"/>
            </w:tabs>
            <w:spacing w:before="16"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1.7</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语言文字</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"bookmark32"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76A97925">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1.8</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计量单位</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"bookmark33"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0102FAD0">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1.9</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踏勘现场</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"bookmark34"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6ED9B0AE">
          <w:pPr>
            <w:tabs>
              <w:tab w:val="right" w:leader="dot" w:pos="8317"/>
            </w:tabs>
            <w:spacing w:before="22" w:line="220"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1.10 投标预备会</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"bookmark35"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461B195C">
          <w:pPr>
            <w:tabs>
              <w:tab w:val="right" w:leader="dot" w:pos="8317"/>
            </w:tabs>
            <w:spacing w:before="19"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1.11</w:t>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分包</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"bookmark36"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44E2A3DD">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1.12</w:t>
          </w:r>
          <w:r>
            <w:rPr>
              <w:rFonts w:ascii="宋体" w:hAnsi="宋体" w:eastAsia="宋体" w:cs="宋体"/>
              <w:color w:val="auto"/>
              <w:spacing w:val="10"/>
              <w:sz w:val="21"/>
              <w:szCs w:val="21"/>
              <w:highlight w:val="none"/>
            </w:rPr>
            <w:t xml:space="preserve"> </w:t>
          </w:r>
          <w:r>
            <w:rPr>
              <w:rFonts w:ascii="宋体" w:hAnsi="宋体" w:eastAsia="宋体" w:cs="宋体"/>
              <w:color w:val="auto"/>
              <w:spacing w:val="-5"/>
              <w:sz w:val="21"/>
              <w:szCs w:val="21"/>
              <w:highlight w:val="none"/>
            </w:rPr>
            <w:t>偏离</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"bookmark37"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33BE4007">
          <w:pPr>
            <w:tabs>
              <w:tab w:val="right" w:leader="dot" w:pos="8317"/>
            </w:tabs>
            <w:spacing w:before="22" w:line="221" w:lineRule="auto"/>
            <w:ind w:left="44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招标文件</w:t>
          </w:r>
          <w:r>
            <w:rPr>
              <w:rFonts w:ascii="宋体" w:hAnsi="宋体" w:eastAsia="宋体" w:cs="宋体"/>
              <w:color w:val="auto"/>
              <w:spacing w:val="-9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"bookmark38"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2B6EB9E7">
          <w:pPr>
            <w:tabs>
              <w:tab w:val="right" w:leader="dot" w:pos="8317"/>
            </w:tabs>
            <w:spacing w:before="23"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2.1 招标文件的组成</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"bookmark39"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5E1C40BB">
          <w:pPr>
            <w:tabs>
              <w:tab w:val="right" w:leader="dot" w:pos="8317"/>
            </w:tabs>
            <w:spacing w:before="17"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2.2 招标文件的澄清</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"bookmark40"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18D45E69">
          <w:pPr>
            <w:tabs>
              <w:tab w:val="right" w:leader="dot" w:pos="8317"/>
            </w:tabs>
            <w:spacing w:before="22"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2.3 招标文件的修改</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"bookmark41" </w:instrText>
          </w:r>
          <w:r>
            <w:rPr>
              <w:color w:val="auto"/>
              <w:highlight w:val="none"/>
            </w:rPr>
            <w:fldChar w:fldCharType="separate"/>
          </w:r>
          <w:r>
            <w:rPr>
              <w:rFonts w:ascii="宋体" w:hAnsi="宋体" w:eastAsia="宋体" w:cs="宋体"/>
              <w:color w:val="auto"/>
              <w:spacing w:val="-6"/>
              <w:sz w:val="21"/>
              <w:szCs w:val="21"/>
              <w:highlight w:val="none"/>
            </w:rPr>
            <w:t>19</w:t>
          </w:r>
          <w:r>
            <w:rPr>
              <w:rFonts w:ascii="宋体" w:hAnsi="宋体" w:eastAsia="宋体" w:cs="宋体"/>
              <w:color w:val="auto"/>
              <w:spacing w:val="-6"/>
              <w:sz w:val="21"/>
              <w:szCs w:val="21"/>
              <w:highlight w:val="none"/>
            </w:rPr>
            <w:fldChar w:fldCharType="end"/>
          </w:r>
        </w:p>
        <w:p w14:paraId="05494A21">
          <w:pPr>
            <w:tabs>
              <w:tab w:val="right" w:leader="dot" w:pos="8317"/>
            </w:tabs>
            <w:spacing w:before="22"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2.4 招标文件的异议</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"bookmark42" </w:instrText>
          </w:r>
          <w:r>
            <w:rPr>
              <w:color w:val="auto"/>
              <w:highlight w:val="none"/>
            </w:rPr>
            <w:fldChar w:fldCharType="separate"/>
          </w:r>
          <w:r>
            <w:rPr>
              <w:rFonts w:ascii="宋体" w:hAnsi="宋体" w:eastAsia="宋体" w:cs="宋体"/>
              <w:color w:val="auto"/>
              <w:spacing w:val="-6"/>
              <w:sz w:val="21"/>
              <w:szCs w:val="21"/>
              <w:highlight w:val="none"/>
            </w:rPr>
            <w:t>19</w:t>
          </w:r>
          <w:r>
            <w:rPr>
              <w:rFonts w:ascii="宋体" w:hAnsi="宋体" w:eastAsia="宋体" w:cs="宋体"/>
              <w:color w:val="auto"/>
              <w:spacing w:val="-6"/>
              <w:sz w:val="21"/>
              <w:szCs w:val="21"/>
              <w:highlight w:val="none"/>
            </w:rPr>
            <w:fldChar w:fldCharType="end"/>
          </w:r>
        </w:p>
        <w:p w14:paraId="24244026">
          <w:pPr>
            <w:tabs>
              <w:tab w:val="right" w:leader="dot" w:pos="8317"/>
            </w:tabs>
            <w:spacing w:before="18" w:line="221" w:lineRule="auto"/>
            <w:ind w:left="4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投标文件</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"bookmark43" </w:instrText>
          </w:r>
          <w:r>
            <w:rPr>
              <w:color w:val="auto"/>
              <w:highlight w:val="none"/>
            </w:rPr>
            <w:fldChar w:fldCharType="separate"/>
          </w:r>
          <w:r>
            <w:rPr>
              <w:rFonts w:ascii="宋体" w:hAnsi="宋体" w:eastAsia="宋体" w:cs="宋体"/>
              <w:color w:val="auto"/>
              <w:spacing w:val="-6"/>
              <w:sz w:val="21"/>
              <w:szCs w:val="21"/>
              <w:highlight w:val="none"/>
            </w:rPr>
            <w:t>19</w:t>
          </w:r>
          <w:r>
            <w:rPr>
              <w:rFonts w:ascii="宋体" w:hAnsi="宋体" w:eastAsia="宋体" w:cs="宋体"/>
              <w:color w:val="auto"/>
              <w:spacing w:val="-6"/>
              <w:sz w:val="21"/>
              <w:szCs w:val="21"/>
              <w:highlight w:val="none"/>
            </w:rPr>
            <w:fldChar w:fldCharType="end"/>
          </w:r>
        </w:p>
        <w:p w14:paraId="77F47609">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3.1 投标文件的组成</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"bookmark44" </w:instrText>
          </w:r>
          <w:r>
            <w:rPr>
              <w:color w:val="auto"/>
              <w:highlight w:val="none"/>
            </w:rPr>
            <w:fldChar w:fldCharType="separate"/>
          </w:r>
          <w:r>
            <w:rPr>
              <w:rFonts w:ascii="宋体" w:hAnsi="宋体" w:eastAsia="宋体" w:cs="宋体"/>
              <w:color w:val="auto"/>
              <w:spacing w:val="-6"/>
              <w:sz w:val="21"/>
              <w:szCs w:val="21"/>
              <w:highlight w:val="none"/>
            </w:rPr>
            <w:t>19</w:t>
          </w:r>
          <w:r>
            <w:rPr>
              <w:rFonts w:ascii="宋体" w:hAnsi="宋体" w:eastAsia="宋体" w:cs="宋体"/>
              <w:color w:val="auto"/>
              <w:spacing w:val="-6"/>
              <w:sz w:val="21"/>
              <w:szCs w:val="21"/>
              <w:highlight w:val="none"/>
            </w:rPr>
            <w:fldChar w:fldCharType="end"/>
          </w:r>
        </w:p>
      </w:sdtContent>
    </w:sdt>
    <w:p w14:paraId="5E99786C">
      <w:pPr>
        <w:spacing w:line="221" w:lineRule="auto"/>
        <w:rPr>
          <w:rFonts w:ascii="宋体" w:hAnsi="宋体" w:eastAsia="宋体" w:cs="宋体"/>
          <w:color w:val="auto"/>
          <w:sz w:val="21"/>
          <w:szCs w:val="21"/>
          <w:highlight w:val="none"/>
        </w:rPr>
        <w:sectPr>
          <w:footerReference r:id="rId6" w:type="default"/>
          <w:pgSz w:w="11905" w:h="16839"/>
          <w:pgMar w:top="1409" w:right="1785" w:bottom="1033" w:left="1785" w:header="0" w:footer="847" w:gutter="0"/>
          <w:pgNumType w:fmt="decimal"/>
          <w:cols w:space="720" w:num="1"/>
        </w:sectPr>
      </w:pPr>
    </w:p>
    <w:sdt>
      <w:sdtPr>
        <w:rPr>
          <w:rFonts w:ascii="宋体" w:hAnsi="宋体" w:eastAsia="宋体" w:cs="宋体"/>
          <w:color w:val="auto"/>
          <w:sz w:val="21"/>
          <w:szCs w:val="21"/>
          <w:highlight w:val="none"/>
        </w:rPr>
        <w:id w:val="2"/>
        <w:docPartObj>
          <w:docPartGallery w:val="Table of Contents"/>
          <w:docPartUnique/>
        </w:docPartObj>
      </w:sdtPr>
      <w:sdtEndPr>
        <w:rPr>
          <w:rFonts w:ascii="宋体" w:hAnsi="宋体" w:eastAsia="宋体" w:cs="宋体"/>
          <w:color w:val="auto"/>
          <w:sz w:val="21"/>
          <w:szCs w:val="21"/>
          <w:highlight w:val="none"/>
        </w:rPr>
      </w:sdtEndPr>
      <w:sdtContent>
        <w:p w14:paraId="748BD084">
          <w:pPr>
            <w:tabs>
              <w:tab w:val="right" w:leader="dot" w:pos="8317"/>
            </w:tabs>
            <w:spacing w:before="42" w:line="219" w:lineRule="auto"/>
            <w:ind w:left="863"/>
            <w:rPr>
              <w:rFonts w:ascii="宋体" w:hAnsi="宋体" w:eastAsia="宋体" w:cs="宋体"/>
              <w:color w:val="auto"/>
              <w:sz w:val="21"/>
              <w:szCs w:val="21"/>
              <w:highlight w:val="none"/>
            </w:rPr>
          </w:pPr>
          <w:bookmarkStart w:id="2" w:name="bookmark19"/>
          <w:bookmarkEnd w:id="2"/>
          <w:bookmarkStart w:id="3" w:name="bookmark21"/>
          <w:bookmarkEnd w:id="3"/>
          <w:bookmarkStart w:id="4" w:name="bookmark15"/>
          <w:bookmarkEnd w:id="4"/>
          <w:bookmarkStart w:id="5" w:name="bookmark16"/>
          <w:bookmarkEnd w:id="5"/>
          <w:bookmarkStart w:id="6" w:name="bookmark20"/>
          <w:bookmarkEnd w:id="6"/>
          <w:bookmarkStart w:id="7" w:name="bookmark18"/>
          <w:bookmarkEnd w:id="7"/>
          <w:bookmarkStart w:id="8" w:name="bookmark17"/>
          <w:bookmarkEnd w:id="8"/>
          <w:r>
            <w:rPr>
              <w:rFonts w:ascii="宋体" w:hAnsi="宋体" w:eastAsia="宋体" w:cs="宋体"/>
              <w:color w:val="auto"/>
              <w:spacing w:val="-4"/>
              <w:sz w:val="21"/>
              <w:szCs w:val="21"/>
              <w:highlight w:val="none"/>
            </w:rPr>
            <w:t>3.2</w:t>
          </w:r>
          <w:r>
            <w:rPr>
              <w:rFonts w:ascii="宋体" w:hAnsi="宋体" w:eastAsia="宋体" w:cs="宋体"/>
              <w:color w:val="auto"/>
              <w:spacing w:val="17"/>
              <w:sz w:val="21"/>
              <w:szCs w:val="21"/>
              <w:highlight w:val="none"/>
            </w:rPr>
            <w:t xml:space="preserve"> </w:t>
          </w:r>
          <w:r>
            <w:rPr>
              <w:rFonts w:ascii="宋体" w:hAnsi="宋体" w:eastAsia="宋体" w:cs="宋体"/>
              <w:color w:val="auto"/>
              <w:spacing w:val="-4"/>
              <w:sz w:val="21"/>
              <w:szCs w:val="21"/>
              <w:highlight w:val="none"/>
            </w:rPr>
            <w:t>投标报价</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"bookmark45"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52A9F606">
          <w:pPr>
            <w:tabs>
              <w:tab w:val="right" w:leader="dot" w:pos="8317"/>
            </w:tabs>
            <w:spacing w:before="19"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3.3</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投标有效期</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"bookmark46"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62CFD33D">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3.4</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投标保证金</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"bookmark47"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67EB882C">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3.5 资格审查资料（适用于已进行资格预审的）</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"bookmark48"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254D1F3B">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3.5 资格审查资料（适用于未进行资格预审的）</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"bookmark49"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2FD5D065">
          <w:pPr>
            <w:tabs>
              <w:tab w:val="right" w:leader="dot" w:pos="8317"/>
            </w:tabs>
            <w:spacing w:before="18"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3.6 备选投标方案</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"bookmark50" </w:instrText>
          </w:r>
          <w:r>
            <w:rPr>
              <w:color w:val="auto"/>
              <w:highlight w:val="none"/>
            </w:rPr>
            <w:fldChar w:fldCharType="separate"/>
          </w:r>
          <w:r>
            <w:rPr>
              <w:rFonts w:ascii="宋体" w:hAnsi="宋体" w:eastAsia="宋体" w:cs="宋体"/>
              <w:color w:val="auto"/>
              <w:spacing w:val="-3"/>
              <w:sz w:val="21"/>
              <w:szCs w:val="21"/>
              <w:highlight w:val="none"/>
            </w:rPr>
            <w:t>21</w:t>
          </w:r>
          <w:r>
            <w:rPr>
              <w:rFonts w:ascii="宋体" w:hAnsi="宋体" w:eastAsia="宋体" w:cs="宋体"/>
              <w:color w:val="auto"/>
              <w:spacing w:val="-3"/>
              <w:sz w:val="21"/>
              <w:szCs w:val="21"/>
              <w:highlight w:val="none"/>
            </w:rPr>
            <w:fldChar w:fldCharType="end"/>
          </w:r>
        </w:p>
        <w:p w14:paraId="604D5F91">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3.7 投标文件的编制</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"bookmark51" </w:instrText>
          </w:r>
          <w:r>
            <w:rPr>
              <w:color w:val="auto"/>
              <w:highlight w:val="none"/>
            </w:rPr>
            <w:fldChar w:fldCharType="separate"/>
          </w:r>
          <w:r>
            <w:rPr>
              <w:rFonts w:ascii="宋体" w:hAnsi="宋体" w:eastAsia="宋体" w:cs="宋体"/>
              <w:color w:val="auto"/>
              <w:spacing w:val="-3"/>
              <w:sz w:val="21"/>
              <w:szCs w:val="21"/>
              <w:highlight w:val="none"/>
            </w:rPr>
            <w:t>21</w:t>
          </w:r>
          <w:r>
            <w:rPr>
              <w:rFonts w:ascii="宋体" w:hAnsi="宋体" w:eastAsia="宋体" w:cs="宋体"/>
              <w:color w:val="auto"/>
              <w:spacing w:val="-3"/>
              <w:sz w:val="21"/>
              <w:szCs w:val="21"/>
              <w:highlight w:val="none"/>
            </w:rPr>
            <w:fldChar w:fldCharType="end"/>
          </w:r>
        </w:p>
        <w:p w14:paraId="1CD9EA2E">
          <w:pPr>
            <w:tabs>
              <w:tab w:val="right" w:leader="dot" w:pos="8317"/>
            </w:tabs>
            <w:spacing w:before="23" w:line="221" w:lineRule="auto"/>
            <w:ind w:left="44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rPr>
            <w:t>投标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"bookmark52" </w:instrText>
          </w:r>
          <w:r>
            <w:rPr>
              <w:color w:val="auto"/>
              <w:highlight w:val="none"/>
            </w:rPr>
            <w:fldChar w:fldCharType="separate"/>
          </w:r>
          <w:r>
            <w:rPr>
              <w:rFonts w:ascii="宋体" w:hAnsi="宋体" w:eastAsia="宋体" w:cs="宋体"/>
              <w:color w:val="auto"/>
              <w:spacing w:val="-3"/>
              <w:sz w:val="21"/>
              <w:szCs w:val="21"/>
              <w:highlight w:val="none"/>
            </w:rPr>
            <w:t>22</w:t>
          </w:r>
          <w:r>
            <w:rPr>
              <w:rFonts w:ascii="宋体" w:hAnsi="宋体" w:eastAsia="宋体" w:cs="宋体"/>
              <w:color w:val="auto"/>
              <w:spacing w:val="-3"/>
              <w:sz w:val="21"/>
              <w:szCs w:val="21"/>
              <w:highlight w:val="none"/>
            </w:rPr>
            <w:fldChar w:fldCharType="end"/>
          </w:r>
        </w:p>
        <w:p w14:paraId="083FBDD7">
          <w:pPr>
            <w:tabs>
              <w:tab w:val="right" w:leader="dot" w:pos="8317"/>
            </w:tabs>
            <w:spacing w:before="21"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 投标文件的加密</w:t>
          </w:r>
          <w:r>
            <w:rPr>
              <w:rFonts w:ascii="宋体" w:hAnsi="宋体" w:eastAsia="宋体" w:cs="宋体"/>
              <w:color w:val="auto"/>
              <w:spacing w:val="-7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"bookmark53" </w:instrText>
          </w:r>
          <w:r>
            <w:rPr>
              <w:color w:val="auto"/>
              <w:highlight w:val="none"/>
            </w:rPr>
            <w:fldChar w:fldCharType="separate"/>
          </w:r>
          <w:r>
            <w:rPr>
              <w:rFonts w:ascii="宋体" w:hAnsi="宋体" w:eastAsia="宋体" w:cs="宋体"/>
              <w:color w:val="auto"/>
              <w:spacing w:val="-3"/>
              <w:sz w:val="21"/>
              <w:szCs w:val="21"/>
              <w:highlight w:val="none"/>
            </w:rPr>
            <w:t>22</w:t>
          </w:r>
          <w:r>
            <w:rPr>
              <w:rFonts w:ascii="宋体" w:hAnsi="宋体" w:eastAsia="宋体" w:cs="宋体"/>
              <w:color w:val="auto"/>
              <w:spacing w:val="-3"/>
              <w:sz w:val="21"/>
              <w:szCs w:val="21"/>
              <w:highlight w:val="none"/>
            </w:rPr>
            <w:fldChar w:fldCharType="end"/>
          </w:r>
        </w:p>
        <w:p w14:paraId="7D86BA9D">
          <w:pPr>
            <w:tabs>
              <w:tab w:val="right" w:leader="dot" w:pos="8317"/>
            </w:tabs>
            <w:spacing w:before="18"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4.2 投标文件的递交</w:t>
          </w:r>
          <w:r>
            <w:rPr>
              <w:rFonts w:ascii="宋体" w:hAnsi="宋体" w:eastAsia="宋体" w:cs="宋体"/>
              <w:color w:val="auto"/>
              <w:spacing w:val="-7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"bookmark54" </w:instrText>
          </w:r>
          <w:r>
            <w:rPr>
              <w:color w:val="auto"/>
              <w:highlight w:val="none"/>
            </w:rPr>
            <w:fldChar w:fldCharType="separate"/>
          </w:r>
          <w:r>
            <w:rPr>
              <w:rFonts w:ascii="宋体" w:hAnsi="宋体" w:eastAsia="宋体" w:cs="宋体"/>
              <w:color w:val="auto"/>
              <w:spacing w:val="-3"/>
              <w:sz w:val="21"/>
              <w:szCs w:val="21"/>
              <w:highlight w:val="none"/>
            </w:rPr>
            <w:t>22</w:t>
          </w:r>
          <w:r>
            <w:rPr>
              <w:rFonts w:ascii="宋体" w:hAnsi="宋体" w:eastAsia="宋体" w:cs="宋体"/>
              <w:color w:val="auto"/>
              <w:spacing w:val="-3"/>
              <w:sz w:val="21"/>
              <w:szCs w:val="21"/>
              <w:highlight w:val="none"/>
            </w:rPr>
            <w:fldChar w:fldCharType="end"/>
          </w:r>
        </w:p>
        <w:p w14:paraId="0152A107">
          <w:pPr>
            <w:tabs>
              <w:tab w:val="right" w:leader="dot" w:pos="8317"/>
            </w:tabs>
            <w:spacing w:before="22"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4.3 投标文件的修改与撤回</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"bookmark55" </w:instrText>
          </w:r>
          <w:r>
            <w:rPr>
              <w:color w:val="auto"/>
              <w:highlight w:val="none"/>
            </w:rPr>
            <w:fldChar w:fldCharType="separate"/>
          </w:r>
          <w:r>
            <w:rPr>
              <w:rFonts w:ascii="宋体" w:hAnsi="宋体" w:eastAsia="宋体" w:cs="宋体"/>
              <w:color w:val="auto"/>
              <w:spacing w:val="-3"/>
              <w:sz w:val="21"/>
              <w:szCs w:val="21"/>
              <w:highlight w:val="none"/>
            </w:rPr>
            <w:t>23</w:t>
          </w:r>
          <w:r>
            <w:rPr>
              <w:rFonts w:ascii="宋体" w:hAnsi="宋体" w:eastAsia="宋体" w:cs="宋体"/>
              <w:color w:val="auto"/>
              <w:spacing w:val="-3"/>
              <w:sz w:val="21"/>
              <w:szCs w:val="21"/>
              <w:highlight w:val="none"/>
            </w:rPr>
            <w:fldChar w:fldCharType="end"/>
          </w:r>
        </w:p>
        <w:p w14:paraId="729BC5D8">
          <w:pPr>
            <w:tabs>
              <w:tab w:val="right" w:leader="dot" w:pos="8317"/>
            </w:tabs>
            <w:spacing w:before="23" w:line="221" w:lineRule="auto"/>
            <w:ind w:left="4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w:t>
          </w:r>
          <w:r>
            <w:rPr>
              <w:rFonts w:ascii="宋体" w:hAnsi="宋体" w:eastAsia="宋体" w:cs="宋体"/>
              <w:color w:val="auto"/>
              <w:spacing w:val="10"/>
              <w:sz w:val="21"/>
              <w:szCs w:val="21"/>
              <w:highlight w:val="none"/>
            </w:rPr>
            <w:t xml:space="preserve"> </w:t>
          </w:r>
          <w:r>
            <w:rPr>
              <w:rFonts w:ascii="宋体" w:hAnsi="宋体" w:eastAsia="宋体" w:cs="宋体"/>
              <w:color w:val="auto"/>
              <w:spacing w:val="-5"/>
              <w:sz w:val="21"/>
              <w:szCs w:val="21"/>
              <w:highlight w:val="none"/>
            </w:rPr>
            <w:t>开标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"bookmark56" </w:instrText>
          </w:r>
          <w:r>
            <w:rPr>
              <w:color w:val="auto"/>
              <w:highlight w:val="none"/>
            </w:rPr>
            <w:fldChar w:fldCharType="separate"/>
          </w:r>
          <w:r>
            <w:rPr>
              <w:rFonts w:ascii="宋体" w:hAnsi="宋体" w:eastAsia="宋体" w:cs="宋体"/>
              <w:color w:val="auto"/>
              <w:spacing w:val="-3"/>
              <w:sz w:val="21"/>
              <w:szCs w:val="21"/>
              <w:highlight w:val="none"/>
            </w:rPr>
            <w:t>23</w:t>
          </w:r>
          <w:r>
            <w:rPr>
              <w:rFonts w:ascii="宋体" w:hAnsi="宋体" w:eastAsia="宋体" w:cs="宋体"/>
              <w:color w:val="auto"/>
              <w:spacing w:val="-3"/>
              <w:sz w:val="21"/>
              <w:szCs w:val="21"/>
              <w:highlight w:val="none"/>
            </w:rPr>
            <w:fldChar w:fldCharType="end"/>
          </w:r>
        </w:p>
        <w:p w14:paraId="65A82458">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5.1 开标时间和地点</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"bookmark57" </w:instrText>
          </w:r>
          <w:r>
            <w:rPr>
              <w:color w:val="auto"/>
              <w:highlight w:val="none"/>
            </w:rPr>
            <w:fldChar w:fldCharType="separate"/>
          </w:r>
          <w:r>
            <w:rPr>
              <w:rFonts w:ascii="宋体" w:hAnsi="宋体" w:eastAsia="宋体" w:cs="宋体"/>
              <w:color w:val="auto"/>
              <w:spacing w:val="-3"/>
              <w:sz w:val="21"/>
              <w:szCs w:val="21"/>
              <w:highlight w:val="none"/>
            </w:rPr>
            <w:t>23</w:t>
          </w:r>
          <w:r>
            <w:rPr>
              <w:rFonts w:ascii="宋体" w:hAnsi="宋体" w:eastAsia="宋体" w:cs="宋体"/>
              <w:color w:val="auto"/>
              <w:spacing w:val="-3"/>
              <w:sz w:val="21"/>
              <w:szCs w:val="21"/>
              <w:highlight w:val="none"/>
            </w:rPr>
            <w:fldChar w:fldCharType="end"/>
          </w:r>
        </w:p>
        <w:p w14:paraId="2F5BFE15">
          <w:pPr>
            <w:tabs>
              <w:tab w:val="right" w:leader="dot" w:pos="8317"/>
            </w:tabs>
            <w:spacing w:before="18"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5.2</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开标程序</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"bookmark58" </w:instrText>
          </w:r>
          <w:r>
            <w:rPr>
              <w:color w:val="auto"/>
              <w:highlight w:val="none"/>
            </w:rPr>
            <w:fldChar w:fldCharType="separate"/>
          </w:r>
          <w:r>
            <w:rPr>
              <w:rFonts w:ascii="宋体" w:hAnsi="宋体" w:eastAsia="宋体" w:cs="宋体"/>
              <w:color w:val="auto"/>
              <w:spacing w:val="-3"/>
              <w:sz w:val="21"/>
              <w:szCs w:val="21"/>
              <w:highlight w:val="none"/>
            </w:rPr>
            <w:t>23</w:t>
          </w:r>
          <w:r>
            <w:rPr>
              <w:rFonts w:ascii="宋体" w:hAnsi="宋体" w:eastAsia="宋体" w:cs="宋体"/>
              <w:color w:val="auto"/>
              <w:spacing w:val="-3"/>
              <w:sz w:val="21"/>
              <w:szCs w:val="21"/>
              <w:highlight w:val="none"/>
            </w:rPr>
            <w:fldChar w:fldCharType="end"/>
          </w:r>
        </w:p>
        <w:p w14:paraId="74A89CDD">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5.3</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开标异议</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"bookmark59" </w:instrText>
          </w:r>
          <w:r>
            <w:rPr>
              <w:color w:val="auto"/>
              <w:highlight w:val="none"/>
            </w:rPr>
            <w:fldChar w:fldCharType="separate"/>
          </w:r>
          <w:r>
            <w:rPr>
              <w:rFonts w:ascii="宋体" w:hAnsi="宋体" w:eastAsia="宋体" w:cs="宋体"/>
              <w:color w:val="auto"/>
              <w:spacing w:val="-3"/>
              <w:sz w:val="21"/>
              <w:szCs w:val="21"/>
              <w:highlight w:val="none"/>
            </w:rPr>
            <w:t>24</w:t>
          </w:r>
          <w:r>
            <w:rPr>
              <w:rFonts w:ascii="宋体" w:hAnsi="宋体" w:eastAsia="宋体" w:cs="宋体"/>
              <w:color w:val="auto"/>
              <w:spacing w:val="-3"/>
              <w:sz w:val="21"/>
              <w:szCs w:val="21"/>
              <w:highlight w:val="none"/>
            </w:rPr>
            <w:fldChar w:fldCharType="end"/>
          </w:r>
        </w:p>
        <w:p w14:paraId="19BE2E1A">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5.4 特殊情况的处置</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"bookmark60" </w:instrText>
          </w:r>
          <w:r>
            <w:rPr>
              <w:color w:val="auto"/>
              <w:highlight w:val="none"/>
            </w:rPr>
            <w:fldChar w:fldCharType="separate"/>
          </w:r>
          <w:r>
            <w:rPr>
              <w:rFonts w:ascii="宋体" w:hAnsi="宋体" w:eastAsia="宋体" w:cs="宋体"/>
              <w:color w:val="auto"/>
              <w:spacing w:val="-3"/>
              <w:sz w:val="21"/>
              <w:szCs w:val="21"/>
              <w:highlight w:val="none"/>
            </w:rPr>
            <w:t>24</w:t>
          </w:r>
          <w:r>
            <w:rPr>
              <w:rFonts w:ascii="宋体" w:hAnsi="宋体" w:eastAsia="宋体" w:cs="宋体"/>
              <w:color w:val="auto"/>
              <w:spacing w:val="-3"/>
              <w:sz w:val="21"/>
              <w:szCs w:val="21"/>
              <w:highlight w:val="none"/>
            </w:rPr>
            <w:fldChar w:fldCharType="end"/>
          </w:r>
        </w:p>
        <w:p w14:paraId="2CA69DB1">
          <w:pPr>
            <w:tabs>
              <w:tab w:val="right" w:leader="dot" w:pos="8317"/>
            </w:tabs>
            <w:spacing w:before="23" w:line="221"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6.</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rPr>
            <w:t>评标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"bookmark61"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5928425B">
          <w:pPr>
            <w:tabs>
              <w:tab w:val="right" w:leader="dot" w:pos="8317"/>
            </w:tabs>
            <w:spacing w:before="17" w:line="220" w:lineRule="auto"/>
            <w:ind w:left="8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 评标委员会</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"bookmark62"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11F0B83F">
          <w:pPr>
            <w:tabs>
              <w:tab w:val="right" w:leader="dot" w:pos="8317"/>
            </w:tabs>
            <w:spacing w:before="24" w:line="221" w:lineRule="auto"/>
            <w:ind w:left="8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6.2 评标原则</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"bookmark63"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04DB35AD">
          <w:pPr>
            <w:tabs>
              <w:tab w:val="right" w:leader="dot" w:pos="8317"/>
            </w:tabs>
            <w:spacing w:before="22" w:line="221" w:lineRule="auto"/>
            <w:ind w:left="86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6.3</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评标</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"bookmark64"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0653A7F7">
          <w:pPr>
            <w:tabs>
              <w:tab w:val="right" w:leader="dot" w:pos="8317"/>
            </w:tabs>
            <w:spacing w:before="22" w:line="221" w:lineRule="auto"/>
            <w:ind w:left="8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6.4 评标结果公示</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"bookmark65"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553CE93E">
          <w:pPr>
            <w:tabs>
              <w:tab w:val="right" w:leader="dot" w:pos="8317"/>
            </w:tabs>
            <w:spacing w:before="17" w:line="221" w:lineRule="auto"/>
            <w:ind w:left="86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6.5 履约能力的核查（如有）</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"bookmark66"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4919CC44">
          <w:pPr>
            <w:tabs>
              <w:tab w:val="right" w:leader="dot" w:pos="8317"/>
            </w:tabs>
            <w:spacing w:before="23" w:line="222"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合同授予</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"bookmark67"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41B735E1">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7.1</w:t>
          </w:r>
          <w:r>
            <w:rPr>
              <w:rFonts w:ascii="宋体" w:hAnsi="宋体" w:eastAsia="宋体" w:cs="宋体"/>
              <w:color w:val="auto"/>
              <w:spacing w:val="16"/>
              <w:sz w:val="21"/>
              <w:szCs w:val="21"/>
              <w:highlight w:val="none"/>
            </w:rPr>
            <w:t xml:space="preserve"> </w:t>
          </w:r>
          <w:r>
            <w:rPr>
              <w:rFonts w:ascii="宋体" w:hAnsi="宋体" w:eastAsia="宋体" w:cs="宋体"/>
              <w:color w:val="auto"/>
              <w:spacing w:val="-4"/>
              <w:sz w:val="21"/>
              <w:szCs w:val="21"/>
              <w:highlight w:val="none"/>
            </w:rPr>
            <w:t>定标方式</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"bookmark68"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49A9B4FB">
          <w:pPr>
            <w:tabs>
              <w:tab w:val="right" w:leader="dot" w:pos="8317"/>
            </w:tabs>
            <w:spacing w:before="18" w:line="221" w:lineRule="auto"/>
            <w:ind w:left="86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7.2</w:t>
          </w:r>
          <w:r>
            <w:rPr>
              <w:rFonts w:ascii="宋体" w:hAnsi="宋体" w:eastAsia="宋体" w:cs="宋体"/>
              <w:color w:val="auto"/>
              <w:spacing w:val="30"/>
              <w:sz w:val="21"/>
              <w:szCs w:val="21"/>
              <w:highlight w:val="none"/>
            </w:rPr>
            <w:t xml:space="preserve"> </w:t>
          </w:r>
          <w:r>
            <w:rPr>
              <w:rFonts w:ascii="宋体" w:hAnsi="宋体" w:eastAsia="宋体" w:cs="宋体"/>
              <w:color w:val="auto"/>
              <w:spacing w:val="-6"/>
              <w:sz w:val="21"/>
              <w:szCs w:val="21"/>
              <w:highlight w:val="none"/>
            </w:rPr>
            <w:t>中标通知</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"bookmark69"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6278F1E4">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7.3</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履约保证金</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"bookmark70"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2C2E3F33">
          <w:pPr>
            <w:tabs>
              <w:tab w:val="right" w:leader="dot" w:pos="8317"/>
            </w:tabs>
            <w:spacing w:before="22" w:line="223"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7.4 签订合同</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"bookmark71"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7F7E8724">
          <w:pPr>
            <w:tabs>
              <w:tab w:val="right" w:leader="dot" w:pos="8317"/>
            </w:tabs>
            <w:spacing w:before="20"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 重新招标、不再招标和终止招标</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"bookmark72"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4EE8E06F">
          <w:pPr>
            <w:tabs>
              <w:tab w:val="right" w:leader="dot" w:pos="8317"/>
            </w:tabs>
            <w:spacing w:before="18" w:line="221" w:lineRule="auto"/>
            <w:ind w:left="8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8.1</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重新招标</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"bookmark73"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44F88834">
          <w:pPr>
            <w:tabs>
              <w:tab w:val="right" w:leader="dot" w:pos="8317"/>
            </w:tabs>
            <w:spacing w:before="22" w:line="221" w:lineRule="auto"/>
            <w:ind w:left="8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8.2</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不再招标</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"bookmark74"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4BC56E14">
          <w:pPr>
            <w:tabs>
              <w:tab w:val="right" w:leader="dot" w:pos="8317"/>
            </w:tabs>
            <w:spacing w:before="22" w:line="221" w:lineRule="auto"/>
            <w:ind w:left="8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8.3</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终止招标</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"bookmark75"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08A269BE">
          <w:pPr>
            <w:tabs>
              <w:tab w:val="right" w:leader="dot" w:pos="8317"/>
            </w:tabs>
            <w:spacing w:before="22" w:line="221"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9.</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纪律和监督</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"bookmark76"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44154290">
          <w:pPr>
            <w:tabs>
              <w:tab w:val="right" w:leader="dot" w:pos="8317"/>
            </w:tabs>
            <w:spacing w:before="17" w:line="221"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9.1 对招标人的纪律要求</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"bookmark77"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562964E1">
          <w:pPr>
            <w:tabs>
              <w:tab w:val="right" w:leader="dot" w:pos="8317"/>
            </w:tabs>
            <w:spacing w:before="22" w:line="221"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9.2 对投标人的纪律要求</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"bookmark78"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42EC06CC">
          <w:pPr>
            <w:tabs>
              <w:tab w:val="right" w:leader="dot" w:pos="8317"/>
            </w:tabs>
            <w:spacing w:before="23" w:line="220"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9.3 对评标委员会成员的纪律要求</w:t>
          </w:r>
          <w:r>
            <w:rPr>
              <w:rFonts w:ascii="宋体" w:hAnsi="宋体" w:eastAsia="宋体" w:cs="宋体"/>
              <w:color w:val="auto"/>
              <w:spacing w:val="-6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"bookmark79"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085801F8">
          <w:pPr>
            <w:tabs>
              <w:tab w:val="right" w:leader="dot" w:pos="8317"/>
            </w:tabs>
            <w:spacing w:before="23" w:line="221"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9.4 对与评标活动有关的工作人员的纪律要求</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"bookmark80"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763B555B">
          <w:pPr>
            <w:tabs>
              <w:tab w:val="right" w:leader="dot" w:pos="8317"/>
            </w:tabs>
            <w:spacing w:before="18" w:line="221" w:lineRule="auto"/>
            <w:ind w:left="85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9.5</w:t>
          </w:r>
          <w:r>
            <w:rPr>
              <w:rFonts w:ascii="宋体" w:hAnsi="宋体" w:eastAsia="宋体" w:cs="宋体"/>
              <w:color w:val="auto"/>
              <w:spacing w:val="15"/>
              <w:sz w:val="21"/>
              <w:szCs w:val="21"/>
              <w:highlight w:val="none"/>
            </w:rPr>
            <w:t xml:space="preserve"> </w:t>
          </w:r>
          <w:r>
            <w:rPr>
              <w:rFonts w:ascii="宋体" w:hAnsi="宋体" w:eastAsia="宋体" w:cs="宋体"/>
              <w:color w:val="auto"/>
              <w:spacing w:val="-4"/>
              <w:sz w:val="21"/>
              <w:szCs w:val="21"/>
              <w:highlight w:val="none"/>
            </w:rPr>
            <w:t>投诉</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"bookmark81"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70E6AB87">
          <w:pPr>
            <w:tabs>
              <w:tab w:val="right" w:leader="dot" w:pos="8317"/>
            </w:tabs>
            <w:spacing w:before="22" w:line="221" w:lineRule="auto"/>
            <w:ind w:left="45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10.</w:t>
          </w:r>
          <w:r>
            <w:rPr>
              <w:rFonts w:ascii="宋体" w:hAnsi="宋体" w:eastAsia="宋体" w:cs="宋体"/>
              <w:color w:val="auto"/>
              <w:spacing w:val="26"/>
              <w:sz w:val="21"/>
              <w:szCs w:val="21"/>
              <w:highlight w:val="none"/>
            </w:rPr>
            <w:t xml:space="preserve"> </w:t>
          </w:r>
          <w:r>
            <w:rPr>
              <w:rFonts w:ascii="宋体" w:hAnsi="宋体" w:eastAsia="宋体" w:cs="宋体"/>
              <w:color w:val="auto"/>
              <w:spacing w:val="-4"/>
              <w:sz w:val="21"/>
              <w:szCs w:val="21"/>
              <w:highlight w:val="none"/>
            </w:rPr>
            <w:t>需要补充的其他内容</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"bookmark82"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6540EFFF">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10.1</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词语定义</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"bookmark83"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59E2C07B">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10.2</w:t>
          </w:r>
          <w:r>
            <w:rPr>
              <w:rFonts w:ascii="宋体" w:hAnsi="宋体" w:eastAsia="宋体" w:cs="宋体"/>
              <w:color w:val="auto"/>
              <w:spacing w:val="38"/>
              <w:sz w:val="21"/>
              <w:szCs w:val="21"/>
              <w:highlight w:val="none"/>
            </w:rPr>
            <w:t xml:space="preserve"> </w:t>
          </w:r>
          <w:r>
            <w:rPr>
              <w:rFonts w:ascii="宋体" w:hAnsi="宋体" w:eastAsia="宋体" w:cs="宋体"/>
              <w:color w:val="auto"/>
              <w:spacing w:val="-5"/>
              <w:sz w:val="21"/>
              <w:szCs w:val="21"/>
              <w:highlight w:val="none"/>
            </w:rPr>
            <w:t>中标人的投标文件</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"bookmark84"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08285CD7">
          <w:pPr>
            <w:tabs>
              <w:tab w:val="right" w:leader="dot" w:pos="8317"/>
            </w:tabs>
            <w:spacing w:before="17"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10.3</w:t>
          </w:r>
          <w:r>
            <w:rPr>
              <w:rFonts w:ascii="宋体" w:hAnsi="宋体" w:eastAsia="宋体" w:cs="宋体"/>
              <w:color w:val="auto"/>
              <w:spacing w:val="18"/>
              <w:sz w:val="21"/>
              <w:szCs w:val="21"/>
              <w:highlight w:val="none"/>
            </w:rPr>
            <w:t xml:space="preserve"> </w:t>
          </w:r>
          <w:r>
            <w:rPr>
              <w:rFonts w:ascii="宋体" w:hAnsi="宋体" w:eastAsia="宋体" w:cs="宋体"/>
              <w:color w:val="auto"/>
              <w:spacing w:val="-5"/>
              <w:sz w:val="21"/>
              <w:szCs w:val="21"/>
              <w:highlight w:val="none"/>
            </w:rPr>
            <w:t>知识产权</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"bookmark85"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14B80653">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10.4</w:t>
          </w:r>
          <w:r>
            <w:rPr>
              <w:rFonts w:ascii="宋体" w:hAnsi="宋体" w:eastAsia="宋体" w:cs="宋体"/>
              <w:color w:val="auto"/>
              <w:spacing w:val="34"/>
              <w:sz w:val="21"/>
              <w:szCs w:val="21"/>
              <w:highlight w:val="none"/>
            </w:rPr>
            <w:t xml:space="preserve"> </w:t>
          </w:r>
          <w:r>
            <w:rPr>
              <w:rFonts w:ascii="宋体" w:hAnsi="宋体" w:eastAsia="宋体" w:cs="宋体"/>
              <w:color w:val="auto"/>
              <w:spacing w:val="-7"/>
              <w:sz w:val="21"/>
              <w:szCs w:val="21"/>
              <w:highlight w:val="none"/>
            </w:rPr>
            <w:t>同义词语</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"bookmark86"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1EE08EE0">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10.5</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解释权</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"bookmark87"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3397E293">
          <w:pPr>
            <w:tabs>
              <w:tab w:val="right" w:leader="dot" w:pos="8317"/>
            </w:tabs>
            <w:spacing w:before="17"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10.6 招标人补充的其他内容</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"bookmark88"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382333AE">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附表一：招标文件澄清申请函</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"bookmark89" </w:instrText>
          </w:r>
          <w:r>
            <w:rPr>
              <w:color w:val="auto"/>
              <w:highlight w:val="none"/>
            </w:rPr>
            <w:fldChar w:fldCharType="separate"/>
          </w:r>
          <w:r>
            <w:rPr>
              <w:rFonts w:ascii="宋体" w:hAnsi="宋体" w:eastAsia="宋体" w:cs="宋体"/>
              <w:color w:val="auto"/>
              <w:spacing w:val="-3"/>
              <w:sz w:val="21"/>
              <w:szCs w:val="21"/>
              <w:highlight w:val="none"/>
            </w:rPr>
            <w:t>29</w:t>
          </w:r>
          <w:r>
            <w:rPr>
              <w:rFonts w:ascii="宋体" w:hAnsi="宋体" w:eastAsia="宋体" w:cs="宋体"/>
              <w:color w:val="auto"/>
              <w:spacing w:val="-3"/>
              <w:sz w:val="21"/>
              <w:szCs w:val="21"/>
              <w:highlight w:val="none"/>
            </w:rPr>
            <w:fldChar w:fldCharType="end"/>
          </w:r>
        </w:p>
        <w:p w14:paraId="5CB9DE0C">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附表二：招标文件澄清通知</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"bookmark90" </w:instrText>
          </w:r>
          <w:r>
            <w:rPr>
              <w:color w:val="auto"/>
              <w:highlight w:val="none"/>
            </w:rPr>
            <w:fldChar w:fldCharType="separate"/>
          </w:r>
          <w:r>
            <w:rPr>
              <w:rFonts w:ascii="宋体" w:hAnsi="宋体" w:eastAsia="宋体" w:cs="宋体"/>
              <w:color w:val="auto"/>
              <w:spacing w:val="-3"/>
              <w:sz w:val="21"/>
              <w:szCs w:val="21"/>
              <w:highlight w:val="none"/>
            </w:rPr>
            <w:t>30</w:t>
          </w:r>
          <w:r>
            <w:rPr>
              <w:rFonts w:ascii="宋体" w:hAnsi="宋体" w:eastAsia="宋体" w:cs="宋体"/>
              <w:color w:val="auto"/>
              <w:spacing w:val="-3"/>
              <w:sz w:val="21"/>
              <w:szCs w:val="21"/>
              <w:highlight w:val="none"/>
            </w:rPr>
            <w:fldChar w:fldCharType="end"/>
          </w:r>
        </w:p>
        <w:p w14:paraId="5A9FE112">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附表三：招标文件修改通知</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"bookmark91" </w:instrText>
          </w:r>
          <w:r>
            <w:rPr>
              <w:color w:val="auto"/>
              <w:highlight w:val="none"/>
            </w:rPr>
            <w:fldChar w:fldCharType="separate"/>
          </w:r>
          <w:r>
            <w:rPr>
              <w:rFonts w:ascii="宋体" w:hAnsi="宋体" w:eastAsia="宋体" w:cs="宋体"/>
              <w:color w:val="auto"/>
              <w:spacing w:val="-3"/>
              <w:sz w:val="21"/>
              <w:szCs w:val="21"/>
              <w:highlight w:val="none"/>
            </w:rPr>
            <w:t>31</w:t>
          </w:r>
          <w:r>
            <w:rPr>
              <w:rFonts w:ascii="宋体" w:hAnsi="宋体" w:eastAsia="宋体" w:cs="宋体"/>
              <w:color w:val="auto"/>
              <w:spacing w:val="-3"/>
              <w:sz w:val="21"/>
              <w:szCs w:val="21"/>
              <w:highlight w:val="none"/>
            </w:rPr>
            <w:fldChar w:fldCharType="end"/>
          </w:r>
        </w:p>
        <w:p w14:paraId="754D7D62">
          <w:pPr>
            <w:tabs>
              <w:tab w:val="right" w:leader="dot" w:pos="8317"/>
            </w:tabs>
            <w:spacing w:before="18"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附表四：投标文件递交电子签收凭证</w:t>
          </w:r>
          <w:r>
            <w:rPr>
              <w:rFonts w:ascii="宋体" w:hAnsi="宋体" w:eastAsia="宋体" w:cs="宋体"/>
              <w:color w:val="auto"/>
              <w:spacing w:val="-6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"bookmark92" </w:instrText>
          </w:r>
          <w:r>
            <w:rPr>
              <w:color w:val="auto"/>
              <w:highlight w:val="none"/>
            </w:rPr>
            <w:fldChar w:fldCharType="separate"/>
          </w:r>
          <w:r>
            <w:rPr>
              <w:rFonts w:ascii="宋体" w:hAnsi="宋体" w:eastAsia="宋体" w:cs="宋体"/>
              <w:color w:val="auto"/>
              <w:spacing w:val="-3"/>
              <w:sz w:val="21"/>
              <w:szCs w:val="21"/>
              <w:highlight w:val="none"/>
            </w:rPr>
            <w:t>32</w:t>
          </w:r>
          <w:r>
            <w:rPr>
              <w:rFonts w:ascii="宋体" w:hAnsi="宋体" w:eastAsia="宋体" w:cs="宋体"/>
              <w:color w:val="auto"/>
              <w:spacing w:val="-3"/>
              <w:sz w:val="21"/>
              <w:szCs w:val="21"/>
              <w:highlight w:val="none"/>
            </w:rPr>
            <w:fldChar w:fldCharType="end"/>
          </w:r>
        </w:p>
        <w:p w14:paraId="1D21AE2E">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附表五：开标记录表</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"bookmark93" </w:instrText>
          </w:r>
          <w:r>
            <w:rPr>
              <w:color w:val="auto"/>
              <w:highlight w:val="none"/>
            </w:rPr>
            <w:fldChar w:fldCharType="separate"/>
          </w:r>
          <w:r>
            <w:rPr>
              <w:rFonts w:ascii="宋体" w:hAnsi="宋体" w:eastAsia="宋体" w:cs="宋体"/>
              <w:color w:val="auto"/>
              <w:spacing w:val="-3"/>
              <w:sz w:val="21"/>
              <w:szCs w:val="21"/>
              <w:highlight w:val="none"/>
            </w:rPr>
            <w:t>33</w:t>
          </w:r>
          <w:r>
            <w:rPr>
              <w:rFonts w:ascii="宋体" w:hAnsi="宋体" w:eastAsia="宋体" w:cs="宋体"/>
              <w:color w:val="auto"/>
              <w:spacing w:val="-3"/>
              <w:sz w:val="21"/>
              <w:szCs w:val="21"/>
              <w:highlight w:val="none"/>
            </w:rPr>
            <w:fldChar w:fldCharType="end"/>
          </w:r>
        </w:p>
        <w:p w14:paraId="7D47F48E">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附表六：投标文件问题澄清通知</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"bookmark94" </w:instrText>
          </w:r>
          <w:r>
            <w:rPr>
              <w:color w:val="auto"/>
              <w:highlight w:val="none"/>
            </w:rPr>
            <w:fldChar w:fldCharType="separate"/>
          </w:r>
          <w:r>
            <w:rPr>
              <w:rFonts w:ascii="宋体" w:hAnsi="宋体" w:eastAsia="宋体" w:cs="宋体"/>
              <w:color w:val="auto"/>
              <w:spacing w:val="-3"/>
              <w:sz w:val="21"/>
              <w:szCs w:val="21"/>
              <w:highlight w:val="none"/>
            </w:rPr>
            <w:t>34</w:t>
          </w:r>
          <w:r>
            <w:rPr>
              <w:rFonts w:ascii="宋体" w:hAnsi="宋体" w:eastAsia="宋体" w:cs="宋体"/>
              <w:color w:val="auto"/>
              <w:spacing w:val="-3"/>
              <w:sz w:val="21"/>
              <w:szCs w:val="21"/>
              <w:highlight w:val="none"/>
            </w:rPr>
            <w:fldChar w:fldCharType="end"/>
          </w:r>
        </w:p>
        <w:p w14:paraId="34E6E626">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附表七：投标文件问题的澄清</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"bookmark95" </w:instrText>
          </w:r>
          <w:r>
            <w:rPr>
              <w:color w:val="auto"/>
              <w:highlight w:val="none"/>
            </w:rPr>
            <w:fldChar w:fldCharType="separate"/>
          </w:r>
          <w:r>
            <w:rPr>
              <w:rFonts w:ascii="宋体" w:hAnsi="宋体" w:eastAsia="宋体" w:cs="宋体"/>
              <w:color w:val="auto"/>
              <w:spacing w:val="-3"/>
              <w:sz w:val="21"/>
              <w:szCs w:val="21"/>
              <w:highlight w:val="none"/>
            </w:rPr>
            <w:t>35</w:t>
          </w:r>
          <w:r>
            <w:rPr>
              <w:rFonts w:ascii="宋体" w:hAnsi="宋体" w:eastAsia="宋体" w:cs="宋体"/>
              <w:color w:val="auto"/>
              <w:spacing w:val="-3"/>
              <w:sz w:val="21"/>
              <w:szCs w:val="21"/>
              <w:highlight w:val="none"/>
            </w:rPr>
            <w:fldChar w:fldCharType="end"/>
          </w:r>
        </w:p>
      </w:sdtContent>
    </w:sdt>
    <w:p w14:paraId="46D7C742">
      <w:pPr>
        <w:spacing w:line="220" w:lineRule="auto"/>
        <w:rPr>
          <w:rFonts w:ascii="宋体" w:hAnsi="宋体" w:eastAsia="宋体" w:cs="宋体"/>
          <w:color w:val="auto"/>
          <w:sz w:val="21"/>
          <w:szCs w:val="21"/>
          <w:highlight w:val="none"/>
        </w:rPr>
        <w:sectPr>
          <w:footerReference r:id="rId7" w:type="default"/>
          <w:pgSz w:w="11905" w:h="16839"/>
          <w:pgMar w:top="1427" w:right="1785" w:bottom="1033" w:left="1785" w:header="0" w:footer="847" w:gutter="0"/>
          <w:pgNumType w:fmt="decimal"/>
          <w:cols w:space="720" w:num="1"/>
        </w:sectPr>
      </w:pPr>
    </w:p>
    <w:sdt>
      <w:sdtPr>
        <w:rPr>
          <w:rFonts w:ascii="宋体" w:hAnsi="宋体" w:eastAsia="宋体" w:cs="宋体"/>
          <w:color w:val="auto"/>
          <w:sz w:val="21"/>
          <w:szCs w:val="21"/>
          <w:highlight w:val="none"/>
        </w:rPr>
        <w:id w:val="3"/>
        <w:docPartObj>
          <w:docPartGallery w:val="Table of Contents"/>
          <w:docPartUnique/>
        </w:docPartObj>
      </w:sdtPr>
      <w:sdtEndPr>
        <w:rPr>
          <w:rFonts w:ascii="宋体" w:hAnsi="宋体" w:eastAsia="宋体" w:cs="宋体"/>
          <w:color w:val="auto"/>
          <w:sz w:val="21"/>
          <w:szCs w:val="21"/>
          <w:highlight w:val="none"/>
        </w:rPr>
      </w:sdtEndPr>
      <w:sdtContent>
        <w:p w14:paraId="62F03DF8">
          <w:pPr>
            <w:tabs>
              <w:tab w:val="right" w:leader="dot" w:pos="8317"/>
            </w:tabs>
            <w:spacing w:before="42"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附表八：中标通知书</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"bookmark96" </w:instrText>
          </w:r>
          <w:r>
            <w:rPr>
              <w:color w:val="auto"/>
              <w:highlight w:val="none"/>
            </w:rPr>
            <w:fldChar w:fldCharType="separate"/>
          </w:r>
          <w:r>
            <w:rPr>
              <w:rFonts w:ascii="宋体" w:hAnsi="宋体" w:eastAsia="宋体" w:cs="宋体"/>
              <w:color w:val="auto"/>
              <w:spacing w:val="-3"/>
              <w:sz w:val="21"/>
              <w:szCs w:val="21"/>
              <w:highlight w:val="none"/>
            </w:rPr>
            <w:t>36</w:t>
          </w:r>
          <w:r>
            <w:rPr>
              <w:rFonts w:ascii="宋体" w:hAnsi="宋体" w:eastAsia="宋体" w:cs="宋体"/>
              <w:color w:val="auto"/>
              <w:spacing w:val="-3"/>
              <w:sz w:val="21"/>
              <w:szCs w:val="21"/>
              <w:highlight w:val="none"/>
            </w:rPr>
            <w:fldChar w:fldCharType="end"/>
          </w:r>
        </w:p>
        <w:p w14:paraId="0CF249E8">
          <w:pPr>
            <w:tabs>
              <w:tab w:val="right" w:leader="dot" w:pos="8317"/>
            </w:tabs>
            <w:spacing w:before="18"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附表九：中标结果通知书</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"bookmark97" </w:instrText>
          </w:r>
          <w:r>
            <w:rPr>
              <w:color w:val="auto"/>
              <w:highlight w:val="none"/>
            </w:rPr>
            <w:fldChar w:fldCharType="separate"/>
          </w:r>
          <w:r>
            <w:rPr>
              <w:rFonts w:ascii="宋体" w:hAnsi="宋体" w:eastAsia="宋体" w:cs="宋体"/>
              <w:color w:val="auto"/>
              <w:spacing w:val="-3"/>
              <w:sz w:val="21"/>
              <w:szCs w:val="21"/>
              <w:highlight w:val="none"/>
            </w:rPr>
            <w:t>37</w:t>
          </w:r>
          <w:r>
            <w:rPr>
              <w:rFonts w:ascii="宋体" w:hAnsi="宋体" w:eastAsia="宋体" w:cs="宋体"/>
              <w:color w:val="auto"/>
              <w:spacing w:val="-3"/>
              <w:sz w:val="21"/>
              <w:szCs w:val="21"/>
              <w:highlight w:val="none"/>
            </w:rPr>
            <w:fldChar w:fldCharType="end"/>
          </w:r>
        </w:p>
        <w:p w14:paraId="0CDA7021">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附表十：异议书</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"bookmark98" </w:instrText>
          </w:r>
          <w:r>
            <w:rPr>
              <w:color w:val="auto"/>
              <w:highlight w:val="none"/>
            </w:rPr>
            <w:fldChar w:fldCharType="separate"/>
          </w:r>
          <w:r>
            <w:rPr>
              <w:rFonts w:ascii="宋体" w:hAnsi="宋体" w:eastAsia="宋体" w:cs="宋体"/>
              <w:color w:val="auto"/>
              <w:spacing w:val="-3"/>
              <w:sz w:val="21"/>
              <w:szCs w:val="21"/>
              <w:highlight w:val="none"/>
            </w:rPr>
            <w:t>38</w:t>
          </w:r>
          <w:r>
            <w:rPr>
              <w:rFonts w:ascii="宋体" w:hAnsi="宋体" w:eastAsia="宋体" w:cs="宋体"/>
              <w:color w:val="auto"/>
              <w:spacing w:val="-3"/>
              <w:sz w:val="21"/>
              <w:szCs w:val="21"/>
              <w:highlight w:val="none"/>
            </w:rPr>
            <w:fldChar w:fldCharType="end"/>
          </w:r>
        </w:p>
        <w:p w14:paraId="6C5DF36D">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附表十一：异议答复函</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"bookmark99" </w:instrText>
          </w:r>
          <w:r>
            <w:rPr>
              <w:color w:val="auto"/>
              <w:highlight w:val="none"/>
            </w:rPr>
            <w:fldChar w:fldCharType="separate"/>
          </w:r>
          <w:r>
            <w:rPr>
              <w:rFonts w:ascii="宋体" w:hAnsi="宋体" w:eastAsia="宋体" w:cs="宋体"/>
              <w:color w:val="auto"/>
              <w:spacing w:val="-3"/>
              <w:sz w:val="21"/>
              <w:szCs w:val="21"/>
              <w:highlight w:val="none"/>
            </w:rPr>
            <w:t>39</w:t>
          </w:r>
          <w:r>
            <w:rPr>
              <w:rFonts w:ascii="宋体" w:hAnsi="宋体" w:eastAsia="宋体" w:cs="宋体"/>
              <w:color w:val="auto"/>
              <w:spacing w:val="-3"/>
              <w:sz w:val="21"/>
              <w:szCs w:val="21"/>
              <w:highlight w:val="none"/>
            </w:rPr>
            <w:fldChar w:fldCharType="end"/>
          </w:r>
        </w:p>
        <w:p w14:paraId="10BB3077">
          <w:pPr>
            <w:tabs>
              <w:tab w:val="right" w:leader="dot" w:pos="8307"/>
            </w:tabs>
            <w:spacing w:before="23"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第三章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评标办法</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9"/>
              <w:sz w:val="21"/>
              <w:szCs w:val="21"/>
              <w:highlight w:val="none"/>
            </w:rPr>
            <w:t xml:space="preserve"> </w:t>
          </w:r>
          <w:r>
            <w:rPr>
              <w:color w:val="auto"/>
              <w:highlight w:val="none"/>
            </w:rPr>
            <w:fldChar w:fldCharType="begin"/>
          </w:r>
          <w:r>
            <w:rPr>
              <w:color w:val="auto"/>
              <w:highlight w:val="none"/>
            </w:rPr>
            <w:instrText xml:space="preserve"> HYPERLINK \l "bookmark100"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41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454ED170">
          <w:pPr>
            <w:tabs>
              <w:tab w:val="right" w:leader="dot" w:pos="8317"/>
            </w:tabs>
            <w:spacing w:before="19" w:line="219" w:lineRule="auto"/>
            <w:ind w:left="44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14:textOutline w14:w="3831" w14:cap="flat" w14:cmpd="sng">
                <w14:solidFill>
                  <w14:srgbClr w14:val="000000"/>
                </w14:solidFill>
                <w14:prstDash w14:val="solid"/>
                <w14:miter w14:val="0"/>
              </w14:textOutline>
            </w:rPr>
            <w:t>评标办法前附表（综合评估法）</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0"/>
              <w:sz w:val="21"/>
              <w:szCs w:val="21"/>
              <w:highlight w:val="none"/>
            </w:rPr>
            <w:t xml:space="preserve"> </w:t>
          </w:r>
          <w:r>
            <w:rPr>
              <w:color w:val="auto"/>
              <w:highlight w:val="none"/>
            </w:rPr>
            <w:fldChar w:fldCharType="begin"/>
          </w:r>
          <w:r>
            <w:rPr>
              <w:color w:val="auto"/>
              <w:highlight w:val="none"/>
            </w:rPr>
            <w:instrText xml:space="preserve"> HYPERLINK \l "bookmark101"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41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0C84F816">
          <w:pPr>
            <w:tabs>
              <w:tab w:val="right" w:leader="dot" w:pos="8317"/>
            </w:tabs>
            <w:spacing w:before="23"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评标办法正文部分</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"bookmark102"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57355D6B">
          <w:pPr>
            <w:tabs>
              <w:tab w:val="right" w:leader="dot" w:pos="8317"/>
            </w:tabs>
            <w:spacing w:before="24" w:line="221" w:lineRule="auto"/>
            <w:ind w:left="45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评标方法</w:t>
          </w:r>
          <w:r>
            <w:rPr>
              <w:rFonts w:ascii="宋体" w:hAnsi="宋体" w:eastAsia="宋体" w:cs="宋体"/>
              <w:color w:val="auto"/>
              <w:spacing w:val="-9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"bookmark103"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6D8E8A12">
          <w:pPr>
            <w:tabs>
              <w:tab w:val="right" w:leader="dot" w:pos="8317"/>
            </w:tabs>
            <w:spacing w:before="2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 评审标准</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"bookmark104"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5FC73132">
          <w:pPr>
            <w:tabs>
              <w:tab w:val="right" w:leader="dot" w:pos="8317"/>
            </w:tabs>
            <w:spacing w:before="16"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2.1 初步评审标准</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"bookmark105"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4CC44893">
          <w:pPr>
            <w:tabs>
              <w:tab w:val="right" w:leader="dot" w:pos="8317"/>
            </w:tabs>
            <w:spacing w:before="23"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2.2 分值构成与评分标准</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"bookmark106"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14DC2076">
          <w:pPr>
            <w:tabs>
              <w:tab w:val="right" w:leader="dot" w:pos="8317"/>
            </w:tabs>
            <w:spacing w:before="23"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 评标程序</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"bookmark107"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35D60A9B">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3.1 初步评审</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"bookmark108"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252DDD00">
          <w:pPr>
            <w:tabs>
              <w:tab w:val="right" w:leader="dot" w:pos="8317"/>
            </w:tabs>
            <w:spacing w:before="19" w:line="221" w:lineRule="auto"/>
            <w:ind w:left="86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3.2</w:t>
          </w:r>
          <w:r>
            <w:rPr>
              <w:rFonts w:ascii="宋体" w:hAnsi="宋体" w:eastAsia="宋体" w:cs="宋体"/>
              <w:color w:val="auto"/>
              <w:spacing w:val="17"/>
              <w:sz w:val="21"/>
              <w:szCs w:val="21"/>
              <w:highlight w:val="none"/>
            </w:rPr>
            <w:t xml:space="preserve"> </w:t>
          </w:r>
          <w:r>
            <w:rPr>
              <w:rFonts w:ascii="宋体" w:hAnsi="宋体" w:eastAsia="宋体" w:cs="宋体"/>
              <w:color w:val="auto"/>
              <w:spacing w:val="-4"/>
              <w:sz w:val="21"/>
              <w:szCs w:val="21"/>
              <w:highlight w:val="none"/>
            </w:rPr>
            <w:t>详细评审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"bookmark109" </w:instrText>
          </w:r>
          <w:r>
            <w:rPr>
              <w:color w:val="auto"/>
              <w:highlight w:val="none"/>
            </w:rPr>
            <w:fldChar w:fldCharType="separate"/>
          </w:r>
          <w:r>
            <w:rPr>
              <w:rFonts w:ascii="宋体" w:hAnsi="宋体" w:eastAsia="宋体" w:cs="宋体"/>
              <w:color w:val="auto"/>
              <w:spacing w:val="-3"/>
              <w:sz w:val="21"/>
              <w:szCs w:val="21"/>
              <w:highlight w:val="none"/>
            </w:rPr>
            <w:t>51</w:t>
          </w:r>
          <w:r>
            <w:rPr>
              <w:rFonts w:ascii="宋体" w:hAnsi="宋体" w:eastAsia="宋体" w:cs="宋体"/>
              <w:color w:val="auto"/>
              <w:spacing w:val="-3"/>
              <w:sz w:val="21"/>
              <w:szCs w:val="21"/>
              <w:highlight w:val="none"/>
            </w:rPr>
            <w:fldChar w:fldCharType="end"/>
          </w:r>
        </w:p>
        <w:p w14:paraId="79FDA510">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3.3 投标文件的澄清和补正</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"bookmark110" </w:instrText>
          </w:r>
          <w:r>
            <w:rPr>
              <w:color w:val="auto"/>
              <w:highlight w:val="none"/>
            </w:rPr>
            <w:fldChar w:fldCharType="separate"/>
          </w:r>
          <w:r>
            <w:rPr>
              <w:rFonts w:ascii="宋体" w:hAnsi="宋体" w:eastAsia="宋体" w:cs="宋体"/>
              <w:color w:val="auto"/>
              <w:spacing w:val="-3"/>
              <w:sz w:val="21"/>
              <w:szCs w:val="21"/>
              <w:highlight w:val="none"/>
            </w:rPr>
            <w:t>52</w:t>
          </w:r>
          <w:r>
            <w:rPr>
              <w:rFonts w:ascii="宋体" w:hAnsi="宋体" w:eastAsia="宋体" w:cs="宋体"/>
              <w:color w:val="auto"/>
              <w:spacing w:val="-3"/>
              <w:sz w:val="21"/>
              <w:szCs w:val="21"/>
              <w:highlight w:val="none"/>
            </w:rPr>
            <w:fldChar w:fldCharType="end"/>
          </w:r>
        </w:p>
        <w:p w14:paraId="31ABFFFE">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3.4 评标结果</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"bookmark111" </w:instrText>
          </w:r>
          <w:r>
            <w:rPr>
              <w:color w:val="auto"/>
              <w:highlight w:val="none"/>
            </w:rPr>
            <w:fldChar w:fldCharType="separate"/>
          </w:r>
          <w:r>
            <w:rPr>
              <w:rFonts w:ascii="宋体" w:hAnsi="宋体" w:eastAsia="宋体" w:cs="宋体"/>
              <w:color w:val="auto"/>
              <w:spacing w:val="-3"/>
              <w:sz w:val="21"/>
              <w:szCs w:val="21"/>
              <w:highlight w:val="none"/>
            </w:rPr>
            <w:t>52</w:t>
          </w:r>
          <w:r>
            <w:rPr>
              <w:rFonts w:ascii="宋体" w:hAnsi="宋体" w:eastAsia="宋体" w:cs="宋体"/>
              <w:color w:val="auto"/>
              <w:spacing w:val="-3"/>
              <w:sz w:val="21"/>
              <w:szCs w:val="21"/>
              <w:highlight w:val="none"/>
            </w:rPr>
            <w:fldChar w:fldCharType="end"/>
          </w:r>
        </w:p>
        <w:p w14:paraId="02E4C627">
          <w:pPr>
            <w:tabs>
              <w:tab w:val="right" w:leader="dot" w:pos="8317"/>
            </w:tabs>
            <w:spacing w:before="22"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9"/>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A：评标详细程序</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"bookmark112"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53</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0E12CF2D">
          <w:pPr>
            <w:tabs>
              <w:tab w:val="right" w:leader="dot" w:pos="8317"/>
            </w:tabs>
            <w:spacing w:before="19"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A0.总</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则</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"bookmark113"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3AF84DE4">
          <w:pPr>
            <w:tabs>
              <w:tab w:val="right" w:leader="dot" w:pos="8317"/>
            </w:tabs>
            <w:spacing w:before="22" w:line="220"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A1.基本程序</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"bookmark114"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0403CE25">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A2.评标准备</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"bookmark115"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4FF50AE1">
          <w:pPr>
            <w:tabs>
              <w:tab w:val="right" w:leader="dot" w:pos="8317"/>
            </w:tabs>
            <w:spacing w:before="22"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A2.1</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评标委员会成员签到</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"bookmark116"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52E9F836">
          <w:pPr>
            <w:tabs>
              <w:tab w:val="right" w:leader="dot" w:pos="8317"/>
            </w:tabs>
            <w:spacing w:before="18"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评标委员会的分工</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"bookmark117"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2A670FC5">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A2.3</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熟悉文件资料</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"bookmark118" </w:instrText>
          </w:r>
          <w:r>
            <w:rPr>
              <w:color w:val="auto"/>
              <w:highlight w:val="none"/>
            </w:rPr>
            <w:fldChar w:fldCharType="separate"/>
          </w:r>
          <w:r>
            <w:rPr>
              <w:rFonts w:ascii="宋体" w:hAnsi="宋体" w:eastAsia="宋体" w:cs="宋体"/>
              <w:color w:val="auto"/>
              <w:spacing w:val="-3"/>
              <w:sz w:val="21"/>
              <w:szCs w:val="21"/>
              <w:highlight w:val="none"/>
            </w:rPr>
            <w:t>54</w:t>
          </w:r>
          <w:r>
            <w:rPr>
              <w:rFonts w:ascii="宋体" w:hAnsi="宋体" w:eastAsia="宋体" w:cs="宋体"/>
              <w:color w:val="auto"/>
              <w:spacing w:val="-3"/>
              <w:sz w:val="21"/>
              <w:szCs w:val="21"/>
              <w:highlight w:val="none"/>
            </w:rPr>
            <w:fldChar w:fldCharType="end"/>
          </w:r>
        </w:p>
        <w:p w14:paraId="31AAEF84">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A2.4</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暗标编号</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"bookmark119" </w:instrText>
          </w:r>
          <w:r>
            <w:rPr>
              <w:color w:val="auto"/>
              <w:highlight w:val="none"/>
            </w:rPr>
            <w:fldChar w:fldCharType="separate"/>
          </w:r>
          <w:r>
            <w:rPr>
              <w:rFonts w:ascii="宋体" w:hAnsi="宋体" w:eastAsia="宋体" w:cs="宋体"/>
              <w:color w:val="auto"/>
              <w:spacing w:val="-3"/>
              <w:sz w:val="21"/>
              <w:szCs w:val="21"/>
              <w:highlight w:val="none"/>
            </w:rPr>
            <w:t>54</w:t>
          </w:r>
          <w:r>
            <w:rPr>
              <w:rFonts w:ascii="宋体" w:hAnsi="宋体" w:eastAsia="宋体" w:cs="宋体"/>
              <w:color w:val="auto"/>
              <w:spacing w:val="-3"/>
              <w:sz w:val="21"/>
              <w:szCs w:val="21"/>
              <w:highlight w:val="none"/>
            </w:rPr>
            <w:fldChar w:fldCharType="end"/>
          </w:r>
        </w:p>
        <w:p w14:paraId="771AD9D7">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A2.5</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 xml:space="preserve">对投标文件进行基础性数据分析和整理工作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"bookmark120" </w:instrText>
          </w:r>
          <w:r>
            <w:rPr>
              <w:color w:val="auto"/>
              <w:highlight w:val="none"/>
            </w:rPr>
            <w:fldChar w:fldCharType="separate"/>
          </w:r>
          <w:r>
            <w:rPr>
              <w:rFonts w:ascii="宋体" w:hAnsi="宋体" w:eastAsia="宋体" w:cs="宋体"/>
              <w:color w:val="auto"/>
              <w:spacing w:val="-3"/>
              <w:sz w:val="21"/>
              <w:szCs w:val="21"/>
              <w:highlight w:val="none"/>
            </w:rPr>
            <w:t>54</w:t>
          </w:r>
          <w:r>
            <w:rPr>
              <w:rFonts w:ascii="宋体" w:hAnsi="宋体" w:eastAsia="宋体" w:cs="宋体"/>
              <w:color w:val="auto"/>
              <w:spacing w:val="-3"/>
              <w:sz w:val="21"/>
              <w:szCs w:val="21"/>
              <w:highlight w:val="none"/>
            </w:rPr>
            <w:fldChar w:fldCharType="end"/>
          </w:r>
        </w:p>
        <w:p w14:paraId="5E6F4BB5">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A3.初步评审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"bookmark121"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7F0F0B01">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A3.1</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形式评审</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"bookmark122"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67976DB1">
          <w:pPr>
            <w:tabs>
              <w:tab w:val="right" w:leader="dot" w:pos="8317"/>
            </w:tabs>
            <w:spacing w:before="21" w:line="221" w:lineRule="auto"/>
            <w:ind w:left="8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A3.2</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资格评审</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"bookmark123"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50B58608">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响应性评审</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"bookmark124"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7150EE73">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A3.4</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算术错误修正</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"bookmark125"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5CCD5D9A">
          <w:pPr>
            <w:tabs>
              <w:tab w:val="right" w:leader="dot" w:pos="8317"/>
            </w:tabs>
            <w:spacing w:before="23" w:line="219"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A3.5</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 xml:space="preserve">判断投标报价是否低于成本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"bookmark126"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74D50341">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A3.6 判断投标是否为应当被否决</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"bookmark127"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1ACB2160">
          <w:pPr>
            <w:tabs>
              <w:tab w:val="right" w:leader="dot" w:pos="8317"/>
            </w:tabs>
            <w:spacing w:before="17"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A3.7 澄清、说明或补正</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"bookmark128"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401198AD">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A4.详细评审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"bookmark129"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07BF5638">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A4.1</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详细评审的程序</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"bookmark130"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035C5692">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A4.2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经济标评审和评分</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"bookmark131"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5A61CB8A">
          <w:pPr>
            <w:tabs>
              <w:tab w:val="right" w:leader="dot" w:pos="8317"/>
            </w:tabs>
            <w:spacing w:before="17"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A4.3 技术标评审和评分</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"bookmark132"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65D13CF3">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A4.4</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资信标评审和评分</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"bookmark133"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3829B715">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A4.5 其他因素的评审和评分</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"bookmark134"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1BDF0E02">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A4.6 澄清、说明或补正</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"bookmark135"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5D9564B5">
          <w:pPr>
            <w:tabs>
              <w:tab w:val="right" w:leader="dot" w:pos="8317"/>
            </w:tabs>
            <w:spacing w:before="19"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A4.7</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 xml:space="preserve">汇总评分（评审）结果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"bookmark136"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3733C244">
          <w:pPr>
            <w:tabs>
              <w:tab w:val="right" w:leader="dot" w:pos="8317"/>
            </w:tabs>
            <w:spacing w:before="21" w:line="220"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A5.推荐中标候选人或者直接确定中标人</w:t>
          </w:r>
          <w:r>
            <w:rPr>
              <w:rFonts w:ascii="宋体" w:hAnsi="宋体" w:eastAsia="宋体" w:cs="宋体"/>
              <w:color w:val="auto"/>
              <w:spacing w:val="-6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"bookmark137"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4F3DD7A7">
          <w:pPr>
            <w:tabs>
              <w:tab w:val="right" w:leader="dot" w:pos="8317"/>
            </w:tabs>
            <w:spacing w:before="24"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A5.1</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推荐中标候选人</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"bookmark138"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0C2CEC06">
          <w:pPr>
            <w:tabs>
              <w:tab w:val="right" w:leader="dot" w:pos="8317"/>
            </w:tabs>
            <w:spacing w:before="19"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A5.2</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直接确定中标人</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"bookmark139"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500E0A5E">
          <w:pPr>
            <w:tabs>
              <w:tab w:val="right" w:leader="dot" w:pos="8317"/>
            </w:tabs>
            <w:spacing w:before="22" w:line="219"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A5.3</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编制评标报告</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"bookmark140"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70899EF6">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A6.特殊情况的处置程序</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"bookmark141"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169668F3">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A6.1</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 xml:space="preserve">暗标评审的评审程序规定（适用于对技术标进行暗标评审的）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"bookmark142"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0729CB1C">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关于评标活动暂停</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"bookmark143"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27293D83">
          <w:pPr>
            <w:tabs>
              <w:tab w:val="right" w:leader="dot" w:pos="8317"/>
            </w:tabs>
            <w:spacing w:before="22" w:line="220"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A6.3</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 xml:space="preserve">关于评标中途更换评标委员会成员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"bookmark144"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04664558">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A6.4 评标争议处理</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"bookmark145"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2D87271C">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A7.补充条款</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"bookmark146" </w:instrText>
          </w:r>
          <w:r>
            <w:rPr>
              <w:color w:val="auto"/>
              <w:highlight w:val="none"/>
            </w:rPr>
            <w:fldChar w:fldCharType="separate"/>
          </w:r>
          <w:r>
            <w:rPr>
              <w:rFonts w:ascii="宋体" w:hAnsi="宋体" w:eastAsia="宋体" w:cs="宋体"/>
              <w:color w:val="auto"/>
              <w:spacing w:val="-3"/>
              <w:sz w:val="21"/>
              <w:szCs w:val="21"/>
              <w:highlight w:val="none"/>
            </w:rPr>
            <w:t>59</w:t>
          </w:r>
          <w:r>
            <w:rPr>
              <w:rFonts w:ascii="宋体" w:hAnsi="宋体" w:eastAsia="宋体" w:cs="宋体"/>
              <w:color w:val="auto"/>
              <w:spacing w:val="-3"/>
              <w:sz w:val="21"/>
              <w:szCs w:val="21"/>
              <w:highlight w:val="none"/>
            </w:rPr>
            <w:fldChar w:fldCharType="end"/>
          </w:r>
        </w:p>
      </w:sdtContent>
    </w:sdt>
    <w:p w14:paraId="14700FD6">
      <w:pPr>
        <w:spacing w:line="221" w:lineRule="auto"/>
        <w:rPr>
          <w:rFonts w:ascii="宋体" w:hAnsi="宋体" w:eastAsia="宋体" w:cs="宋体"/>
          <w:color w:val="auto"/>
          <w:sz w:val="21"/>
          <w:szCs w:val="21"/>
          <w:highlight w:val="none"/>
        </w:rPr>
        <w:sectPr>
          <w:footerReference r:id="rId8" w:type="default"/>
          <w:pgSz w:w="11905" w:h="16839"/>
          <w:pgMar w:top="1427" w:right="1785" w:bottom="1033" w:left="1785" w:header="0" w:footer="847" w:gutter="0"/>
          <w:pgNumType w:fmt="decimal"/>
          <w:cols w:space="720" w:num="1"/>
        </w:sectPr>
      </w:pPr>
    </w:p>
    <w:sdt>
      <w:sdtPr>
        <w:rPr>
          <w:rFonts w:ascii="宋体" w:hAnsi="宋体" w:eastAsia="宋体" w:cs="宋体"/>
          <w:color w:val="auto"/>
          <w:sz w:val="21"/>
          <w:szCs w:val="21"/>
          <w:highlight w:val="none"/>
        </w:rPr>
        <w:id w:val="4"/>
        <w:docPartObj>
          <w:docPartGallery w:val="Table of Contents"/>
          <w:docPartUnique/>
        </w:docPartObj>
      </w:sdtPr>
      <w:sdtEndPr>
        <w:rPr>
          <w:rFonts w:ascii="宋体" w:hAnsi="宋体" w:eastAsia="宋体" w:cs="宋体"/>
          <w:color w:val="auto"/>
          <w:sz w:val="21"/>
          <w:szCs w:val="21"/>
          <w:highlight w:val="none"/>
        </w:rPr>
      </w:sdtEndPr>
      <w:sdtContent>
        <w:p w14:paraId="3D18E15D">
          <w:pPr>
            <w:tabs>
              <w:tab w:val="right" w:leader="dot" w:pos="8317"/>
            </w:tabs>
            <w:spacing w:before="42"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B：否决投标的条件</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"bookmark147"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60</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24158D4A">
          <w:pPr>
            <w:tabs>
              <w:tab w:val="right" w:leader="dot" w:pos="8317"/>
            </w:tabs>
            <w:spacing w:before="19" w:line="221" w:lineRule="auto"/>
            <w:ind w:left="8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B0.总</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则</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"bookmark148" </w:instrText>
          </w:r>
          <w:r>
            <w:rPr>
              <w:color w:val="auto"/>
              <w:highlight w:val="none"/>
            </w:rPr>
            <w:fldChar w:fldCharType="separate"/>
          </w:r>
          <w:r>
            <w:rPr>
              <w:rFonts w:ascii="宋体" w:hAnsi="宋体" w:eastAsia="宋体" w:cs="宋体"/>
              <w:color w:val="auto"/>
              <w:spacing w:val="-3"/>
              <w:sz w:val="21"/>
              <w:szCs w:val="21"/>
              <w:highlight w:val="none"/>
            </w:rPr>
            <w:t>60</w:t>
          </w:r>
          <w:r>
            <w:rPr>
              <w:rFonts w:ascii="宋体" w:hAnsi="宋体" w:eastAsia="宋体" w:cs="宋体"/>
              <w:color w:val="auto"/>
              <w:spacing w:val="-3"/>
              <w:sz w:val="21"/>
              <w:szCs w:val="21"/>
              <w:highlight w:val="none"/>
            </w:rPr>
            <w:fldChar w:fldCharType="end"/>
          </w:r>
        </w:p>
        <w:p w14:paraId="12082DE8">
          <w:pPr>
            <w:tabs>
              <w:tab w:val="right" w:leader="dot" w:pos="8317"/>
            </w:tabs>
            <w:spacing w:before="21" w:line="221" w:lineRule="auto"/>
            <w:ind w:left="853"/>
            <w:rPr>
              <w:rFonts w:ascii="宋体" w:hAnsi="宋体" w:eastAsia="宋体" w:cs="宋体"/>
              <w:color w:val="auto"/>
              <w:sz w:val="21"/>
              <w:szCs w:val="21"/>
              <w:highlight w:val="none"/>
            </w:rPr>
          </w:pPr>
          <w:r>
            <w:rPr>
              <w:rFonts w:ascii="宋体" w:hAnsi="宋体" w:eastAsia="宋体" w:cs="宋体"/>
              <w:color w:val="auto"/>
              <w:sz w:val="21"/>
              <w:szCs w:val="21"/>
              <w:highlight w:val="none"/>
            </w:rPr>
            <w:t>B1.否决投标的条件</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"bookmark149" </w:instrText>
          </w:r>
          <w:r>
            <w:rPr>
              <w:color w:val="auto"/>
              <w:highlight w:val="none"/>
            </w:rPr>
            <w:fldChar w:fldCharType="separate"/>
          </w:r>
          <w:r>
            <w:rPr>
              <w:rFonts w:ascii="宋体" w:hAnsi="宋体" w:eastAsia="宋体" w:cs="宋体"/>
              <w:color w:val="auto"/>
              <w:spacing w:val="-3"/>
              <w:sz w:val="21"/>
              <w:szCs w:val="21"/>
              <w:highlight w:val="none"/>
            </w:rPr>
            <w:t>60</w:t>
          </w:r>
          <w:r>
            <w:rPr>
              <w:rFonts w:ascii="宋体" w:hAnsi="宋体" w:eastAsia="宋体" w:cs="宋体"/>
              <w:color w:val="auto"/>
              <w:spacing w:val="-3"/>
              <w:sz w:val="21"/>
              <w:szCs w:val="21"/>
              <w:highlight w:val="none"/>
            </w:rPr>
            <w:fldChar w:fldCharType="end"/>
          </w:r>
        </w:p>
        <w:p w14:paraId="04424048">
          <w:pPr>
            <w:tabs>
              <w:tab w:val="right" w:leader="dot" w:pos="8317"/>
            </w:tabs>
            <w:spacing w:before="22" w:line="220"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5"/>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C：定标办法</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"bookmark150"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63</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1EDFF052">
          <w:pPr>
            <w:tabs>
              <w:tab w:val="right" w:leader="dot" w:pos="8317"/>
            </w:tabs>
            <w:spacing w:before="23"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定标办法前附表</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"bookmark151"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63</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02F75DDF">
          <w:pPr>
            <w:tabs>
              <w:tab w:val="right" w:leader="dot" w:pos="8317"/>
            </w:tabs>
            <w:spacing w:before="18"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定标办法正文</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"bookmark152"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291BE863">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1.定标方法</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"bookmark153"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1462ACB4">
          <w:pPr>
            <w:tabs>
              <w:tab w:val="right" w:leader="dot" w:pos="8317"/>
            </w:tabs>
            <w:spacing w:before="2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2.定标流程及规则</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"bookmark154"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72BB5C2E">
          <w:pPr>
            <w:tabs>
              <w:tab w:val="right" w:leader="dot" w:pos="8317"/>
            </w:tabs>
            <w:spacing w:before="22" w:line="220" w:lineRule="auto"/>
            <w:ind w:left="8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2.1</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组建定标委员会</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"bookmark155"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423618E9">
          <w:pPr>
            <w:tabs>
              <w:tab w:val="right" w:leader="dot" w:pos="8317"/>
            </w:tabs>
            <w:spacing w:before="18" w:line="221" w:lineRule="auto"/>
            <w:ind w:left="8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2.2</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定标因素及规则</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"bookmark156"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66EEBC17">
          <w:pPr>
            <w:tabs>
              <w:tab w:val="right" w:leader="dot" w:pos="8317"/>
            </w:tabs>
            <w:spacing w:before="22" w:line="221" w:lineRule="auto"/>
            <w:ind w:left="8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2.3</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定标办法</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"bookmark157"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7BF27CF5">
          <w:pPr>
            <w:tabs>
              <w:tab w:val="right" w:leader="dot" w:pos="8317"/>
            </w:tabs>
            <w:spacing w:before="24" w:line="221"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3.重新定标</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"bookmark158" </w:instrText>
          </w:r>
          <w:r>
            <w:rPr>
              <w:color w:val="auto"/>
              <w:highlight w:val="none"/>
            </w:rPr>
            <w:fldChar w:fldCharType="separate"/>
          </w:r>
          <w:r>
            <w:rPr>
              <w:rFonts w:ascii="宋体" w:hAnsi="宋体" w:eastAsia="宋体" w:cs="宋体"/>
              <w:color w:val="auto"/>
              <w:spacing w:val="-3"/>
              <w:sz w:val="21"/>
              <w:szCs w:val="21"/>
              <w:highlight w:val="none"/>
            </w:rPr>
            <w:t>65</w:t>
          </w:r>
          <w:r>
            <w:rPr>
              <w:rFonts w:ascii="宋体" w:hAnsi="宋体" w:eastAsia="宋体" w:cs="宋体"/>
              <w:color w:val="auto"/>
              <w:spacing w:val="-3"/>
              <w:sz w:val="21"/>
              <w:szCs w:val="21"/>
              <w:highlight w:val="none"/>
            </w:rPr>
            <w:fldChar w:fldCharType="end"/>
          </w:r>
        </w:p>
        <w:p w14:paraId="5084B324">
          <w:pPr>
            <w:tabs>
              <w:tab w:val="right" w:leader="dot" w:pos="8317"/>
            </w:tabs>
            <w:spacing w:before="21" w:line="222"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4.监督</w:t>
          </w:r>
          <w:r>
            <w:rPr>
              <w:rFonts w:ascii="宋体" w:hAnsi="宋体" w:eastAsia="宋体" w:cs="宋体"/>
              <w:color w:val="auto"/>
              <w:spacing w:val="-9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"bookmark159" </w:instrText>
          </w:r>
          <w:r>
            <w:rPr>
              <w:color w:val="auto"/>
              <w:highlight w:val="none"/>
            </w:rPr>
            <w:fldChar w:fldCharType="separate"/>
          </w:r>
          <w:r>
            <w:rPr>
              <w:rFonts w:ascii="宋体" w:hAnsi="宋体" w:eastAsia="宋体" w:cs="宋体"/>
              <w:color w:val="auto"/>
              <w:spacing w:val="-3"/>
              <w:sz w:val="21"/>
              <w:szCs w:val="21"/>
              <w:highlight w:val="none"/>
            </w:rPr>
            <w:t>65</w:t>
          </w:r>
          <w:r>
            <w:rPr>
              <w:rFonts w:ascii="宋体" w:hAnsi="宋体" w:eastAsia="宋体" w:cs="宋体"/>
              <w:color w:val="auto"/>
              <w:spacing w:val="-3"/>
              <w:sz w:val="21"/>
              <w:szCs w:val="21"/>
              <w:highlight w:val="none"/>
            </w:rPr>
            <w:fldChar w:fldCharType="end"/>
          </w:r>
        </w:p>
        <w:p w14:paraId="39C2BDA0">
          <w:pPr>
            <w:tabs>
              <w:tab w:val="right" w:leader="dot" w:pos="8317"/>
            </w:tabs>
            <w:spacing w:before="17" w:line="219"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评标办法前附表（经评审的最低投标价法）</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"bookmark160"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66</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7A1EDE5F">
          <w:pPr>
            <w:tabs>
              <w:tab w:val="right" w:leader="dot" w:pos="8317"/>
            </w:tabs>
            <w:spacing w:before="24"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评标办法正文部分</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"bookmark161"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0F2EE9B2">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1.评标方法</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"bookmark162"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0D032503">
          <w:pPr>
            <w:tabs>
              <w:tab w:val="right" w:leader="dot" w:pos="8317"/>
            </w:tabs>
            <w:spacing w:before="2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2.评审标准</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"bookmark163"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38D99082">
          <w:pPr>
            <w:tabs>
              <w:tab w:val="right" w:leader="dot" w:pos="8317"/>
            </w:tabs>
            <w:spacing w:before="17" w:line="221" w:lineRule="auto"/>
            <w:ind w:left="8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2.1</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初步评审标准</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"bookmark164"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04052EAF">
          <w:pPr>
            <w:tabs>
              <w:tab w:val="right" w:leader="dot" w:pos="8317"/>
            </w:tabs>
            <w:spacing w:before="23"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2.2 详细评审标准</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"bookmark165"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6696EC67">
          <w:pPr>
            <w:tabs>
              <w:tab w:val="right" w:leader="dot" w:pos="8317"/>
            </w:tabs>
            <w:spacing w:before="22" w:line="221"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3.评标程序</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"bookmark166"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6E890AB7">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3.1</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初步评审</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"bookmark167"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2562479C">
          <w:pPr>
            <w:tabs>
              <w:tab w:val="right" w:leader="dot" w:pos="8317"/>
            </w:tabs>
            <w:spacing w:before="18"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3.2</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详细评审</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"bookmark168" </w:instrText>
          </w:r>
          <w:r>
            <w:rPr>
              <w:color w:val="auto"/>
              <w:highlight w:val="none"/>
            </w:rPr>
            <w:fldChar w:fldCharType="separate"/>
          </w:r>
          <w:r>
            <w:rPr>
              <w:rFonts w:ascii="宋体" w:hAnsi="宋体" w:eastAsia="宋体" w:cs="宋体"/>
              <w:color w:val="auto"/>
              <w:spacing w:val="-4"/>
              <w:sz w:val="21"/>
              <w:szCs w:val="21"/>
              <w:highlight w:val="none"/>
            </w:rPr>
            <w:t>70</w:t>
          </w:r>
          <w:r>
            <w:rPr>
              <w:rFonts w:ascii="宋体" w:hAnsi="宋体" w:eastAsia="宋体" w:cs="宋体"/>
              <w:color w:val="auto"/>
              <w:spacing w:val="-4"/>
              <w:sz w:val="21"/>
              <w:szCs w:val="21"/>
              <w:highlight w:val="none"/>
            </w:rPr>
            <w:fldChar w:fldCharType="end"/>
          </w:r>
        </w:p>
        <w:p w14:paraId="4DA02535">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3.3</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投标文件的澄清和补正</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"bookmark169" </w:instrText>
          </w:r>
          <w:r>
            <w:rPr>
              <w:color w:val="auto"/>
              <w:highlight w:val="none"/>
            </w:rPr>
            <w:fldChar w:fldCharType="separate"/>
          </w:r>
          <w:r>
            <w:rPr>
              <w:rFonts w:ascii="宋体" w:hAnsi="宋体" w:eastAsia="宋体" w:cs="宋体"/>
              <w:color w:val="auto"/>
              <w:spacing w:val="-4"/>
              <w:sz w:val="21"/>
              <w:szCs w:val="21"/>
              <w:highlight w:val="none"/>
            </w:rPr>
            <w:t>70</w:t>
          </w:r>
          <w:r>
            <w:rPr>
              <w:rFonts w:ascii="宋体" w:hAnsi="宋体" w:eastAsia="宋体" w:cs="宋体"/>
              <w:color w:val="auto"/>
              <w:spacing w:val="-4"/>
              <w:sz w:val="21"/>
              <w:szCs w:val="21"/>
              <w:highlight w:val="none"/>
            </w:rPr>
            <w:fldChar w:fldCharType="end"/>
          </w:r>
        </w:p>
        <w:p w14:paraId="692A9743">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3.4</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评标结果</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"bookmark170" </w:instrText>
          </w:r>
          <w:r>
            <w:rPr>
              <w:color w:val="auto"/>
              <w:highlight w:val="none"/>
            </w:rPr>
            <w:fldChar w:fldCharType="separate"/>
          </w:r>
          <w:r>
            <w:rPr>
              <w:rFonts w:ascii="宋体" w:hAnsi="宋体" w:eastAsia="宋体" w:cs="宋体"/>
              <w:color w:val="auto"/>
              <w:spacing w:val="-4"/>
              <w:sz w:val="21"/>
              <w:szCs w:val="21"/>
              <w:highlight w:val="none"/>
            </w:rPr>
            <w:t>70</w:t>
          </w:r>
          <w:r>
            <w:rPr>
              <w:rFonts w:ascii="宋体" w:hAnsi="宋体" w:eastAsia="宋体" w:cs="宋体"/>
              <w:color w:val="auto"/>
              <w:spacing w:val="-4"/>
              <w:sz w:val="21"/>
              <w:szCs w:val="21"/>
              <w:highlight w:val="none"/>
            </w:rPr>
            <w:fldChar w:fldCharType="end"/>
          </w:r>
        </w:p>
        <w:p w14:paraId="37CA9921">
          <w:pPr>
            <w:tabs>
              <w:tab w:val="right" w:leader="dot" w:pos="8317"/>
            </w:tabs>
            <w:spacing w:before="1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9"/>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A：评标详细程序</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"bookmark171" </w:instrText>
          </w:r>
          <w:r>
            <w:rPr>
              <w:color w:val="auto"/>
              <w:highlight w:val="none"/>
            </w:rPr>
            <w:fldChar w:fldCharType="separate"/>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72</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fldChar w:fldCharType="end"/>
          </w:r>
        </w:p>
        <w:p w14:paraId="0A8088ED">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A0.总</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则</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"bookmark172"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51320CCA">
          <w:pPr>
            <w:tabs>
              <w:tab w:val="right" w:leader="dot" w:pos="8317"/>
            </w:tabs>
            <w:spacing w:before="21" w:line="220"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A1.基本程序</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"bookmark173"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2C913894">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A2.评标准备</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"bookmark174"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7A14EBD5">
          <w:pPr>
            <w:tabs>
              <w:tab w:val="right" w:leader="dot" w:pos="8317"/>
            </w:tabs>
            <w:spacing w:before="17"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A2.1</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评标委员会成员签到</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"bookmark175"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4264E40A">
          <w:pPr>
            <w:tabs>
              <w:tab w:val="right" w:leader="dot" w:pos="8317"/>
            </w:tabs>
            <w:spacing w:before="23"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评标委员会的分工</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"bookmark176"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6BBEC448">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A2.3</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熟悉文件资料</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"bookmark177" </w:instrText>
          </w:r>
          <w:r>
            <w:rPr>
              <w:color w:val="auto"/>
              <w:highlight w:val="none"/>
            </w:rPr>
            <w:fldChar w:fldCharType="separate"/>
          </w:r>
          <w:r>
            <w:rPr>
              <w:rFonts w:ascii="宋体" w:hAnsi="宋体" w:eastAsia="宋体" w:cs="宋体"/>
              <w:color w:val="auto"/>
              <w:spacing w:val="-4"/>
              <w:sz w:val="21"/>
              <w:szCs w:val="21"/>
              <w:highlight w:val="none"/>
            </w:rPr>
            <w:t>73</w:t>
          </w:r>
          <w:r>
            <w:rPr>
              <w:rFonts w:ascii="宋体" w:hAnsi="宋体" w:eastAsia="宋体" w:cs="宋体"/>
              <w:color w:val="auto"/>
              <w:spacing w:val="-4"/>
              <w:sz w:val="21"/>
              <w:szCs w:val="21"/>
              <w:highlight w:val="none"/>
            </w:rPr>
            <w:fldChar w:fldCharType="end"/>
          </w:r>
        </w:p>
        <w:p w14:paraId="46214005">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A2.4</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暗标编号</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"bookmark178" </w:instrText>
          </w:r>
          <w:r>
            <w:rPr>
              <w:color w:val="auto"/>
              <w:highlight w:val="none"/>
            </w:rPr>
            <w:fldChar w:fldCharType="separate"/>
          </w:r>
          <w:r>
            <w:rPr>
              <w:rFonts w:ascii="宋体" w:hAnsi="宋体" w:eastAsia="宋体" w:cs="宋体"/>
              <w:color w:val="auto"/>
              <w:spacing w:val="-4"/>
              <w:sz w:val="21"/>
              <w:szCs w:val="21"/>
              <w:highlight w:val="none"/>
            </w:rPr>
            <w:t>73</w:t>
          </w:r>
          <w:r>
            <w:rPr>
              <w:rFonts w:ascii="宋体" w:hAnsi="宋体" w:eastAsia="宋体" w:cs="宋体"/>
              <w:color w:val="auto"/>
              <w:spacing w:val="-4"/>
              <w:sz w:val="21"/>
              <w:szCs w:val="21"/>
              <w:highlight w:val="none"/>
            </w:rPr>
            <w:fldChar w:fldCharType="end"/>
          </w:r>
        </w:p>
        <w:p w14:paraId="50A7C789">
          <w:pPr>
            <w:tabs>
              <w:tab w:val="right" w:leader="dot" w:pos="8317"/>
            </w:tabs>
            <w:spacing w:before="17"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A2.5</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 xml:space="preserve">对投标文件进行基础性数据分析和整理工作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"bookmark179" </w:instrText>
          </w:r>
          <w:r>
            <w:rPr>
              <w:color w:val="auto"/>
              <w:highlight w:val="none"/>
            </w:rPr>
            <w:fldChar w:fldCharType="separate"/>
          </w:r>
          <w:r>
            <w:rPr>
              <w:rFonts w:ascii="宋体" w:hAnsi="宋体" w:eastAsia="宋体" w:cs="宋体"/>
              <w:color w:val="auto"/>
              <w:spacing w:val="-4"/>
              <w:sz w:val="21"/>
              <w:szCs w:val="21"/>
              <w:highlight w:val="none"/>
            </w:rPr>
            <w:t>73</w:t>
          </w:r>
          <w:r>
            <w:rPr>
              <w:rFonts w:ascii="宋体" w:hAnsi="宋体" w:eastAsia="宋体" w:cs="宋体"/>
              <w:color w:val="auto"/>
              <w:spacing w:val="-4"/>
              <w:sz w:val="21"/>
              <w:szCs w:val="21"/>
              <w:highlight w:val="none"/>
            </w:rPr>
            <w:fldChar w:fldCharType="end"/>
          </w:r>
        </w:p>
        <w:p w14:paraId="5EF2B053">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A3.初步评审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"bookmark180"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2BC95C33">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A3.1</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形式评审</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"bookmark181"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5FEF58BE">
          <w:pPr>
            <w:tabs>
              <w:tab w:val="right" w:leader="dot" w:pos="8317"/>
            </w:tabs>
            <w:spacing w:before="21" w:line="221" w:lineRule="auto"/>
            <w:ind w:left="8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A3.2</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资格评审</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"bookmark182"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7D440184">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响应性评审</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"bookmark183"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14F8C099">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A3.4</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技术标评审</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"bookmark184"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18EB3EEF">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A3.5</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算术错误修正</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"bookmark185"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1771A1DD">
          <w:pPr>
            <w:tabs>
              <w:tab w:val="right" w:leader="dot" w:pos="8317"/>
            </w:tabs>
            <w:spacing w:before="22" w:line="219"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A3.6 判断投标报价是否低于成本</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"bookmark186"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0FB038AE">
          <w:pPr>
            <w:tabs>
              <w:tab w:val="right" w:leader="dot" w:pos="8317"/>
            </w:tabs>
            <w:spacing w:before="19"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A3.7 判断投标是否为应当被否决</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"bookmark187"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4B0EC3D7">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A3.8 澄清、说明或补正</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"bookmark188"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5743393F">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A4.详细评审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"bookmark189"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40880D86">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A4.1</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详细评审的程序</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"bookmark190"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23567A08">
          <w:pPr>
            <w:tabs>
              <w:tab w:val="right" w:leader="dot" w:pos="8317"/>
            </w:tabs>
            <w:spacing w:before="21"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A4.2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澄清、说明或补正</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"bookmark191"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32173F4B">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A4.3</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 xml:space="preserve">汇总评分（评审）结果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"bookmark192"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7669482B">
          <w:pPr>
            <w:tabs>
              <w:tab w:val="right" w:leader="dot" w:pos="8317"/>
            </w:tabs>
            <w:spacing w:before="22" w:line="220"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A5.推荐中标候选人或者直接确定中标人</w:t>
          </w:r>
          <w:r>
            <w:rPr>
              <w:rFonts w:ascii="宋体" w:hAnsi="宋体" w:eastAsia="宋体" w:cs="宋体"/>
              <w:color w:val="auto"/>
              <w:spacing w:val="-6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"bookmark193"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3D21593B">
          <w:pPr>
            <w:tabs>
              <w:tab w:val="right" w:leader="dot" w:pos="8317"/>
            </w:tabs>
            <w:spacing w:before="18"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A5.1</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推荐中标候选人</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"bookmark194"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3CCB22ED">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A5.2</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直接确定中标人</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"bookmark195"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p w14:paraId="0C96E293">
          <w:pPr>
            <w:tabs>
              <w:tab w:val="right" w:leader="dot" w:pos="8317"/>
            </w:tabs>
            <w:spacing w:before="22" w:line="219"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A5.3</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编制评标报告</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"bookmark196"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p w14:paraId="103633BB">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A6.特殊情况的处置程序</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"bookmark197"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sdtContent>
    </w:sdt>
    <w:p w14:paraId="681F1F20">
      <w:pPr>
        <w:spacing w:line="221" w:lineRule="auto"/>
        <w:rPr>
          <w:rFonts w:ascii="宋体" w:hAnsi="宋体" w:eastAsia="宋体" w:cs="宋体"/>
          <w:color w:val="auto"/>
          <w:sz w:val="21"/>
          <w:szCs w:val="21"/>
          <w:highlight w:val="none"/>
        </w:rPr>
        <w:sectPr>
          <w:footerReference r:id="rId9" w:type="default"/>
          <w:pgSz w:w="11905" w:h="16839"/>
          <w:pgMar w:top="1427" w:right="1785" w:bottom="1033" w:left="1785" w:header="0" w:footer="848" w:gutter="0"/>
          <w:pgNumType w:fmt="decimal"/>
          <w:cols w:space="720" w:num="1"/>
        </w:sectPr>
      </w:pPr>
    </w:p>
    <w:sdt>
      <w:sdtPr>
        <w:rPr>
          <w:rFonts w:ascii="宋体" w:hAnsi="宋体" w:eastAsia="宋体" w:cs="宋体"/>
          <w:color w:val="auto"/>
          <w:sz w:val="21"/>
          <w:szCs w:val="21"/>
          <w:highlight w:val="none"/>
        </w:rPr>
        <w:id w:val="5"/>
        <w:docPartObj>
          <w:docPartGallery w:val="Table of Contents"/>
          <w:docPartUnique/>
        </w:docPartObj>
      </w:sdtPr>
      <w:sdtEndPr>
        <w:rPr>
          <w:rFonts w:ascii="宋体" w:hAnsi="宋体" w:eastAsia="宋体" w:cs="宋体"/>
          <w:color w:val="auto"/>
          <w:sz w:val="21"/>
          <w:szCs w:val="21"/>
          <w:highlight w:val="none"/>
        </w:rPr>
      </w:sdtEndPr>
      <w:sdtContent>
        <w:p w14:paraId="4A25DFDF">
          <w:pPr>
            <w:tabs>
              <w:tab w:val="right" w:leader="dot" w:pos="8317"/>
            </w:tabs>
            <w:spacing w:before="41" w:line="221" w:lineRule="auto"/>
            <w:ind w:left="852"/>
            <w:rPr>
              <w:rFonts w:ascii="宋体" w:hAnsi="宋体" w:eastAsia="宋体" w:cs="宋体"/>
              <w:color w:val="auto"/>
              <w:sz w:val="21"/>
              <w:szCs w:val="21"/>
              <w:highlight w:val="none"/>
            </w:rPr>
          </w:pPr>
          <w:bookmarkStart w:id="9" w:name="bookmark23"/>
          <w:bookmarkEnd w:id="9"/>
          <w:bookmarkStart w:id="10" w:name="bookmark22"/>
          <w:bookmarkEnd w:id="10"/>
          <w:r>
            <w:rPr>
              <w:rFonts w:ascii="宋体" w:hAnsi="宋体" w:eastAsia="宋体" w:cs="宋体"/>
              <w:color w:val="auto"/>
              <w:spacing w:val="-1"/>
              <w:sz w:val="21"/>
              <w:szCs w:val="21"/>
              <w:highlight w:val="none"/>
            </w:rPr>
            <w:t>A6.1</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 xml:space="preserve">暗标评审的评审程序规定（适用于对技术标进行暗标评审的）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"bookmark198"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p w14:paraId="7EC8F8F0">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关于评标活动暂停</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"bookmark199"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p w14:paraId="0BEACDDF">
          <w:pPr>
            <w:tabs>
              <w:tab w:val="right" w:leader="dot" w:pos="8317"/>
            </w:tabs>
            <w:spacing w:before="21" w:line="220"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A6.3</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 xml:space="preserve">关于评标中途更换评标委员会成员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"bookmark200" </w:instrText>
          </w:r>
          <w:r>
            <w:rPr>
              <w:color w:val="auto"/>
              <w:highlight w:val="none"/>
            </w:rPr>
            <w:fldChar w:fldCharType="separate"/>
          </w:r>
          <w:r>
            <w:rPr>
              <w:rFonts w:ascii="宋体" w:hAnsi="宋体" w:eastAsia="宋体" w:cs="宋体"/>
              <w:color w:val="auto"/>
              <w:spacing w:val="-4"/>
              <w:sz w:val="21"/>
              <w:szCs w:val="21"/>
              <w:highlight w:val="none"/>
            </w:rPr>
            <w:t>77</w:t>
          </w:r>
          <w:r>
            <w:rPr>
              <w:rFonts w:ascii="宋体" w:hAnsi="宋体" w:eastAsia="宋体" w:cs="宋体"/>
              <w:color w:val="auto"/>
              <w:spacing w:val="-4"/>
              <w:sz w:val="21"/>
              <w:szCs w:val="21"/>
              <w:highlight w:val="none"/>
            </w:rPr>
            <w:fldChar w:fldCharType="end"/>
          </w:r>
        </w:p>
        <w:p w14:paraId="0C99E913">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A6.4 评标争议处理</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"bookmark201" </w:instrText>
          </w:r>
          <w:r>
            <w:rPr>
              <w:color w:val="auto"/>
              <w:highlight w:val="none"/>
            </w:rPr>
            <w:fldChar w:fldCharType="separate"/>
          </w:r>
          <w:r>
            <w:rPr>
              <w:rFonts w:ascii="宋体" w:hAnsi="宋体" w:eastAsia="宋体" w:cs="宋体"/>
              <w:color w:val="auto"/>
              <w:spacing w:val="-4"/>
              <w:sz w:val="21"/>
              <w:szCs w:val="21"/>
              <w:highlight w:val="none"/>
            </w:rPr>
            <w:t>77</w:t>
          </w:r>
          <w:r>
            <w:rPr>
              <w:rFonts w:ascii="宋体" w:hAnsi="宋体" w:eastAsia="宋体" w:cs="宋体"/>
              <w:color w:val="auto"/>
              <w:spacing w:val="-4"/>
              <w:sz w:val="21"/>
              <w:szCs w:val="21"/>
              <w:highlight w:val="none"/>
            </w:rPr>
            <w:fldChar w:fldCharType="end"/>
          </w:r>
        </w:p>
        <w:p w14:paraId="34E5D115">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A7.补充条款</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"bookmark202" </w:instrText>
          </w:r>
          <w:r>
            <w:rPr>
              <w:color w:val="auto"/>
              <w:highlight w:val="none"/>
            </w:rPr>
            <w:fldChar w:fldCharType="separate"/>
          </w:r>
          <w:r>
            <w:rPr>
              <w:rFonts w:ascii="宋体" w:hAnsi="宋体" w:eastAsia="宋体" w:cs="宋体"/>
              <w:color w:val="auto"/>
              <w:spacing w:val="-4"/>
              <w:sz w:val="21"/>
              <w:szCs w:val="21"/>
              <w:highlight w:val="none"/>
            </w:rPr>
            <w:t>77</w:t>
          </w:r>
          <w:r>
            <w:rPr>
              <w:rFonts w:ascii="宋体" w:hAnsi="宋体" w:eastAsia="宋体" w:cs="宋体"/>
              <w:color w:val="auto"/>
              <w:spacing w:val="-4"/>
              <w:sz w:val="21"/>
              <w:szCs w:val="21"/>
              <w:highlight w:val="none"/>
            </w:rPr>
            <w:fldChar w:fldCharType="end"/>
          </w:r>
        </w:p>
        <w:p w14:paraId="68CA31A7">
          <w:pPr>
            <w:tabs>
              <w:tab w:val="right" w:leader="dot" w:pos="8317"/>
            </w:tabs>
            <w:spacing w:before="1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B：否决投标的条件</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"bookmark203" </w:instrText>
          </w:r>
          <w:r>
            <w:rPr>
              <w:color w:val="auto"/>
              <w:highlight w:val="none"/>
            </w:rPr>
            <w:fldChar w:fldCharType="separate"/>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78</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fldChar w:fldCharType="end"/>
          </w:r>
        </w:p>
        <w:p w14:paraId="55511B00">
          <w:pPr>
            <w:tabs>
              <w:tab w:val="right" w:leader="dot" w:pos="8317"/>
            </w:tabs>
            <w:spacing w:before="24" w:line="221" w:lineRule="auto"/>
            <w:ind w:left="8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B0.总</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则</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"bookmark204" </w:instrText>
          </w:r>
          <w:r>
            <w:rPr>
              <w:color w:val="auto"/>
              <w:highlight w:val="none"/>
            </w:rPr>
            <w:fldChar w:fldCharType="separate"/>
          </w:r>
          <w:r>
            <w:rPr>
              <w:rFonts w:ascii="宋体" w:hAnsi="宋体" w:eastAsia="宋体" w:cs="宋体"/>
              <w:color w:val="auto"/>
              <w:spacing w:val="-4"/>
              <w:sz w:val="21"/>
              <w:szCs w:val="21"/>
              <w:highlight w:val="none"/>
            </w:rPr>
            <w:t>78</w:t>
          </w:r>
          <w:r>
            <w:rPr>
              <w:rFonts w:ascii="宋体" w:hAnsi="宋体" w:eastAsia="宋体" w:cs="宋体"/>
              <w:color w:val="auto"/>
              <w:spacing w:val="-4"/>
              <w:sz w:val="21"/>
              <w:szCs w:val="21"/>
              <w:highlight w:val="none"/>
            </w:rPr>
            <w:fldChar w:fldCharType="end"/>
          </w:r>
        </w:p>
        <w:p w14:paraId="235717B2">
          <w:pPr>
            <w:tabs>
              <w:tab w:val="right" w:leader="dot" w:pos="8317"/>
            </w:tabs>
            <w:spacing w:before="21" w:line="221" w:lineRule="auto"/>
            <w:ind w:left="853"/>
            <w:rPr>
              <w:rFonts w:ascii="宋体" w:hAnsi="宋体" w:eastAsia="宋体" w:cs="宋体"/>
              <w:color w:val="auto"/>
              <w:sz w:val="21"/>
              <w:szCs w:val="21"/>
              <w:highlight w:val="none"/>
            </w:rPr>
          </w:pPr>
          <w:r>
            <w:rPr>
              <w:rFonts w:ascii="宋体" w:hAnsi="宋体" w:eastAsia="宋体" w:cs="宋体"/>
              <w:color w:val="auto"/>
              <w:sz w:val="21"/>
              <w:szCs w:val="21"/>
              <w:highlight w:val="none"/>
            </w:rPr>
            <w:t>B1.否决投标的条件</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"bookmark205" </w:instrText>
          </w:r>
          <w:r>
            <w:rPr>
              <w:color w:val="auto"/>
              <w:highlight w:val="none"/>
            </w:rPr>
            <w:fldChar w:fldCharType="separate"/>
          </w:r>
          <w:r>
            <w:rPr>
              <w:rFonts w:ascii="宋体" w:hAnsi="宋体" w:eastAsia="宋体" w:cs="宋体"/>
              <w:color w:val="auto"/>
              <w:spacing w:val="-4"/>
              <w:sz w:val="21"/>
              <w:szCs w:val="21"/>
              <w:highlight w:val="none"/>
            </w:rPr>
            <w:t>78</w:t>
          </w:r>
          <w:r>
            <w:rPr>
              <w:rFonts w:ascii="宋体" w:hAnsi="宋体" w:eastAsia="宋体" w:cs="宋体"/>
              <w:color w:val="auto"/>
              <w:spacing w:val="-4"/>
              <w:sz w:val="21"/>
              <w:szCs w:val="21"/>
              <w:highlight w:val="none"/>
            </w:rPr>
            <w:fldChar w:fldCharType="end"/>
          </w:r>
        </w:p>
        <w:p w14:paraId="427AF4F2">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A-1：评标委员会签到表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"bookmark206" </w:instrText>
          </w:r>
          <w:r>
            <w:rPr>
              <w:color w:val="auto"/>
              <w:highlight w:val="none"/>
            </w:rPr>
            <w:fldChar w:fldCharType="separate"/>
          </w:r>
          <w:r>
            <w:rPr>
              <w:rFonts w:ascii="宋体" w:hAnsi="宋体" w:eastAsia="宋体" w:cs="宋体"/>
              <w:color w:val="auto"/>
              <w:spacing w:val="-2"/>
              <w:sz w:val="21"/>
              <w:szCs w:val="21"/>
              <w:highlight w:val="none"/>
            </w:rPr>
            <w:t>81</w:t>
          </w:r>
          <w:r>
            <w:rPr>
              <w:rFonts w:ascii="宋体" w:hAnsi="宋体" w:eastAsia="宋体" w:cs="宋体"/>
              <w:color w:val="auto"/>
              <w:spacing w:val="-2"/>
              <w:sz w:val="21"/>
              <w:szCs w:val="21"/>
              <w:highlight w:val="none"/>
            </w:rPr>
            <w:fldChar w:fldCharType="end"/>
          </w:r>
        </w:p>
        <w:p w14:paraId="10C89FD2">
          <w:pPr>
            <w:tabs>
              <w:tab w:val="right" w:leader="dot" w:pos="8317"/>
            </w:tabs>
            <w:spacing w:before="18" w:line="219"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A-2：评标专家告知承诺函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"bookmark207" </w:instrText>
          </w:r>
          <w:r>
            <w:rPr>
              <w:color w:val="auto"/>
              <w:highlight w:val="none"/>
            </w:rPr>
            <w:fldChar w:fldCharType="separate"/>
          </w:r>
          <w:r>
            <w:rPr>
              <w:rFonts w:ascii="宋体" w:hAnsi="宋体" w:eastAsia="宋体" w:cs="宋体"/>
              <w:color w:val="auto"/>
              <w:spacing w:val="-2"/>
              <w:sz w:val="21"/>
              <w:szCs w:val="21"/>
              <w:highlight w:val="none"/>
            </w:rPr>
            <w:t>82</w:t>
          </w:r>
          <w:r>
            <w:rPr>
              <w:rFonts w:ascii="宋体" w:hAnsi="宋体" w:eastAsia="宋体" w:cs="宋体"/>
              <w:color w:val="auto"/>
              <w:spacing w:val="-2"/>
              <w:sz w:val="21"/>
              <w:szCs w:val="21"/>
              <w:highlight w:val="none"/>
            </w:rPr>
            <w:fldChar w:fldCharType="end"/>
          </w:r>
        </w:p>
        <w:p w14:paraId="54CAD5D9">
          <w:pPr>
            <w:tabs>
              <w:tab w:val="right" w:leader="dot" w:pos="8317"/>
            </w:tabs>
            <w:spacing w:before="25"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A-3：技术暗标编号确认表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"bookmark208" </w:instrText>
          </w:r>
          <w:r>
            <w:rPr>
              <w:color w:val="auto"/>
              <w:highlight w:val="none"/>
            </w:rPr>
            <w:fldChar w:fldCharType="separate"/>
          </w:r>
          <w:r>
            <w:rPr>
              <w:rFonts w:ascii="宋体" w:hAnsi="宋体" w:eastAsia="宋体" w:cs="宋体"/>
              <w:color w:val="auto"/>
              <w:spacing w:val="-2"/>
              <w:sz w:val="21"/>
              <w:szCs w:val="21"/>
              <w:highlight w:val="none"/>
            </w:rPr>
            <w:t>84</w:t>
          </w:r>
          <w:r>
            <w:rPr>
              <w:rFonts w:ascii="宋体" w:hAnsi="宋体" w:eastAsia="宋体" w:cs="宋体"/>
              <w:color w:val="auto"/>
              <w:spacing w:val="-2"/>
              <w:sz w:val="21"/>
              <w:szCs w:val="21"/>
              <w:highlight w:val="none"/>
            </w:rPr>
            <w:fldChar w:fldCharType="end"/>
          </w:r>
        </w:p>
        <w:p w14:paraId="6FD40B87">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2"/>
              <w:sz w:val="21"/>
              <w:szCs w:val="21"/>
              <w:highlight w:val="none"/>
            </w:rPr>
            <w:t>A-4：形式评审记录表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"bookmark209" </w:instrText>
          </w:r>
          <w:r>
            <w:rPr>
              <w:color w:val="auto"/>
              <w:highlight w:val="none"/>
            </w:rPr>
            <w:fldChar w:fldCharType="separate"/>
          </w:r>
          <w:r>
            <w:rPr>
              <w:rFonts w:ascii="宋体" w:hAnsi="宋体" w:eastAsia="宋体" w:cs="宋体"/>
              <w:color w:val="auto"/>
              <w:spacing w:val="-2"/>
              <w:sz w:val="21"/>
              <w:szCs w:val="21"/>
              <w:highlight w:val="none"/>
            </w:rPr>
            <w:t>85</w:t>
          </w:r>
          <w:r>
            <w:rPr>
              <w:rFonts w:ascii="宋体" w:hAnsi="宋体" w:eastAsia="宋体" w:cs="宋体"/>
              <w:color w:val="auto"/>
              <w:spacing w:val="-2"/>
              <w:sz w:val="21"/>
              <w:szCs w:val="21"/>
              <w:highlight w:val="none"/>
            </w:rPr>
            <w:fldChar w:fldCharType="end"/>
          </w:r>
        </w:p>
        <w:p w14:paraId="43B4DD24">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2"/>
              <w:sz w:val="21"/>
              <w:szCs w:val="21"/>
              <w:highlight w:val="none"/>
            </w:rPr>
            <w:t>A-5：资格评审记录表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"bookmark210" </w:instrText>
          </w:r>
          <w:r>
            <w:rPr>
              <w:color w:val="auto"/>
              <w:highlight w:val="none"/>
            </w:rPr>
            <w:fldChar w:fldCharType="separate"/>
          </w:r>
          <w:r>
            <w:rPr>
              <w:rFonts w:ascii="宋体" w:hAnsi="宋体" w:eastAsia="宋体" w:cs="宋体"/>
              <w:color w:val="auto"/>
              <w:spacing w:val="-2"/>
              <w:sz w:val="21"/>
              <w:szCs w:val="21"/>
              <w:highlight w:val="none"/>
            </w:rPr>
            <w:t>86</w:t>
          </w:r>
          <w:r>
            <w:rPr>
              <w:rFonts w:ascii="宋体" w:hAnsi="宋体" w:eastAsia="宋体" w:cs="宋体"/>
              <w:color w:val="auto"/>
              <w:spacing w:val="-2"/>
              <w:sz w:val="21"/>
              <w:szCs w:val="21"/>
              <w:highlight w:val="none"/>
            </w:rPr>
            <w:fldChar w:fldCharType="end"/>
          </w:r>
        </w:p>
        <w:p w14:paraId="447F71AA">
          <w:pPr>
            <w:tabs>
              <w:tab w:val="right" w:leader="dot" w:pos="8317"/>
            </w:tabs>
            <w:spacing w:before="18"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A-6：响应性评审记录表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"bookmark211" </w:instrText>
          </w:r>
          <w:r>
            <w:rPr>
              <w:color w:val="auto"/>
              <w:highlight w:val="none"/>
            </w:rPr>
            <w:fldChar w:fldCharType="separate"/>
          </w:r>
          <w:r>
            <w:rPr>
              <w:rFonts w:ascii="宋体" w:hAnsi="宋体" w:eastAsia="宋体" w:cs="宋体"/>
              <w:color w:val="auto"/>
              <w:spacing w:val="-2"/>
              <w:sz w:val="21"/>
              <w:szCs w:val="21"/>
              <w:highlight w:val="none"/>
            </w:rPr>
            <w:t>87</w:t>
          </w:r>
          <w:r>
            <w:rPr>
              <w:rFonts w:ascii="宋体" w:hAnsi="宋体" w:eastAsia="宋体" w:cs="宋体"/>
              <w:color w:val="auto"/>
              <w:spacing w:val="-2"/>
              <w:sz w:val="21"/>
              <w:szCs w:val="21"/>
              <w:highlight w:val="none"/>
            </w:rPr>
            <w:fldChar w:fldCharType="end"/>
          </w:r>
        </w:p>
        <w:p w14:paraId="691E1F09">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9"/>
              <w:sz w:val="21"/>
              <w:szCs w:val="21"/>
              <w:highlight w:val="none"/>
            </w:rPr>
            <w:t xml:space="preserve"> </w:t>
          </w:r>
          <w:r>
            <w:rPr>
              <w:rFonts w:ascii="宋体" w:hAnsi="宋体" w:eastAsia="宋体" w:cs="宋体"/>
              <w:color w:val="auto"/>
              <w:spacing w:val="-2"/>
              <w:sz w:val="21"/>
              <w:szCs w:val="21"/>
              <w:highlight w:val="none"/>
            </w:rPr>
            <w:t xml:space="preserve">A-7：技术标评审记录表（合格性）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"bookmark212" </w:instrText>
          </w:r>
          <w:r>
            <w:rPr>
              <w:color w:val="auto"/>
              <w:highlight w:val="none"/>
            </w:rPr>
            <w:fldChar w:fldCharType="separate"/>
          </w:r>
          <w:r>
            <w:rPr>
              <w:rFonts w:ascii="宋体" w:hAnsi="宋体" w:eastAsia="宋体" w:cs="宋体"/>
              <w:color w:val="auto"/>
              <w:spacing w:val="-2"/>
              <w:sz w:val="21"/>
              <w:szCs w:val="21"/>
              <w:highlight w:val="none"/>
            </w:rPr>
            <w:t>88</w:t>
          </w:r>
          <w:r>
            <w:rPr>
              <w:rFonts w:ascii="宋体" w:hAnsi="宋体" w:eastAsia="宋体" w:cs="宋体"/>
              <w:color w:val="auto"/>
              <w:spacing w:val="-2"/>
              <w:sz w:val="21"/>
              <w:szCs w:val="21"/>
              <w:highlight w:val="none"/>
            </w:rPr>
            <w:fldChar w:fldCharType="end"/>
          </w:r>
        </w:p>
        <w:p w14:paraId="655FC836">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A-8：初步评审汇总记录表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"bookmark213" </w:instrText>
          </w:r>
          <w:r>
            <w:rPr>
              <w:color w:val="auto"/>
              <w:highlight w:val="none"/>
            </w:rPr>
            <w:fldChar w:fldCharType="separate"/>
          </w:r>
          <w:r>
            <w:rPr>
              <w:rFonts w:ascii="宋体" w:hAnsi="宋体" w:eastAsia="宋体" w:cs="宋体"/>
              <w:color w:val="auto"/>
              <w:spacing w:val="-2"/>
              <w:sz w:val="21"/>
              <w:szCs w:val="21"/>
              <w:highlight w:val="none"/>
            </w:rPr>
            <w:t>89</w:t>
          </w:r>
          <w:r>
            <w:rPr>
              <w:rFonts w:ascii="宋体" w:hAnsi="宋体" w:eastAsia="宋体" w:cs="宋体"/>
              <w:color w:val="auto"/>
              <w:spacing w:val="-2"/>
              <w:sz w:val="21"/>
              <w:szCs w:val="21"/>
              <w:highlight w:val="none"/>
            </w:rPr>
            <w:fldChar w:fldCharType="end"/>
          </w:r>
        </w:p>
        <w:p w14:paraId="5B1B0828">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A-9：否决投标的情况说明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"bookmark214" </w:instrText>
          </w:r>
          <w:r>
            <w:rPr>
              <w:color w:val="auto"/>
              <w:highlight w:val="none"/>
            </w:rPr>
            <w:fldChar w:fldCharType="separate"/>
          </w:r>
          <w:r>
            <w:rPr>
              <w:rFonts w:ascii="宋体" w:hAnsi="宋体" w:eastAsia="宋体" w:cs="宋体"/>
              <w:color w:val="auto"/>
              <w:spacing w:val="-2"/>
              <w:sz w:val="21"/>
              <w:szCs w:val="21"/>
              <w:highlight w:val="none"/>
            </w:rPr>
            <w:t>90</w:t>
          </w:r>
          <w:r>
            <w:rPr>
              <w:rFonts w:ascii="宋体" w:hAnsi="宋体" w:eastAsia="宋体" w:cs="宋体"/>
              <w:color w:val="auto"/>
              <w:spacing w:val="-2"/>
              <w:sz w:val="21"/>
              <w:szCs w:val="21"/>
              <w:highlight w:val="none"/>
            </w:rPr>
            <w:fldChar w:fldCharType="end"/>
          </w:r>
        </w:p>
        <w:p w14:paraId="5E0BC6EC">
          <w:pPr>
            <w:tabs>
              <w:tab w:val="right" w:leader="dot" w:pos="8317"/>
            </w:tabs>
            <w:spacing w:before="19"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A-10：经济标评分记录表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"bookmark215" </w:instrText>
          </w:r>
          <w:r>
            <w:rPr>
              <w:color w:val="auto"/>
              <w:highlight w:val="none"/>
            </w:rPr>
            <w:fldChar w:fldCharType="separate"/>
          </w:r>
          <w:r>
            <w:rPr>
              <w:rFonts w:ascii="宋体" w:hAnsi="宋体" w:eastAsia="宋体" w:cs="宋体"/>
              <w:color w:val="auto"/>
              <w:spacing w:val="-2"/>
              <w:sz w:val="21"/>
              <w:szCs w:val="21"/>
              <w:highlight w:val="none"/>
            </w:rPr>
            <w:t>91</w:t>
          </w:r>
          <w:r>
            <w:rPr>
              <w:rFonts w:ascii="宋体" w:hAnsi="宋体" w:eastAsia="宋体" w:cs="宋体"/>
              <w:color w:val="auto"/>
              <w:spacing w:val="-2"/>
              <w:sz w:val="21"/>
              <w:szCs w:val="21"/>
              <w:highlight w:val="none"/>
            </w:rPr>
            <w:fldChar w:fldCharType="end"/>
          </w:r>
        </w:p>
        <w:p w14:paraId="1D87C2A3">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7"/>
              <w:sz w:val="21"/>
              <w:szCs w:val="21"/>
              <w:highlight w:val="none"/>
            </w:rPr>
            <w:t xml:space="preserve">A-11：技术标评审记录表（评分）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"bookmark216" </w:instrText>
          </w:r>
          <w:r>
            <w:rPr>
              <w:color w:val="auto"/>
              <w:highlight w:val="none"/>
            </w:rPr>
            <w:fldChar w:fldCharType="separate"/>
          </w:r>
          <w:r>
            <w:rPr>
              <w:rFonts w:ascii="宋体" w:hAnsi="宋体" w:eastAsia="宋体" w:cs="宋体"/>
              <w:color w:val="auto"/>
              <w:spacing w:val="-2"/>
              <w:sz w:val="21"/>
              <w:szCs w:val="21"/>
              <w:highlight w:val="none"/>
            </w:rPr>
            <w:t>92</w:t>
          </w:r>
          <w:r>
            <w:rPr>
              <w:rFonts w:ascii="宋体" w:hAnsi="宋体" w:eastAsia="宋体" w:cs="宋体"/>
              <w:color w:val="auto"/>
              <w:spacing w:val="-2"/>
              <w:sz w:val="21"/>
              <w:szCs w:val="21"/>
              <w:highlight w:val="none"/>
            </w:rPr>
            <w:fldChar w:fldCharType="end"/>
          </w:r>
        </w:p>
        <w:p w14:paraId="659B9358">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7"/>
              <w:sz w:val="21"/>
              <w:szCs w:val="21"/>
              <w:highlight w:val="none"/>
            </w:rPr>
            <w:t xml:space="preserve">A-12：技术标评审记录表（个人）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"bookmark217" </w:instrText>
          </w:r>
          <w:r>
            <w:rPr>
              <w:color w:val="auto"/>
              <w:highlight w:val="none"/>
            </w:rPr>
            <w:fldChar w:fldCharType="separate"/>
          </w:r>
          <w:r>
            <w:rPr>
              <w:rFonts w:ascii="宋体" w:hAnsi="宋体" w:eastAsia="宋体" w:cs="宋体"/>
              <w:color w:val="auto"/>
              <w:spacing w:val="-2"/>
              <w:sz w:val="21"/>
              <w:szCs w:val="21"/>
              <w:highlight w:val="none"/>
            </w:rPr>
            <w:t>93</w:t>
          </w:r>
          <w:r>
            <w:rPr>
              <w:rFonts w:ascii="宋体" w:hAnsi="宋体" w:eastAsia="宋体" w:cs="宋体"/>
              <w:color w:val="auto"/>
              <w:spacing w:val="-2"/>
              <w:sz w:val="21"/>
              <w:szCs w:val="21"/>
              <w:highlight w:val="none"/>
            </w:rPr>
            <w:fldChar w:fldCharType="end"/>
          </w:r>
        </w:p>
        <w:p w14:paraId="1A0E70A4">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A-13：资信标评审记录表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"bookmark218" </w:instrText>
          </w:r>
          <w:r>
            <w:rPr>
              <w:color w:val="auto"/>
              <w:highlight w:val="none"/>
            </w:rPr>
            <w:fldChar w:fldCharType="separate"/>
          </w:r>
          <w:r>
            <w:rPr>
              <w:rFonts w:ascii="宋体" w:hAnsi="宋体" w:eastAsia="宋体" w:cs="宋体"/>
              <w:color w:val="auto"/>
              <w:spacing w:val="-2"/>
              <w:sz w:val="21"/>
              <w:szCs w:val="21"/>
              <w:highlight w:val="none"/>
            </w:rPr>
            <w:t>94</w:t>
          </w:r>
          <w:r>
            <w:rPr>
              <w:rFonts w:ascii="宋体" w:hAnsi="宋体" w:eastAsia="宋体" w:cs="宋体"/>
              <w:color w:val="auto"/>
              <w:spacing w:val="-2"/>
              <w:sz w:val="21"/>
              <w:szCs w:val="21"/>
              <w:highlight w:val="none"/>
            </w:rPr>
            <w:fldChar w:fldCharType="end"/>
          </w:r>
        </w:p>
        <w:p w14:paraId="55525ADF">
          <w:pPr>
            <w:tabs>
              <w:tab w:val="right" w:leader="dot" w:pos="8317"/>
            </w:tabs>
            <w:spacing w:before="19"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3"/>
              <w:sz w:val="21"/>
              <w:szCs w:val="21"/>
              <w:highlight w:val="none"/>
            </w:rPr>
            <w:t xml:space="preserve"> </w:t>
          </w:r>
          <w:r>
            <w:rPr>
              <w:rFonts w:ascii="宋体" w:hAnsi="宋体" w:eastAsia="宋体" w:cs="宋体"/>
              <w:color w:val="auto"/>
              <w:spacing w:val="-3"/>
              <w:sz w:val="21"/>
              <w:szCs w:val="21"/>
              <w:highlight w:val="none"/>
            </w:rPr>
            <w:t xml:space="preserve">A-14：其他因素评审记录表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"bookmark219" </w:instrText>
          </w:r>
          <w:r>
            <w:rPr>
              <w:color w:val="auto"/>
              <w:highlight w:val="none"/>
            </w:rPr>
            <w:fldChar w:fldCharType="separate"/>
          </w:r>
          <w:r>
            <w:rPr>
              <w:rFonts w:ascii="宋体" w:hAnsi="宋体" w:eastAsia="宋体" w:cs="宋体"/>
              <w:color w:val="auto"/>
              <w:spacing w:val="-2"/>
              <w:sz w:val="21"/>
              <w:szCs w:val="21"/>
              <w:highlight w:val="none"/>
            </w:rPr>
            <w:t>95</w:t>
          </w:r>
          <w:r>
            <w:rPr>
              <w:rFonts w:ascii="宋体" w:hAnsi="宋体" w:eastAsia="宋体" w:cs="宋体"/>
              <w:color w:val="auto"/>
              <w:spacing w:val="-2"/>
              <w:sz w:val="21"/>
              <w:szCs w:val="21"/>
              <w:highlight w:val="none"/>
            </w:rPr>
            <w:fldChar w:fldCharType="end"/>
          </w:r>
        </w:p>
        <w:p w14:paraId="4CFAF7FA">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3"/>
              <w:sz w:val="21"/>
              <w:szCs w:val="21"/>
              <w:highlight w:val="none"/>
            </w:rPr>
            <w:t xml:space="preserve"> </w:t>
          </w:r>
          <w:r>
            <w:rPr>
              <w:rFonts w:ascii="宋体" w:hAnsi="宋体" w:eastAsia="宋体" w:cs="宋体"/>
              <w:color w:val="auto"/>
              <w:spacing w:val="-3"/>
              <w:sz w:val="21"/>
              <w:szCs w:val="21"/>
              <w:highlight w:val="none"/>
            </w:rPr>
            <w:t xml:space="preserve">A-15：详细评审评分汇总表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"bookmark220" </w:instrText>
          </w:r>
          <w:r>
            <w:rPr>
              <w:color w:val="auto"/>
              <w:highlight w:val="none"/>
            </w:rPr>
            <w:fldChar w:fldCharType="separate"/>
          </w:r>
          <w:r>
            <w:rPr>
              <w:rFonts w:ascii="宋体" w:hAnsi="宋体" w:eastAsia="宋体" w:cs="宋体"/>
              <w:color w:val="auto"/>
              <w:spacing w:val="-2"/>
              <w:sz w:val="21"/>
              <w:szCs w:val="21"/>
              <w:highlight w:val="none"/>
            </w:rPr>
            <w:t>96</w:t>
          </w:r>
          <w:r>
            <w:rPr>
              <w:rFonts w:ascii="宋体" w:hAnsi="宋体" w:eastAsia="宋体" w:cs="宋体"/>
              <w:color w:val="auto"/>
              <w:spacing w:val="-2"/>
              <w:sz w:val="21"/>
              <w:szCs w:val="21"/>
              <w:highlight w:val="none"/>
            </w:rPr>
            <w:fldChar w:fldCharType="end"/>
          </w:r>
        </w:p>
        <w:p w14:paraId="5EC759BA">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A-16：评标结果汇总表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"bookmark221" </w:instrText>
          </w:r>
          <w:r>
            <w:rPr>
              <w:color w:val="auto"/>
              <w:highlight w:val="none"/>
            </w:rPr>
            <w:fldChar w:fldCharType="separate"/>
          </w:r>
          <w:r>
            <w:rPr>
              <w:rFonts w:ascii="宋体" w:hAnsi="宋体" w:eastAsia="宋体" w:cs="宋体"/>
              <w:color w:val="auto"/>
              <w:spacing w:val="-2"/>
              <w:sz w:val="21"/>
              <w:szCs w:val="21"/>
              <w:highlight w:val="none"/>
            </w:rPr>
            <w:t>97</w:t>
          </w:r>
          <w:r>
            <w:rPr>
              <w:rFonts w:ascii="宋体" w:hAnsi="宋体" w:eastAsia="宋体" w:cs="宋体"/>
              <w:color w:val="auto"/>
              <w:spacing w:val="-2"/>
              <w:sz w:val="21"/>
              <w:szCs w:val="21"/>
              <w:highlight w:val="none"/>
            </w:rPr>
            <w:fldChar w:fldCharType="end"/>
          </w:r>
        </w:p>
        <w:p w14:paraId="2A36878E">
          <w:pPr>
            <w:tabs>
              <w:tab w:val="right" w:leader="dot" w:pos="8317"/>
            </w:tabs>
            <w:spacing w:before="19"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 xml:space="preserve">A-17：推荐中标候选人一览表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"bookmark222" </w:instrText>
          </w:r>
          <w:r>
            <w:rPr>
              <w:color w:val="auto"/>
              <w:highlight w:val="none"/>
            </w:rPr>
            <w:fldChar w:fldCharType="separate"/>
          </w:r>
          <w:r>
            <w:rPr>
              <w:rFonts w:ascii="宋体" w:hAnsi="宋体" w:eastAsia="宋体" w:cs="宋体"/>
              <w:color w:val="auto"/>
              <w:spacing w:val="-2"/>
              <w:sz w:val="21"/>
              <w:szCs w:val="21"/>
              <w:highlight w:val="none"/>
            </w:rPr>
            <w:t>98</w:t>
          </w:r>
          <w:r>
            <w:rPr>
              <w:rFonts w:ascii="宋体" w:hAnsi="宋体" w:eastAsia="宋体" w:cs="宋体"/>
              <w:color w:val="auto"/>
              <w:spacing w:val="-2"/>
              <w:sz w:val="21"/>
              <w:szCs w:val="21"/>
              <w:highlight w:val="none"/>
            </w:rPr>
            <w:fldChar w:fldCharType="end"/>
          </w:r>
        </w:p>
        <w:p w14:paraId="79C2B8A2">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C-1：成本评审结论记录表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"bookmark223" </w:instrText>
          </w:r>
          <w:r>
            <w:rPr>
              <w:color w:val="auto"/>
              <w:highlight w:val="none"/>
            </w:rPr>
            <w:fldChar w:fldCharType="separate"/>
          </w:r>
          <w:r>
            <w:rPr>
              <w:rFonts w:ascii="宋体" w:hAnsi="宋体" w:eastAsia="宋体" w:cs="宋体"/>
              <w:color w:val="auto"/>
              <w:spacing w:val="-2"/>
              <w:sz w:val="21"/>
              <w:szCs w:val="21"/>
              <w:highlight w:val="none"/>
            </w:rPr>
            <w:t>99</w:t>
          </w:r>
          <w:r>
            <w:rPr>
              <w:rFonts w:ascii="宋体" w:hAnsi="宋体" w:eastAsia="宋体" w:cs="宋体"/>
              <w:color w:val="auto"/>
              <w:spacing w:val="-2"/>
              <w:sz w:val="21"/>
              <w:szCs w:val="21"/>
              <w:highlight w:val="none"/>
            </w:rPr>
            <w:fldChar w:fldCharType="end"/>
          </w:r>
        </w:p>
        <w:p w14:paraId="79FFA4A2">
          <w:pPr>
            <w:tabs>
              <w:tab w:val="right" w:leader="dot" w:pos="8307"/>
            </w:tabs>
            <w:spacing w:before="23"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第四章</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合同条款及格式</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8"/>
              <w:sz w:val="21"/>
              <w:szCs w:val="21"/>
              <w:highlight w:val="none"/>
            </w:rPr>
            <w:t xml:space="preserve"> </w:t>
          </w:r>
          <w:r>
            <w:rPr>
              <w:color w:val="auto"/>
              <w:highlight w:val="none"/>
            </w:rPr>
            <w:fldChar w:fldCharType="begin"/>
          </w:r>
          <w:r>
            <w:rPr>
              <w:color w:val="auto"/>
              <w:highlight w:val="none"/>
            </w:rPr>
            <w:instrText xml:space="preserve"> HYPERLINK \l "bookmark224" </w:instrText>
          </w:r>
          <w:r>
            <w:rPr>
              <w:color w:val="auto"/>
              <w:highlight w:val="none"/>
            </w:rPr>
            <w:fldChar w:fldCharType="separate"/>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100</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fldChar w:fldCharType="end"/>
          </w:r>
        </w:p>
        <w:p w14:paraId="5434C8E0">
          <w:pPr>
            <w:tabs>
              <w:tab w:val="right" w:leader="dot" w:pos="8317"/>
            </w:tabs>
            <w:spacing w:before="24"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第一部分 合同协议书</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"bookmark225" </w:instrText>
          </w:r>
          <w:r>
            <w:rPr>
              <w:color w:val="auto"/>
              <w:highlight w:val="none"/>
            </w:rPr>
            <w:fldChar w:fldCharType="separate"/>
          </w:r>
          <w:r>
            <w:rPr>
              <w:rFonts w:ascii="宋体" w:hAnsi="宋体" w:eastAsia="宋体" w:cs="宋体"/>
              <w:color w:val="auto"/>
              <w:spacing w:val="-5"/>
              <w:sz w:val="21"/>
              <w:szCs w:val="21"/>
              <w:highlight w:val="none"/>
            </w:rPr>
            <w:t>101</w:t>
          </w:r>
          <w:r>
            <w:rPr>
              <w:rFonts w:ascii="宋体" w:hAnsi="宋体" w:eastAsia="宋体" w:cs="宋体"/>
              <w:color w:val="auto"/>
              <w:spacing w:val="-5"/>
              <w:sz w:val="21"/>
              <w:szCs w:val="21"/>
              <w:highlight w:val="none"/>
            </w:rPr>
            <w:fldChar w:fldCharType="end"/>
          </w:r>
        </w:p>
        <w:p w14:paraId="105328B1">
          <w:pPr>
            <w:tabs>
              <w:tab w:val="right" w:leader="dot" w:pos="8317"/>
            </w:tabs>
            <w:spacing w:before="18"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第二部分 通用合同条款</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"bookmark226" </w:instrText>
          </w:r>
          <w:r>
            <w:rPr>
              <w:color w:val="auto"/>
              <w:highlight w:val="none"/>
            </w:rPr>
            <w:fldChar w:fldCharType="separate"/>
          </w:r>
          <w:r>
            <w:rPr>
              <w:rFonts w:ascii="宋体" w:hAnsi="宋体" w:eastAsia="宋体" w:cs="宋体"/>
              <w:color w:val="auto"/>
              <w:spacing w:val="-5"/>
              <w:sz w:val="21"/>
              <w:szCs w:val="21"/>
              <w:highlight w:val="none"/>
            </w:rPr>
            <w:t>104</w:t>
          </w:r>
          <w:r>
            <w:rPr>
              <w:rFonts w:ascii="宋体" w:hAnsi="宋体" w:eastAsia="宋体" w:cs="宋体"/>
              <w:color w:val="auto"/>
              <w:spacing w:val="-5"/>
              <w:sz w:val="21"/>
              <w:szCs w:val="21"/>
              <w:highlight w:val="none"/>
            </w:rPr>
            <w:fldChar w:fldCharType="end"/>
          </w:r>
        </w:p>
        <w:p w14:paraId="3F290ED9">
          <w:pPr>
            <w:tabs>
              <w:tab w:val="right" w:leader="dot" w:pos="8317"/>
            </w:tabs>
            <w:spacing w:before="22"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第三部分 专用合同条款</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"bookmark227" </w:instrText>
          </w:r>
          <w:r>
            <w:rPr>
              <w:color w:val="auto"/>
              <w:highlight w:val="none"/>
            </w:rPr>
            <w:fldChar w:fldCharType="separate"/>
          </w:r>
          <w:r>
            <w:rPr>
              <w:rFonts w:ascii="宋体" w:hAnsi="宋体" w:eastAsia="宋体" w:cs="宋体"/>
              <w:color w:val="auto"/>
              <w:spacing w:val="-5"/>
              <w:sz w:val="21"/>
              <w:szCs w:val="21"/>
              <w:highlight w:val="none"/>
            </w:rPr>
            <w:t>154</w:t>
          </w:r>
          <w:r>
            <w:rPr>
              <w:rFonts w:ascii="宋体" w:hAnsi="宋体" w:eastAsia="宋体" w:cs="宋体"/>
              <w:color w:val="auto"/>
              <w:spacing w:val="-5"/>
              <w:sz w:val="21"/>
              <w:szCs w:val="21"/>
              <w:highlight w:val="none"/>
            </w:rPr>
            <w:fldChar w:fldCharType="end"/>
          </w:r>
        </w:p>
        <w:p w14:paraId="1CA80933">
          <w:pPr>
            <w:tabs>
              <w:tab w:val="right" w:leader="dot" w:pos="8307"/>
            </w:tabs>
            <w:spacing w:before="23"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第五章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工程量清单</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8"/>
              <w:sz w:val="21"/>
              <w:szCs w:val="21"/>
              <w:highlight w:val="none"/>
            </w:rPr>
            <w:t xml:space="preserve"> </w:t>
          </w:r>
          <w:r>
            <w:rPr>
              <w:color w:val="auto"/>
              <w:highlight w:val="none"/>
            </w:rPr>
            <w:fldChar w:fldCharType="begin"/>
          </w:r>
          <w:r>
            <w:rPr>
              <w:color w:val="auto"/>
              <w:highlight w:val="none"/>
            </w:rPr>
            <w:instrText xml:space="preserve"> HYPERLINK \l "bookmark228" </w:instrText>
          </w:r>
          <w:r>
            <w:rPr>
              <w:color w:val="auto"/>
              <w:highlight w:val="none"/>
            </w:rPr>
            <w:fldChar w:fldCharType="separate"/>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190</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fldChar w:fldCharType="end"/>
          </w:r>
        </w:p>
        <w:p w14:paraId="4C49017E">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1、招标工程量清单说明</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"bookmark229" </w:instrText>
          </w:r>
          <w:r>
            <w:rPr>
              <w:color w:val="auto"/>
              <w:highlight w:val="none"/>
            </w:rPr>
            <w:fldChar w:fldCharType="separate"/>
          </w:r>
          <w:r>
            <w:rPr>
              <w:rFonts w:ascii="宋体" w:hAnsi="宋体" w:eastAsia="宋体" w:cs="宋体"/>
              <w:color w:val="auto"/>
              <w:spacing w:val="-5"/>
              <w:sz w:val="21"/>
              <w:szCs w:val="21"/>
              <w:highlight w:val="none"/>
            </w:rPr>
            <w:t>191</w:t>
          </w:r>
          <w:r>
            <w:rPr>
              <w:rFonts w:ascii="宋体" w:hAnsi="宋体" w:eastAsia="宋体" w:cs="宋体"/>
              <w:color w:val="auto"/>
              <w:spacing w:val="-5"/>
              <w:sz w:val="21"/>
              <w:szCs w:val="21"/>
              <w:highlight w:val="none"/>
            </w:rPr>
            <w:fldChar w:fldCharType="end"/>
          </w:r>
        </w:p>
        <w:p w14:paraId="5C3E419F">
          <w:pPr>
            <w:tabs>
              <w:tab w:val="right" w:leader="dot" w:pos="8317"/>
            </w:tabs>
            <w:spacing w:before="18" w:line="219"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2、投标报价说明</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"bookmark230" </w:instrText>
          </w:r>
          <w:r>
            <w:rPr>
              <w:color w:val="auto"/>
              <w:highlight w:val="none"/>
            </w:rPr>
            <w:fldChar w:fldCharType="separate"/>
          </w:r>
          <w:r>
            <w:rPr>
              <w:rFonts w:ascii="宋体" w:hAnsi="宋体" w:eastAsia="宋体" w:cs="宋体"/>
              <w:color w:val="auto"/>
              <w:spacing w:val="-5"/>
              <w:sz w:val="21"/>
              <w:szCs w:val="21"/>
              <w:highlight w:val="none"/>
            </w:rPr>
            <w:t>192</w:t>
          </w:r>
          <w:r>
            <w:rPr>
              <w:rFonts w:ascii="宋体" w:hAnsi="宋体" w:eastAsia="宋体" w:cs="宋体"/>
              <w:color w:val="auto"/>
              <w:spacing w:val="-5"/>
              <w:sz w:val="21"/>
              <w:szCs w:val="21"/>
              <w:highlight w:val="none"/>
            </w:rPr>
            <w:fldChar w:fldCharType="end"/>
          </w:r>
        </w:p>
        <w:p w14:paraId="5DD9671B">
          <w:pPr>
            <w:tabs>
              <w:tab w:val="right" w:leader="dot" w:pos="8317"/>
            </w:tabs>
            <w:spacing w:before="24" w:line="221" w:lineRule="auto"/>
            <w:ind w:left="4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3、其他说明</w:t>
          </w:r>
          <w:r>
            <w:rPr>
              <w:rFonts w:ascii="宋体" w:hAnsi="宋体" w:eastAsia="宋体" w:cs="宋体"/>
              <w:color w:val="auto"/>
              <w:spacing w:val="-6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"bookmark231" </w:instrText>
          </w:r>
          <w:r>
            <w:rPr>
              <w:color w:val="auto"/>
              <w:highlight w:val="none"/>
            </w:rPr>
            <w:fldChar w:fldCharType="separate"/>
          </w:r>
          <w:r>
            <w:rPr>
              <w:rFonts w:ascii="宋体" w:hAnsi="宋体" w:eastAsia="宋体" w:cs="宋体"/>
              <w:color w:val="auto"/>
              <w:spacing w:val="-5"/>
              <w:sz w:val="21"/>
              <w:szCs w:val="21"/>
              <w:highlight w:val="none"/>
            </w:rPr>
            <w:t>194</w:t>
          </w:r>
          <w:r>
            <w:rPr>
              <w:rFonts w:ascii="宋体" w:hAnsi="宋体" w:eastAsia="宋体" w:cs="宋体"/>
              <w:color w:val="auto"/>
              <w:spacing w:val="-5"/>
              <w:sz w:val="21"/>
              <w:szCs w:val="21"/>
              <w:highlight w:val="none"/>
            </w:rPr>
            <w:fldChar w:fldCharType="end"/>
          </w:r>
        </w:p>
        <w:p w14:paraId="538A800A">
          <w:pPr>
            <w:tabs>
              <w:tab w:val="right" w:leader="dot" w:pos="8317"/>
            </w:tabs>
            <w:spacing w:before="23" w:line="219"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4、工程量清单与计价表</w:t>
          </w:r>
          <w:r>
            <w:rPr>
              <w:rFonts w:ascii="宋体" w:hAnsi="宋体" w:eastAsia="宋体" w:cs="宋体"/>
              <w:color w:val="auto"/>
              <w:spacing w:val="-7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"bookmark232" </w:instrText>
          </w:r>
          <w:r>
            <w:rPr>
              <w:color w:val="auto"/>
              <w:highlight w:val="none"/>
            </w:rPr>
            <w:fldChar w:fldCharType="separate"/>
          </w:r>
          <w:r>
            <w:rPr>
              <w:rFonts w:ascii="宋体" w:hAnsi="宋体" w:eastAsia="宋体" w:cs="宋体"/>
              <w:color w:val="auto"/>
              <w:spacing w:val="-5"/>
              <w:sz w:val="21"/>
              <w:szCs w:val="21"/>
              <w:highlight w:val="none"/>
            </w:rPr>
            <w:t>196</w:t>
          </w:r>
          <w:r>
            <w:rPr>
              <w:rFonts w:ascii="宋体" w:hAnsi="宋体" w:eastAsia="宋体" w:cs="宋体"/>
              <w:color w:val="auto"/>
              <w:spacing w:val="-5"/>
              <w:sz w:val="21"/>
              <w:szCs w:val="21"/>
              <w:highlight w:val="none"/>
            </w:rPr>
            <w:fldChar w:fldCharType="end"/>
          </w:r>
        </w:p>
        <w:p w14:paraId="2860ECF5">
          <w:pPr>
            <w:tabs>
              <w:tab w:val="right" w:leader="dot" w:pos="8317"/>
            </w:tabs>
            <w:spacing w:before="25" w:line="221"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w:t>
          </w:r>
          <w:r>
            <w:rPr>
              <w:rFonts w:ascii="宋体" w:hAnsi="宋体" w:eastAsia="宋体" w:cs="宋体"/>
              <w:color w:val="auto"/>
              <w:spacing w:val="-34"/>
              <w:sz w:val="21"/>
              <w:szCs w:val="21"/>
              <w:highlight w:val="none"/>
            </w:rPr>
            <w:t xml:space="preserve"> </w:t>
          </w:r>
          <w:r>
            <w:rPr>
              <w:rFonts w:ascii="宋体" w:hAnsi="宋体" w:eastAsia="宋体" w:cs="宋体"/>
              <w:color w:val="auto"/>
              <w:spacing w:val="-2"/>
              <w:sz w:val="21"/>
              <w:szCs w:val="21"/>
              <w:highlight w:val="none"/>
            </w:rPr>
            <w:t>招标工程量清单封面</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"bookmark233" </w:instrText>
          </w:r>
          <w:r>
            <w:rPr>
              <w:color w:val="auto"/>
              <w:highlight w:val="none"/>
            </w:rPr>
            <w:fldChar w:fldCharType="separate"/>
          </w:r>
          <w:r>
            <w:rPr>
              <w:rFonts w:ascii="宋体" w:hAnsi="宋体" w:eastAsia="宋体" w:cs="宋体"/>
              <w:color w:val="auto"/>
              <w:spacing w:val="-5"/>
              <w:sz w:val="21"/>
              <w:szCs w:val="21"/>
              <w:highlight w:val="none"/>
            </w:rPr>
            <w:t>197</w:t>
          </w:r>
          <w:r>
            <w:rPr>
              <w:rFonts w:ascii="宋体" w:hAnsi="宋体" w:eastAsia="宋体" w:cs="宋体"/>
              <w:color w:val="auto"/>
              <w:spacing w:val="-5"/>
              <w:sz w:val="21"/>
              <w:szCs w:val="21"/>
              <w:highlight w:val="none"/>
            </w:rPr>
            <w:fldChar w:fldCharType="end"/>
          </w:r>
        </w:p>
        <w:p w14:paraId="3D674214">
          <w:pPr>
            <w:tabs>
              <w:tab w:val="right" w:leader="dot" w:pos="8317"/>
            </w:tabs>
            <w:spacing w:before="17" w:line="221"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4.2</w:t>
          </w:r>
          <w:r>
            <w:rPr>
              <w:rFonts w:ascii="宋体" w:hAnsi="宋体" w:eastAsia="宋体" w:cs="宋体"/>
              <w:color w:val="auto"/>
              <w:spacing w:val="-34"/>
              <w:sz w:val="21"/>
              <w:szCs w:val="21"/>
              <w:highlight w:val="none"/>
            </w:rPr>
            <w:t xml:space="preserve"> </w:t>
          </w:r>
          <w:r>
            <w:rPr>
              <w:rFonts w:ascii="宋体" w:hAnsi="宋体" w:eastAsia="宋体" w:cs="宋体"/>
              <w:color w:val="auto"/>
              <w:spacing w:val="-2"/>
              <w:sz w:val="21"/>
              <w:szCs w:val="21"/>
              <w:highlight w:val="none"/>
            </w:rPr>
            <w:t>招标工程量清单扉页</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"bookmark234" </w:instrText>
          </w:r>
          <w:r>
            <w:rPr>
              <w:color w:val="auto"/>
              <w:highlight w:val="none"/>
            </w:rPr>
            <w:fldChar w:fldCharType="separate"/>
          </w:r>
          <w:r>
            <w:rPr>
              <w:rFonts w:ascii="宋体" w:hAnsi="宋体" w:eastAsia="宋体" w:cs="宋体"/>
              <w:color w:val="auto"/>
              <w:spacing w:val="-5"/>
              <w:sz w:val="21"/>
              <w:szCs w:val="21"/>
              <w:highlight w:val="none"/>
            </w:rPr>
            <w:t>198</w:t>
          </w:r>
          <w:r>
            <w:rPr>
              <w:rFonts w:ascii="宋体" w:hAnsi="宋体" w:eastAsia="宋体" w:cs="宋体"/>
              <w:color w:val="auto"/>
              <w:spacing w:val="-5"/>
              <w:sz w:val="21"/>
              <w:szCs w:val="21"/>
              <w:highlight w:val="none"/>
            </w:rPr>
            <w:fldChar w:fldCharType="end"/>
          </w:r>
        </w:p>
        <w:p w14:paraId="34FF3D14">
          <w:pPr>
            <w:tabs>
              <w:tab w:val="right" w:leader="dot" w:pos="8317"/>
            </w:tabs>
            <w:spacing w:before="23"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4.3</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投标总价封面</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"bookmark235" </w:instrText>
          </w:r>
          <w:r>
            <w:rPr>
              <w:color w:val="auto"/>
              <w:highlight w:val="none"/>
            </w:rPr>
            <w:fldChar w:fldCharType="separate"/>
          </w:r>
          <w:r>
            <w:rPr>
              <w:rFonts w:ascii="宋体" w:hAnsi="宋体" w:eastAsia="宋体" w:cs="宋体"/>
              <w:color w:val="auto"/>
              <w:spacing w:val="-5"/>
              <w:sz w:val="21"/>
              <w:szCs w:val="21"/>
              <w:highlight w:val="none"/>
            </w:rPr>
            <w:t>199</w:t>
          </w:r>
          <w:r>
            <w:rPr>
              <w:rFonts w:ascii="宋体" w:hAnsi="宋体" w:eastAsia="宋体" w:cs="宋体"/>
              <w:color w:val="auto"/>
              <w:spacing w:val="-5"/>
              <w:sz w:val="21"/>
              <w:szCs w:val="21"/>
              <w:highlight w:val="none"/>
            </w:rPr>
            <w:fldChar w:fldCharType="end"/>
          </w:r>
        </w:p>
        <w:p w14:paraId="068AFEBC">
          <w:pPr>
            <w:tabs>
              <w:tab w:val="right" w:leader="dot" w:pos="8317"/>
            </w:tabs>
            <w:spacing w:before="24"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4.4</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投标总价扉页</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"bookmark236" </w:instrText>
          </w:r>
          <w:r>
            <w:rPr>
              <w:color w:val="auto"/>
              <w:highlight w:val="none"/>
            </w:rPr>
            <w:fldChar w:fldCharType="separate"/>
          </w:r>
          <w:r>
            <w:rPr>
              <w:rFonts w:ascii="宋体" w:hAnsi="宋体" w:eastAsia="宋体" w:cs="宋体"/>
              <w:color w:val="auto"/>
              <w:spacing w:val="-2"/>
              <w:sz w:val="21"/>
              <w:szCs w:val="21"/>
              <w:highlight w:val="none"/>
            </w:rPr>
            <w:t>200</w:t>
          </w:r>
          <w:r>
            <w:rPr>
              <w:rFonts w:ascii="宋体" w:hAnsi="宋体" w:eastAsia="宋体" w:cs="宋体"/>
              <w:color w:val="auto"/>
              <w:spacing w:val="-2"/>
              <w:sz w:val="21"/>
              <w:szCs w:val="21"/>
              <w:highlight w:val="none"/>
            </w:rPr>
            <w:fldChar w:fldCharType="end"/>
          </w:r>
        </w:p>
        <w:p w14:paraId="7CB3DE46">
          <w:pPr>
            <w:tabs>
              <w:tab w:val="right" w:leader="dot" w:pos="8317"/>
            </w:tabs>
            <w:spacing w:before="24" w:line="221" w:lineRule="auto"/>
            <w:ind w:left="8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4.5</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总说明表</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"bookmark237" </w:instrText>
          </w:r>
          <w:r>
            <w:rPr>
              <w:color w:val="auto"/>
              <w:highlight w:val="none"/>
            </w:rPr>
            <w:fldChar w:fldCharType="separate"/>
          </w:r>
          <w:r>
            <w:rPr>
              <w:rFonts w:ascii="宋体" w:hAnsi="宋体" w:eastAsia="宋体" w:cs="宋体"/>
              <w:color w:val="auto"/>
              <w:spacing w:val="-2"/>
              <w:sz w:val="21"/>
              <w:szCs w:val="21"/>
              <w:highlight w:val="none"/>
            </w:rPr>
            <w:t>201</w:t>
          </w:r>
          <w:r>
            <w:rPr>
              <w:rFonts w:ascii="宋体" w:hAnsi="宋体" w:eastAsia="宋体" w:cs="宋体"/>
              <w:color w:val="auto"/>
              <w:spacing w:val="-2"/>
              <w:sz w:val="21"/>
              <w:szCs w:val="21"/>
              <w:highlight w:val="none"/>
            </w:rPr>
            <w:fldChar w:fldCharType="end"/>
          </w:r>
        </w:p>
        <w:p w14:paraId="4FD02979">
          <w:pPr>
            <w:tabs>
              <w:tab w:val="right" w:leader="dot" w:pos="8317"/>
            </w:tabs>
            <w:spacing w:before="18"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4.6</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建设项目投标报价汇总表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"bookmark238" </w:instrText>
          </w:r>
          <w:r>
            <w:rPr>
              <w:color w:val="auto"/>
              <w:highlight w:val="none"/>
            </w:rPr>
            <w:fldChar w:fldCharType="separate"/>
          </w:r>
          <w:r>
            <w:rPr>
              <w:rFonts w:ascii="宋体" w:hAnsi="宋体" w:eastAsia="宋体" w:cs="宋体"/>
              <w:color w:val="auto"/>
              <w:spacing w:val="-2"/>
              <w:sz w:val="21"/>
              <w:szCs w:val="21"/>
              <w:highlight w:val="none"/>
            </w:rPr>
            <w:t>202</w:t>
          </w:r>
          <w:r>
            <w:rPr>
              <w:rFonts w:ascii="宋体" w:hAnsi="宋体" w:eastAsia="宋体" w:cs="宋体"/>
              <w:color w:val="auto"/>
              <w:spacing w:val="-2"/>
              <w:sz w:val="21"/>
              <w:szCs w:val="21"/>
              <w:highlight w:val="none"/>
            </w:rPr>
            <w:fldChar w:fldCharType="end"/>
          </w:r>
        </w:p>
        <w:p w14:paraId="72C38894">
          <w:pPr>
            <w:tabs>
              <w:tab w:val="right" w:leader="dot" w:pos="8317"/>
            </w:tabs>
            <w:spacing w:before="24"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4.7</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单项工程投标报价汇总表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"bookmark239" </w:instrText>
          </w:r>
          <w:r>
            <w:rPr>
              <w:color w:val="auto"/>
              <w:highlight w:val="none"/>
            </w:rPr>
            <w:fldChar w:fldCharType="separate"/>
          </w:r>
          <w:r>
            <w:rPr>
              <w:rFonts w:ascii="宋体" w:hAnsi="宋体" w:eastAsia="宋体" w:cs="宋体"/>
              <w:color w:val="auto"/>
              <w:spacing w:val="-2"/>
              <w:sz w:val="21"/>
              <w:szCs w:val="21"/>
              <w:highlight w:val="none"/>
            </w:rPr>
            <w:t>203</w:t>
          </w:r>
          <w:r>
            <w:rPr>
              <w:rFonts w:ascii="宋体" w:hAnsi="宋体" w:eastAsia="宋体" w:cs="宋体"/>
              <w:color w:val="auto"/>
              <w:spacing w:val="-2"/>
              <w:sz w:val="21"/>
              <w:szCs w:val="21"/>
              <w:highlight w:val="none"/>
            </w:rPr>
            <w:fldChar w:fldCharType="end"/>
          </w:r>
        </w:p>
        <w:p w14:paraId="0D189DC3">
          <w:pPr>
            <w:tabs>
              <w:tab w:val="right" w:leader="dot" w:pos="8317"/>
            </w:tabs>
            <w:spacing w:before="25"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4.8</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单位工程投标报价汇总表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"bookmark240" </w:instrText>
          </w:r>
          <w:r>
            <w:rPr>
              <w:color w:val="auto"/>
              <w:highlight w:val="none"/>
            </w:rPr>
            <w:fldChar w:fldCharType="separate"/>
          </w:r>
          <w:r>
            <w:rPr>
              <w:rFonts w:ascii="宋体" w:hAnsi="宋体" w:eastAsia="宋体" w:cs="宋体"/>
              <w:color w:val="auto"/>
              <w:spacing w:val="-2"/>
              <w:sz w:val="21"/>
              <w:szCs w:val="21"/>
              <w:highlight w:val="none"/>
            </w:rPr>
            <w:t>204</w:t>
          </w:r>
          <w:r>
            <w:rPr>
              <w:rFonts w:ascii="宋体" w:hAnsi="宋体" w:eastAsia="宋体" w:cs="宋体"/>
              <w:color w:val="auto"/>
              <w:spacing w:val="-2"/>
              <w:sz w:val="21"/>
              <w:szCs w:val="21"/>
              <w:highlight w:val="none"/>
            </w:rPr>
            <w:fldChar w:fldCharType="end"/>
          </w:r>
        </w:p>
        <w:p w14:paraId="4804DF65">
          <w:pPr>
            <w:tabs>
              <w:tab w:val="right" w:leader="dot" w:pos="8317"/>
            </w:tabs>
            <w:spacing w:before="20"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4.9</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分部分项工程和单价措施项目清单与</w:t>
          </w:r>
          <w:r>
            <w:rPr>
              <w:rFonts w:ascii="宋体" w:hAnsi="宋体" w:eastAsia="宋体" w:cs="宋体"/>
              <w:color w:val="auto"/>
              <w:spacing w:val="-2"/>
              <w:sz w:val="21"/>
              <w:szCs w:val="21"/>
              <w:highlight w:val="none"/>
            </w:rPr>
            <w:t xml:space="preserve">计价表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"bookmark241" </w:instrText>
          </w:r>
          <w:r>
            <w:rPr>
              <w:color w:val="auto"/>
              <w:highlight w:val="none"/>
            </w:rPr>
            <w:fldChar w:fldCharType="separate"/>
          </w:r>
          <w:r>
            <w:rPr>
              <w:rFonts w:ascii="宋体" w:hAnsi="宋体" w:eastAsia="宋体" w:cs="宋体"/>
              <w:color w:val="auto"/>
              <w:spacing w:val="-2"/>
              <w:sz w:val="21"/>
              <w:szCs w:val="21"/>
              <w:highlight w:val="none"/>
            </w:rPr>
            <w:t>205</w:t>
          </w:r>
          <w:r>
            <w:rPr>
              <w:rFonts w:ascii="宋体" w:hAnsi="宋体" w:eastAsia="宋体" w:cs="宋体"/>
              <w:color w:val="auto"/>
              <w:spacing w:val="-2"/>
              <w:sz w:val="21"/>
              <w:szCs w:val="21"/>
              <w:highlight w:val="none"/>
            </w:rPr>
            <w:fldChar w:fldCharType="end"/>
          </w:r>
        </w:p>
        <w:p w14:paraId="739E1880">
          <w:pPr>
            <w:tabs>
              <w:tab w:val="right" w:leader="dot" w:pos="8317"/>
            </w:tabs>
            <w:spacing w:before="25"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4.10</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综合单价分析表</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"bookmark242" </w:instrText>
          </w:r>
          <w:r>
            <w:rPr>
              <w:color w:val="auto"/>
              <w:highlight w:val="none"/>
            </w:rPr>
            <w:fldChar w:fldCharType="separate"/>
          </w:r>
          <w:r>
            <w:rPr>
              <w:rFonts w:ascii="宋体" w:hAnsi="宋体" w:eastAsia="宋体" w:cs="宋体"/>
              <w:color w:val="auto"/>
              <w:spacing w:val="-2"/>
              <w:sz w:val="21"/>
              <w:szCs w:val="21"/>
              <w:highlight w:val="none"/>
            </w:rPr>
            <w:t>206</w:t>
          </w:r>
          <w:r>
            <w:rPr>
              <w:rFonts w:ascii="宋体" w:hAnsi="宋体" w:eastAsia="宋体" w:cs="宋体"/>
              <w:color w:val="auto"/>
              <w:spacing w:val="-2"/>
              <w:sz w:val="21"/>
              <w:szCs w:val="21"/>
              <w:highlight w:val="none"/>
            </w:rPr>
            <w:fldChar w:fldCharType="end"/>
          </w:r>
        </w:p>
        <w:p w14:paraId="16CA4F10">
          <w:pPr>
            <w:tabs>
              <w:tab w:val="right" w:leader="dot" w:pos="8317"/>
            </w:tabs>
            <w:spacing w:before="24" w:line="219" w:lineRule="auto"/>
            <w:ind w:left="8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4.11</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 xml:space="preserve">总价措施项目清单与计价表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"bookmark243" </w:instrText>
          </w:r>
          <w:r>
            <w:rPr>
              <w:color w:val="auto"/>
              <w:highlight w:val="none"/>
            </w:rPr>
            <w:fldChar w:fldCharType="separate"/>
          </w:r>
          <w:r>
            <w:rPr>
              <w:rFonts w:ascii="宋体" w:hAnsi="宋体" w:eastAsia="宋体" w:cs="宋体"/>
              <w:color w:val="auto"/>
              <w:spacing w:val="-2"/>
              <w:sz w:val="21"/>
              <w:szCs w:val="21"/>
              <w:highlight w:val="none"/>
            </w:rPr>
            <w:t>207</w:t>
          </w:r>
          <w:r>
            <w:rPr>
              <w:rFonts w:ascii="宋体" w:hAnsi="宋体" w:eastAsia="宋体" w:cs="宋体"/>
              <w:color w:val="auto"/>
              <w:spacing w:val="-2"/>
              <w:sz w:val="21"/>
              <w:szCs w:val="21"/>
              <w:highlight w:val="none"/>
            </w:rPr>
            <w:fldChar w:fldCharType="end"/>
          </w:r>
        </w:p>
        <w:p w14:paraId="65C9376E">
          <w:pPr>
            <w:tabs>
              <w:tab w:val="right" w:leader="dot" w:pos="8317"/>
            </w:tabs>
            <w:spacing w:before="25"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 xml:space="preserve">其他项目清单与计价汇总表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"bookmark244" </w:instrText>
          </w:r>
          <w:r>
            <w:rPr>
              <w:color w:val="auto"/>
              <w:highlight w:val="none"/>
            </w:rPr>
            <w:fldChar w:fldCharType="separate"/>
          </w:r>
          <w:r>
            <w:rPr>
              <w:rFonts w:ascii="宋体" w:hAnsi="宋体" w:eastAsia="宋体" w:cs="宋体"/>
              <w:color w:val="auto"/>
              <w:spacing w:val="-2"/>
              <w:sz w:val="21"/>
              <w:szCs w:val="21"/>
              <w:highlight w:val="none"/>
            </w:rPr>
            <w:t>208</w:t>
          </w:r>
          <w:r>
            <w:rPr>
              <w:rFonts w:ascii="宋体" w:hAnsi="宋体" w:eastAsia="宋体" w:cs="宋体"/>
              <w:color w:val="auto"/>
              <w:spacing w:val="-2"/>
              <w:sz w:val="21"/>
              <w:szCs w:val="21"/>
              <w:highlight w:val="none"/>
            </w:rPr>
            <w:fldChar w:fldCharType="end"/>
          </w:r>
        </w:p>
        <w:p w14:paraId="5107347C">
          <w:pPr>
            <w:tabs>
              <w:tab w:val="right" w:leader="dot" w:pos="8317"/>
            </w:tabs>
            <w:spacing w:before="19" w:line="221"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4.12-1</w:t>
          </w:r>
          <w:r>
            <w:rPr>
              <w:rFonts w:ascii="宋体" w:hAnsi="宋体" w:eastAsia="宋体" w:cs="宋体"/>
              <w:color w:val="auto"/>
              <w:spacing w:val="-32"/>
              <w:sz w:val="21"/>
              <w:szCs w:val="21"/>
              <w:highlight w:val="none"/>
            </w:rPr>
            <w:t xml:space="preserve"> </w:t>
          </w:r>
          <w:r>
            <w:rPr>
              <w:rFonts w:ascii="宋体" w:hAnsi="宋体" w:eastAsia="宋体" w:cs="宋体"/>
              <w:color w:val="auto"/>
              <w:spacing w:val="-2"/>
              <w:sz w:val="21"/>
              <w:szCs w:val="21"/>
              <w:highlight w:val="none"/>
            </w:rPr>
            <w:t>暂列金额明细表</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"bookmark245" </w:instrText>
          </w:r>
          <w:r>
            <w:rPr>
              <w:color w:val="auto"/>
              <w:highlight w:val="none"/>
            </w:rPr>
            <w:fldChar w:fldCharType="separate"/>
          </w:r>
          <w:r>
            <w:rPr>
              <w:rFonts w:ascii="宋体" w:hAnsi="宋体" w:eastAsia="宋体" w:cs="宋体"/>
              <w:color w:val="auto"/>
              <w:spacing w:val="-2"/>
              <w:sz w:val="21"/>
              <w:szCs w:val="21"/>
              <w:highlight w:val="none"/>
            </w:rPr>
            <w:t>209</w:t>
          </w:r>
          <w:r>
            <w:rPr>
              <w:rFonts w:ascii="宋体" w:hAnsi="宋体" w:eastAsia="宋体" w:cs="宋体"/>
              <w:color w:val="auto"/>
              <w:spacing w:val="-2"/>
              <w:sz w:val="21"/>
              <w:szCs w:val="21"/>
              <w:highlight w:val="none"/>
            </w:rPr>
            <w:fldChar w:fldCharType="end"/>
          </w:r>
        </w:p>
        <w:p w14:paraId="48EF6A4C">
          <w:pPr>
            <w:tabs>
              <w:tab w:val="right" w:leader="dot" w:pos="8317"/>
            </w:tabs>
            <w:spacing w:before="22"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4.12-2</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材料（工程设备）暂估单价及调</w:t>
          </w:r>
          <w:r>
            <w:rPr>
              <w:rFonts w:ascii="宋体" w:hAnsi="宋体" w:eastAsia="宋体" w:cs="宋体"/>
              <w:color w:val="auto"/>
              <w:spacing w:val="-2"/>
              <w:sz w:val="21"/>
              <w:szCs w:val="21"/>
              <w:highlight w:val="none"/>
            </w:rPr>
            <w:t xml:space="preserve">整表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"bookmark246" </w:instrText>
          </w:r>
          <w:r>
            <w:rPr>
              <w:color w:val="auto"/>
              <w:highlight w:val="none"/>
            </w:rPr>
            <w:fldChar w:fldCharType="separate"/>
          </w:r>
          <w:r>
            <w:rPr>
              <w:rFonts w:ascii="宋体" w:hAnsi="宋体" w:eastAsia="宋体" w:cs="宋体"/>
              <w:color w:val="auto"/>
              <w:spacing w:val="-2"/>
              <w:sz w:val="21"/>
              <w:szCs w:val="21"/>
              <w:highlight w:val="none"/>
            </w:rPr>
            <w:t>210</w:t>
          </w:r>
          <w:r>
            <w:rPr>
              <w:rFonts w:ascii="宋体" w:hAnsi="宋体" w:eastAsia="宋体" w:cs="宋体"/>
              <w:color w:val="auto"/>
              <w:spacing w:val="-2"/>
              <w:sz w:val="21"/>
              <w:szCs w:val="21"/>
              <w:highlight w:val="none"/>
            </w:rPr>
            <w:fldChar w:fldCharType="end"/>
          </w:r>
        </w:p>
        <w:p w14:paraId="3C3D17B3">
          <w:pPr>
            <w:tabs>
              <w:tab w:val="right" w:leader="dot" w:pos="8317"/>
            </w:tabs>
            <w:spacing w:before="25"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4.12-3</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 xml:space="preserve">专业工程暂估价及结算价表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"bookmark247" </w:instrText>
          </w:r>
          <w:r>
            <w:rPr>
              <w:color w:val="auto"/>
              <w:highlight w:val="none"/>
            </w:rPr>
            <w:fldChar w:fldCharType="separate"/>
          </w:r>
          <w:r>
            <w:rPr>
              <w:rFonts w:ascii="宋体" w:hAnsi="宋体" w:eastAsia="宋体" w:cs="宋体"/>
              <w:color w:val="auto"/>
              <w:spacing w:val="-2"/>
              <w:sz w:val="21"/>
              <w:szCs w:val="21"/>
              <w:highlight w:val="none"/>
            </w:rPr>
            <w:t>211</w:t>
          </w:r>
          <w:r>
            <w:rPr>
              <w:rFonts w:ascii="宋体" w:hAnsi="宋体" w:eastAsia="宋体" w:cs="宋体"/>
              <w:color w:val="auto"/>
              <w:spacing w:val="-2"/>
              <w:sz w:val="21"/>
              <w:szCs w:val="21"/>
              <w:highlight w:val="none"/>
            </w:rPr>
            <w:fldChar w:fldCharType="end"/>
          </w:r>
        </w:p>
        <w:p w14:paraId="1F44A978">
          <w:pPr>
            <w:tabs>
              <w:tab w:val="right" w:leader="dot" w:pos="8317"/>
            </w:tabs>
            <w:spacing w:before="25" w:line="222"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4.12-4</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计日工表</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"bookmark248" </w:instrText>
          </w:r>
          <w:r>
            <w:rPr>
              <w:color w:val="auto"/>
              <w:highlight w:val="none"/>
            </w:rPr>
            <w:fldChar w:fldCharType="separate"/>
          </w:r>
          <w:r>
            <w:rPr>
              <w:rFonts w:ascii="宋体" w:hAnsi="宋体" w:eastAsia="宋体" w:cs="宋体"/>
              <w:color w:val="auto"/>
              <w:spacing w:val="-2"/>
              <w:sz w:val="21"/>
              <w:szCs w:val="21"/>
              <w:highlight w:val="none"/>
            </w:rPr>
            <w:t>212</w:t>
          </w:r>
          <w:r>
            <w:rPr>
              <w:rFonts w:ascii="宋体" w:hAnsi="宋体" w:eastAsia="宋体" w:cs="宋体"/>
              <w:color w:val="auto"/>
              <w:spacing w:val="-2"/>
              <w:sz w:val="21"/>
              <w:szCs w:val="21"/>
              <w:highlight w:val="none"/>
            </w:rPr>
            <w:fldChar w:fldCharType="end"/>
          </w:r>
        </w:p>
      </w:sdtContent>
    </w:sdt>
    <w:p w14:paraId="288E9DA9">
      <w:pPr>
        <w:spacing w:line="222" w:lineRule="auto"/>
        <w:rPr>
          <w:rFonts w:ascii="宋体" w:hAnsi="宋体" w:eastAsia="宋体" w:cs="宋体"/>
          <w:color w:val="auto"/>
          <w:sz w:val="21"/>
          <w:szCs w:val="21"/>
          <w:highlight w:val="none"/>
        </w:rPr>
        <w:sectPr>
          <w:footerReference r:id="rId10" w:type="default"/>
          <w:pgSz w:w="11905" w:h="16839"/>
          <w:pgMar w:top="1427" w:right="1785" w:bottom="1033" w:left="1785" w:header="0" w:footer="848" w:gutter="0"/>
          <w:pgNumType w:fmt="decimal"/>
          <w:cols w:space="720" w:num="1"/>
        </w:sectPr>
      </w:pPr>
    </w:p>
    <w:sdt>
      <w:sdtPr>
        <w:rPr>
          <w:rFonts w:ascii="宋体" w:hAnsi="宋体" w:eastAsia="宋体" w:cs="宋体"/>
          <w:color w:val="auto"/>
          <w:sz w:val="21"/>
          <w:szCs w:val="21"/>
          <w:highlight w:val="none"/>
        </w:rPr>
        <w:id w:val="6"/>
        <w:docPartObj>
          <w:docPartGallery w:val="Table of Contents"/>
          <w:docPartUnique/>
        </w:docPartObj>
      </w:sdtPr>
      <w:sdtEndPr>
        <w:rPr>
          <w:rFonts w:ascii="宋体" w:hAnsi="宋体" w:eastAsia="宋体" w:cs="宋体"/>
          <w:color w:val="auto"/>
          <w:sz w:val="21"/>
          <w:szCs w:val="21"/>
          <w:highlight w:val="none"/>
        </w:rPr>
      </w:sdtEndPr>
      <w:sdtContent>
        <w:p w14:paraId="69EC70F9">
          <w:pPr>
            <w:tabs>
              <w:tab w:val="right" w:leader="dot" w:pos="8317"/>
            </w:tabs>
            <w:spacing w:before="42"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4.12-5</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总承包服务费计价表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"bookmark249" </w:instrText>
          </w:r>
          <w:r>
            <w:rPr>
              <w:color w:val="auto"/>
              <w:highlight w:val="none"/>
            </w:rPr>
            <w:fldChar w:fldCharType="separate"/>
          </w:r>
          <w:r>
            <w:rPr>
              <w:rFonts w:ascii="宋体" w:hAnsi="宋体" w:eastAsia="宋体" w:cs="宋体"/>
              <w:color w:val="auto"/>
              <w:spacing w:val="-2"/>
              <w:sz w:val="21"/>
              <w:szCs w:val="21"/>
              <w:highlight w:val="none"/>
            </w:rPr>
            <w:t>213</w:t>
          </w:r>
          <w:r>
            <w:rPr>
              <w:rFonts w:ascii="宋体" w:hAnsi="宋体" w:eastAsia="宋体" w:cs="宋体"/>
              <w:color w:val="auto"/>
              <w:spacing w:val="-2"/>
              <w:sz w:val="21"/>
              <w:szCs w:val="21"/>
              <w:highlight w:val="none"/>
            </w:rPr>
            <w:fldChar w:fldCharType="end"/>
          </w:r>
        </w:p>
        <w:p w14:paraId="1743603F">
          <w:pPr>
            <w:tabs>
              <w:tab w:val="right" w:leader="dot" w:pos="8317"/>
            </w:tabs>
            <w:spacing w:before="19"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4.13</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规费、税金项目计价表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"bookmark250" </w:instrText>
          </w:r>
          <w:r>
            <w:rPr>
              <w:color w:val="auto"/>
              <w:highlight w:val="none"/>
            </w:rPr>
            <w:fldChar w:fldCharType="separate"/>
          </w:r>
          <w:r>
            <w:rPr>
              <w:rFonts w:ascii="宋体" w:hAnsi="宋体" w:eastAsia="宋体" w:cs="宋体"/>
              <w:color w:val="auto"/>
              <w:spacing w:val="-2"/>
              <w:sz w:val="21"/>
              <w:szCs w:val="21"/>
              <w:highlight w:val="none"/>
            </w:rPr>
            <w:t>214</w:t>
          </w:r>
          <w:r>
            <w:rPr>
              <w:rFonts w:ascii="宋体" w:hAnsi="宋体" w:eastAsia="宋体" w:cs="宋体"/>
              <w:color w:val="auto"/>
              <w:spacing w:val="-2"/>
              <w:sz w:val="21"/>
              <w:szCs w:val="21"/>
              <w:highlight w:val="none"/>
            </w:rPr>
            <w:fldChar w:fldCharType="end"/>
          </w:r>
        </w:p>
        <w:p w14:paraId="4046DFB0">
          <w:pPr>
            <w:tabs>
              <w:tab w:val="right" w:leader="dot" w:pos="8317"/>
            </w:tabs>
            <w:spacing w:before="24" w:line="220"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4.14</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 xml:space="preserve">发包人提供材料和工程设备一览表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"bookmark251" </w:instrText>
          </w:r>
          <w:r>
            <w:rPr>
              <w:color w:val="auto"/>
              <w:highlight w:val="none"/>
            </w:rPr>
            <w:fldChar w:fldCharType="separate"/>
          </w:r>
          <w:r>
            <w:rPr>
              <w:rFonts w:ascii="宋体" w:hAnsi="宋体" w:eastAsia="宋体" w:cs="宋体"/>
              <w:color w:val="auto"/>
              <w:spacing w:val="-2"/>
              <w:sz w:val="21"/>
              <w:szCs w:val="21"/>
              <w:highlight w:val="none"/>
            </w:rPr>
            <w:t>215</w:t>
          </w:r>
          <w:r>
            <w:rPr>
              <w:rFonts w:ascii="宋体" w:hAnsi="宋体" w:eastAsia="宋体" w:cs="宋体"/>
              <w:color w:val="auto"/>
              <w:spacing w:val="-2"/>
              <w:sz w:val="21"/>
              <w:szCs w:val="21"/>
              <w:highlight w:val="none"/>
            </w:rPr>
            <w:fldChar w:fldCharType="end"/>
          </w:r>
        </w:p>
      </w:sdtContent>
    </w:sdt>
    <w:p w14:paraId="0231B6BC">
      <w:pPr>
        <w:spacing w:before="23" w:line="219" w:lineRule="auto"/>
        <w:ind w:right="1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4.15</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承包人提供主要材料和工程设备一览表（适用于造价信息差额调整法）</w:t>
      </w:r>
      <w:r>
        <w:rPr>
          <w:rFonts w:ascii="宋体" w:hAnsi="宋体" w:eastAsia="宋体" w:cs="宋体"/>
          <w:color w:val="auto"/>
          <w:spacing w:val="73"/>
          <w:sz w:val="21"/>
          <w:szCs w:val="21"/>
          <w:highlight w:val="none"/>
        </w:rPr>
        <w:t xml:space="preserve"> </w:t>
      </w:r>
      <w:r>
        <w:rPr>
          <w:rFonts w:ascii="宋体" w:hAnsi="宋体" w:eastAsia="宋体" w:cs="宋体"/>
          <w:color w:val="auto"/>
          <w:spacing w:val="-1"/>
          <w:sz w:val="21"/>
          <w:szCs w:val="21"/>
          <w:highlight w:val="none"/>
        </w:rPr>
        <w:t>216</w:t>
      </w:r>
    </w:p>
    <w:p w14:paraId="561E44DA">
      <w:pPr>
        <w:spacing w:before="25" w:line="219" w:lineRule="auto"/>
        <w:ind w:right="1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4.16</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承包人提供主要材料和工程设备一览表（适用于价格指数差额调整法）</w:t>
      </w:r>
      <w:r>
        <w:rPr>
          <w:rFonts w:ascii="宋体" w:hAnsi="宋体" w:eastAsia="宋体" w:cs="宋体"/>
          <w:color w:val="auto"/>
          <w:spacing w:val="73"/>
          <w:sz w:val="21"/>
          <w:szCs w:val="21"/>
          <w:highlight w:val="none"/>
        </w:rPr>
        <w:t xml:space="preserve"> </w:t>
      </w:r>
      <w:r>
        <w:rPr>
          <w:rFonts w:ascii="宋体" w:hAnsi="宋体" w:eastAsia="宋体" w:cs="宋体"/>
          <w:color w:val="auto"/>
          <w:spacing w:val="-1"/>
          <w:sz w:val="21"/>
          <w:szCs w:val="21"/>
          <w:highlight w:val="none"/>
        </w:rPr>
        <w:t>217</w:t>
      </w:r>
    </w:p>
    <w:sdt>
      <w:sdtPr>
        <w:rPr>
          <w:rFonts w:ascii="宋体" w:hAnsi="宋体" w:eastAsia="宋体" w:cs="宋体"/>
          <w:color w:val="auto"/>
          <w:sz w:val="21"/>
          <w:szCs w:val="21"/>
          <w:highlight w:val="none"/>
        </w:rPr>
        <w:id w:val="7"/>
        <w:docPartObj>
          <w:docPartGallery w:val="Table of Contents"/>
          <w:docPartUnique/>
        </w:docPartObj>
      </w:sdtPr>
      <w:sdtEndPr>
        <w:rPr>
          <w:rFonts w:ascii="宋体" w:hAnsi="宋体" w:eastAsia="宋体" w:cs="宋体"/>
          <w:color w:val="auto"/>
          <w:sz w:val="21"/>
          <w:szCs w:val="21"/>
          <w:highlight w:val="none"/>
        </w:rPr>
      </w:sdtEndPr>
      <w:sdtContent>
        <w:p w14:paraId="4F9CD48F">
          <w:pPr>
            <w:tabs>
              <w:tab w:val="right" w:leader="dot" w:pos="8307"/>
            </w:tabs>
            <w:spacing w:before="19"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第二卷</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"bookmark252"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218</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44CF6C9F">
          <w:pPr>
            <w:tabs>
              <w:tab w:val="right" w:leader="dot" w:pos="8307"/>
            </w:tabs>
            <w:spacing w:before="22" w:line="220" w:lineRule="auto"/>
            <w:ind w:left="1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第六章</w:t>
          </w:r>
          <w:r>
            <w:rPr>
              <w:rFonts w:ascii="宋体" w:hAnsi="宋体" w:eastAsia="宋体" w:cs="宋体"/>
              <w:color w:val="auto"/>
              <w:spacing w:val="16"/>
              <w:sz w:val="21"/>
              <w:szCs w:val="21"/>
              <w:highlight w:val="none"/>
            </w:rPr>
            <w:t xml:space="preserve">  </w:t>
          </w: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图</w:t>
          </w:r>
          <w:r>
            <w:rPr>
              <w:rFonts w:ascii="宋体" w:hAnsi="宋体" w:eastAsia="宋体" w:cs="宋体"/>
              <w:color w:val="auto"/>
              <w:spacing w:val="6"/>
              <w:sz w:val="21"/>
              <w:szCs w:val="21"/>
              <w:highlight w:val="none"/>
            </w:rPr>
            <w:t xml:space="preserve">  </w:t>
          </w: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纸</w:t>
          </w:r>
          <w:r>
            <w:rPr>
              <w:rFonts w:ascii="宋体" w:hAnsi="宋体" w:eastAsia="宋体" w:cs="宋体"/>
              <w:color w:val="auto"/>
              <w:spacing w:val="-5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1"/>
              <w:sz w:val="21"/>
              <w:szCs w:val="21"/>
              <w:highlight w:val="none"/>
            </w:rPr>
            <w:t xml:space="preserve"> </w:t>
          </w:r>
          <w:r>
            <w:rPr>
              <w:color w:val="auto"/>
              <w:highlight w:val="none"/>
            </w:rPr>
            <w:fldChar w:fldCharType="begin"/>
          </w:r>
          <w:r>
            <w:rPr>
              <w:color w:val="auto"/>
              <w:highlight w:val="none"/>
            </w:rPr>
            <w:instrText xml:space="preserve"> HYPERLINK \l "bookmark253"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219</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29FDE2AE">
          <w:pPr>
            <w:tabs>
              <w:tab w:val="right" w:leader="dot" w:pos="8317"/>
            </w:tabs>
            <w:spacing w:before="24" w:line="222"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1．图纸目录</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"bookmark254" </w:instrText>
          </w:r>
          <w:r>
            <w:rPr>
              <w:color w:val="auto"/>
              <w:highlight w:val="none"/>
            </w:rPr>
            <w:fldChar w:fldCharType="separate"/>
          </w:r>
          <w:r>
            <w:rPr>
              <w:rFonts w:ascii="宋体" w:hAnsi="宋体" w:eastAsia="宋体" w:cs="宋体"/>
              <w:color w:val="auto"/>
              <w:spacing w:val="-2"/>
              <w:sz w:val="21"/>
              <w:szCs w:val="21"/>
              <w:highlight w:val="none"/>
            </w:rPr>
            <w:t>220</w:t>
          </w:r>
          <w:r>
            <w:rPr>
              <w:rFonts w:ascii="宋体" w:hAnsi="宋体" w:eastAsia="宋体" w:cs="宋体"/>
              <w:color w:val="auto"/>
              <w:spacing w:val="-2"/>
              <w:sz w:val="21"/>
              <w:szCs w:val="21"/>
              <w:highlight w:val="none"/>
            </w:rPr>
            <w:fldChar w:fldCharType="end"/>
          </w:r>
        </w:p>
        <w:p w14:paraId="47AF909A">
          <w:pPr>
            <w:tabs>
              <w:tab w:val="right" w:leader="dot" w:pos="8317"/>
            </w:tabs>
            <w:spacing w:before="21" w:line="222" w:lineRule="auto"/>
            <w:ind w:left="44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2．图</w:t>
          </w:r>
          <w:r>
            <w:rPr>
              <w:rFonts w:ascii="宋体" w:hAnsi="宋体" w:eastAsia="宋体" w:cs="宋体"/>
              <w:color w:val="auto"/>
              <w:spacing w:val="6"/>
              <w:sz w:val="21"/>
              <w:szCs w:val="21"/>
              <w:highlight w:val="none"/>
            </w:rPr>
            <w:t xml:space="preserve">  </w:t>
          </w:r>
          <w:r>
            <w:rPr>
              <w:rFonts w:ascii="宋体" w:hAnsi="宋体" w:eastAsia="宋体" w:cs="宋体"/>
              <w:color w:val="auto"/>
              <w:spacing w:val="-5"/>
              <w:sz w:val="21"/>
              <w:szCs w:val="21"/>
              <w:highlight w:val="none"/>
            </w:rPr>
            <w:t>纸</w:t>
          </w:r>
          <w:r>
            <w:rPr>
              <w:rFonts w:ascii="宋体" w:hAnsi="宋体" w:eastAsia="宋体" w:cs="宋体"/>
              <w:color w:val="auto"/>
              <w:spacing w:val="-9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"bookmark255" </w:instrText>
          </w:r>
          <w:r>
            <w:rPr>
              <w:color w:val="auto"/>
              <w:highlight w:val="none"/>
            </w:rPr>
            <w:fldChar w:fldCharType="separate"/>
          </w:r>
          <w:r>
            <w:rPr>
              <w:rFonts w:ascii="宋体" w:hAnsi="宋体" w:eastAsia="宋体" w:cs="宋体"/>
              <w:color w:val="auto"/>
              <w:spacing w:val="-2"/>
              <w:sz w:val="21"/>
              <w:szCs w:val="21"/>
              <w:highlight w:val="none"/>
            </w:rPr>
            <w:t>221</w:t>
          </w:r>
          <w:r>
            <w:rPr>
              <w:rFonts w:ascii="宋体" w:hAnsi="宋体" w:eastAsia="宋体" w:cs="宋体"/>
              <w:color w:val="auto"/>
              <w:spacing w:val="-2"/>
              <w:sz w:val="21"/>
              <w:szCs w:val="21"/>
              <w:highlight w:val="none"/>
            </w:rPr>
            <w:fldChar w:fldCharType="end"/>
          </w:r>
        </w:p>
        <w:p w14:paraId="73A8DC07">
          <w:pPr>
            <w:tabs>
              <w:tab w:val="right" w:leader="dot" w:pos="8307"/>
            </w:tabs>
            <w:spacing w:before="15"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第三卷</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"bookmark256"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222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084B2FD8">
          <w:pPr>
            <w:tabs>
              <w:tab w:val="right" w:leader="dot" w:pos="8307"/>
            </w:tabs>
            <w:spacing w:before="23"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第七章</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技术标准和要求</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1"/>
              <w:sz w:val="21"/>
              <w:szCs w:val="21"/>
              <w:highlight w:val="none"/>
            </w:rPr>
            <w:t xml:space="preserve"> </w:t>
          </w:r>
          <w:r>
            <w:rPr>
              <w:color w:val="auto"/>
              <w:highlight w:val="none"/>
            </w:rPr>
            <w:fldChar w:fldCharType="begin"/>
          </w:r>
          <w:r>
            <w:rPr>
              <w:color w:val="auto"/>
              <w:highlight w:val="none"/>
            </w:rPr>
            <w:instrText xml:space="preserve"> HYPERLINK \l "bookmark257"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223</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1657BCD8">
          <w:pPr>
            <w:tabs>
              <w:tab w:val="right" w:leader="dot" w:pos="8317"/>
            </w:tabs>
            <w:spacing w:before="23"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第一节 一般要求</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"bookmark258" </w:instrText>
          </w:r>
          <w:r>
            <w:rPr>
              <w:color w:val="auto"/>
              <w:highlight w:val="none"/>
            </w:rPr>
            <w:fldChar w:fldCharType="separate"/>
          </w:r>
          <w:r>
            <w:rPr>
              <w:rFonts w:ascii="宋体" w:hAnsi="宋体" w:eastAsia="宋体" w:cs="宋体"/>
              <w:color w:val="auto"/>
              <w:spacing w:val="-2"/>
              <w:sz w:val="21"/>
              <w:szCs w:val="21"/>
              <w:highlight w:val="none"/>
            </w:rPr>
            <w:t>224</w:t>
          </w:r>
          <w:r>
            <w:rPr>
              <w:rFonts w:ascii="宋体" w:hAnsi="宋体" w:eastAsia="宋体" w:cs="宋体"/>
              <w:color w:val="auto"/>
              <w:spacing w:val="-2"/>
              <w:sz w:val="21"/>
              <w:szCs w:val="21"/>
              <w:highlight w:val="none"/>
            </w:rPr>
            <w:fldChar w:fldCharType="end"/>
          </w:r>
        </w:p>
        <w:p w14:paraId="05C7A802">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1.工程说明</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"bookmark259" </w:instrText>
          </w:r>
          <w:r>
            <w:rPr>
              <w:color w:val="auto"/>
              <w:highlight w:val="none"/>
            </w:rPr>
            <w:fldChar w:fldCharType="separate"/>
          </w:r>
          <w:r>
            <w:rPr>
              <w:rFonts w:ascii="宋体" w:hAnsi="宋体" w:eastAsia="宋体" w:cs="宋体"/>
              <w:color w:val="auto"/>
              <w:spacing w:val="-2"/>
              <w:sz w:val="21"/>
              <w:szCs w:val="21"/>
              <w:highlight w:val="none"/>
            </w:rPr>
            <w:t>224</w:t>
          </w:r>
          <w:r>
            <w:rPr>
              <w:rFonts w:ascii="宋体" w:hAnsi="宋体" w:eastAsia="宋体" w:cs="宋体"/>
              <w:color w:val="auto"/>
              <w:spacing w:val="-2"/>
              <w:sz w:val="21"/>
              <w:szCs w:val="21"/>
              <w:highlight w:val="none"/>
            </w:rPr>
            <w:fldChar w:fldCharType="end"/>
          </w:r>
        </w:p>
        <w:p w14:paraId="043F5192">
          <w:pPr>
            <w:tabs>
              <w:tab w:val="right" w:leader="dot" w:pos="8317"/>
            </w:tabs>
            <w:spacing w:before="17"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2.承包范围</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"bookmark260" </w:instrText>
          </w:r>
          <w:r>
            <w:rPr>
              <w:color w:val="auto"/>
              <w:highlight w:val="none"/>
            </w:rPr>
            <w:fldChar w:fldCharType="separate"/>
          </w:r>
          <w:r>
            <w:rPr>
              <w:rFonts w:ascii="宋体" w:hAnsi="宋体" w:eastAsia="宋体" w:cs="宋体"/>
              <w:color w:val="auto"/>
              <w:spacing w:val="-2"/>
              <w:sz w:val="21"/>
              <w:szCs w:val="21"/>
              <w:highlight w:val="none"/>
            </w:rPr>
            <w:t>225</w:t>
          </w:r>
          <w:r>
            <w:rPr>
              <w:rFonts w:ascii="宋体" w:hAnsi="宋体" w:eastAsia="宋体" w:cs="宋体"/>
              <w:color w:val="auto"/>
              <w:spacing w:val="-2"/>
              <w:sz w:val="21"/>
              <w:szCs w:val="21"/>
              <w:highlight w:val="none"/>
            </w:rPr>
            <w:fldChar w:fldCharType="end"/>
          </w:r>
        </w:p>
        <w:p w14:paraId="744A6652">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3.工期要求</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"bookmark261" </w:instrText>
          </w:r>
          <w:r>
            <w:rPr>
              <w:color w:val="auto"/>
              <w:highlight w:val="none"/>
            </w:rPr>
            <w:fldChar w:fldCharType="separate"/>
          </w:r>
          <w:r>
            <w:rPr>
              <w:rFonts w:ascii="宋体" w:hAnsi="宋体" w:eastAsia="宋体" w:cs="宋体"/>
              <w:color w:val="auto"/>
              <w:spacing w:val="-2"/>
              <w:sz w:val="21"/>
              <w:szCs w:val="21"/>
              <w:highlight w:val="none"/>
            </w:rPr>
            <w:t>226</w:t>
          </w:r>
          <w:r>
            <w:rPr>
              <w:rFonts w:ascii="宋体" w:hAnsi="宋体" w:eastAsia="宋体" w:cs="宋体"/>
              <w:color w:val="auto"/>
              <w:spacing w:val="-2"/>
              <w:sz w:val="21"/>
              <w:szCs w:val="21"/>
              <w:highlight w:val="none"/>
            </w:rPr>
            <w:fldChar w:fldCharType="end"/>
          </w:r>
        </w:p>
        <w:p w14:paraId="18AAB5A7">
          <w:pPr>
            <w:tabs>
              <w:tab w:val="right" w:leader="dot" w:pos="8317"/>
            </w:tabs>
            <w:spacing w:before="22"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4.质量要求</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"bookmark262" </w:instrText>
          </w:r>
          <w:r>
            <w:rPr>
              <w:color w:val="auto"/>
              <w:highlight w:val="none"/>
            </w:rPr>
            <w:fldChar w:fldCharType="separate"/>
          </w:r>
          <w:r>
            <w:rPr>
              <w:rFonts w:ascii="宋体" w:hAnsi="宋体" w:eastAsia="宋体" w:cs="宋体"/>
              <w:color w:val="auto"/>
              <w:spacing w:val="-2"/>
              <w:sz w:val="21"/>
              <w:szCs w:val="21"/>
              <w:highlight w:val="none"/>
            </w:rPr>
            <w:t>226</w:t>
          </w:r>
          <w:r>
            <w:rPr>
              <w:rFonts w:ascii="宋体" w:hAnsi="宋体" w:eastAsia="宋体" w:cs="宋体"/>
              <w:color w:val="auto"/>
              <w:spacing w:val="-2"/>
              <w:sz w:val="21"/>
              <w:szCs w:val="21"/>
              <w:highlight w:val="none"/>
            </w:rPr>
            <w:fldChar w:fldCharType="end"/>
          </w:r>
        </w:p>
        <w:p w14:paraId="37B2CDB5">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5.适用规范和标准</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"bookmark263" </w:instrText>
          </w:r>
          <w:r>
            <w:rPr>
              <w:color w:val="auto"/>
              <w:highlight w:val="none"/>
            </w:rPr>
            <w:fldChar w:fldCharType="separate"/>
          </w:r>
          <w:r>
            <w:rPr>
              <w:rFonts w:ascii="宋体" w:hAnsi="宋体" w:eastAsia="宋体" w:cs="宋体"/>
              <w:color w:val="auto"/>
              <w:spacing w:val="-2"/>
              <w:sz w:val="21"/>
              <w:szCs w:val="21"/>
              <w:highlight w:val="none"/>
            </w:rPr>
            <w:t>227</w:t>
          </w:r>
          <w:r>
            <w:rPr>
              <w:rFonts w:ascii="宋体" w:hAnsi="宋体" w:eastAsia="宋体" w:cs="宋体"/>
              <w:color w:val="auto"/>
              <w:spacing w:val="-2"/>
              <w:sz w:val="21"/>
              <w:szCs w:val="21"/>
              <w:highlight w:val="none"/>
            </w:rPr>
            <w:fldChar w:fldCharType="end"/>
          </w:r>
        </w:p>
        <w:p w14:paraId="3EA17313">
          <w:pPr>
            <w:tabs>
              <w:tab w:val="right" w:leader="dot" w:pos="8317"/>
            </w:tabs>
            <w:spacing w:before="17" w:line="221" w:lineRule="auto"/>
            <w:ind w:left="8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6.安全文明施工</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"bookmark264" </w:instrText>
          </w:r>
          <w:r>
            <w:rPr>
              <w:color w:val="auto"/>
              <w:highlight w:val="none"/>
            </w:rPr>
            <w:fldChar w:fldCharType="separate"/>
          </w:r>
          <w:r>
            <w:rPr>
              <w:rFonts w:ascii="宋体" w:hAnsi="宋体" w:eastAsia="宋体" w:cs="宋体"/>
              <w:color w:val="auto"/>
              <w:spacing w:val="-2"/>
              <w:sz w:val="21"/>
              <w:szCs w:val="21"/>
              <w:highlight w:val="none"/>
            </w:rPr>
            <w:t>227</w:t>
          </w:r>
          <w:r>
            <w:rPr>
              <w:rFonts w:ascii="宋体" w:hAnsi="宋体" w:eastAsia="宋体" w:cs="宋体"/>
              <w:color w:val="auto"/>
              <w:spacing w:val="-2"/>
              <w:sz w:val="21"/>
              <w:szCs w:val="21"/>
              <w:highlight w:val="none"/>
            </w:rPr>
            <w:fldChar w:fldCharType="end"/>
          </w:r>
        </w:p>
        <w:p w14:paraId="6B16681F">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7.治安保卫</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"bookmark265" </w:instrText>
          </w:r>
          <w:r>
            <w:rPr>
              <w:color w:val="auto"/>
              <w:highlight w:val="none"/>
            </w:rPr>
            <w:fldChar w:fldCharType="separate"/>
          </w:r>
          <w:r>
            <w:rPr>
              <w:rFonts w:ascii="宋体" w:hAnsi="宋体" w:eastAsia="宋体" w:cs="宋体"/>
              <w:color w:val="auto"/>
              <w:spacing w:val="-2"/>
              <w:sz w:val="21"/>
              <w:szCs w:val="21"/>
              <w:highlight w:val="none"/>
            </w:rPr>
            <w:t>236</w:t>
          </w:r>
          <w:r>
            <w:rPr>
              <w:rFonts w:ascii="宋体" w:hAnsi="宋体" w:eastAsia="宋体" w:cs="宋体"/>
              <w:color w:val="auto"/>
              <w:spacing w:val="-2"/>
              <w:sz w:val="21"/>
              <w:szCs w:val="21"/>
              <w:highlight w:val="none"/>
            </w:rPr>
            <w:fldChar w:fldCharType="end"/>
          </w:r>
        </w:p>
        <w:p w14:paraId="0D34751B">
          <w:pPr>
            <w:tabs>
              <w:tab w:val="right" w:leader="dot" w:pos="8317"/>
            </w:tabs>
            <w:spacing w:before="21" w:line="221"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8.地上、地下设施和周边建筑物的临时保护</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"bookmark266" </w:instrText>
          </w:r>
          <w:r>
            <w:rPr>
              <w:color w:val="auto"/>
              <w:highlight w:val="none"/>
            </w:rPr>
            <w:fldChar w:fldCharType="separate"/>
          </w:r>
          <w:r>
            <w:rPr>
              <w:rFonts w:ascii="宋体" w:hAnsi="宋体" w:eastAsia="宋体" w:cs="宋体"/>
              <w:color w:val="auto"/>
              <w:spacing w:val="-2"/>
              <w:sz w:val="21"/>
              <w:szCs w:val="21"/>
              <w:highlight w:val="none"/>
            </w:rPr>
            <w:t>237</w:t>
          </w:r>
          <w:r>
            <w:rPr>
              <w:rFonts w:ascii="宋体" w:hAnsi="宋体" w:eastAsia="宋体" w:cs="宋体"/>
              <w:color w:val="auto"/>
              <w:spacing w:val="-2"/>
              <w:sz w:val="21"/>
              <w:szCs w:val="21"/>
              <w:highlight w:val="none"/>
            </w:rPr>
            <w:fldChar w:fldCharType="end"/>
          </w:r>
        </w:p>
        <w:p w14:paraId="3A05D812">
          <w:pPr>
            <w:tabs>
              <w:tab w:val="right" w:leader="dot" w:pos="8317"/>
            </w:tabs>
            <w:spacing w:before="23" w:line="220"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9.样品和材料代换</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"bookmark267" </w:instrText>
          </w:r>
          <w:r>
            <w:rPr>
              <w:color w:val="auto"/>
              <w:highlight w:val="none"/>
            </w:rPr>
            <w:fldChar w:fldCharType="separate"/>
          </w:r>
          <w:r>
            <w:rPr>
              <w:rFonts w:ascii="宋体" w:hAnsi="宋体" w:eastAsia="宋体" w:cs="宋体"/>
              <w:color w:val="auto"/>
              <w:spacing w:val="-2"/>
              <w:sz w:val="21"/>
              <w:szCs w:val="21"/>
              <w:highlight w:val="none"/>
            </w:rPr>
            <w:t>238</w:t>
          </w:r>
          <w:r>
            <w:rPr>
              <w:rFonts w:ascii="宋体" w:hAnsi="宋体" w:eastAsia="宋体" w:cs="宋体"/>
              <w:color w:val="auto"/>
              <w:spacing w:val="-2"/>
              <w:sz w:val="21"/>
              <w:szCs w:val="21"/>
              <w:highlight w:val="none"/>
            </w:rPr>
            <w:fldChar w:fldCharType="end"/>
          </w:r>
        </w:p>
        <w:p w14:paraId="6AA2F29D">
          <w:pPr>
            <w:tabs>
              <w:tab w:val="right" w:leader="dot" w:pos="8317"/>
            </w:tabs>
            <w:spacing w:before="18" w:line="220"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10.进口材料和工程设备</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"bookmark268" </w:instrText>
          </w:r>
          <w:r>
            <w:rPr>
              <w:color w:val="auto"/>
              <w:highlight w:val="none"/>
            </w:rPr>
            <w:fldChar w:fldCharType="separate"/>
          </w:r>
          <w:r>
            <w:rPr>
              <w:rFonts w:ascii="宋体" w:hAnsi="宋体" w:eastAsia="宋体" w:cs="宋体"/>
              <w:color w:val="auto"/>
              <w:spacing w:val="-2"/>
              <w:sz w:val="21"/>
              <w:szCs w:val="21"/>
              <w:highlight w:val="none"/>
            </w:rPr>
            <w:t>239</w:t>
          </w:r>
          <w:r>
            <w:rPr>
              <w:rFonts w:ascii="宋体" w:hAnsi="宋体" w:eastAsia="宋体" w:cs="宋体"/>
              <w:color w:val="auto"/>
              <w:spacing w:val="-2"/>
              <w:sz w:val="21"/>
              <w:szCs w:val="21"/>
              <w:highlight w:val="none"/>
            </w:rPr>
            <w:fldChar w:fldCharType="end"/>
          </w:r>
        </w:p>
        <w:p w14:paraId="584BC4D5">
          <w:pPr>
            <w:tabs>
              <w:tab w:val="right" w:leader="dot" w:pos="8317"/>
            </w:tabs>
            <w:spacing w:before="24" w:line="219"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11.进度报告和进度例会</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"bookmark269" </w:instrText>
          </w:r>
          <w:r>
            <w:rPr>
              <w:color w:val="auto"/>
              <w:highlight w:val="none"/>
            </w:rPr>
            <w:fldChar w:fldCharType="separate"/>
          </w:r>
          <w:r>
            <w:rPr>
              <w:rFonts w:ascii="宋体" w:hAnsi="宋体" w:eastAsia="宋体" w:cs="宋体"/>
              <w:color w:val="auto"/>
              <w:spacing w:val="-2"/>
              <w:sz w:val="21"/>
              <w:szCs w:val="21"/>
              <w:highlight w:val="none"/>
            </w:rPr>
            <w:t>239</w:t>
          </w:r>
          <w:r>
            <w:rPr>
              <w:rFonts w:ascii="宋体" w:hAnsi="宋体" w:eastAsia="宋体" w:cs="宋体"/>
              <w:color w:val="auto"/>
              <w:spacing w:val="-2"/>
              <w:sz w:val="21"/>
              <w:szCs w:val="21"/>
              <w:highlight w:val="none"/>
            </w:rPr>
            <w:fldChar w:fldCharType="end"/>
          </w:r>
        </w:p>
        <w:p w14:paraId="67F244AC">
          <w:pPr>
            <w:tabs>
              <w:tab w:val="right" w:leader="dot" w:pos="8317"/>
            </w:tabs>
            <w:spacing w:before="24" w:line="221"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12.试验和检验</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"bookmark270" </w:instrText>
          </w:r>
          <w:r>
            <w:rPr>
              <w:color w:val="auto"/>
              <w:highlight w:val="none"/>
            </w:rPr>
            <w:fldChar w:fldCharType="separate"/>
          </w:r>
          <w:r>
            <w:rPr>
              <w:rFonts w:ascii="宋体" w:hAnsi="宋体" w:eastAsia="宋体" w:cs="宋体"/>
              <w:color w:val="auto"/>
              <w:spacing w:val="-2"/>
              <w:sz w:val="21"/>
              <w:szCs w:val="21"/>
              <w:highlight w:val="none"/>
            </w:rPr>
            <w:t>241</w:t>
          </w:r>
          <w:r>
            <w:rPr>
              <w:rFonts w:ascii="宋体" w:hAnsi="宋体" w:eastAsia="宋体" w:cs="宋体"/>
              <w:color w:val="auto"/>
              <w:spacing w:val="-2"/>
              <w:sz w:val="21"/>
              <w:szCs w:val="21"/>
              <w:highlight w:val="none"/>
            </w:rPr>
            <w:fldChar w:fldCharType="end"/>
          </w:r>
        </w:p>
        <w:p w14:paraId="2F56FA56">
          <w:pPr>
            <w:tabs>
              <w:tab w:val="right" w:leader="dot" w:pos="8317"/>
            </w:tabs>
            <w:spacing w:before="18" w:line="222" w:lineRule="auto"/>
            <w:ind w:left="87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13.计日工</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"bookmark271" </w:instrText>
          </w:r>
          <w:r>
            <w:rPr>
              <w:color w:val="auto"/>
              <w:highlight w:val="none"/>
            </w:rPr>
            <w:fldChar w:fldCharType="separate"/>
          </w:r>
          <w:r>
            <w:rPr>
              <w:rFonts w:ascii="宋体" w:hAnsi="宋体" w:eastAsia="宋体" w:cs="宋体"/>
              <w:color w:val="auto"/>
              <w:spacing w:val="-2"/>
              <w:sz w:val="21"/>
              <w:szCs w:val="21"/>
              <w:highlight w:val="none"/>
            </w:rPr>
            <w:t>242</w:t>
          </w:r>
          <w:r>
            <w:rPr>
              <w:rFonts w:ascii="宋体" w:hAnsi="宋体" w:eastAsia="宋体" w:cs="宋体"/>
              <w:color w:val="auto"/>
              <w:spacing w:val="-2"/>
              <w:sz w:val="21"/>
              <w:szCs w:val="21"/>
              <w:highlight w:val="none"/>
            </w:rPr>
            <w:fldChar w:fldCharType="end"/>
          </w:r>
        </w:p>
        <w:p w14:paraId="09BB1C58">
          <w:pPr>
            <w:tabs>
              <w:tab w:val="right" w:leader="dot" w:pos="8317"/>
            </w:tabs>
            <w:spacing w:before="21" w:line="221"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14.计量与支付</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"bookmark272" </w:instrText>
          </w:r>
          <w:r>
            <w:rPr>
              <w:color w:val="auto"/>
              <w:highlight w:val="none"/>
            </w:rPr>
            <w:fldChar w:fldCharType="separate"/>
          </w:r>
          <w:r>
            <w:rPr>
              <w:rFonts w:ascii="宋体" w:hAnsi="宋体" w:eastAsia="宋体" w:cs="宋体"/>
              <w:color w:val="auto"/>
              <w:spacing w:val="-2"/>
              <w:sz w:val="21"/>
              <w:szCs w:val="21"/>
              <w:highlight w:val="none"/>
            </w:rPr>
            <w:t>243</w:t>
          </w:r>
          <w:r>
            <w:rPr>
              <w:rFonts w:ascii="宋体" w:hAnsi="宋体" w:eastAsia="宋体" w:cs="宋体"/>
              <w:color w:val="auto"/>
              <w:spacing w:val="-2"/>
              <w:sz w:val="21"/>
              <w:szCs w:val="21"/>
              <w:highlight w:val="none"/>
            </w:rPr>
            <w:fldChar w:fldCharType="end"/>
          </w:r>
        </w:p>
        <w:p w14:paraId="4A540A26">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15.竣工验收和工程移交</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"bookmark273" </w:instrText>
          </w:r>
          <w:r>
            <w:rPr>
              <w:color w:val="auto"/>
              <w:highlight w:val="none"/>
            </w:rPr>
            <w:fldChar w:fldCharType="separate"/>
          </w:r>
          <w:r>
            <w:rPr>
              <w:rFonts w:ascii="宋体" w:hAnsi="宋体" w:eastAsia="宋体" w:cs="宋体"/>
              <w:color w:val="auto"/>
              <w:spacing w:val="-2"/>
              <w:sz w:val="21"/>
              <w:szCs w:val="21"/>
              <w:highlight w:val="none"/>
            </w:rPr>
            <w:t>244</w:t>
          </w:r>
          <w:r>
            <w:rPr>
              <w:rFonts w:ascii="宋体" w:hAnsi="宋体" w:eastAsia="宋体" w:cs="宋体"/>
              <w:color w:val="auto"/>
              <w:spacing w:val="-2"/>
              <w:sz w:val="21"/>
              <w:szCs w:val="21"/>
              <w:highlight w:val="none"/>
            </w:rPr>
            <w:fldChar w:fldCharType="end"/>
          </w:r>
        </w:p>
        <w:p w14:paraId="0419B587">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16.其他要求</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"bookmark274" </w:instrText>
          </w:r>
          <w:r>
            <w:rPr>
              <w:color w:val="auto"/>
              <w:highlight w:val="none"/>
            </w:rPr>
            <w:fldChar w:fldCharType="separate"/>
          </w:r>
          <w:r>
            <w:rPr>
              <w:rFonts w:ascii="宋体" w:hAnsi="宋体" w:eastAsia="宋体" w:cs="宋体"/>
              <w:color w:val="auto"/>
              <w:spacing w:val="-2"/>
              <w:sz w:val="21"/>
              <w:szCs w:val="21"/>
              <w:highlight w:val="none"/>
            </w:rPr>
            <w:t>246</w:t>
          </w:r>
          <w:r>
            <w:rPr>
              <w:rFonts w:ascii="宋体" w:hAnsi="宋体" w:eastAsia="宋体" w:cs="宋体"/>
              <w:color w:val="auto"/>
              <w:spacing w:val="-2"/>
              <w:sz w:val="21"/>
              <w:szCs w:val="21"/>
              <w:highlight w:val="none"/>
            </w:rPr>
            <w:fldChar w:fldCharType="end"/>
          </w:r>
        </w:p>
        <w:p w14:paraId="09B5976E">
          <w:pPr>
            <w:tabs>
              <w:tab w:val="right" w:leader="dot" w:pos="8317"/>
            </w:tabs>
            <w:spacing w:before="16"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第二节  特殊技术标准和要求</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"bookmark275" </w:instrText>
          </w:r>
          <w:r>
            <w:rPr>
              <w:color w:val="auto"/>
              <w:highlight w:val="none"/>
            </w:rPr>
            <w:fldChar w:fldCharType="separate"/>
          </w:r>
          <w:r>
            <w:rPr>
              <w:rFonts w:ascii="宋体" w:hAnsi="宋体" w:eastAsia="宋体" w:cs="宋体"/>
              <w:color w:val="auto"/>
              <w:spacing w:val="-2"/>
              <w:sz w:val="21"/>
              <w:szCs w:val="21"/>
              <w:highlight w:val="none"/>
            </w:rPr>
            <w:t>247</w:t>
          </w:r>
          <w:r>
            <w:rPr>
              <w:rFonts w:ascii="宋体" w:hAnsi="宋体" w:eastAsia="宋体" w:cs="宋体"/>
              <w:color w:val="auto"/>
              <w:spacing w:val="-2"/>
              <w:sz w:val="21"/>
              <w:szCs w:val="21"/>
              <w:highlight w:val="none"/>
            </w:rPr>
            <w:fldChar w:fldCharType="end"/>
          </w:r>
        </w:p>
        <w:p w14:paraId="2C840E88">
          <w:pPr>
            <w:tabs>
              <w:tab w:val="right" w:leader="dot" w:pos="8317"/>
            </w:tabs>
            <w:spacing w:before="23" w:line="220"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1．材料和工程设备技术要求</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"bookmark276" </w:instrText>
          </w:r>
          <w:r>
            <w:rPr>
              <w:color w:val="auto"/>
              <w:highlight w:val="none"/>
            </w:rPr>
            <w:fldChar w:fldCharType="separate"/>
          </w:r>
          <w:r>
            <w:rPr>
              <w:rFonts w:ascii="宋体" w:hAnsi="宋体" w:eastAsia="宋体" w:cs="宋体"/>
              <w:color w:val="auto"/>
              <w:spacing w:val="-2"/>
              <w:sz w:val="21"/>
              <w:szCs w:val="21"/>
              <w:highlight w:val="none"/>
            </w:rPr>
            <w:t>247</w:t>
          </w:r>
          <w:r>
            <w:rPr>
              <w:rFonts w:ascii="宋体" w:hAnsi="宋体" w:eastAsia="宋体" w:cs="宋体"/>
              <w:color w:val="auto"/>
              <w:spacing w:val="-2"/>
              <w:sz w:val="21"/>
              <w:szCs w:val="21"/>
              <w:highlight w:val="none"/>
            </w:rPr>
            <w:fldChar w:fldCharType="end"/>
          </w:r>
        </w:p>
        <w:p w14:paraId="09F44510">
          <w:pPr>
            <w:tabs>
              <w:tab w:val="right" w:leader="dot" w:pos="8317"/>
            </w:tabs>
            <w:spacing w:before="23"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2．特殊技术要求</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"bookmark277" </w:instrText>
          </w:r>
          <w:r>
            <w:rPr>
              <w:color w:val="auto"/>
              <w:highlight w:val="none"/>
            </w:rPr>
            <w:fldChar w:fldCharType="separate"/>
          </w:r>
          <w:r>
            <w:rPr>
              <w:rFonts w:ascii="宋体" w:hAnsi="宋体" w:eastAsia="宋体" w:cs="宋体"/>
              <w:color w:val="auto"/>
              <w:spacing w:val="-2"/>
              <w:sz w:val="21"/>
              <w:szCs w:val="21"/>
              <w:highlight w:val="none"/>
            </w:rPr>
            <w:t>247</w:t>
          </w:r>
          <w:r>
            <w:rPr>
              <w:rFonts w:ascii="宋体" w:hAnsi="宋体" w:eastAsia="宋体" w:cs="宋体"/>
              <w:color w:val="auto"/>
              <w:spacing w:val="-2"/>
              <w:sz w:val="21"/>
              <w:szCs w:val="21"/>
              <w:highlight w:val="none"/>
            </w:rPr>
            <w:fldChar w:fldCharType="end"/>
          </w:r>
        </w:p>
        <w:p w14:paraId="5EB13E25">
          <w:pPr>
            <w:tabs>
              <w:tab w:val="right" w:leader="dot" w:pos="8317"/>
            </w:tabs>
            <w:spacing w:before="23" w:line="220"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3．新技术、新工艺和新材料</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"bookmark278" </w:instrText>
          </w:r>
          <w:r>
            <w:rPr>
              <w:color w:val="auto"/>
              <w:highlight w:val="none"/>
            </w:rPr>
            <w:fldChar w:fldCharType="separate"/>
          </w:r>
          <w:r>
            <w:rPr>
              <w:rFonts w:ascii="宋体" w:hAnsi="宋体" w:eastAsia="宋体" w:cs="宋体"/>
              <w:color w:val="auto"/>
              <w:spacing w:val="-2"/>
              <w:sz w:val="21"/>
              <w:szCs w:val="21"/>
              <w:highlight w:val="none"/>
            </w:rPr>
            <w:t>247</w:t>
          </w:r>
          <w:r>
            <w:rPr>
              <w:rFonts w:ascii="宋体" w:hAnsi="宋体" w:eastAsia="宋体" w:cs="宋体"/>
              <w:color w:val="auto"/>
              <w:spacing w:val="-2"/>
              <w:sz w:val="21"/>
              <w:szCs w:val="21"/>
              <w:highlight w:val="none"/>
            </w:rPr>
            <w:fldChar w:fldCharType="end"/>
          </w:r>
        </w:p>
        <w:p w14:paraId="7FDBD5F6">
          <w:pPr>
            <w:tabs>
              <w:tab w:val="right" w:leader="dot" w:pos="8317"/>
            </w:tabs>
            <w:spacing w:before="18"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4．其他特殊技术标准和要求</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"bookmark279" </w:instrText>
          </w:r>
          <w:r>
            <w:rPr>
              <w:color w:val="auto"/>
              <w:highlight w:val="none"/>
            </w:rPr>
            <w:fldChar w:fldCharType="separate"/>
          </w:r>
          <w:r>
            <w:rPr>
              <w:rFonts w:ascii="宋体" w:hAnsi="宋体" w:eastAsia="宋体" w:cs="宋体"/>
              <w:color w:val="auto"/>
              <w:spacing w:val="-2"/>
              <w:sz w:val="21"/>
              <w:szCs w:val="21"/>
              <w:highlight w:val="none"/>
            </w:rPr>
            <w:t>248</w:t>
          </w:r>
          <w:r>
            <w:rPr>
              <w:rFonts w:ascii="宋体" w:hAnsi="宋体" w:eastAsia="宋体" w:cs="宋体"/>
              <w:color w:val="auto"/>
              <w:spacing w:val="-2"/>
              <w:sz w:val="21"/>
              <w:szCs w:val="21"/>
              <w:highlight w:val="none"/>
            </w:rPr>
            <w:fldChar w:fldCharType="end"/>
          </w:r>
        </w:p>
        <w:p w14:paraId="5E73D2D3">
          <w:pPr>
            <w:tabs>
              <w:tab w:val="right" w:leader="dot" w:pos="8317"/>
            </w:tabs>
            <w:spacing w:before="22"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第三节  适用的国家、行业以及地方规范、标准和规程</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"bookmark280" </w:instrText>
          </w:r>
          <w:r>
            <w:rPr>
              <w:color w:val="auto"/>
              <w:highlight w:val="none"/>
            </w:rPr>
            <w:fldChar w:fldCharType="separate"/>
          </w:r>
          <w:r>
            <w:rPr>
              <w:rFonts w:ascii="宋体" w:hAnsi="宋体" w:eastAsia="宋体" w:cs="宋体"/>
              <w:color w:val="auto"/>
              <w:spacing w:val="-2"/>
              <w:sz w:val="21"/>
              <w:szCs w:val="21"/>
              <w:highlight w:val="none"/>
            </w:rPr>
            <w:t>249</w:t>
          </w:r>
          <w:r>
            <w:rPr>
              <w:rFonts w:ascii="宋体" w:hAnsi="宋体" w:eastAsia="宋体" w:cs="宋体"/>
              <w:color w:val="auto"/>
              <w:spacing w:val="-2"/>
              <w:sz w:val="21"/>
              <w:szCs w:val="21"/>
              <w:highlight w:val="none"/>
            </w:rPr>
            <w:fldChar w:fldCharType="end"/>
          </w:r>
        </w:p>
        <w:p w14:paraId="33B9F89E">
          <w:pPr>
            <w:tabs>
              <w:tab w:val="right" w:leader="dot" w:pos="8307"/>
            </w:tabs>
            <w:spacing w:before="23"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第四卷</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"bookmark281"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251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2BD36F49">
          <w:pPr>
            <w:tabs>
              <w:tab w:val="right" w:leader="dot" w:pos="8307"/>
            </w:tabs>
            <w:spacing w:before="22"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第八章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投标文件格式</w:t>
          </w:r>
          <w:r>
            <w:rPr>
              <w:rFonts w:ascii="宋体" w:hAnsi="宋体" w:eastAsia="宋体" w:cs="宋体"/>
              <w:color w:val="auto"/>
              <w:spacing w:val="-2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1"/>
              <w:sz w:val="21"/>
              <w:szCs w:val="21"/>
              <w:highlight w:val="none"/>
            </w:rPr>
            <w:t xml:space="preserve"> </w:t>
          </w:r>
          <w:r>
            <w:rPr>
              <w:color w:val="auto"/>
              <w:highlight w:val="none"/>
            </w:rPr>
            <w:fldChar w:fldCharType="begin"/>
          </w:r>
          <w:r>
            <w:rPr>
              <w:color w:val="auto"/>
              <w:highlight w:val="none"/>
            </w:rPr>
            <w:instrText xml:space="preserve"> HYPERLINK \l "bookmark282"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252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0C008E3C">
          <w:pPr>
            <w:tabs>
              <w:tab w:val="right" w:leader="dot" w:pos="8317"/>
            </w:tabs>
            <w:spacing w:before="19" w:line="223" w:lineRule="auto"/>
            <w:ind w:left="481"/>
            <w:rPr>
              <w:rFonts w:ascii="宋体" w:hAnsi="宋体" w:eastAsia="宋体" w:cs="宋体"/>
              <w:color w:val="auto"/>
              <w:sz w:val="21"/>
              <w:szCs w:val="21"/>
              <w:highlight w:val="none"/>
            </w:rPr>
          </w:pPr>
          <w:r>
            <w:rPr>
              <w:rFonts w:ascii="宋体" w:hAnsi="宋体" w:eastAsia="宋体" w:cs="宋体"/>
              <w:color w:val="auto"/>
              <w:spacing w:val="-28"/>
              <w:sz w:val="21"/>
              <w:szCs w:val="21"/>
              <w:highlight w:val="none"/>
            </w:rPr>
            <w:t>目</w:t>
          </w:r>
          <w:r>
            <w:rPr>
              <w:rFonts w:ascii="宋体" w:hAnsi="宋体" w:eastAsia="宋体" w:cs="宋体"/>
              <w:color w:val="auto"/>
              <w:spacing w:val="2"/>
              <w:sz w:val="21"/>
              <w:szCs w:val="21"/>
              <w:highlight w:val="none"/>
            </w:rPr>
            <w:t xml:space="preserve">    </w:t>
          </w:r>
          <w:r>
            <w:rPr>
              <w:rFonts w:ascii="宋体" w:hAnsi="宋体" w:eastAsia="宋体" w:cs="宋体"/>
              <w:color w:val="auto"/>
              <w:spacing w:val="-28"/>
              <w:sz w:val="21"/>
              <w:szCs w:val="21"/>
              <w:highlight w:val="none"/>
            </w:rPr>
            <w:t>录</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"bookmark283" </w:instrText>
          </w:r>
          <w:r>
            <w:rPr>
              <w:color w:val="auto"/>
              <w:highlight w:val="none"/>
            </w:rPr>
            <w:fldChar w:fldCharType="separate"/>
          </w:r>
          <w:r>
            <w:rPr>
              <w:rFonts w:ascii="宋体" w:hAnsi="宋体" w:eastAsia="宋体" w:cs="宋体"/>
              <w:color w:val="auto"/>
              <w:spacing w:val="-2"/>
              <w:sz w:val="21"/>
              <w:szCs w:val="21"/>
              <w:highlight w:val="none"/>
            </w:rPr>
            <w:t>254</w:t>
          </w:r>
          <w:r>
            <w:rPr>
              <w:rFonts w:ascii="宋体" w:hAnsi="宋体" w:eastAsia="宋体" w:cs="宋体"/>
              <w:color w:val="auto"/>
              <w:spacing w:val="-2"/>
              <w:sz w:val="21"/>
              <w:szCs w:val="21"/>
              <w:highlight w:val="none"/>
            </w:rPr>
            <w:fldChar w:fldCharType="end"/>
          </w:r>
        </w:p>
        <w:p w14:paraId="1379F5C2">
          <w:pPr>
            <w:tabs>
              <w:tab w:val="right" w:leader="dot" w:pos="8317"/>
            </w:tabs>
            <w:spacing w:before="20"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一、投标函及投标函附录等</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"bookmark284" </w:instrText>
          </w:r>
          <w:r>
            <w:rPr>
              <w:color w:val="auto"/>
              <w:highlight w:val="none"/>
            </w:rPr>
            <w:fldChar w:fldCharType="separate"/>
          </w:r>
          <w:r>
            <w:rPr>
              <w:rFonts w:ascii="宋体" w:hAnsi="宋体" w:eastAsia="宋体" w:cs="宋体"/>
              <w:color w:val="auto"/>
              <w:spacing w:val="-2"/>
              <w:sz w:val="21"/>
              <w:szCs w:val="21"/>
              <w:highlight w:val="none"/>
            </w:rPr>
            <w:t>255</w:t>
          </w:r>
          <w:r>
            <w:rPr>
              <w:rFonts w:ascii="宋体" w:hAnsi="宋体" w:eastAsia="宋体" w:cs="宋体"/>
              <w:color w:val="auto"/>
              <w:spacing w:val="-2"/>
              <w:sz w:val="21"/>
              <w:szCs w:val="21"/>
              <w:highlight w:val="none"/>
            </w:rPr>
            <w:fldChar w:fldCharType="end"/>
          </w:r>
        </w:p>
        <w:p w14:paraId="1DE1F0F5">
          <w:pPr>
            <w:tabs>
              <w:tab w:val="right" w:leader="dot" w:pos="8317"/>
            </w:tabs>
            <w:spacing w:before="24" w:line="221" w:lineRule="auto"/>
            <w:ind w:left="86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（一）投标函</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"bookmark285" </w:instrText>
          </w:r>
          <w:r>
            <w:rPr>
              <w:color w:val="auto"/>
              <w:highlight w:val="none"/>
            </w:rPr>
            <w:fldChar w:fldCharType="separate"/>
          </w:r>
          <w:r>
            <w:rPr>
              <w:rFonts w:ascii="宋体" w:hAnsi="宋体" w:eastAsia="宋体" w:cs="宋体"/>
              <w:color w:val="auto"/>
              <w:spacing w:val="-2"/>
              <w:sz w:val="21"/>
              <w:szCs w:val="21"/>
              <w:highlight w:val="none"/>
            </w:rPr>
            <w:t>255</w:t>
          </w:r>
          <w:r>
            <w:rPr>
              <w:rFonts w:ascii="宋体" w:hAnsi="宋体" w:eastAsia="宋体" w:cs="宋体"/>
              <w:color w:val="auto"/>
              <w:spacing w:val="-2"/>
              <w:sz w:val="21"/>
              <w:szCs w:val="21"/>
              <w:highlight w:val="none"/>
            </w:rPr>
            <w:fldChar w:fldCharType="end"/>
          </w:r>
        </w:p>
        <w:p w14:paraId="3F8AE157">
          <w:pPr>
            <w:tabs>
              <w:tab w:val="right" w:leader="dot" w:pos="8317"/>
            </w:tabs>
            <w:spacing w:before="22" w:line="220"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（二）投标函附录</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"bookmark286" </w:instrText>
          </w:r>
          <w:r>
            <w:rPr>
              <w:color w:val="auto"/>
              <w:highlight w:val="none"/>
            </w:rPr>
            <w:fldChar w:fldCharType="separate"/>
          </w:r>
          <w:r>
            <w:rPr>
              <w:rFonts w:ascii="宋体" w:hAnsi="宋体" w:eastAsia="宋体" w:cs="宋体"/>
              <w:color w:val="auto"/>
              <w:spacing w:val="-2"/>
              <w:sz w:val="21"/>
              <w:szCs w:val="21"/>
              <w:highlight w:val="none"/>
            </w:rPr>
            <w:t>256</w:t>
          </w:r>
          <w:r>
            <w:rPr>
              <w:rFonts w:ascii="宋体" w:hAnsi="宋体" w:eastAsia="宋体" w:cs="宋体"/>
              <w:color w:val="auto"/>
              <w:spacing w:val="-2"/>
              <w:sz w:val="21"/>
              <w:szCs w:val="21"/>
              <w:highlight w:val="none"/>
            </w:rPr>
            <w:fldChar w:fldCharType="end"/>
          </w:r>
        </w:p>
        <w:p w14:paraId="07783E44">
          <w:pPr>
            <w:tabs>
              <w:tab w:val="right" w:leader="dot" w:pos="8317"/>
            </w:tabs>
            <w:spacing w:before="19" w:line="219"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（三）告知承诺函</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"bookmark287" </w:instrText>
          </w:r>
          <w:r>
            <w:rPr>
              <w:color w:val="auto"/>
              <w:highlight w:val="none"/>
            </w:rPr>
            <w:fldChar w:fldCharType="separate"/>
          </w:r>
          <w:r>
            <w:rPr>
              <w:rFonts w:ascii="宋体" w:hAnsi="宋体" w:eastAsia="宋体" w:cs="宋体"/>
              <w:color w:val="auto"/>
              <w:spacing w:val="-2"/>
              <w:sz w:val="21"/>
              <w:szCs w:val="21"/>
              <w:highlight w:val="none"/>
            </w:rPr>
            <w:t>257</w:t>
          </w:r>
          <w:r>
            <w:rPr>
              <w:rFonts w:ascii="宋体" w:hAnsi="宋体" w:eastAsia="宋体" w:cs="宋体"/>
              <w:color w:val="auto"/>
              <w:spacing w:val="-2"/>
              <w:sz w:val="21"/>
              <w:szCs w:val="21"/>
              <w:highlight w:val="none"/>
            </w:rPr>
            <w:fldChar w:fldCharType="end"/>
          </w:r>
        </w:p>
        <w:p w14:paraId="2A5F2382">
          <w:pPr>
            <w:tabs>
              <w:tab w:val="right" w:leader="dot" w:pos="8317"/>
            </w:tabs>
            <w:spacing w:before="23" w:line="221" w:lineRule="auto"/>
            <w:ind w:left="86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（四）声明函</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"bookmark288" </w:instrText>
          </w:r>
          <w:r>
            <w:rPr>
              <w:color w:val="auto"/>
              <w:highlight w:val="none"/>
            </w:rPr>
            <w:fldChar w:fldCharType="separate"/>
          </w:r>
          <w:r>
            <w:rPr>
              <w:rFonts w:ascii="宋体" w:hAnsi="宋体" w:eastAsia="宋体" w:cs="宋体"/>
              <w:color w:val="auto"/>
              <w:spacing w:val="-2"/>
              <w:sz w:val="21"/>
              <w:szCs w:val="21"/>
              <w:highlight w:val="none"/>
            </w:rPr>
            <w:t>258</w:t>
          </w:r>
          <w:r>
            <w:rPr>
              <w:rFonts w:ascii="宋体" w:hAnsi="宋体" w:eastAsia="宋体" w:cs="宋体"/>
              <w:color w:val="auto"/>
              <w:spacing w:val="-2"/>
              <w:sz w:val="21"/>
              <w:szCs w:val="21"/>
              <w:highlight w:val="none"/>
            </w:rPr>
            <w:fldChar w:fldCharType="end"/>
          </w:r>
        </w:p>
        <w:p w14:paraId="148CB3C5">
          <w:pPr>
            <w:tabs>
              <w:tab w:val="right" w:leader="dot" w:pos="8317"/>
            </w:tabs>
            <w:spacing w:before="23"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二、法定代表人身份证明</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"bookmark289" </w:instrText>
          </w:r>
          <w:r>
            <w:rPr>
              <w:color w:val="auto"/>
              <w:highlight w:val="none"/>
            </w:rPr>
            <w:fldChar w:fldCharType="separate"/>
          </w:r>
          <w:r>
            <w:rPr>
              <w:rFonts w:ascii="宋体" w:hAnsi="宋体" w:eastAsia="宋体" w:cs="宋体"/>
              <w:color w:val="auto"/>
              <w:spacing w:val="-2"/>
              <w:sz w:val="21"/>
              <w:szCs w:val="21"/>
              <w:highlight w:val="none"/>
            </w:rPr>
            <w:t>259</w:t>
          </w:r>
          <w:r>
            <w:rPr>
              <w:rFonts w:ascii="宋体" w:hAnsi="宋体" w:eastAsia="宋体" w:cs="宋体"/>
              <w:color w:val="auto"/>
              <w:spacing w:val="-2"/>
              <w:sz w:val="21"/>
              <w:szCs w:val="21"/>
              <w:highlight w:val="none"/>
            </w:rPr>
            <w:fldChar w:fldCharType="end"/>
          </w:r>
        </w:p>
        <w:p w14:paraId="59240CDD">
          <w:pPr>
            <w:tabs>
              <w:tab w:val="right" w:leader="dot" w:pos="8317"/>
            </w:tabs>
            <w:spacing w:before="18" w:line="220"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二、授权委托书</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"bookmark290" </w:instrText>
          </w:r>
          <w:r>
            <w:rPr>
              <w:color w:val="auto"/>
              <w:highlight w:val="none"/>
            </w:rPr>
            <w:fldChar w:fldCharType="separate"/>
          </w:r>
          <w:r>
            <w:rPr>
              <w:rFonts w:ascii="宋体" w:hAnsi="宋体" w:eastAsia="宋体" w:cs="宋体"/>
              <w:color w:val="auto"/>
              <w:spacing w:val="-2"/>
              <w:sz w:val="21"/>
              <w:szCs w:val="21"/>
              <w:highlight w:val="none"/>
            </w:rPr>
            <w:t>260</w:t>
          </w:r>
          <w:r>
            <w:rPr>
              <w:rFonts w:ascii="宋体" w:hAnsi="宋体" w:eastAsia="宋体" w:cs="宋体"/>
              <w:color w:val="auto"/>
              <w:spacing w:val="-2"/>
              <w:sz w:val="21"/>
              <w:szCs w:val="21"/>
              <w:highlight w:val="none"/>
            </w:rPr>
            <w:fldChar w:fldCharType="end"/>
          </w:r>
        </w:p>
        <w:p w14:paraId="65062C37">
          <w:pPr>
            <w:tabs>
              <w:tab w:val="right" w:leader="dot" w:pos="8317"/>
            </w:tabs>
            <w:spacing w:before="24"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三、投标保证金</w:t>
          </w:r>
          <w:r>
            <w:rPr>
              <w:rFonts w:ascii="宋体" w:hAnsi="宋体" w:eastAsia="宋体" w:cs="宋体"/>
              <w:color w:val="auto"/>
              <w:spacing w:val="-8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"bookmark291" </w:instrText>
          </w:r>
          <w:r>
            <w:rPr>
              <w:color w:val="auto"/>
              <w:highlight w:val="none"/>
            </w:rPr>
            <w:fldChar w:fldCharType="separate"/>
          </w:r>
          <w:r>
            <w:rPr>
              <w:rFonts w:ascii="宋体" w:hAnsi="宋体" w:eastAsia="宋体" w:cs="宋体"/>
              <w:color w:val="auto"/>
              <w:spacing w:val="-2"/>
              <w:sz w:val="21"/>
              <w:szCs w:val="21"/>
              <w:highlight w:val="none"/>
            </w:rPr>
            <w:t>261</w:t>
          </w:r>
          <w:r>
            <w:rPr>
              <w:rFonts w:ascii="宋体" w:hAnsi="宋体" w:eastAsia="宋体" w:cs="宋体"/>
              <w:color w:val="auto"/>
              <w:spacing w:val="-2"/>
              <w:sz w:val="21"/>
              <w:szCs w:val="21"/>
              <w:highlight w:val="none"/>
            </w:rPr>
            <w:fldChar w:fldCharType="end"/>
          </w:r>
        </w:p>
        <w:p w14:paraId="6159092F">
          <w:pPr>
            <w:tabs>
              <w:tab w:val="right" w:leader="dot" w:pos="8317"/>
            </w:tabs>
            <w:spacing w:before="21" w:line="220"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四、联合体协议书</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"bookmark292" </w:instrText>
          </w:r>
          <w:r>
            <w:rPr>
              <w:color w:val="auto"/>
              <w:highlight w:val="none"/>
            </w:rPr>
            <w:fldChar w:fldCharType="separate"/>
          </w:r>
          <w:r>
            <w:rPr>
              <w:rFonts w:ascii="宋体" w:hAnsi="宋体" w:eastAsia="宋体" w:cs="宋体"/>
              <w:color w:val="auto"/>
              <w:spacing w:val="-2"/>
              <w:sz w:val="21"/>
              <w:szCs w:val="21"/>
              <w:highlight w:val="none"/>
            </w:rPr>
            <w:t>262</w:t>
          </w:r>
          <w:r>
            <w:rPr>
              <w:rFonts w:ascii="宋体" w:hAnsi="宋体" w:eastAsia="宋体" w:cs="宋体"/>
              <w:color w:val="auto"/>
              <w:spacing w:val="-2"/>
              <w:sz w:val="21"/>
              <w:szCs w:val="21"/>
              <w:highlight w:val="none"/>
            </w:rPr>
            <w:fldChar w:fldCharType="end"/>
          </w:r>
        </w:p>
        <w:p w14:paraId="5209A638">
          <w:pPr>
            <w:tabs>
              <w:tab w:val="right" w:leader="dot" w:pos="8317"/>
            </w:tabs>
            <w:spacing w:before="24"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五、拟分包计划表</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"bookmark293" </w:instrText>
          </w:r>
          <w:r>
            <w:rPr>
              <w:color w:val="auto"/>
              <w:highlight w:val="none"/>
            </w:rPr>
            <w:fldChar w:fldCharType="separate"/>
          </w:r>
          <w:r>
            <w:rPr>
              <w:rFonts w:ascii="宋体" w:hAnsi="宋体" w:eastAsia="宋体" w:cs="宋体"/>
              <w:color w:val="auto"/>
              <w:spacing w:val="-2"/>
              <w:sz w:val="21"/>
              <w:szCs w:val="21"/>
              <w:highlight w:val="none"/>
            </w:rPr>
            <w:t>264</w:t>
          </w:r>
          <w:r>
            <w:rPr>
              <w:rFonts w:ascii="宋体" w:hAnsi="宋体" w:eastAsia="宋体" w:cs="宋体"/>
              <w:color w:val="auto"/>
              <w:spacing w:val="-2"/>
              <w:sz w:val="21"/>
              <w:szCs w:val="21"/>
              <w:highlight w:val="none"/>
            </w:rPr>
            <w:fldChar w:fldCharType="end"/>
          </w:r>
        </w:p>
        <w:p w14:paraId="1A95DD65">
          <w:pPr>
            <w:tabs>
              <w:tab w:val="right" w:leader="dot" w:pos="8317"/>
            </w:tabs>
            <w:spacing w:before="1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六、项目管理机构</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"bookmark294" </w:instrText>
          </w:r>
          <w:r>
            <w:rPr>
              <w:color w:val="auto"/>
              <w:highlight w:val="none"/>
            </w:rPr>
            <w:fldChar w:fldCharType="separate"/>
          </w:r>
          <w:r>
            <w:rPr>
              <w:rFonts w:ascii="宋体" w:hAnsi="宋体" w:eastAsia="宋体" w:cs="宋体"/>
              <w:color w:val="auto"/>
              <w:spacing w:val="-2"/>
              <w:sz w:val="21"/>
              <w:szCs w:val="21"/>
              <w:highlight w:val="none"/>
            </w:rPr>
            <w:t>265</w:t>
          </w:r>
          <w:r>
            <w:rPr>
              <w:rFonts w:ascii="宋体" w:hAnsi="宋体" w:eastAsia="宋体" w:cs="宋体"/>
              <w:color w:val="auto"/>
              <w:spacing w:val="-2"/>
              <w:sz w:val="21"/>
              <w:szCs w:val="21"/>
              <w:highlight w:val="none"/>
            </w:rPr>
            <w:fldChar w:fldCharType="end"/>
          </w:r>
        </w:p>
        <w:p w14:paraId="7B608256">
          <w:pPr>
            <w:tabs>
              <w:tab w:val="right" w:leader="dot" w:pos="8317"/>
            </w:tabs>
            <w:spacing w:before="24" w:line="220"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（一）项目管理机构主要人员表</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"bookmark295" </w:instrText>
          </w:r>
          <w:r>
            <w:rPr>
              <w:color w:val="auto"/>
              <w:highlight w:val="none"/>
            </w:rPr>
            <w:fldChar w:fldCharType="separate"/>
          </w:r>
          <w:r>
            <w:rPr>
              <w:rFonts w:ascii="宋体" w:hAnsi="宋体" w:eastAsia="宋体" w:cs="宋体"/>
              <w:color w:val="auto"/>
              <w:spacing w:val="-2"/>
              <w:sz w:val="21"/>
              <w:szCs w:val="21"/>
              <w:highlight w:val="none"/>
            </w:rPr>
            <w:t>265</w:t>
          </w:r>
          <w:r>
            <w:rPr>
              <w:rFonts w:ascii="宋体" w:hAnsi="宋体" w:eastAsia="宋体" w:cs="宋体"/>
              <w:color w:val="auto"/>
              <w:spacing w:val="-2"/>
              <w:sz w:val="21"/>
              <w:szCs w:val="21"/>
              <w:highlight w:val="none"/>
            </w:rPr>
            <w:fldChar w:fldCharType="end"/>
          </w:r>
        </w:p>
        <w:p w14:paraId="4A9F7568">
          <w:pPr>
            <w:tabs>
              <w:tab w:val="right" w:leader="dot" w:pos="8317"/>
            </w:tabs>
            <w:spacing w:before="23" w:line="220"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（二）项目经理简历表</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"bookmark296" </w:instrText>
          </w:r>
          <w:r>
            <w:rPr>
              <w:color w:val="auto"/>
              <w:highlight w:val="none"/>
            </w:rPr>
            <w:fldChar w:fldCharType="separate"/>
          </w:r>
          <w:r>
            <w:rPr>
              <w:rFonts w:ascii="宋体" w:hAnsi="宋体" w:eastAsia="宋体" w:cs="宋体"/>
              <w:color w:val="auto"/>
              <w:spacing w:val="-2"/>
              <w:sz w:val="21"/>
              <w:szCs w:val="21"/>
              <w:highlight w:val="none"/>
            </w:rPr>
            <w:t>266</w:t>
          </w:r>
          <w:r>
            <w:rPr>
              <w:rFonts w:ascii="宋体" w:hAnsi="宋体" w:eastAsia="宋体" w:cs="宋体"/>
              <w:color w:val="auto"/>
              <w:spacing w:val="-2"/>
              <w:sz w:val="21"/>
              <w:szCs w:val="21"/>
              <w:highlight w:val="none"/>
            </w:rPr>
            <w:fldChar w:fldCharType="end"/>
          </w:r>
        </w:p>
        <w:p w14:paraId="785A9D7B">
          <w:pPr>
            <w:tabs>
              <w:tab w:val="right" w:leader="dot" w:pos="8317"/>
            </w:tabs>
            <w:spacing w:before="24" w:line="220" w:lineRule="auto"/>
            <w:ind w:left="86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（三）承诺书</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"bookmark297" </w:instrText>
          </w:r>
          <w:r>
            <w:rPr>
              <w:color w:val="auto"/>
              <w:highlight w:val="none"/>
            </w:rPr>
            <w:fldChar w:fldCharType="separate"/>
          </w:r>
          <w:r>
            <w:rPr>
              <w:rFonts w:ascii="宋体" w:hAnsi="宋体" w:eastAsia="宋体" w:cs="宋体"/>
              <w:color w:val="auto"/>
              <w:spacing w:val="-2"/>
              <w:sz w:val="21"/>
              <w:szCs w:val="21"/>
              <w:highlight w:val="none"/>
            </w:rPr>
            <w:t>267</w:t>
          </w:r>
          <w:r>
            <w:rPr>
              <w:rFonts w:ascii="宋体" w:hAnsi="宋体" w:eastAsia="宋体" w:cs="宋体"/>
              <w:color w:val="auto"/>
              <w:spacing w:val="-2"/>
              <w:sz w:val="21"/>
              <w:szCs w:val="21"/>
              <w:highlight w:val="none"/>
            </w:rPr>
            <w:fldChar w:fldCharType="end"/>
          </w:r>
        </w:p>
      </w:sdtContent>
    </w:sdt>
    <w:p w14:paraId="11AEC77A">
      <w:pPr>
        <w:spacing w:line="220" w:lineRule="auto"/>
        <w:rPr>
          <w:rFonts w:ascii="宋体" w:hAnsi="宋体" w:eastAsia="宋体" w:cs="宋体"/>
          <w:color w:val="auto"/>
          <w:sz w:val="21"/>
          <w:szCs w:val="21"/>
          <w:highlight w:val="none"/>
        </w:rPr>
        <w:sectPr>
          <w:footerReference r:id="rId11" w:type="default"/>
          <w:pgSz w:w="11905" w:h="16839"/>
          <w:pgMar w:top="1427" w:right="1785" w:bottom="1033" w:left="1785" w:header="0" w:footer="848" w:gutter="0"/>
          <w:pgNumType w:fmt="decimal"/>
          <w:cols w:space="720" w:num="1"/>
        </w:sectPr>
      </w:pPr>
    </w:p>
    <w:sdt>
      <w:sdtPr>
        <w:rPr>
          <w:rFonts w:ascii="宋体" w:hAnsi="宋体" w:eastAsia="宋体" w:cs="宋体"/>
          <w:color w:val="auto"/>
          <w:sz w:val="21"/>
          <w:szCs w:val="21"/>
          <w:highlight w:val="none"/>
        </w:rPr>
        <w:id w:val="8"/>
        <w:docPartObj>
          <w:docPartGallery w:val="Table of Contents"/>
          <w:docPartUnique/>
        </w:docPartObj>
      </w:sdtPr>
      <w:sdtEndPr>
        <w:rPr>
          <w:rFonts w:ascii="宋体" w:hAnsi="宋体" w:eastAsia="宋体" w:cs="宋体"/>
          <w:color w:val="auto"/>
          <w:sz w:val="21"/>
          <w:szCs w:val="21"/>
          <w:highlight w:val="none"/>
        </w:rPr>
      </w:sdtEndPr>
      <w:sdtContent>
        <w:p w14:paraId="59C5C680">
          <w:pPr>
            <w:tabs>
              <w:tab w:val="right" w:leader="dot" w:pos="8317"/>
            </w:tabs>
            <w:spacing w:before="42" w:line="220"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（四）其他主要项目管理人员简历表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"bookmark298" </w:instrText>
          </w:r>
          <w:r>
            <w:rPr>
              <w:color w:val="auto"/>
              <w:highlight w:val="none"/>
            </w:rPr>
            <w:fldChar w:fldCharType="separate"/>
          </w:r>
          <w:r>
            <w:rPr>
              <w:rFonts w:ascii="宋体" w:hAnsi="宋体" w:eastAsia="宋体" w:cs="宋体"/>
              <w:color w:val="auto"/>
              <w:spacing w:val="-2"/>
              <w:sz w:val="21"/>
              <w:szCs w:val="21"/>
              <w:highlight w:val="none"/>
            </w:rPr>
            <w:t>268</w:t>
          </w:r>
          <w:r>
            <w:rPr>
              <w:rFonts w:ascii="宋体" w:hAnsi="宋体" w:eastAsia="宋体" w:cs="宋体"/>
              <w:color w:val="auto"/>
              <w:spacing w:val="-2"/>
              <w:sz w:val="21"/>
              <w:szCs w:val="21"/>
              <w:highlight w:val="none"/>
            </w:rPr>
            <w:fldChar w:fldCharType="end"/>
          </w:r>
        </w:p>
        <w:p w14:paraId="505B1325">
          <w:pPr>
            <w:tabs>
              <w:tab w:val="right" w:leader="dot" w:pos="8317"/>
            </w:tabs>
            <w:spacing w:before="18"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七、资格审查资料</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"bookmark299" </w:instrText>
          </w:r>
          <w:r>
            <w:rPr>
              <w:color w:val="auto"/>
              <w:highlight w:val="none"/>
            </w:rPr>
            <w:fldChar w:fldCharType="separate"/>
          </w:r>
          <w:r>
            <w:rPr>
              <w:rFonts w:ascii="宋体" w:hAnsi="宋体" w:eastAsia="宋体" w:cs="宋体"/>
              <w:color w:val="auto"/>
              <w:spacing w:val="-2"/>
              <w:sz w:val="21"/>
              <w:szCs w:val="21"/>
              <w:highlight w:val="none"/>
            </w:rPr>
            <w:t>269</w:t>
          </w:r>
          <w:r>
            <w:rPr>
              <w:rFonts w:ascii="宋体" w:hAnsi="宋体" w:eastAsia="宋体" w:cs="宋体"/>
              <w:color w:val="auto"/>
              <w:spacing w:val="-2"/>
              <w:sz w:val="21"/>
              <w:szCs w:val="21"/>
              <w:highlight w:val="none"/>
            </w:rPr>
            <w:fldChar w:fldCharType="end"/>
          </w:r>
        </w:p>
        <w:p w14:paraId="57F800B6">
          <w:pPr>
            <w:tabs>
              <w:tab w:val="right" w:leader="dot" w:pos="8317"/>
            </w:tabs>
            <w:spacing w:before="22" w:line="220"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（一）投标人基本情况</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"bookmark300" </w:instrText>
          </w:r>
          <w:r>
            <w:rPr>
              <w:color w:val="auto"/>
              <w:highlight w:val="none"/>
            </w:rPr>
            <w:fldChar w:fldCharType="separate"/>
          </w:r>
          <w:r>
            <w:rPr>
              <w:rFonts w:ascii="宋体" w:hAnsi="宋体" w:eastAsia="宋体" w:cs="宋体"/>
              <w:color w:val="auto"/>
              <w:spacing w:val="-2"/>
              <w:sz w:val="21"/>
              <w:szCs w:val="21"/>
              <w:highlight w:val="none"/>
            </w:rPr>
            <w:t>269</w:t>
          </w:r>
          <w:r>
            <w:rPr>
              <w:rFonts w:ascii="宋体" w:hAnsi="宋体" w:eastAsia="宋体" w:cs="宋体"/>
              <w:color w:val="auto"/>
              <w:spacing w:val="-2"/>
              <w:sz w:val="21"/>
              <w:szCs w:val="21"/>
              <w:highlight w:val="none"/>
            </w:rPr>
            <w:fldChar w:fldCharType="end"/>
          </w:r>
        </w:p>
        <w:p w14:paraId="41446362">
          <w:pPr>
            <w:tabs>
              <w:tab w:val="right" w:leader="dot" w:pos="8317"/>
            </w:tabs>
            <w:spacing w:before="23" w:line="220"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1-1</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投标人基本情况表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"bookmark301" </w:instrText>
          </w:r>
          <w:r>
            <w:rPr>
              <w:color w:val="auto"/>
              <w:highlight w:val="none"/>
            </w:rPr>
            <w:fldChar w:fldCharType="separate"/>
          </w:r>
          <w:r>
            <w:rPr>
              <w:rFonts w:ascii="宋体" w:hAnsi="宋体" w:eastAsia="宋体" w:cs="宋体"/>
              <w:color w:val="auto"/>
              <w:spacing w:val="-2"/>
              <w:sz w:val="21"/>
              <w:szCs w:val="21"/>
              <w:highlight w:val="none"/>
            </w:rPr>
            <w:t>269</w:t>
          </w:r>
          <w:r>
            <w:rPr>
              <w:rFonts w:ascii="宋体" w:hAnsi="宋体" w:eastAsia="宋体" w:cs="宋体"/>
              <w:color w:val="auto"/>
              <w:spacing w:val="-2"/>
              <w:sz w:val="21"/>
              <w:szCs w:val="21"/>
              <w:highlight w:val="none"/>
            </w:rPr>
            <w:fldChar w:fldCharType="end"/>
          </w:r>
        </w:p>
        <w:p w14:paraId="1B26DAA2">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1-2</w:t>
          </w:r>
          <w:r>
            <w:rPr>
              <w:rFonts w:ascii="宋体" w:hAnsi="宋体" w:eastAsia="宋体" w:cs="宋体"/>
              <w:color w:val="auto"/>
              <w:spacing w:val="-32"/>
              <w:sz w:val="21"/>
              <w:szCs w:val="21"/>
              <w:highlight w:val="none"/>
            </w:rPr>
            <w:t xml:space="preserve"> </w:t>
          </w:r>
          <w:r>
            <w:rPr>
              <w:rFonts w:ascii="宋体" w:hAnsi="宋体" w:eastAsia="宋体" w:cs="宋体"/>
              <w:color w:val="auto"/>
              <w:spacing w:val="-4"/>
              <w:sz w:val="21"/>
              <w:szCs w:val="21"/>
              <w:highlight w:val="none"/>
            </w:rPr>
            <w:t>关联单位情况说明</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"bookmark302" </w:instrText>
          </w:r>
          <w:r>
            <w:rPr>
              <w:color w:val="auto"/>
              <w:highlight w:val="none"/>
            </w:rPr>
            <w:fldChar w:fldCharType="separate"/>
          </w:r>
          <w:r>
            <w:rPr>
              <w:rFonts w:ascii="宋体" w:hAnsi="宋体" w:eastAsia="宋体" w:cs="宋体"/>
              <w:color w:val="auto"/>
              <w:spacing w:val="-2"/>
              <w:sz w:val="21"/>
              <w:szCs w:val="21"/>
              <w:highlight w:val="none"/>
            </w:rPr>
            <w:t>270</w:t>
          </w:r>
          <w:r>
            <w:rPr>
              <w:rFonts w:ascii="宋体" w:hAnsi="宋体" w:eastAsia="宋体" w:cs="宋体"/>
              <w:color w:val="auto"/>
              <w:spacing w:val="-2"/>
              <w:sz w:val="21"/>
              <w:szCs w:val="21"/>
              <w:highlight w:val="none"/>
            </w:rPr>
            <w:fldChar w:fldCharType="end"/>
          </w:r>
        </w:p>
        <w:p w14:paraId="7692E0EB">
          <w:pPr>
            <w:tabs>
              <w:tab w:val="right" w:leader="dot" w:pos="8317"/>
            </w:tabs>
            <w:spacing w:before="17" w:line="220"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1-3 企业在辽基本信息登记单</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"bookmark303" </w:instrText>
          </w:r>
          <w:r>
            <w:rPr>
              <w:color w:val="auto"/>
              <w:highlight w:val="none"/>
            </w:rPr>
            <w:fldChar w:fldCharType="separate"/>
          </w:r>
          <w:r>
            <w:rPr>
              <w:rFonts w:ascii="宋体" w:hAnsi="宋体" w:eastAsia="宋体" w:cs="宋体"/>
              <w:color w:val="auto"/>
              <w:spacing w:val="-2"/>
              <w:sz w:val="21"/>
              <w:szCs w:val="21"/>
              <w:highlight w:val="none"/>
            </w:rPr>
            <w:t>271</w:t>
          </w:r>
          <w:r>
            <w:rPr>
              <w:rFonts w:ascii="宋体" w:hAnsi="宋体" w:eastAsia="宋体" w:cs="宋体"/>
              <w:color w:val="auto"/>
              <w:spacing w:val="-2"/>
              <w:sz w:val="21"/>
              <w:szCs w:val="21"/>
              <w:highlight w:val="none"/>
            </w:rPr>
            <w:fldChar w:fldCharType="end"/>
          </w:r>
        </w:p>
        <w:p w14:paraId="066BB2A6">
          <w:pPr>
            <w:tabs>
              <w:tab w:val="right" w:leader="dot" w:pos="8317"/>
            </w:tabs>
            <w:spacing w:before="23" w:line="220"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1-4</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 xml:space="preserve">项目管理机构主要人员及简历表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"bookmark304" </w:instrText>
          </w:r>
          <w:r>
            <w:rPr>
              <w:color w:val="auto"/>
              <w:highlight w:val="none"/>
            </w:rPr>
            <w:fldChar w:fldCharType="separate"/>
          </w:r>
          <w:r>
            <w:rPr>
              <w:rFonts w:ascii="宋体" w:hAnsi="宋体" w:eastAsia="宋体" w:cs="宋体"/>
              <w:color w:val="auto"/>
              <w:spacing w:val="-2"/>
              <w:sz w:val="21"/>
              <w:szCs w:val="21"/>
              <w:highlight w:val="none"/>
            </w:rPr>
            <w:t>272</w:t>
          </w:r>
          <w:r>
            <w:rPr>
              <w:rFonts w:ascii="宋体" w:hAnsi="宋体" w:eastAsia="宋体" w:cs="宋体"/>
              <w:color w:val="auto"/>
              <w:spacing w:val="-2"/>
              <w:sz w:val="21"/>
              <w:szCs w:val="21"/>
              <w:highlight w:val="none"/>
            </w:rPr>
            <w:fldChar w:fldCharType="end"/>
          </w:r>
        </w:p>
        <w:p w14:paraId="17629C7C">
          <w:pPr>
            <w:tabs>
              <w:tab w:val="right" w:leader="dot" w:pos="8317"/>
            </w:tabs>
            <w:spacing w:before="24" w:line="220"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1-5</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 xml:space="preserve">拟投入主要施工机械设备情况表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"bookmark305" </w:instrText>
          </w:r>
          <w:r>
            <w:rPr>
              <w:color w:val="auto"/>
              <w:highlight w:val="none"/>
            </w:rPr>
            <w:fldChar w:fldCharType="separate"/>
          </w:r>
          <w:r>
            <w:rPr>
              <w:rFonts w:ascii="宋体" w:hAnsi="宋体" w:eastAsia="宋体" w:cs="宋体"/>
              <w:color w:val="auto"/>
              <w:spacing w:val="-2"/>
              <w:sz w:val="21"/>
              <w:szCs w:val="21"/>
              <w:highlight w:val="none"/>
            </w:rPr>
            <w:t>273</w:t>
          </w:r>
          <w:r>
            <w:rPr>
              <w:rFonts w:ascii="宋体" w:hAnsi="宋体" w:eastAsia="宋体" w:cs="宋体"/>
              <w:color w:val="auto"/>
              <w:spacing w:val="-2"/>
              <w:sz w:val="21"/>
              <w:szCs w:val="21"/>
              <w:highlight w:val="none"/>
            </w:rPr>
            <w:fldChar w:fldCharType="end"/>
          </w:r>
        </w:p>
        <w:p w14:paraId="35163E11">
          <w:pPr>
            <w:tabs>
              <w:tab w:val="right" w:leader="dot" w:pos="8317"/>
            </w:tabs>
            <w:spacing w:before="23" w:line="221"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（二）近年财务状况表</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"bookmark306" </w:instrText>
          </w:r>
          <w:r>
            <w:rPr>
              <w:color w:val="auto"/>
              <w:highlight w:val="none"/>
            </w:rPr>
            <w:fldChar w:fldCharType="separate"/>
          </w:r>
          <w:r>
            <w:rPr>
              <w:rFonts w:ascii="宋体" w:hAnsi="宋体" w:eastAsia="宋体" w:cs="宋体"/>
              <w:color w:val="auto"/>
              <w:spacing w:val="-2"/>
              <w:sz w:val="21"/>
              <w:szCs w:val="21"/>
              <w:highlight w:val="none"/>
            </w:rPr>
            <w:t>274</w:t>
          </w:r>
          <w:r>
            <w:rPr>
              <w:rFonts w:ascii="宋体" w:hAnsi="宋体" w:eastAsia="宋体" w:cs="宋体"/>
              <w:color w:val="auto"/>
              <w:spacing w:val="-2"/>
              <w:sz w:val="21"/>
              <w:szCs w:val="21"/>
              <w:highlight w:val="none"/>
            </w:rPr>
            <w:fldChar w:fldCharType="end"/>
          </w:r>
        </w:p>
        <w:p w14:paraId="2B26EFD3">
          <w:pPr>
            <w:tabs>
              <w:tab w:val="right" w:leader="dot" w:pos="8317"/>
            </w:tabs>
            <w:spacing w:before="17" w:line="221"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（三）近年完成的类似项目情况</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"bookmark307" </w:instrText>
          </w:r>
          <w:r>
            <w:rPr>
              <w:color w:val="auto"/>
              <w:highlight w:val="none"/>
            </w:rPr>
            <w:fldChar w:fldCharType="separate"/>
          </w:r>
          <w:r>
            <w:rPr>
              <w:rFonts w:ascii="宋体" w:hAnsi="宋体" w:eastAsia="宋体" w:cs="宋体"/>
              <w:color w:val="auto"/>
              <w:spacing w:val="-2"/>
              <w:sz w:val="21"/>
              <w:szCs w:val="21"/>
              <w:highlight w:val="none"/>
            </w:rPr>
            <w:t>275</w:t>
          </w:r>
          <w:r>
            <w:rPr>
              <w:rFonts w:ascii="宋体" w:hAnsi="宋体" w:eastAsia="宋体" w:cs="宋体"/>
              <w:color w:val="auto"/>
              <w:spacing w:val="-2"/>
              <w:sz w:val="21"/>
              <w:szCs w:val="21"/>
              <w:highlight w:val="none"/>
            </w:rPr>
            <w:fldChar w:fldCharType="end"/>
          </w:r>
        </w:p>
        <w:p w14:paraId="4E2EF660">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3-1 近年完成的类似项目汇总表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"bookmark308" </w:instrText>
          </w:r>
          <w:r>
            <w:rPr>
              <w:color w:val="auto"/>
              <w:highlight w:val="none"/>
            </w:rPr>
            <w:fldChar w:fldCharType="separate"/>
          </w:r>
          <w:r>
            <w:rPr>
              <w:rFonts w:ascii="宋体" w:hAnsi="宋体" w:eastAsia="宋体" w:cs="宋体"/>
              <w:color w:val="auto"/>
              <w:spacing w:val="-2"/>
              <w:sz w:val="21"/>
              <w:szCs w:val="21"/>
              <w:highlight w:val="none"/>
            </w:rPr>
            <w:t>275</w:t>
          </w:r>
          <w:r>
            <w:rPr>
              <w:rFonts w:ascii="宋体" w:hAnsi="宋体" w:eastAsia="宋体" w:cs="宋体"/>
              <w:color w:val="auto"/>
              <w:spacing w:val="-2"/>
              <w:sz w:val="21"/>
              <w:szCs w:val="21"/>
              <w:highlight w:val="none"/>
            </w:rPr>
            <w:fldChar w:fldCharType="end"/>
          </w:r>
        </w:p>
        <w:p w14:paraId="36EB8FFC">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3-2 近年完成的类似项目情况表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"bookmark309" </w:instrText>
          </w:r>
          <w:r>
            <w:rPr>
              <w:color w:val="auto"/>
              <w:highlight w:val="none"/>
            </w:rPr>
            <w:fldChar w:fldCharType="separate"/>
          </w:r>
          <w:r>
            <w:rPr>
              <w:rFonts w:ascii="宋体" w:hAnsi="宋体" w:eastAsia="宋体" w:cs="宋体"/>
              <w:color w:val="auto"/>
              <w:spacing w:val="-2"/>
              <w:sz w:val="21"/>
              <w:szCs w:val="21"/>
              <w:highlight w:val="none"/>
            </w:rPr>
            <w:t>276</w:t>
          </w:r>
          <w:r>
            <w:rPr>
              <w:rFonts w:ascii="宋体" w:hAnsi="宋体" w:eastAsia="宋体" w:cs="宋体"/>
              <w:color w:val="auto"/>
              <w:spacing w:val="-2"/>
              <w:sz w:val="21"/>
              <w:szCs w:val="21"/>
              <w:highlight w:val="none"/>
            </w:rPr>
            <w:fldChar w:fldCharType="end"/>
          </w:r>
        </w:p>
        <w:p w14:paraId="33109FFC">
          <w:pPr>
            <w:tabs>
              <w:tab w:val="right" w:leader="dot" w:pos="8317"/>
            </w:tabs>
            <w:spacing w:before="22" w:line="221"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（四）正在施工的和新承接的项目情况</w:t>
          </w:r>
          <w:r>
            <w:rPr>
              <w:rFonts w:ascii="宋体" w:hAnsi="宋体" w:eastAsia="宋体" w:cs="宋体"/>
              <w:color w:val="auto"/>
              <w:spacing w:val="-6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"bookmark310" </w:instrText>
          </w:r>
          <w:r>
            <w:rPr>
              <w:color w:val="auto"/>
              <w:highlight w:val="none"/>
            </w:rPr>
            <w:fldChar w:fldCharType="separate"/>
          </w:r>
          <w:r>
            <w:rPr>
              <w:rFonts w:ascii="宋体" w:hAnsi="宋体" w:eastAsia="宋体" w:cs="宋体"/>
              <w:color w:val="auto"/>
              <w:spacing w:val="-2"/>
              <w:sz w:val="21"/>
              <w:szCs w:val="21"/>
              <w:highlight w:val="none"/>
            </w:rPr>
            <w:t>277</w:t>
          </w:r>
          <w:r>
            <w:rPr>
              <w:rFonts w:ascii="宋体" w:hAnsi="宋体" w:eastAsia="宋体" w:cs="宋体"/>
              <w:color w:val="auto"/>
              <w:spacing w:val="-2"/>
              <w:sz w:val="21"/>
              <w:szCs w:val="21"/>
              <w:highlight w:val="none"/>
            </w:rPr>
            <w:fldChar w:fldCharType="end"/>
          </w:r>
        </w:p>
        <w:p w14:paraId="13967C15">
          <w:pPr>
            <w:tabs>
              <w:tab w:val="right" w:leader="dot" w:pos="8317"/>
            </w:tabs>
            <w:spacing w:before="18"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 正在施工的和新承接的项目汇总表</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"bookmark311" </w:instrText>
          </w:r>
          <w:r>
            <w:rPr>
              <w:color w:val="auto"/>
              <w:highlight w:val="none"/>
            </w:rPr>
            <w:fldChar w:fldCharType="separate"/>
          </w:r>
          <w:r>
            <w:rPr>
              <w:rFonts w:ascii="宋体" w:hAnsi="宋体" w:eastAsia="宋体" w:cs="宋体"/>
              <w:color w:val="auto"/>
              <w:spacing w:val="-2"/>
              <w:sz w:val="21"/>
              <w:szCs w:val="21"/>
              <w:highlight w:val="none"/>
            </w:rPr>
            <w:t>277</w:t>
          </w:r>
          <w:r>
            <w:rPr>
              <w:rFonts w:ascii="宋体" w:hAnsi="宋体" w:eastAsia="宋体" w:cs="宋体"/>
              <w:color w:val="auto"/>
              <w:spacing w:val="-2"/>
              <w:sz w:val="21"/>
              <w:szCs w:val="21"/>
              <w:highlight w:val="none"/>
            </w:rPr>
            <w:fldChar w:fldCharType="end"/>
          </w:r>
        </w:p>
        <w:p w14:paraId="781F955C">
          <w:pPr>
            <w:tabs>
              <w:tab w:val="right" w:leader="dot" w:pos="8317"/>
            </w:tabs>
            <w:spacing w:before="22"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4-2 正在施工的和新承接的项目情况表</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"bookmark312" </w:instrText>
          </w:r>
          <w:r>
            <w:rPr>
              <w:color w:val="auto"/>
              <w:highlight w:val="none"/>
            </w:rPr>
            <w:fldChar w:fldCharType="separate"/>
          </w:r>
          <w:r>
            <w:rPr>
              <w:rFonts w:ascii="宋体" w:hAnsi="宋体" w:eastAsia="宋体" w:cs="宋体"/>
              <w:color w:val="auto"/>
              <w:spacing w:val="-2"/>
              <w:sz w:val="21"/>
              <w:szCs w:val="21"/>
              <w:highlight w:val="none"/>
            </w:rPr>
            <w:t>278</w:t>
          </w:r>
          <w:r>
            <w:rPr>
              <w:rFonts w:ascii="宋体" w:hAnsi="宋体" w:eastAsia="宋体" w:cs="宋体"/>
              <w:color w:val="auto"/>
              <w:spacing w:val="-2"/>
              <w:sz w:val="21"/>
              <w:szCs w:val="21"/>
              <w:highlight w:val="none"/>
            </w:rPr>
            <w:fldChar w:fldCharType="end"/>
          </w:r>
        </w:p>
        <w:p w14:paraId="531529C9">
          <w:pPr>
            <w:tabs>
              <w:tab w:val="right" w:leader="dot" w:pos="8317"/>
            </w:tabs>
            <w:spacing w:before="22" w:line="220"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（五）企业信誉情况</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"bookmark313" </w:instrText>
          </w:r>
          <w:r>
            <w:rPr>
              <w:color w:val="auto"/>
              <w:highlight w:val="none"/>
            </w:rPr>
            <w:fldChar w:fldCharType="separate"/>
          </w:r>
          <w:r>
            <w:rPr>
              <w:rFonts w:ascii="宋体" w:hAnsi="宋体" w:eastAsia="宋体" w:cs="宋体"/>
              <w:color w:val="auto"/>
              <w:spacing w:val="-2"/>
              <w:sz w:val="21"/>
              <w:szCs w:val="21"/>
              <w:highlight w:val="none"/>
            </w:rPr>
            <w:t>279</w:t>
          </w:r>
          <w:r>
            <w:rPr>
              <w:rFonts w:ascii="宋体" w:hAnsi="宋体" w:eastAsia="宋体" w:cs="宋体"/>
              <w:color w:val="auto"/>
              <w:spacing w:val="-2"/>
              <w:sz w:val="21"/>
              <w:szCs w:val="21"/>
              <w:highlight w:val="none"/>
            </w:rPr>
            <w:fldChar w:fldCharType="end"/>
          </w:r>
        </w:p>
        <w:p w14:paraId="2E9C0048">
          <w:pPr>
            <w:tabs>
              <w:tab w:val="right" w:leader="dot" w:pos="8317"/>
            </w:tabs>
            <w:spacing w:before="24" w:line="220"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5-1</w:t>
          </w:r>
          <w:r>
            <w:rPr>
              <w:rFonts w:ascii="宋体" w:hAnsi="宋体" w:eastAsia="宋体" w:cs="宋体"/>
              <w:color w:val="auto"/>
              <w:spacing w:val="-35"/>
              <w:sz w:val="21"/>
              <w:szCs w:val="21"/>
              <w:highlight w:val="none"/>
            </w:rPr>
            <w:t xml:space="preserve"> </w:t>
          </w:r>
          <w:r>
            <w:rPr>
              <w:rFonts w:ascii="宋体" w:hAnsi="宋体" w:eastAsia="宋体" w:cs="宋体"/>
              <w:color w:val="auto"/>
              <w:spacing w:val="-3"/>
              <w:sz w:val="21"/>
              <w:szCs w:val="21"/>
              <w:highlight w:val="none"/>
            </w:rPr>
            <w:t>企业信誉声明</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"bookmark314" </w:instrText>
          </w:r>
          <w:r>
            <w:rPr>
              <w:color w:val="auto"/>
              <w:highlight w:val="none"/>
            </w:rPr>
            <w:fldChar w:fldCharType="separate"/>
          </w:r>
          <w:r>
            <w:rPr>
              <w:rFonts w:ascii="宋体" w:hAnsi="宋体" w:eastAsia="宋体" w:cs="宋体"/>
              <w:color w:val="auto"/>
              <w:spacing w:val="-2"/>
              <w:sz w:val="21"/>
              <w:szCs w:val="21"/>
              <w:highlight w:val="none"/>
            </w:rPr>
            <w:t>279</w:t>
          </w:r>
          <w:r>
            <w:rPr>
              <w:rFonts w:ascii="宋体" w:hAnsi="宋体" w:eastAsia="宋体" w:cs="宋体"/>
              <w:color w:val="auto"/>
              <w:spacing w:val="-2"/>
              <w:sz w:val="21"/>
              <w:szCs w:val="21"/>
              <w:highlight w:val="none"/>
            </w:rPr>
            <w:fldChar w:fldCharType="end"/>
          </w:r>
        </w:p>
        <w:p w14:paraId="796117F6">
          <w:pPr>
            <w:tabs>
              <w:tab w:val="right" w:leader="dot" w:pos="8317"/>
            </w:tabs>
            <w:spacing w:before="19"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5-2 近年发生的诉讼和仲裁情况</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"bookmark315" </w:instrText>
          </w:r>
          <w:r>
            <w:rPr>
              <w:color w:val="auto"/>
              <w:highlight w:val="none"/>
            </w:rPr>
            <w:fldChar w:fldCharType="separate"/>
          </w:r>
          <w:r>
            <w:rPr>
              <w:rFonts w:ascii="宋体" w:hAnsi="宋体" w:eastAsia="宋体" w:cs="宋体"/>
              <w:color w:val="auto"/>
              <w:spacing w:val="-2"/>
              <w:sz w:val="21"/>
              <w:szCs w:val="21"/>
              <w:highlight w:val="none"/>
            </w:rPr>
            <w:t>280</w:t>
          </w:r>
          <w:r>
            <w:rPr>
              <w:rFonts w:ascii="宋体" w:hAnsi="宋体" w:eastAsia="宋体" w:cs="宋体"/>
              <w:color w:val="auto"/>
              <w:spacing w:val="-2"/>
              <w:sz w:val="21"/>
              <w:szCs w:val="21"/>
              <w:highlight w:val="none"/>
            </w:rPr>
            <w:fldChar w:fldCharType="end"/>
          </w:r>
        </w:p>
        <w:p w14:paraId="638C57A5">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5-3 近年投标人工程获奖情况表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"bookmark316" </w:instrText>
          </w:r>
          <w:r>
            <w:rPr>
              <w:color w:val="auto"/>
              <w:highlight w:val="none"/>
            </w:rPr>
            <w:fldChar w:fldCharType="separate"/>
          </w:r>
          <w:r>
            <w:rPr>
              <w:rFonts w:ascii="宋体" w:hAnsi="宋体" w:eastAsia="宋体" w:cs="宋体"/>
              <w:color w:val="auto"/>
              <w:spacing w:val="-2"/>
              <w:sz w:val="21"/>
              <w:szCs w:val="21"/>
              <w:highlight w:val="none"/>
            </w:rPr>
            <w:t>281</w:t>
          </w:r>
          <w:r>
            <w:rPr>
              <w:rFonts w:ascii="宋体" w:hAnsi="宋体" w:eastAsia="宋体" w:cs="宋体"/>
              <w:color w:val="auto"/>
              <w:spacing w:val="-2"/>
              <w:sz w:val="21"/>
              <w:szCs w:val="21"/>
              <w:highlight w:val="none"/>
            </w:rPr>
            <w:fldChar w:fldCharType="end"/>
          </w:r>
        </w:p>
        <w:p w14:paraId="075339C1">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5-4 近年项目经理工程获奖情况表</w:t>
          </w:r>
          <w:r>
            <w:rPr>
              <w:rFonts w:ascii="宋体" w:hAnsi="宋体" w:eastAsia="宋体" w:cs="宋体"/>
              <w:color w:val="auto"/>
              <w:spacing w:val="-6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"bookmark317" </w:instrText>
          </w:r>
          <w:r>
            <w:rPr>
              <w:color w:val="auto"/>
              <w:highlight w:val="none"/>
            </w:rPr>
            <w:fldChar w:fldCharType="separate"/>
          </w:r>
          <w:r>
            <w:rPr>
              <w:rFonts w:ascii="宋体" w:hAnsi="宋体" w:eastAsia="宋体" w:cs="宋体"/>
              <w:color w:val="auto"/>
              <w:spacing w:val="-2"/>
              <w:sz w:val="21"/>
              <w:szCs w:val="21"/>
              <w:highlight w:val="none"/>
            </w:rPr>
            <w:t>282</w:t>
          </w:r>
          <w:r>
            <w:rPr>
              <w:rFonts w:ascii="宋体" w:hAnsi="宋体" w:eastAsia="宋体" w:cs="宋体"/>
              <w:color w:val="auto"/>
              <w:spacing w:val="-2"/>
              <w:sz w:val="21"/>
              <w:szCs w:val="21"/>
              <w:highlight w:val="none"/>
            </w:rPr>
            <w:fldChar w:fldCharType="end"/>
          </w:r>
        </w:p>
        <w:p w14:paraId="187B3234">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5-5 近年项目经理获表彰情况表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"bookmark318" </w:instrText>
          </w:r>
          <w:r>
            <w:rPr>
              <w:color w:val="auto"/>
              <w:highlight w:val="none"/>
            </w:rPr>
            <w:fldChar w:fldCharType="separate"/>
          </w:r>
          <w:r>
            <w:rPr>
              <w:rFonts w:ascii="宋体" w:hAnsi="宋体" w:eastAsia="宋体" w:cs="宋体"/>
              <w:color w:val="auto"/>
              <w:spacing w:val="-2"/>
              <w:sz w:val="21"/>
              <w:szCs w:val="21"/>
              <w:highlight w:val="none"/>
            </w:rPr>
            <w:t>283</w:t>
          </w:r>
          <w:r>
            <w:rPr>
              <w:rFonts w:ascii="宋体" w:hAnsi="宋体" w:eastAsia="宋体" w:cs="宋体"/>
              <w:color w:val="auto"/>
              <w:spacing w:val="-2"/>
              <w:sz w:val="21"/>
              <w:szCs w:val="21"/>
              <w:highlight w:val="none"/>
            </w:rPr>
            <w:fldChar w:fldCharType="end"/>
          </w:r>
        </w:p>
        <w:p w14:paraId="1DC6075C">
          <w:pPr>
            <w:tabs>
              <w:tab w:val="right" w:leader="dot" w:pos="8317"/>
            </w:tabs>
            <w:spacing w:before="18" w:line="219"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八、已标价工程量清单</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"bookmark319" </w:instrText>
          </w:r>
          <w:r>
            <w:rPr>
              <w:color w:val="auto"/>
              <w:highlight w:val="none"/>
            </w:rPr>
            <w:fldChar w:fldCharType="separate"/>
          </w:r>
          <w:r>
            <w:rPr>
              <w:rFonts w:ascii="宋体" w:hAnsi="宋体" w:eastAsia="宋体" w:cs="宋体"/>
              <w:color w:val="auto"/>
              <w:spacing w:val="-2"/>
              <w:sz w:val="21"/>
              <w:szCs w:val="21"/>
              <w:highlight w:val="none"/>
            </w:rPr>
            <w:t>284</w:t>
          </w:r>
          <w:r>
            <w:rPr>
              <w:rFonts w:ascii="宋体" w:hAnsi="宋体" w:eastAsia="宋体" w:cs="宋体"/>
              <w:color w:val="auto"/>
              <w:spacing w:val="-2"/>
              <w:sz w:val="21"/>
              <w:szCs w:val="21"/>
              <w:highlight w:val="none"/>
            </w:rPr>
            <w:fldChar w:fldCharType="end"/>
          </w:r>
        </w:p>
        <w:p w14:paraId="70839AE3">
          <w:pPr>
            <w:tabs>
              <w:tab w:val="right" w:leader="dot" w:pos="8317"/>
            </w:tabs>
            <w:spacing w:before="25" w:line="219" w:lineRule="auto"/>
            <w:ind w:left="88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已标价工程量清单（投标总价）封面</w:t>
          </w:r>
          <w:r>
            <w:rPr>
              <w:rFonts w:ascii="宋体" w:hAnsi="宋体" w:eastAsia="宋体" w:cs="宋体"/>
              <w:color w:val="auto"/>
              <w:spacing w:val="-5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"bookmark320" </w:instrText>
          </w:r>
          <w:r>
            <w:rPr>
              <w:color w:val="auto"/>
              <w:highlight w:val="none"/>
            </w:rPr>
            <w:fldChar w:fldCharType="separate"/>
          </w:r>
          <w:r>
            <w:rPr>
              <w:rFonts w:ascii="宋体" w:hAnsi="宋体" w:eastAsia="宋体" w:cs="宋体"/>
              <w:color w:val="auto"/>
              <w:spacing w:val="-2"/>
              <w:sz w:val="21"/>
              <w:szCs w:val="21"/>
              <w:highlight w:val="none"/>
            </w:rPr>
            <w:t>285</w:t>
          </w:r>
          <w:r>
            <w:rPr>
              <w:rFonts w:ascii="宋体" w:hAnsi="宋体" w:eastAsia="宋体" w:cs="宋体"/>
              <w:color w:val="auto"/>
              <w:spacing w:val="-2"/>
              <w:sz w:val="21"/>
              <w:szCs w:val="21"/>
              <w:highlight w:val="none"/>
            </w:rPr>
            <w:fldChar w:fldCharType="end"/>
          </w:r>
        </w:p>
        <w:p w14:paraId="37AE2BC0">
          <w:pPr>
            <w:tabs>
              <w:tab w:val="right" w:leader="dot" w:pos="8317"/>
            </w:tabs>
            <w:spacing w:before="24" w:line="219" w:lineRule="auto"/>
            <w:ind w:left="8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投标总价扉页</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"bookmark321" </w:instrText>
          </w:r>
          <w:r>
            <w:rPr>
              <w:color w:val="auto"/>
              <w:highlight w:val="none"/>
            </w:rPr>
            <w:fldChar w:fldCharType="separate"/>
          </w:r>
          <w:r>
            <w:rPr>
              <w:rFonts w:ascii="宋体" w:hAnsi="宋体" w:eastAsia="宋体" w:cs="宋体"/>
              <w:color w:val="auto"/>
              <w:spacing w:val="-2"/>
              <w:sz w:val="21"/>
              <w:szCs w:val="21"/>
              <w:highlight w:val="none"/>
            </w:rPr>
            <w:t>286</w:t>
          </w:r>
          <w:r>
            <w:rPr>
              <w:rFonts w:ascii="宋体" w:hAnsi="宋体" w:eastAsia="宋体" w:cs="宋体"/>
              <w:color w:val="auto"/>
              <w:spacing w:val="-2"/>
              <w:sz w:val="21"/>
              <w:szCs w:val="21"/>
              <w:highlight w:val="none"/>
            </w:rPr>
            <w:fldChar w:fldCharType="end"/>
          </w:r>
        </w:p>
        <w:p w14:paraId="0053D8F2">
          <w:pPr>
            <w:tabs>
              <w:tab w:val="right" w:leader="dot" w:pos="8317"/>
            </w:tabs>
            <w:spacing w:before="20" w:line="222"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九、施工组织设计</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"bookmark322" </w:instrText>
          </w:r>
          <w:r>
            <w:rPr>
              <w:color w:val="auto"/>
              <w:highlight w:val="none"/>
            </w:rPr>
            <w:fldChar w:fldCharType="separate"/>
          </w:r>
          <w:r>
            <w:rPr>
              <w:rFonts w:ascii="宋体" w:hAnsi="宋体" w:eastAsia="宋体" w:cs="宋体"/>
              <w:color w:val="auto"/>
              <w:spacing w:val="-2"/>
              <w:sz w:val="21"/>
              <w:szCs w:val="21"/>
              <w:highlight w:val="none"/>
            </w:rPr>
            <w:t>287</w:t>
          </w:r>
          <w:r>
            <w:rPr>
              <w:rFonts w:ascii="宋体" w:hAnsi="宋体" w:eastAsia="宋体" w:cs="宋体"/>
              <w:color w:val="auto"/>
              <w:spacing w:val="-2"/>
              <w:sz w:val="21"/>
              <w:szCs w:val="21"/>
              <w:highlight w:val="none"/>
            </w:rPr>
            <w:fldChar w:fldCharType="end"/>
          </w:r>
        </w:p>
        <w:p w14:paraId="039BEC2E">
          <w:pPr>
            <w:tabs>
              <w:tab w:val="right" w:leader="dot" w:pos="8317"/>
            </w:tabs>
            <w:spacing w:before="21"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附表一：拟投入本工程的主要施工设备表</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"bookmark323" </w:instrText>
          </w:r>
          <w:r>
            <w:rPr>
              <w:color w:val="auto"/>
              <w:highlight w:val="none"/>
            </w:rPr>
            <w:fldChar w:fldCharType="separate"/>
          </w:r>
          <w:r>
            <w:rPr>
              <w:rFonts w:ascii="宋体" w:hAnsi="宋体" w:eastAsia="宋体" w:cs="宋体"/>
              <w:color w:val="auto"/>
              <w:spacing w:val="-2"/>
              <w:sz w:val="21"/>
              <w:szCs w:val="21"/>
              <w:highlight w:val="none"/>
            </w:rPr>
            <w:t>289</w:t>
          </w:r>
          <w:r>
            <w:rPr>
              <w:rFonts w:ascii="宋体" w:hAnsi="宋体" w:eastAsia="宋体" w:cs="宋体"/>
              <w:color w:val="auto"/>
              <w:spacing w:val="-2"/>
              <w:sz w:val="21"/>
              <w:szCs w:val="21"/>
              <w:highlight w:val="none"/>
            </w:rPr>
            <w:fldChar w:fldCharType="end"/>
          </w:r>
        </w:p>
        <w:p w14:paraId="5A8E297F">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附表二：拟配备本工程的试验和检测仪器设备表</w:t>
          </w:r>
          <w:r>
            <w:rPr>
              <w:rFonts w:ascii="宋体" w:hAnsi="宋体" w:eastAsia="宋体" w:cs="宋体"/>
              <w:color w:val="auto"/>
              <w:spacing w:val="-6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"bookmark324" </w:instrText>
          </w:r>
          <w:r>
            <w:rPr>
              <w:color w:val="auto"/>
              <w:highlight w:val="none"/>
            </w:rPr>
            <w:fldChar w:fldCharType="separate"/>
          </w:r>
          <w:r>
            <w:rPr>
              <w:rFonts w:ascii="宋体" w:hAnsi="宋体" w:eastAsia="宋体" w:cs="宋体"/>
              <w:color w:val="auto"/>
              <w:spacing w:val="-2"/>
              <w:sz w:val="21"/>
              <w:szCs w:val="21"/>
              <w:highlight w:val="none"/>
            </w:rPr>
            <w:t>290</w:t>
          </w:r>
          <w:r>
            <w:rPr>
              <w:rFonts w:ascii="宋体" w:hAnsi="宋体" w:eastAsia="宋体" w:cs="宋体"/>
              <w:color w:val="auto"/>
              <w:spacing w:val="-2"/>
              <w:sz w:val="21"/>
              <w:szCs w:val="21"/>
              <w:highlight w:val="none"/>
            </w:rPr>
            <w:fldChar w:fldCharType="end"/>
          </w:r>
        </w:p>
        <w:p w14:paraId="3882468B">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附表三：劳动力计划表</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"bookmark325" </w:instrText>
          </w:r>
          <w:r>
            <w:rPr>
              <w:color w:val="auto"/>
              <w:highlight w:val="none"/>
            </w:rPr>
            <w:fldChar w:fldCharType="separate"/>
          </w:r>
          <w:r>
            <w:rPr>
              <w:rFonts w:ascii="宋体" w:hAnsi="宋体" w:eastAsia="宋体" w:cs="宋体"/>
              <w:color w:val="auto"/>
              <w:spacing w:val="-2"/>
              <w:sz w:val="21"/>
              <w:szCs w:val="21"/>
              <w:highlight w:val="none"/>
            </w:rPr>
            <w:t>291</w:t>
          </w:r>
          <w:r>
            <w:rPr>
              <w:rFonts w:ascii="宋体" w:hAnsi="宋体" w:eastAsia="宋体" w:cs="宋体"/>
              <w:color w:val="auto"/>
              <w:spacing w:val="-2"/>
              <w:sz w:val="21"/>
              <w:szCs w:val="21"/>
              <w:highlight w:val="none"/>
            </w:rPr>
            <w:fldChar w:fldCharType="end"/>
          </w:r>
        </w:p>
        <w:p w14:paraId="79D398EC">
          <w:pPr>
            <w:tabs>
              <w:tab w:val="right" w:leader="dot" w:pos="8317"/>
            </w:tabs>
            <w:spacing w:before="18"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附表四：计划开、竣工日期和施工进度网络图</w:t>
          </w:r>
          <w:r>
            <w:rPr>
              <w:rFonts w:ascii="宋体" w:hAnsi="宋体" w:eastAsia="宋体" w:cs="宋体"/>
              <w:color w:val="auto"/>
              <w:spacing w:val="-4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"bookmark326" </w:instrText>
          </w:r>
          <w:r>
            <w:rPr>
              <w:color w:val="auto"/>
              <w:highlight w:val="none"/>
            </w:rPr>
            <w:fldChar w:fldCharType="separate"/>
          </w:r>
          <w:r>
            <w:rPr>
              <w:rFonts w:ascii="宋体" w:hAnsi="宋体" w:eastAsia="宋体" w:cs="宋体"/>
              <w:color w:val="auto"/>
              <w:spacing w:val="-2"/>
              <w:sz w:val="21"/>
              <w:szCs w:val="21"/>
              <w:highlight w:val="none"/>
            </w:rPr>
            <w:t>292</w:t>
          </w:r>
          <w:r>
            <w:rPr>
              <w:rFonts w:ascii="宋体" w:hAnsi="宋体" w:eastAsia="宋体" w:cs="宋体"/>
              <w:color w:val="auto"/>
              <w:spacing w:val="-2"/>
              <w:sz w:val="21"/>
              <w:szCs w:val="21"/>
              <w:highlight w:val="none"/>
            </w:rPr>
            <w:fldChar w:fldCharType="end"/>
          </w:r>
        </w:p>
        <w:p w14:paraId="02A3EB90">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附表五：施工总平面图</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"bookmark327" </w:instrText>
          </w:r>
          <w:r>
            <w:rPr>
              <w:color w:val="auto"/>
              <w:highlight w:val="none"/>
            </w:rPr>
            <w:fldChar w:fldCharType="separate"/>
          </w:r>
          <w:r>
            <w:rPr>
              <w:rFonts w:ascii="宋体" w:hAnsi="宋体" w:eastAsia="宋体" w:cs="宋体"/>
              <w:color w:val="auto"/>
              <w:spacing w:val="-2"/>
              <w:sz w:val="21"/>
              <w:szCs w:val="21"/>
              <w:highlight w:val="none"/>
            </w:rPr>
            <w:t>293</w:t>
          </w:r>
          <w:r>
            <w:rPr>
              <w:rFonts w:ascii="宋体" w:hAnsi="宋体" w:eastAsia="宋体" w:cs="宋体"/>
              <w:color w:val="auto"/>
              <w:spacing w:val="-2"/>
              <w:sz w:val="21"/>
              <w:szCs w:val="21"/>
              <w:highlight w:val="none"/>
            </w:rPr>
            <w:fldChar w:fldCharType="end"/>
          </w:r>
        </w:p>
        <w:p w14:paraId="72020A88">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附表六：临时用地表</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"bookmark328" </w:instrText>
          </w:r>
          <w:r>
            <w:rPr>
              <w:color w:val="auto"/>
              <w:highlight w:val="none"/>
            </w:rPr>
            <w:fldChar w:fldCharType="separate"/>
          </w:r>
          <w:r>
            <w:rPr>
              <w:rFonts w:ascii="宋体" w:hAnsi="宋体" w:eastAsia="宋体" w:cs="宋体"/>
              <w:color w:val="auto"/>
              <w:spacing w:val="-2"/>
              <w:sz w:val="21"/>
              <w:szCs w:val="21"/>
              <w:highlight w:val="none"/>
            </w:rPr>
            <w:t>294</w:t>
          </w:r>
          <w:r>
            <w:rPr>
              <w:rFonts w:ascii="宋体" w:hAnsi="宋体" w:eastAsia="宋体" w:cs="宋体"/>
              <w:color w:val="auto"/>
              <w:spacing w:val="-2"/>
              <w:sz w:val="21"/>
              <w:szCs w:val="21"/>
              <w:highlight w:val="none"/>
            </w:rPr>
            <w:fldChar w:fldCharType="end"/>
          </w:r>
        </w:p>
        <w:p w14:paraId="556C6329">
          <w:pPr>
            <w:tabs>
              <w:tab w:val="right" w:leader="dot" w:pos="8317"/>
            </w:tabs>
            <w:spacing w:before="24"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十、其他材料</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"bookmark329" </w:instrText>
          </w:r>
          <w:r>
            <w:rPr>
              <w:color w:val="auto"/>
              <w:highlight w:val="none"/>
            </w:rPr>
            <w:fldChar w:fldCharType="separate"/>
          </w:r>
          <w:r>
            <w:rPr>
              <w:rFonts w:ascii="宋体" w:hAnsi="宋体" w:eastAsia="宋体" w:cs="宋体"/>
              <w:color w:val="auto"/>
              <w:spacing w:val="-2"/>
              <w:sz w:val="21"/>
              <w:szCs w:val="21"/>
              <w:highlight w:val="none"/>
            </w:rPr>
            <w:t>295</w:t>
          </w:r>
          <w:r>
            <w:rPr>
              <w:rFonts w:ascii="宋体" w:hAnsi="宋体" w:eastAsia="宋体" w:cs="宋体"/>
              <w:color w:val="auto"/>
              <w:spacing w:val="-2"/>
              <w:sz w:val="21"/>
              <w:szCs w:val="21"/>
              <w:highlight w:val="none"/>
            </w:rPr>
            <w:fldChar w:fldCharType="end"/>
          </w:r>
        </w:p>
      </w:sdtContent>
    </w:sdt>
    <w:p w14:paraId="43177783">
      <w:pPr>
        <w:spacing w:line="220" w:lineRule="auto"/>
        <w:rPr>
          <w:rFonts w:ascii="宋体" w:hAnsi="宋体" w:eastAsia="宋体" w:cs="宋体"/>
          <w:color w:val="auto"/>
          <w:sz w:val="21"/>
          <w:szCs w:val="21"/>
          <w:highlight w:val="none"/>
        </w:rPr>
        <w:sectPr>
          <w:footerReference r:id="rId12" w:type="default"/>
          <w:pgSz w:w="11905" w:h="16839"/>
          <w:pgMar w:top="1427" w:right="1785" w:bottom="1033" w:left="1785" w:header="0" w:footer="848" w:gutter="0"/>
          <w:pgNumType w:fmt="decimal"/>
          <w:cols w:space="720" w:num="1"/>
        </w:sectPr>
      </w:pPr>
    </w:p>
    <w:p w14:paraId="275A508A">
      <w:pPr>
        <w:pStyle w:val="3"/>
        <w:spacing w:line="250" w:lineRule="auto"/>
        <w:rPr>
          <w:color w:val="auto"/>
          <w:highlight w:val="none"/>
        </w:rPr>
      </w:pPr>
    </w:p>
    <w:p w14:paraId="5CB4A6C4">
      <w:pPr>
        <w:pStyle w:val="3"/>
        <w:spacing w:line="250" w:lineRule="auto"/>
        <w:rPr>
          <w:color w:val="auto"/>
          <w:highlight w:val="none"/>
        </w:rPr>
      </w:pPr>
    </w:p>
    <w:p w14:paraId="2BF2C672">
      <w:pPr>
        <w:pStyle w:val="3"/>
        <w:spacing w:line="250" w:lineRule="auto"/>
        <w:rPr>
          <w:color w:val="auto"/>
          <w:highlight w:val="none"/>
        </w:rPr>
      </w:pPr>
    </w:p>
    <w:p w14:paraId="576EBDF6">
      <w:pPr>
        <w:pStyle w:val="3"/>
        <w:spacing w:line="250" w:lineRule="auto"/>
        <w:rPr>
          <w:color w:val="auto"/>
          <w:highlight w:val="none"/>
        </w:rPr>
      </w:pPr>
    </w:p>
    <w:p w14:paraId="04FC0BDD">
      <w:pPr>
        <w:pStyle w:val="3"/>
        <w:spacing w:line="250" w:lineRule="auto"/>
        <w:rPr>
          <w:color w:val="auto"/>
          <w:highlight w:val="none"/>
        </w:rPr>
      </w:pPr>
    </w:p>
    <w:p w14:paraId="31637221">
      <w:pPr>
        <w:pStyle w:val="3"/>
        <w:spacing w:line="250" w:lineRule="auto"/>
        <w:rPr>
          <w:color w:val="auto"/>
          <w:highlight w:val="none"/>
        </w:rPr>
      </w:pPr>
    </w:p>
    <w:p w14:paraId="69186B9F">
      <w:pPr>
        <w:pStyle w:val="3"/>
        <w:spacing w:line="250" w:lineRule="auto"/>
        <w:rPr>
          <w:color w:val="auto"/>
          <w:highlight w:val="none"/>
        </w:rPr>
      </w:pPr>
    </w:p>
    <w:p w14:paraId="126B566D">
      <w:pPr>
        <w:pStyle w:val="3"/>
        <w:spacing w:line="250" w:lineRule="auto"/>
        <w:rPr>
          <w:color w:val="auto"/>
          <w:highlight w:val="none"/>
        </w:rPr>
      </w:pPr>
    </w:p>
    <w:p w14:paraId="0C46B04E">
      <w:pPr>
        <w:pStyle w:val="3"/>
        <w:spacing w:line="250" w:lineRule="auto"/>
        <w:rPr>
          <w:color w:val="auto"/>
          <w:highlight w:val="none"/>
        </w:rPr>
      </w:pPr>
    </w:p>
    <w:p w14:paraId="113B4BC8">
      <w:pPr>
        <w:pStyle w:val="3"/>
        <w:spacing w:line="251" w:lineRule="auto"/>
        <w:rPr>
          <w:color w:val="auto"/>
          <w:highlight w:val="none"/>
        </w:rPr>
      </w:pPr>
    </w:p>
    <w:p w14:paraId="5CD207B3">
      <w:pPr>
        <w:pStyle w:val="3"/>
        <w:spacing w:line="251" w:lineRule="auto"/>
        <w:rPr>
          <w:color w:val="auto"/>
          <w:highlight w:val="none"/>
        </w:rPr>
      </w:pPr>
    </w:p>
    <w:p w14:paraId="78A189E8">
      <w:pPr>
        <w:pStyle w:val="3"/>
        <w:spacing w:line="251" w:lineRule="auto"/>
        <w:rPr>
          <w:color w:val="auto"/>
          <w:highlight w:val="none"/>
        </w:rPr>
      </w:pPr>
    </w:p>
    <w:p w14:paraId="2872A5A9">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7"/>
          <w:sz w:val="48"/>
          <w:szCs w:val="48"/>
          <w:highlight w:val="none"/>
        </w:rPr>
        <w:t>第一卷</w:t>
      </w:r>
    </w:p>
    <w:p w14:paraId="7EB926C4">
      <w:pPr>
        <w:spacing w:line="219" w:lineRule="auto"/>
        <w:rPr>
          <w:rFonts w:ascii="黑体" w:hAnsi="黑体" w:eastAsia="黑体" w:cs="黑体"/>
          <w:color w:val="auto"/>
          <w:sz w:val="48"/>
          <w:szCs w:val="48"/>
          <w:highlight w:val="none"/>
        </w:rPr>
        <w:sectPr>
          <w:footerReference r:id="rId13" w:type="default"/>
          <w:pgSz w:w="11905" w:h="16839"/>
          <w:pgMar w:top="1431" w:right="1785" w:bottom="1036" w:left="1785" w:header="0" w:footer="847" w:gutter="0"/>
          <w:pgNumType w:fmt="decimal"/>
          <w:cols w:space="720" w:num="1"/>
        </w:sectPr>
      </w:pPr>
    </w:p>
    <w:p w14:paraId="0400020F">
      <w:pPr>
        <w:spacing w:before="63" w:line="220" w:lineRule="auto"/>
        <w:ind w:left="2899"/>
        <w:outlineLvl w:val="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第一章  招标公告</w:t>
      </w:r>
    </w:p>
    <w:p w14:paraId="64E47DA5">
      <w:pPr>
        <w:pStyle w:val="3"/>
        <w:spacing w:line="386" w:lineRule="auto"/>
        <w:rPr>
          <w:color w:val="auto"/>
          <w:highlight w:val="none"/>
        </w:rPr>
      </w:pPr>
    </w:p>
    <w:p w14:paraId="65B91887">
      <w:pPr>
        <w:tabs>
          <w:tab w:val="left" w:pos="3016"/>
        </w:tabs>
        <w:spacing w:before="78" w:line="220" w:lineRule="auto"/>
        <w:ind w:left="1930"/>
        <w:rPr>
          <w:rFonts w:ascii="黑体" w:hAnsi="黑体" w:eastAsia="黑体" w:cs="黑体"/>
          <w:color w:val="auto"/>
          <w:spacing w:val="-11"/>
          <w:sz w:val="24"/>
          <w:szCs w:val="24"/>
          <w:highlight w:val="none"/>
        </w:rPr>
      </w:pPr>
      <w:r>
        <w:rPr>
          <w:rFonts w:hint="eastAsia" w:ascii="黑体" w:hAnsi="黑体" w:eastAsia="黑体" w:cs="黑体"/>
          <w:color w:val="auto"/>
          <w:spacing w:val="-11"/>
          <w:sz w:val="24"/>
          <w:szCs w:val="24"/>
          <w:highlight w:val="none"/>
          <w:lang w:eastAsia="zh-CN"/>
        </w:rPr>
        <w:t>营口市保障性租赁住房(2025年第一批)项目装修施工</w:t>
      </w:r>
      <w:r>
        <w:rPr>
          <w:rFonts w:ascii="黑体" w:hAnsi="黑体" w:eastAsia="黑体" w:cs="黑体"/>
          <w:color w:val="auto"/>
          <w:spacing w:val="-11"/>
          <w:sz w:val="24"/>
          <w:szCs w:val="24"/>
          <w:highlight w:val="none"/>
        </w:rPr>
        <w:t>招标公告</w:t>
      </w:r>
    </w:p>
    <w:p w14:paraId="71060709">
      <w:pPr>
        <w:spacing w:before="161" w:line="221" w:lineRule="auto"/>
        <w:ind w:left="2646"/>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标段唯一标识码：</w:t>
      </w:r>
      <w:r>
        <w:rPr>
          <w:rFonts w:ascii="宋体" w:hAnsi="宋体" w:eastAsia="宋体" w:cs="宋体"/>
          <w:color w:val="auto"/>
          <w:spacing w:val="-8"/>
          <w:sz w:val="21"/>
          <w:szCs w:val="21"/>
          <w:highlight w:val="none"/>
          <w:u w:val="single" w:color="auto"/>
        </w:rPr>
        <w:t>(</w:t>
      </w:r>
      <w:r>
        <w:rPr>
          <w:rFonts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u w:val="single" w:color="auto"/>
          <w:lang w:val="en-US" w:eastAsia="zh-CN"/>
        </w:rPr>
        <w:t>xxx</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
          <w:sz w:val="21"/>
          <w:szCs w:val="21"/>
          <w:highlight w:val="none"/>
          <w:u w:val="single" w:color="auto"/>
        </w:rPr>
        <w:t>)</w:t>
      </w:r>
      <w:r>
        <w:rPr>
          <w:rFonts w:ascii="宋体" w:hAnsi="宋体" w:eastAsia="宋体" w:cs="宋体"/>
          <w:color w:val="auto"/>
          <w:sz w:val="21"/>
          <w:szCs w:val="21"/>
          <w:highlight w:val="none"/>
          <w:u w:val="single" w:color="auto"/>
        </w:rPr>
        <w:t xml:space="preserve">  </w:t>
      </w:r>
    </w:p>
    <w:p w14:paraId="13B0FEA3">
      <w:pPr>
        <w:pStyle w:val="3"/>
        <w:spacing w:line="241" w:lineRule="auto"/>
        <w:rPr>
          <w:color w:val="auto"/>
          <w:highlight w:val="none"/>
        </w:rPr>
      </w:pPr>
    </w:p>
    <w:p w14:paraId="30461C26">
      <w:pPr>
        <w:pStyle w:val="3"/>
        <w:spacing w:line="241" w:lineRule="auto"/>
        <w:rPr>
          <w:color w:val="auto"/>
          <w:highlight w:val="none"/>
        </w:rPr>
      </w:pPr>
    </w:p>
    <w:p w14:paraId="7969374A">
      <w:pPr>
        <w:spacing w:before="79"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招标条件</w:t>
      </w:r>
    </w:p>
    <w:p w14:paraId="70ED363B">
      <w:pPr>
        <w:ind w:firstLine="420" w:firstLineChars="200"/>
        <w:rPr>
          <w:rFonts w:ascii="宋体" w:hAnsi="宋体" w:eastAsia="宋体" w:cs="宋体"/>
          <w:color w:val="auto"/>
          <w:sz w:val="21"/>
          <w:szCs w:val="21"/>
          <w:highlight w:val="none"/>
        </w:rPr>
      </w:pPr>
      <w:r>
        <w:rPr>
          <w:rFonts w:ascii="宋体" w:hAnsi="宋体" w:eastAsia="宋体" w:cs="宋体"/>
          <w:color w:val="auto"/>
          <w:sz w:val="21"/>
          <w:szCs w:val="21"/>
          <w:highlight w:val="none"/>
        </w:rPr>
        <w:t>本招标项目</w:t>
      </w:r>
      <w:r>
        <w:rPr>
          <w:rFonts w:hint="eastAsia" w:ascii="宋体" w:hAnsi="宋体" w:eastAsia="宋体" w:cs="宋体"/>
          <w:color w:val="auto"/>
          <w:sz w:val="21"/>
          <w:szCs w:val="21"/>
          <w:highlight w:val="none"/>
          <w:u w:val="single"/>
          <w:lang w:eastAsia="zh-CN"/>
        </w:rPr>
        <w:t>营口市保障性租赁住房(2025年第一批)项目</w:t>
      </w:r>
      <w:r>
        <w:rPr>
          <w:rFonts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rPr>
        <w:t>已由</w:t>
      </w:r>
      <w:r>
        <w:rPr>
          <w:rFonts w:hint="eastAsia"/>
          <w:color w:val="auto"/>
          <w:highlight w:val="none"/>
          <w:u w:val="single"/>
          <w:lang w:val="en-US" w:eastAsia="zh-CN"/>
        </w:rPr>
        <w:t>营口市发展和改革委员会</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以</w:t>
      </w:r>
      <w:r>
        <w:rPr>
          <w:rFonts w:ascii="宋体" w:hAnsi="宋体" w:eastAsia="宋体" w:cs="宋体"/>
          <w:color w:val="auto"/>
          <w:spacing w:val="-105"/>
          <w:sz w:val="21"/>
          <w:szCs w:val="21"/>
          <w:highlight w:val="none"/>
        </w:rPr>
        <w:t xml:space="preserve"> </w:t>
      </w:r>
      <w:r>
        <w:rPr>
          <w:rFonts w:hint="eastAsia"/>
          <w:color w:val="auto"/>
          <w:highlight w:val="none"/>
        </w:rPr>
        <w:t>关于</w:t>
      </w:r>
      <w:r>
        <w:rPr>
          <w:rFonts w:hint="eastAsia" w:eastAsia="宋体"/>
          <w:color w:val="auto"/>
          <w:highlight w:val="none"/>
          <w:lang w:eastAsia="zh-CN"/>
        </w:rPr>
        <w:t>《营口市保障性租赁住房(2025年第一批)项目》</w:t>
      </w:r>
      <w:r>
        <w:rPr>
          <w:rFonts w:hint="eastAsia" w:eastAsia="宋体"/>
          <w:color w:val="auto"/>
          <w:highlight w:val="none"/>
          <w:lang w:val="en-US" w:eastAsia="zh-CN"/>
        </w:rPr>
        <w:t>项目备案证明</w:t>
      </w:r>
      <w:r>
        <w:rPr>
          <w:rFonts w:hint="eastAsia" w:eastAsia="宋体"/>
          <w:color w:val="auto"/>
          <w:highlight w:val="none"/>
          <w:lang w:eastAsia="zh-CN"/>
        </w:rPr>
        <w:t>（</w:t>
      </w:r>
      <w:r>
        <w:rPr>
          <w:rFonts w:hint="eastAsia"/>
          <w:color w:val="auto"/>
          <w:highlight w:val="none"/>
          <w:lang w:eastAsia="zh-CN"/>
        </w:rPr>
        <w:t>营发改</w:t>
      </w:r>
      <w:r>
        <w:rPr>
          <w:rFonts w:hint="eastAsia"/>
          <w:color w:val="auto"/>
          <w:highlight w:val="none"/>
          <w:lang w:val="en-US" w:eastAsia="zh-CN"/>
        </w:rPr>
        <w:t>备【</w:t>
      </w:r>
      <w:r>
        <w:rPr>
          <w:rFonts w:hint="eastAsia"/>
          <w:color w:val="auto"/>
          <w:highlight w:val="none"/>
          <w:lang w:eastAsia="zh-CN"/>
        </w:rPr>
        <w:t>2025】</w:t>
      </w:r>
      <w:r>
        <w:rPr>
          <w:rFonts w:hint="eastAsia"/>
          <w:color w:val="auto"/>
          <w:highlight w:val="none"/>
          <w:lang w:val="en-US" w:eastAsia="zh-CN"/>
        </w:rPr>
        <w:t>93</w:t>
      </w:r>
      <w:r>
        <w:rPr>
          <w:rFonts w:hint="eastAsia"/>
          <w:color w:val="auto"/>
          <w:highlight w:val="none"/>
          <w:lang w:eastAsia="zh-CN"/>
        </w:rPr>
        <w:t>号）</w:t>
      </w:r>
      <w:r>
        <w:rPr>
          <w:rFonts w:ascii="宋体" w:hAnsi="宋体" w:eastAsia="宋体" w:cs="宋体"/>
          <w:color w:val="auto"/>
          <w:spacing w:val="-4"/>
          <w:sz w:val="21"/>
          <w:szCs w:val="21"/>
          <w:highlight w:val="none"/>
        </w:rPr>
        <w:t>批准建设，项目业主</w:t>
      </w:r>
      <w:r>
        <w:rPr>
          <w:rFonts w:ascii="宋体" w:hAnsi="宋体" w:eastAsia="宋体" w:cs="宋体"/>
          <w:color w:val="auto"/>
          <w:spacing w:val="-5"/>
          <w:sz w:val="21"/>
          <w:szCs w:val="21"/>
          <w:highlight w:val="none"/>
        </w:rPr>
        <w:t>为</w:t>
      </w:r>
      <w:r>
        <w:rPr>
          <w:rFonts w:hint="eastAsia" w:eastAsia="宋体"/>
          <w:color w:val="auto"/>
          <w:highlight w:val="none"/>
          <w:lang w:eastAsia="zh-CN"/>
        </w:rPr>
        <w:t>营口广厦住房租赁有限公司</w:t>
      </w:r>
      <w:r>
        <w:rPr>
          <w:rFonts w:ascii="宋体" w:hAnsi="宋体" w:eastAsia="宋体" w:cs="宋体"/>
          <w:color w:val="auto"/>
          <w:spacing w:val="-79"/>
          <w:sz w:val="21"/>
          <w:szCs w:val="21"/>
          <w:highlight w:val="none"/>
        </w:rPr>
        <w:t xml:space="preserve"> </w:t>
      </w:r>
      <w:r>
        <w:rPr>
          <w:rFonts w:ascii="宋体" w:hAnsi="宋体" w:eastAsia="宋体" w:cs="宋体"/>
          <w:color w:val="auto"/>
          <w:spacing w:val="-5"/>
          <w:sz w:val="21"/>
          <w:szCs w:val="21"/>
          <w:highlight w:val="none"/>
        </w:rPr>
        <w:t>，建设资金来自</w:t>
      </w:r>
      <w:r>
        <w:rPr>
          <w:rFonts w:hint="eastAsia"/>
          <w:color w:val="auto"/>
          <w:highlight w:val="none"/>
          <w:lang w:eastAsia="zh-CN"/>
        </w:rPr>
        <w:t>财政资金</w:t>
      </w:r>
      <w:r>
        <w:rPr>
          <w:rFonts w:ascii="宋体" w:hAnsi="宋体" w:eastAsia="宋体" w:cs="宋体"/>
          <w:color w:val="auto"/>
          <w:spacing w:val="-52"/>
          <w:w w:val="95"/>
          <w:sz w:val="21"/>
          <w:szCs w:val="21"/>
          <w:highlight w:val="none"/>
        </w:rPr>
        <w:t>，</w:t>
      </w:r>
      <w:r>
        <w:rPr>
          <w:rFonts w:hint="eastAsia"/>
          <w:color w:val="auto"/>
          <w:highlight w:val="none"/>
        </w:rPr>
        <w:t>项目出资比例为</w:t>
      </w:r>
      <w:r>
        <w:rPr>
          <w:rFonts w:hint="eastAsia" w:eastAsia="宋体"/>
          <w:color w:val="auto"/>
          <w:highlight w:val="none"/>
          <w:lang w:val="en-US" w:eastAsia="zh-CN"/>
        </w:rPr>
        <w:t>财政资金100</w:t>
      </w:r>
      <w:r>
        <w:rPr>
          <w:rFonts w:hint="eastAsia"/>
          <w:color w:val="auto"/>
          <w:highlight w:val="none"/>
        </w:rPr>
        <w:t>%</w:t>
      </w:r>
      <w:r>
        <w:rPr>
          <w:rFonts w:hint="eastAsia" w:eastAsia="宋体"/>
          <w:color w:val="auto"/>
          <w:highlight w:val="none"/>
          <w:lang w:eastAsia="zh-CN"/>
        </w:rPr>
        <w:t>，</w:t>
      </w:r>
      <w:r>
        <w:rPr>
          <w:rFonts w:ascii="宋体" w:hAnsi="宋体" w:eastAsia="宋体" w:cs="宋体"/>
          <w:color w:val="auto"/>
          <w:spacing w:val="-2"/>
          <w:sz w:val="21"/>
          <w:szCs w:val="21"/>
          <w:highlight w:val="none"/>
        </w:rPr>
        <w:t>招标人为</w:t>
      </w:r>
      <w:r>
        <w:rPr>
          <w:rFonts w:hint="eastAsia" w:eastAsia="宋体"/>
          <w:color w:val="auto"/>
          <w:highlight w:val="none"/>
          <w:lang w:eastAsia="zh-CN"/>
        </w:rPr>
        <w:t>营口广厦住房租赁有限公司</w:t>
      </w:r>
      <w:r>
        <w:rPr>
          <w:rFonts w:ascii="宋体" w:hAnsi="宋体" w:eastAsia="宋体" w:cs="宋体"/>
          <w:color w:val="auto"/>
          <w:spacing w:val="-75"/>
          <w:sz w:val="21"/>
          <w:szCs w:val="21"/>
          <w:highlight w:val="none"/>
        </w:rPr>
        <w:t xml:space="preserve"> </w:t>
      </w:r>
      <w:r>
        <w:rPr>
          <w:rFonts w:ascii="宋体" w:hAnsi="宋体" w:eastAsia="宋体" w:cs="宋体"/>
          <w:color w:val="auto"/>
          <w:spacing w:val="-2"/>
          <w:sz w:val="21"/>
          <w:szCs w:val="21"/>
          <w:highlight w:val="none"/>
        </w:rPr>
        <w:t>，招标代理机构为</w:t>
      </w:r>
      <w:r>
        <w:rPr>
          <w:rFonts w:hint="eastAsia" w:ascii="宋体" w:hAnsi="宋体" w:eastAsia="宋体" w:cs="宋体"/>
          <w:color w:val="auto"/>
          <w:spacing w:val="-2"/>
          <w:sz w:val="21"/>
          <w:szCs w:val="21"/>
          <w:highlight w:val="none"/>
          <w:lang w:eastAsia="zh-CN"/>
        </w:rPr>
        <w:t>沈阳招标中心有限公司</w:t>
      </w:r>
      <w:r>
        <w:rPr>
          <w:rFonts w:ascii="宋体" w:hAnsi="宋体" w:eastAsia="宋体" w:cs="宋体"/>
          <w:color w:val="auto"/>
          <w:spacing w:val="-74"/>
          <w:sz w:val="21"/>
          <w:szCs w:val="21"/>
          <w:highlight w:val="none"/>
        </w:rPr>
        <w:t xml:space="preserve"> </w:t>
      </w:r>
      <w:r>
        <w:rPr>
          <w:rFonts w:ascii="宋体" w:hAnsi="宋体" w:eastAsia="宋体" w:cs="宋体"/>
          <w:color w:val="auto"/>
          <w:spacing w:val="-2"/>
          <w:sz w:val="21"/>
          <w:szCs w:val="21"/>
          <w:highlight w:val="none"/>
        </w:rPr>
        <w:t>。项</w:t>
      </w:r>
      <w:r>
        <w:rPr>
          <w:rFonts w:ascii="宋体" w:hAnsi="宋体" w:eastAsia="宋体" w:cs="宋体"/>
          <w:color w:val="auto"/>
          <w:spacing w:val="-3"/>
          <w:sz w:val="21"/>
          <w:szCs w:val="21"/>
          <w:highlight w:val="none"/>
        </w:rPr>
        <w:t>目已具备招标</w:t>
      </w:r>
      <w:r>
        <w:rPr>
          <w:rFonts w:ascii="宋体" w:hAnsi="宋体" w:eastAsia="宋体" w:cs="宋体"/>
          <w:color w:val="auto"/>
          <w:spacing w:val="-2"/>
          <w:sz w:val="21"/>
          <w:szCs w:val="21"/>
          <w:highlight w:val="none"/>
        </w:rPr>
        <w:t>条件，现对该项目进行公开招标。</w:t>
      </w:r>
    </w:p>
    <w:p w14:paraId="09AE0B80">
      <w:pPr>
        <w:spacing w:before="142" w:line="447" w:lineRule="exact"/>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1"/>
          <w:position w:val="15"/>
          <w:sz w:val="24"/>
          <w:szCs w:val="24"/>
          <w:highlight w:val="none"/>
        </w:rPr>
        <w:t>2.</w:t>
      </w:r>
      <w:r>
        <w:rPr>
          <w:rFonts w:ascii="黑体" w:hAnsi="黑体" w:eastAsia="黑体" w:cs="黑体"/>
          <w:color w:val="auto"/>
          <w:spacing w:val="-1"/>
          <w:position w:val="15"/>
          <w:sz w:val="24"/>
          <w:szCs w:val="24"/>
          <w:highlight w:val="none"/>
        </w:rPr>
        <w:t>项目概况与招标范围</w:t>
      </w:r>
    </w:p>
    <w:p w14:paraId="0C68C59B">
      <w:pPr>
        <w:spacing w:before="1"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w:t>
      </w:r>
      <w:r>
        <w:rPr>
          <w:rFonts w:ascii="Times New Roman" w:hAnsi="Times New Roman" w:eastAsia="Times New Roman" w:cs="Times New Roman"/>
          <w:color w:val="auto"/>
          <w:spacing w:val="16"/>
          <w:w w:val="101"/>
          <w:sz w:val="21"/>
          <w:szCs w:val="21"/>
          <w:highlight w:val="none"/>
        </w:rPr>
        <w:t xml:space="preserve"> </w:t>
      </w:r>
      <w:r>
        <w:rPr>
          <w:rFonts w:ascii="宋体" w:hAnsi="宋体" w:eastAsia="宋体" w:cs="宋体"/>
          <w:color w:val="auto"/>
          <w:spacing w:val="-2"/>
          <w:sz w:val="21"/>
          <w:szCs w:val="21"/>
          <w:highlight w:val="none"/>
        </w:rPr>
        <w:t>项目概况</w:t>
      </w:r>
    </w:p>
    <w:p w14:paraId="07A82E74">
      <w:pPr>
        <w:spacing w:before="167" w:line="371" w:lineRule="auto"/>
        <w:ind w:left="86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建设地点：</w:t>
      </w:r>
      <w:r>
        <w:rPr>
          <w:rFonts w:ascii="宋体" w:hAnsi="宋体" w:eastAsia="宋体" w:cs="宋体"/>
          <w:color w:val="auto"/>
          <w:spacing w:val="26"/>
          <w:sz w:val="21"/>
          <w:szCs w:val="21"/>
          <w:highlight w:val="none"/>
        </w:rPr>
        <w:t xml:space="preserve"> </w:t>
      </w:r>
      <w:r>
        <w:rPr>
          <w:rFonts w:hint="eastAsia"/>
          <w:color w:val="auto"/>
          <w:highlight w:val="none"/>
          <w:u w:val="single"/>
          <w:lang w:eastAsia="zh-CN"/>
        </w:rPr>
        <w:t>营口市</w:t>
      </w:r>
      <w:r>
        <w:rPr>
          <w:rFonts w:hint="eastAsia"/>
          <w:color w:val="auto"/>
          <w:highlight w:val="none"/>
          <w:lang w:eastAsia="zh-CN"/>
        </w:rPr>
        <w:t>。</w:t>
      </w:r>
    </w:p>
    <w:p w14:paraId="3B451181">
      <w:pPr>
        <w:spacing w:before="1" w:line="220" w:lineRule="auto"/>
        <w:ind w:left="861"/>
        <w:rPr>
          <w:rFonts w:hint="eastAsia" w:ascii="宋体" w:hAnsi="宋体" w:eastAsia="宋体" w:cs="宋体"/>
          <w:color w:val="auto"/>
          <w:sz w:val="21"/>
          <w:szCs w:val="21"/>
          <w:highlight w:val="none"/>
          <w:lang w:eastAsia="zh-CN"/>
        </w:rPr>
      </w:pPr>
      <w:r>
        <w:rPr>
          <w:rFonts w:ascii="宋体" w:hAnsi="宋体" w:eastAsia="宋体" w:cs="宋体"/>
          <w:color w:val="auto"/>
          <w:spacing w:val="-13"/>
          <w:sz w:val="21"/>
          <w:szCs w:val="21"/>
          <w:highlight w:val="none"/>
        </w:rPr>
        <w:t>建设规模：</w:t>
      </w:r>
      <w:r>
        <w:rPr>
          <w:rFonts w:hint="eastAsia" w:ascii="宋体" w:hAnsi="宋体" w:eastAsia="宋体" w:cs="宋体"/>
          <w:color w:val="auto"/>
          <w:spacing w:val="26"/>
          <w:sz w:val="21"/>
          <w:szCs w:val="21"/>
          <w:highlight w:val="none"/>
          <w:lang w:eastAsia="zh-CN"/>
        </w:rPr>
        <w:t>本项目拟收购两个住宅项目用于保障性租赁住房，其中本标段为金沙滩澜湾小区（二期项目）共275套住房，面积共计16440.00平方米，对其进行装修改造，并配置家具家电。</w:t>
      </w:r>
    </w:p>
    <w:p w14:paraId="6AA8D2A9">
      <w:pPr>
        <w:spacing w:before="167"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2.2 </w:t>
      </w:r>
      <w:r>
        <w:rPr>
          <w:rFonts w:ascii="宋体" w:hAnsi="宋体" w:eastAsia="宋体" w:cs="宋体"/>
          <w:color w:val="auto"/>
          <w:sz w:val="21"/>
          <w:szCs w:val="21"/>
          <w:highlight w:val="none"/>
        </w:rPr>
        <w:t>招标范围</w:t>
      </w:r>
    </w:p>
    <w:p w14:paraId="5F65A44C">
      <w:pPr>
        <w:spacing w:before="171" w:line="367" w:lineRule="auto"/>
        <w:ind w:left="859"/>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标段划分：</w:t>
      </w:r>
      <w:r>
        <w:rPr>
          <w:rFonts w:hint="eastAsia" w:ascii="宋体" w:hAnsi="宋体" w:eastAsia="宋体" w:cs="宋体"/>
          <w:color w:val="auto"/>
          <w:spacing w:val="-21"/>
          <w:sz w:val="21"/>
          <w:szCs w:val="21"/>
          <w:highlight w:val="none"/>
          <w:lang w:val="en-US" w:eastAsia="zh-CN"/>
        </w:rPr>
        <w:t>2个</w:t>
      </w:r>
      <w:r>
        <w:rPr>
          <w:rFonts w:ascii="宋体" w:hAnsi="宋体" w:eastAsia="宋体" w:cs="宋体"/>
          <w:color w:val="auto"/>
          <w:spacing w:val="-92"/>
          <w:sz w:val="21"/>
          <w:szCs w:val="21"/>
          <w:highlight w:val="none"/>
        </w:rPr>
        <w:t xml:space="preserve"> </w:t>
      </w:r>
      <w:r>
        <w:rPr>
          <w:rFonts w:ascii="宋体" w:hAnsi="宋体" w:eastAsia="宋体" w:cs="宋体"/>
          <w:color w:val="auto"/>
          <w:spacing w:val="-21"/>
          <w:sz w:val="21"/>
          <w:szCs w:val="21"/>
          <w:highlight w:val="none"/>
        </w:rPr>
        <w:t>标段；是否兼投</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hint="eastAsia" w:ascii="宋体" w:hAnsi="宋体" w:eastAsia="宋体" w:cs="宋体"/>
          <w:color w:val="auto"/>
          <w:spacing w:val="17"/>
          <w:sz w:val="21"/>
          <w:szCs w:val="21"/>
          <w:highlight w:val="none"/>
          <w:u w:val="single" w:color="auto"/>
          <w:lang w:val="en-US" w:eastAsia="zh-CN"/>
        </w:rPr>
        <w:t>是</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76"/>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1"/>
          <w:sz w:val="21"/>
          <w:szCs w:val="21"/>
          <w:highlight w:val="none"/>
        </w:rPr>
        <w:t xml:space="preserve">是否兼中： </w:t>
      </w:r>
      <w:r>
        <w:rPr>
          <w:rFonts w:hint="eastAsia" w:ascii="宋体" w:hAnsi="宋体" w:eastAsia="宋体" w:cs="宋体"/>
          <w:color w:val="auto"/>
          <w:spacing w:val="20"/>
          <w:sz w:val="21"/>
          <w:szCs w:val="21"/>
          <w:highlight w:val="none"/>
          <w:u w:val="single" w:color="auto"/>
          <w:lang w:val="en-US" w:eastAsia="zh-CN"/>
        </w:rPr>
        <w:t>否</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21"/>
          <w:sz w:val="21"/>
          <w:szCs w:val="21"/>
          <w:highlight w:val="none"/>
        </w:rPr>
        <w:t>。</w:t>
      </w:r>
    </w:p>
    <w:p w14:paraId="48FB6759">
      <w:pPr>
        <w:spacing w:before="1" w:line="219" w:lineRule="auto"/>
        <w:ind w:left="85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计划工期/服务期限/供货期限：</w:t>
      </w:r>
      <w:r>
        <w:rPr>
          <w:rFonts w:hint="eastAsia" w:ascii="宋体" w:hAnsi="宋体" w:eastAsia="宋体" w:cs="宋体"/>
          <w:color w:val="auto"/>
          <w:spacing w:val="-2"/>
          <w:sz w:val="21"/>
          <w:szCs w:val="21"/>
          <w:highlight w:val="none"/>
          <w:u w:val="single" w:color="auto"/>
          <w:lang w:val="en-US" w:eastAsia="zh-CN"/>
        </w:rPr>
        <w:t>67日历天</w:t>
      </w:r>
    </w:p>
    <w:p w14:paraId="11767A94">
      <w:pPr>
        <w:spacing w:before="172" w:line="367" w:lineRule="auto"/>
        <w:ind w:right="1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计划开工/服务开始/供货开始日期</w:t>
      </w:r>
      <w:r>
        <w:rPr>
          <w:rFonts w:ascii="宋体" w:hAnsi="宋体" w:eastAsia="宋体" w:cs="宋体"/>
          <w:color w:val="auto"/>
          <w:spacing w:val="-104"/>
          <w:sz w:val="21"/>
          <w:szCs w:val="21"/>
          <w:highlight w:val="none"/>
        </w:rPr>
        <w:t xml:space="preserve"> </w:t>
      </w:r>
      <w:r>
        <w:rPr>
          <w:rFonts w:hint="eastAsia" w:ascii="宋体" w:hAnsi="宋体" w:eastAsia="宋体" w:cs="宋体"/>
          <w:color w:val="auto"/>
          <w:spacing w:val="5"/>
          <w:sz w:val="21"/>
          <w:szCs w:val="21"/>
          <w:highlight w:val="none"/>
          <w:u w:val="single" w:color="auto"/>
          <w:lang w:val="en-US" w:eastAsia="zh-CN"/>
        </w:rPr>
        <w:t>2026年4月24日</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1"/>
          <w:sz w:val="21"/>
          <w:szCs w:val="21"/>
          <w:highlight w:val="none"/>
        </w:rPr>
        <w:t>；计划竣工/服务结</w:t>
      </w:r>
      <w:r>
        <w:rPr>
          <w:rFonts w:ascii="宋体" w:hAnsi="宋体" w:eastAsia="宋体" w:cs="宋体"/>
          <w:color w:val="auto"/>
          <w:sz w:val="21"/>
          <w:szCs w:val="21"/>
          <w:highlight w:val="none"/>
        </w:rPr>
        <w:t>束/供货结束日</w:t>
      </w:r>
    </w:p>
    <w:p w14:paraId="128CF844">
      <w:pPr>
        <w:spacing w:before="1" w:line="221" w:lineRule="auto"/>
        <w:ind w:left="20"/>
        <w:rPr>
          <w:rFonts w:hint="eastAsia" w:ascii="宋体" w:hAnsi="宋体" w:eastAsia="宋体" w:cs="宋体"/>
          <w:color w:val="auto"/>
          <w:sz w:val="21"/>
          <w:szCs w:val="21"/>
          <w:highlight w:val="none"/>
          <w:lang w:val="en-US" w:eastAsia="zh-CN"/>
        </w:rPr>
      </w:pPr>
      <w:r>
        <w:rPr>
          <w:rFonts w:ascii="宋体" w:hAnsi="宋体" w:eastAsia="宋体" w:cs="宋体"/>
          <w:color w:val="auto"/>
          <w:spacing w:val="-5"/>
          <w:sz w:val="21"/>
          <w:szCs w:val="21"/>
          <w:highlight w:val="none"/>
        </w:rPr>
        <w:t>期</w:t>
      </w:r>
      <w:r>
        <w:rPr>
          <w:rFonts w:hint="eastAsia" w:ascii="宋体" w:hAnsi="宋体" w:eastAsia="宋体" w:cs="宋体"/>
          <w:color w:val="auto"/>
          <w:spacing w:val="-5"/>
          <w:sz w:val="21"/>
          <w:szCs w:val="21"/>
          <w:highlight w:val="none"/>
          <w:lang w:val="en-US" w:eastAsia="zh-CN"/>
        </w:rPr>
        <w:t xml:space="preserve"> </w:t>
      </w:r>
      <w:r>
        <w:rPr>
          <w:rFonts w:hint="eastAsia" w:ascii="宋体" w:hAnsi="宋体" w:eastAsia="宋体" w:cs="宋体"/>
          <w:color w:val="auto"/>
          <w:spacing w:val="5"/>
          <w:sz w:val="21"/>
          <w:szCs w:val="21"/>
          <w:highlight w:val="none"/>
          <w:u w:val="single" w:color="auto"/>
          <w:lang w:val="en-US" w:eastAsia="zh-CN"/>
        </w:rPr>
        <w:t>2026年6月30日</w:t>
      </w:r>
    </w:p>
    <w:p w14:paraId="46B1904E">
      <w:pPr>
        <w:spacing w:before="171" w:line="367" w:lineRule="auto"/>
        <w:ind w:left="859"/>
        <w:rPr>
          <w:rFonts w:hint="default" w:ascii="宋体" w:hAnsi="宋体" w:eastAsia="宋体" w:cs="宋体"/>
          <w:color w:val="auto"/>
          <w:sz w:val="21"/>
          <w:szCs w:val="21"/>
          <w:highlight w:val="none"/>
          <w:lang w:val="en-US"/>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8"/>
          <w:sz w:val="21"/>
          <w:szCs w:val="21"/>
          <w:highlight w:val="none"/>
        </w:rPr>
        <w:t xml:space="preserve"> </w:t>
      </w:r>
      <w:r>
        <w:rPr>
          <w:rFonts w:hint="eastAsia" w:ascii="宋体" w:hAnsi="宋体" w:eastAsia="宋体" w:cs="宋体"/>
          <w:color w:val="auto"/>
          <w:sz w:val="21"/>
          <w:szCs w:val="21"/>
          <w:highlight w:val="none"/>
          <w:u w:val="single"/>
          <w:lang w:eastAsia="zh-CN"/>
        </w:rPr>
        <w:t>营口市保障性租赁住房(2025年第一批)项目装修施工二标段</w:t>
      </w:r>
    </w:p>
    <w:p w14:paraId="06B0D32D">
      <w:pPr>
        <w:spacing w:before="1" w:line="220" w:lineRule="auto"/>
        <w:ind w:left="859"/>
        <w:rPr>
          <w:rFonts w:ascii="宋体" w:hAnsi="宋体" w:eastAsia="宋体" w:cs="宋体"/>
          <w:color w:val="auto"/>
          <w:sz w:val="21"/>
          <w:szCs w:val="21"/>
          <w:highlight w:val="none"/>
        </w:rPr>
      </w:pPr>
      <w:r>
        <w:rPr>
          <w:rFonts w:ascii="宋体" w:hAnsi="宋体" w:eastAsia="宋体" w:cs="宋体"/>
          <w:color w:val="auto"/>
          <w:spacing w:val="-25"/>
          <w:w w:val="96"/>
          <w:sz w:val="21"/>
          <w:szCs w:val="21"/>
          <w:highlight w:val="none"/>
        </w:rPr>
        <w:t>标段编号：</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xxx</w:t>
      </w:r>
      <w:r>
        <w:rPr>
          <w:rFonts w:ascii="宋体" w:hAnsi="宋体" w:eastAsia="宋体" w:cs="宋体"/>
          <w:color w:val="auto"/>
          <w:sz w:val="21"/>
          <w:szCs w:val="21"/>
          <w:highlight w:val="none"/>
          <w:u w:val="single" w:color="auto"/>
        </w:rPr>
        <w:t xml:space="preserve">                                </w:t>
      </w:r>
    </w:p>
    <w:p w14:paraId="6CBF8684">
      <w:pPr>
        <w:spacing w:before="171" w:line="367" w:lineRule="auto"/>
        <w:ind w:left="859"/>
        <w:rPr>
          <w:rFonts w:hint="eastAsia" w:ascii="宋体" w:hAnsi="宋体" w:eastAsia="宋体" w:cs="宋体"/>
          <w:color w:val="auto"/>
          <w:sz w:val="21"/>
          <w:szCs w:val="21"/>
          <w:highlight w:val="none"/>
          <w:lang w:eastAsia="zh-CN"/>
        </w:rPr>
      </w:pPr>
      <w:r>
        <w:rPr>
          <w:rFonts w:ascii="宋体" w:hAnsi="宋体" w:eastAsia="宋体" w:cs="宋体"/>
          <w:color w:val="auto"/>
          <w:spacing w:val="-11"/>
          <w:sz w:val="21"/>
          <w:szCs w:val="21"/>
          <w:highlight w:val="none"/>
        </w:rPr>
        <w:t>标段招标范围：</w:t>
      </w:r>
      <w:r>
        <w:rPr>
          <w:rFonts w:hint="eastAsia" w:ascii="宋体" w:hAnsi="宋体" w:eastAsia="宋体" w:cs="宋体"/>
          <w:color w:val="auto"/>
          <w:spacing w:val="26"/>
          <w:sz w:val="21"/>
          <w:szCs w:val="21"/>
          <w:highlight w:val="none"/>
          <w:lang w:eastAsia="zh-CN"/>
        </w:rPr>
        <w:t>本项目拟收购两个住宅项目用于保障性租赁住房，其中本标段为金沙滩澜湾小区（二期项目）共275套住房，面积共计16440.00平方米，对其进行装修改造，并配置家具家电。</w:t>
      </w:r>
    </w:p>
    <w:p w14:paraId="337A52A0">
      <w:pPr>
        <w:spacing w:line="219" w:lineRule="auto"/>
        <w:ind w:left="859"/>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标段类别</w:t>
      </w:r>
      <w:r>
        <w:rPr>
          <w:rFonts w:ascii="宋体" w:hAnsi="宋体" w:eastAsia="宋体" w:cs="宋体"/>
          <w:color w:val="auto"/>
          <w:spacing w:val="-16"/>
          <w:sz w:val="21"/>
          <w:szCs w:val="21"/>
          <w:highlight w:val="none"/>
        </w:rPr>
        <w:t>：</w:t>
      </w:r>
      <w:r>
        <w:rPr>
          <w:rFonts w:ascii="宋体" w:hAnsi="宋体" w:eastAsia="宋体" w:cs="宋体"/>
          <w:color w:val="auto"/>
          <w:spacing w:val="49"/>
          <w:sz w:val="21"/>
          <w:szCs w:val="21"/>
          <w:highlight w:val="none"/>
        </w:rPr>
        <w:t xml:space="preserve"> </w:t>
      </w:r>
      <w:r>
        <w:rPr>
          <w:rFonts w:hint="eastAsia" w:ascii="宋体" w:hAnsi="宋体" w:eastAsia="宋体" w:cs="宋体"/>
          <w:color w:val="auto"/>
          <w:spacing w:val="49"/>
          <w:sz w:val="21"/>
          <w:szCs w:val="21"/>
          <w:highlight w:val="none"/>
          <w:lang w:val="en-US" w:eastAsia="zh-CN"/>
        </w:rPr>
        <w:t>施工</w:t>
      </w:r>
      <w:r>
        <w:rPr>
          <w:rFonts w:ascii="宋体" w:hAnsi="宋体" w:eastAsia="宋体" w:cs="宋体"/>
          <w:color w:val="auto"/>
          <w:spacing w:val="-16"/>
          <w:sz w:val="21"/>
          <w:szCs w:val="21"/>
          <w:highlight w:val="none"/>
        </w:rPr>
        <w:t>；</w:t>
      </w:r>
      <w:r>
        <w:rPr>
          <w:rFonts w:ascii="宋体" w:hAnsi="宋体" w:eastAsia="宋体" w:cs="宋体"/>
          <w:color w:val="auto"/>
          <w:spacing w:val="-17"/>
          <w:sz w:val="21"/>
          <w:szCs w:val="21"/>
          <w:highlight w:val="none"/>
        </w:rPr>
        <w:t>标段合同估算价：</w:t>
      </w:r>
      <w:r>
        <w:rPr>
          <w:rFonts w:hint="eastAsia"/>
          <w:color w:val="auto"/>
          <w:highlight w:val="none"/>
          <w:u w:val="single"/>
          <w:lang w:val="en-US" w:eastAsia="zh-CN"/>
        </w:rPr>
        <w:t>822</w:t>
      </w:r>
      <w:r>
        <w:rPr>
          <w:rFonts w:ascii="宋体" w:hAnsi="宋体" w:eastAsia="宋体" w:cs="宋体"/>
          <w:color w:val="auto"/>
          <w:spacing w:val="-17"/>
          <w:sz w:val="21"/>
          <w:szCs w:val="21"/>
          <w:highlight w:val="none"/>
          <w:u w:val="single"/>
        </w:rPr>
        <w:t>万元</w:t>
      </w:r>
      <w:r>
        <w:rPr>
          <w:rFonts w:ascii="宋体" w:hAnsi="宋体" w:eastAsia="宋体" w:cs="宋体"/>
          <w:color w:val="auto"/>
          <w:spacing w:val="-17"/>
          <w:sz w:val="21"/>
          <w:szCs w:val="21"/>
          <w:highlight w:val="none"/>
        </w:rPr>
        <w:t>。</w:t>
      </w:r>
    </w:p>
    <w:p w14:paraId="3627B6E4">
      <w:pPr>
        <w:spacing w:before="173" w:line="221" w:lineRule="auto"/>
        <w:ind w:left="86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投标保证金金额：</w:t>
      </w:r>
      <w:r>
        <w:rPr>
          <w:rFonts w:hint="eastAsia" w:ascii="宋体" w:hAnsi="宋体" w:eastAsia="宋体" w:cs="宋体"/>
          <w:color w:val="auto"/>
          <w:spacing w:val="-9"/>
          <w:sz w:val="21"/>
          <w:szCs w:val="21"/>
          <w:highlight w:val="none"/>
          <w:u w:val="single" w:color="auto"/>
          <w:lang w:val="en-US" w:eastAsia="zh-CN"/>
        </w:rPr>
        <w:t>8万元</w:t>
      </w:r>
      <w:r>
        <w:rPr>
          <w:rFonts w:ascii="宋体" w:hAnsi="宋体" w:eastAsia="宋体" w:cs="宋体"/>
          <w:color w:val="auto"/>
          <w:spacing w:val="-9"/>
          <w:sz w:val="21"/>
          <w:szCs w:val="21"/>
          <w:highlight w:val="none"/>
        </w:rPr>
        <w:t>； 缴纳方式：</w:t>
      </w:r>
      <w:r>
        <w:rPr>
          <w:rFonts w:ascii="宋体" w:hAnsi="宋体" w:eastAsia="宋体" w:cs="宋体"/>
          <w:color w:val="auto"/>
          <w:spacing w:val="-10"/>
          <w:sz w:val="21"/>
          <w:szCs w:val="21"/>
          <w:highlight w:val="none"/>
          <w:u w:val="single" w:color="auto"/>
        </w:rPr>
        <w:t>现金/保函（保险）</w:t>
      </w:r>
      <w:r>
        <w:rPr>
          <w:rFonts w:ascii="宋体" w:hAnsi="宋体" w:eastAsia="宋体" w:cs="宋体"/>
          <w:color w:val="auto"/>
          <w:spacing w:val="22"/>
          <w:sz w:val="21"/>
          <w:szCs w:val="21"/>
          <w:highlight w:val="none"/>
          <w:u w:val="single" w:color="auto"/>
        </w:rPr>
        <w:t xml:space="preserve"> </w:t>
      </w:r>
      <w:r>
        <w:rPr>
          <w:rFonts w:ascii="宋体" w:hAnsi="宋体" w:eastAsia="宋体" w:cs="宋体"/>
          <w:color w:val="auto"/>
          <w:spacing w:val="-10"/>
          <w:sz w:val="21"/>
          <w:szCs w:val="21"/>
          <w:highlight w:val="none"/>
          <w:u w:val="single" w:color="auto"/>
        </w:rPr>
        <w:t>/其他形式</w:t>
      </w:r>
      <w:r>
        <w:rPr>
          <w:rFonts w:ascii="宋体" w:hAnsi="宋体" w:eastAsia="宋体" w:cs="宋体"/>
          <w:color w:val="auto"/>
          <w:spacing w:val="-10"/>
          <w:sz w:val="21"/>
          <w:szCs w:val="21"/>
          <w:highlight w:val="none"/>
        </w:rPr>
        <w:t>。</w:t>
      </w:r>
    </w:p>
    <w:p w14:paraId="70AE6EDB">
      <w:pPr>
        <w:spacing w:before="167" w:line="350" w:lineRule="auto"/>
        <w:ind w:left="451"/>
        <w:rPr>
          <w:rFonts w:ascii="宋体" w:hAnsi="宋体" w:eastAsia="宋体" w:cs="宋体"/>
          <w:color w:val="auto"/>
          <w:sz w:val="21"/>
          <w:szCs w:val="21"/>
          <w:highlight w:val="none"/>
        </w:rPr>
      </w:pPr>
      <w:r>
        <w:rPr>
          <w:rFonts w:ascii="Times New Roman" w:hAnsi="Times New Roman" w:eastAsia="Times New Roman" w:cs="Times New Roman"/>
          <w:color w:val="auto"/>
          <w:spacing w:val="-15"/>
          <w:sz w:val="21"/>
          <w:szCs w:val="21"/>
          <w:highlight w:val="none"/>
        </w:rPr>
        <w:t>2.3</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5"/>
          <w:sz w:val="21"/>
          <w:szCs w:val="21"/>
          <w:highlight w:val="none"/>
        </w:rPr>
        <w:t xml:space="preserve">其他： </w:t>
      </w:r>
      <w:r>
        <w:rPr>
          <w:rFonts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lang w:val="en-US" w:eastAsia="zh-CN"/>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5"/>
          <w:sz w:val="21"/>
          <w:szCs w:val="21"/>
          <w:highlight w:val="none"/>
        </w:rPr>
        <w:t>。</w:t>
      </w:r>
    </w:p>
    <w:p w14:paraId="2A1D0146">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黑体" w:hAnsi="黑体" w:eastAsia="黑体" w:cs="黑体"/>
          <w:color w:val="auto"/>
          <w:spacing w:val="-1"/>
          <w:sz w:val="24"/>
          <w:szCs w:val="24"/>
          <w:highlight w:val="none"/>
        </w:rPr>
        <w:t>投标人资格要求</w:t>
      </w:r>
    </w:p>
    <w:p w14:paraId="1253FE72">
      <w:pPr>
        <w:spacing w:before="159" w:line="369" w:lineRule="auto"/>
        <w:ind w:left="17" w:right="7" w:firstLine="438"/>
        <w:jc w:val="lef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3.1 </w:t>
      </w:r>
      <w:r>
        <w:rPr>
          <w:rFonts w:ascii="宋体" w:hAnsi="宋体" w:eastAsia="宋体" w:cs="宋体"/>
          <w:color w:val="auto"/>
          <w:spacing w:val="-1"/>
          <w:sz w:val="21"/>
          <w:szCs w:val="21"/>
          <w:highlight w:val="none"/>
        </w:rPr>
        <w:t>本次招标要求投标人须具备 [施工总承包·</w:t>
      </w:r>
      <w:r>
        <w:rPr>
          <w:rFonts w:hint="eastAsia" w:ascii="宋体" w:hAnsi="宋体" w:eastAsia="宋体" w:cs="宋体"/>
          <w:color w:val="auto"/>
          <w:spacing w:val="-1"/>
          <w:sz w:val="21"/>
          <w:szCs w:val="21"/>
          <w:highlight w:val="none"/>
          <w:lang w:eastAsia="zh-CN"/>
        </w:rPr>
        <w:t>建筑工程</w:t>
      </w:r>
      <w:r>
        <w:rPr>
          <w:rFonts w:ascii="宋体" w:hAnsi="宋体" w:eastAsia="宋体" w:cs="宋体"/>
          <w:color w:val="auto"/>
          <w:spacing w:val="-1"/>
          <w:sz w:val="21"/>
          <w:szCs w:val="21"/>
          <w:highlight w:val="none"/>
        </w:rPr>
        <w:t>·</w:t>
      </w:r>
      <w:r>
        <w:rPr>
          <w:rFonts w:hint="eastAsia" w:ascii="宋体" w:hAnsi="宋体" w:eastAsia="宋体" w:cs="宋体"/>
          <w:color w:val="auto"/>
          <w:spacing w:val="-1"/>
          <w:sz w:val="21"/>
          <w:szCs w:val="21"/>
          <w:highlight w:val="none"/>
          <w:lang w:eastAsia="zh-CN"/>
        </w:rPr>
        <w:t>建筑工程二级</w:t>
      </w:r>
      <w:r>
        <w:rPr>
          <w:rFonts w:ascii="宋体" w:hAnsi="宋体" w:eastAsia="宋体" w:cs="宋体"/>
          <w:color w:val="auto"/>
          <w:spacing w:val="-1"/>
          <w:sz w:val="21"/>
          <w:szCs w:val="21"/>
          <w:highlight w:val="none"/>
        </w:rPr>
        <w:t>](含)</w:t>
      </w:r>
      <w:r>
        <w:rPr>
          <w:rFonts w:hint="eastAsia" w:ascii="宋体" w:hAnsi="宋体" w:eastAsia="宋体" w:cs="宋体"/>
          <w:color w:val="auto"/>
          <w:spacing w:val="-1"/>
          <w:sz w:val="21"/>
          <w:szCs w:val="21"/>
          <w:highlight w:val="none"/>
          <w:lang w:val="en-US" w:eastAsia="zh-CN"/>
        </w:rPr>
        <w:t>以</w:t>
      </w:r>
      <w:r>
        <w:rPr>
          <w:rFonts w:ascii="宋体" w:hAnsi="宋体" w:eastAsia="宋体" w:cs="宋体"/>
          <w:color w:val="auto"/>
          <w:spacing w:val="-1"/>
          <w:sz w:val="21"/>
          <w:szCs w:val="21"/>
          <w:highlight w:val="none"/>
        </w:rPr>
        <w:t>上资质</w:t>
      </w:r>
      <w:r>
        <w:rPr>
          <w:rFonts w:ascii="宋体" w:hAnsi="宋体" w:eastAsia="宋体" w:cs="宋体"/>
          <w:color w:val="auto"/>
          <w:spacing w:val="-1"/>
          <w:sz w:val="21"/>
          <w:szCs w:val="21"/>
          <w:highlight w:val="none"/>
          <w:u w:val="single" w:color="auto"/>
        </w:rPr>
        <w:t>，</w:t>
      </w:r>
      <w:r>
        <w:rPr>
          <w:rFonts w:hint="eastAsia" w:ascii="宋体" w:hAnsi="宋体" w:eastAsia="宋体" w:cs="宋体"/>
          <w:color w:val="auto"/>
          <w:spacing w:val="-1"/>
          <w:sz w:val="21"/>
          <w:szCs w:val="21"/>
          <w:highlight w:val="none"/>
          <w:u w:val="single" w:color="auto"/>
          <w:lang w:val="en-US" w:eastAsia="zh-CN"/>
        </w:rPr>
        <w:t>或建筑装修装饰工程专业承包二级及以上资质，</w:t>
      </w:r>
      <w:r>
        <w:rPr>
          <w:rFonts w:ascii="宋体" w:hAnsi="宋体" w:eastAsia="宋体" w:cs="宋体"/>
          <w:color w:val="auto"/>
          <w:spacing w:val="-1"/>
          <w:sz w:val="21"/>
          <w:szCs w:val="21"/>
          <w:highlight w:val="none"/>
          <w:u w:val="single" w:color="auto"/>
        </w:rPr>
        <w:t>并在人员、设备、资金等方面具有相应的</w:t>
      </w:r>
      <w:r>
        <w:rPr>
          <w:rFonts w:ascii="宋体" w:hAnsi="宋体" w:eastAsia="宋体" w:cs="宋体"/>
          <w:color w:val="auto"/>
          <w:spacing w:val="-3"/>
          <w:sz w:val="21"/>
          <w:szCs w:val="21"/>
          <w:highlight w:val="none"/>
          <w:u w:val="single" w:color="auto"/>
        </w:rPr>
        <w:t>施工能力，</w:t>
      </w:r>
      <w:r>
        <w:rPr>
          <w:rFonts w:ascii="宋体" w:hAnsi="宋体" w:eastAsia="宋体" w:cs="宋体"/>
          <w:color w:val="auto"/>
          <w:spacing w:val="52"/>
          <w:sz w:val="21"/>
          <w:szCs w:val="21"/>
          <w:highlight w:val="none"/>
          <w:u w:val="single" w:color="auto"/>
        </w:rPr>
        <w:t xml:space="preserve"> </w:t>
      </w:r>
      <w:r>
        <w:rPr>
          <w:rFonts w:ascii="宋体" w:hAnsi="宋体" w:eastAsia="宋体" w:cs="宋体"/>
          <w:color w:val="auto"/>
          <w:spacing w:val="-3"/>
          <w:sz w:val="21"/>
          <w:szCs w:val="21"/>
          <w:highlight w:val="none"/>
          <w:u w:val="single" w:color="auto"/>
        </w:rPr>
        <w:t>其中，投标人拟派项目经理须具备注册</w:t>
      </w:r>
      <w:r>
        <w:rPr>
          <w:rFonts w:hint="eastAsia" w:ascii="宋体" w:hAnsi="宋体" w:eastAsia="宋体" w:cs="宋体"/>
          <w:color w:val="auto"/>
          <w:spacing w:val="-3"/>
          <w:sz w:val="21"/>
          <w:szCs w:val="21"/>
          <w:highlight w:val="none"/>
          <w:u w:val="single" w:color="auto"/>
          <w:lang w:val="en-US" w:eastAsia="zh-CN"/>
        </w:rPr>
        <w:t>二</w:t>
      </w:r>
      <w:r>
        <w:rPr>
          <w:rFonts w:ascii="宋体" w:hAnsi="宋体" w:eastAsia="宋体" w:cs="宋体"/>
          <w:color w:val="auto"/>
          <w:spacing w:val="-3"/>
          <w:sz w:val="21"/>
          <w:szCs w:val="21"/>
          <w:highlight w:val="none"/>
          <w:u w:val="single" w:color="auto"/>
        </w:rPr>
        <w:t>级建造师·</w:t>
      </w:r>
      <w:r>
        <w:rPr>
          <w:rFonts w:hint="eastAsia" w:ascii="宋体" w:hAnsi="宋体" w:eastAsia="宋体" w:cs="宋体"/>
          <w:color w:val="auto"/>
          <w:spacing w:val="-3"/>
          <w:sz w:val="21"/>
          <w:szCs w:val="21"/>
          <w:highlight w:val="none"/>
          <w:u w:val="single" w:color="auto"/>
          <w:lang w:eastAsia="zh-CN"/>
        </w:rPr>
        <w:t>建筑工程</w:t>
      </w:r>
      <w:r>
        <w:rPr>
          <w:rStyle w:val="8"/>
          <w:rFonts w:ascii="宋体" w:hAnsi="宋体" w:cs="宋体"/>
          <w:b w:val="0"/>
          <w:bCs w:val="0"/>
          <w:i w:val="0"/>
          <w:iCs w:val="0"/>
          <w:smallCaps w:val="0"/>
          <w:color w:val="auto"/>
          <w:kern w:val="0"/>
          <w:sz w:val="27"/>
          <w:szCs w:val="27"/>
          <w:highlight w:val="none"/>
        </w:rPr>
        <w:t>]</w:t>
      </w:r>
      <w:r>
        <w:rPr>
          <w:rFonts w:ascii="宋体" w:hAnsi="宋体" w:eastAsia="宋体" w:cs="宋体"/>
          <w:color w:val="auto"/>
          <w:spacing w:val="-4"/>
          <w:sz w:val="21"/>
          <w:szCs w:val="21"/>
          <w:highlight w:val="none"/>
          <w:u w:val="single" w:color="auto"/>
        </w:rPr>
        <w:t>，具备有</w:t>
      </w:r>
      <w:r>
        <w:rPr>
          <w:rFonts w:ascii="宋体" w:hAnsi="宋体" w:eastAsia="宋体" w:cs="宋体"/>
          <w:color w:val="auto"/>
          <w:sz w:val="21"/>
          <w:szCs w:val="21"/>
          <w:highlight w:val="none"/>
          <w:u w:val="single" w:color="auto"/>
        </w:rPr>
        <w:t>效的安全生产考核合格证书（</w:t>
      </w:r>
      <w:r>
        <w:rPr>
          <w:rFonts w:ascii="Times New Roman" w:hAnsi="Times New Roman" w:eastAsia="Times New Roman" w:cs="Times New Roman"/>
          <w:color w:val="auto"/>
          <w:sz w:val="21"/>
          <w:szCs w:val="21"/>
          <w:highlight w:val="none"/>
          <w:u w:val="single" w:color="auto"/>
        </w:rPr>
        <w:t xml:space="preserve">B </w:t>
      </w:r>
      <w:r>
        <w:rPr>
          <w:rFonts w:ascii="宋体" w:hAnsi="宋体" w:eastAsia="宋体" w:cs="宋体"/>
          <w:color w:val="auto"/>
          <w:sz w:val="21"/>
          <w:szCs w:val="21"/>
          <w:highlight w:val="none"/>
          <w:u w:val="single" w:color="auto"/>
        </w:rPr>
        <w:t>证</w:t>
      </w:r>
      <w:r>
        <w:rPr>
          <w:rFonts w:ascii="宋体" w:hAnsi="宋体" w:eastAsia="宋体" w:cs="宋体"/>
          <w:color w:val="auto"/>
          <w:spacing w:val="-54"/>
          <w:w w:val="98"/>
          <w:sz w:val="21"/>
          <w:szCs w:val="21"/>
          <w:highlight w:val="none"/>
          <w:u w:val="single" w:color="auto"/>
        </w:rPr>
        <w:t>），</w:t>
      </w:r>
      <w:r>
        <w:rPr>
          <w:rFonts w:ascii="宋体" w:hAnsi="宋体" w:eastAsia="宋体" w:cs="宋体"/>
          <w:color w:val="auto"/>
          <w:sz w:val="21"/>
          <w:szCs w:val="21"/>
          <w:highlight w:val="none"/>
          <w:u w:val="single" w:color="auto"/>
        </w:rPr>
        <w:t>且未担任其他在施建</w:t>
      </w:r>
      <w:r>
        <w:rPr>
          <w:rFonts w:ascii="宋体" w:hAnsi="宋体" w:eastAsia="宋体" w:cs="宋体"/>
          <w:color w:val="auto"/>
          <w:spacing w:val="-1"/>
          <w:sz w:val="21"/>
          <w:szCs w:val="21"/>
          <w:highlight w:val="none"/>
          <w:u w:val="single" w:color="auto"/>
        </w:rPr>
        <w:t>设工程项目的项目经理</w:t>
      </w:r>
      <w:r>
        <w:rPr>
          <w:rFonts w:ascii="宋体" w:hAnsi="宋体" w:eastAsia="宋体" w:cs="宋体"/>
          <w:color w:val="auto"/>
          <w:spacing w:val="-1"/>
          <w:sz w:val="21"/>
          <w:szCs w:val="21"/>
          <w:highlight w:val="none"/>
        </w:rPr>
        <w:t>。</w:t>
      </w:r>
    </w:p>
    <w:p w14:paraId="212BDF32">
      <w:pPr>
        <w:spacing w:before="172" w:line="220" w:lineRule="auto"/>
        <w:ind w:right="7"/>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2"/>
          <w:sz w:val="21"/>
          <w:szCs w:val="21"/>
          <w:highlight w:val="none"/>
        </w:rPr>
        <w:t>本次招标</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2"/>
          <w:sz w:val="21"/>
          <w:szCs w:val="21"/>
          <w:highlight w:val="none"/>
        </w:rPr>
        <w:t>不接受</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2"/>
          <w:sz w:val="21"/>
          <w:szCs w:val="21"/>
          <w:highlight w:val="none"/>
        </w:rPr>
        <w:t>（接受或不接受）联合体投标。联合体投标的，应满足下列要</w:t>
      </w:r>
    </w:p>
    <w:p w14:paraId="4C75569B">
      <w:pPr>
        <w:spacing w:before="167" w:line="222"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求：</w:t>
      </w:r>
      <w:r>
        <w:rPr>
          <w:rFonts w:ascii="宋体" w:hAnsi="宋体" w:eastAsia="宋体" w:cs="宋体"/>
          <w:color w:val="auto"/>
          <w:spacing w:val="-30"/>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hint="eastAsia" w:ascii="宋体" w:hAnsi="宋体" w:eastAsia="宋体" w:cs="宋体"/>
          <w:color w:val="auto"/>
          <w:spacing w:val="-15"/>
          <w:sz w:val="21"/>
          <w:szCs w:val="21"/>
          <w:highlight w:val="none"/>
          <w:u w:val="single" w:color="auto"/>
          <w:lang w:val="en-US" w:eastAsia="zh-CN"/>
        </w:rPr>
        <w:t>/</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15"/>
          <w:sz w:val="21"/>
          <w:szCs w:val="21"/>
          <w:highlight w:val="none"/>
        </w:rPr>
        <w:t>。</w:t>
      </w:r>
    </w:p>
    <w:p w14:paraId="7D2573AB">
      <w:pPr>
        <w:spacing w:before="171"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 xml:space="preserve">3.3 </w:t>
      </w:r>
      <w:r>
        <w:rPr>
          <w:rFonts w:ascii="宋体" w:hAnsi="宋体" w:eastAsia="宋体" w:cs="宋体"/>
          <w:color w:val="auto"/>
          <w:spacing w:val="-7"/>
          <w:sz w:val="21"/>
          <w:szCs w:val="21"/>
          <w:highlight w:val="none"/>
        </w:rPr>
        <w:t>其他要求：</w:t>
      </w:r>
      <w:r>
        <w:rPr>
          <w:rFonts w:ascii="宋体" w:hAnsi="宋体" w:eastAsia="宋体" w:cs="宋体"/>
          <w:color w:val="auto"/>
          <w:spacing w:val="-29"/>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7"/>
          <w:sz w:val="21"/>
          <w:szCs w:val="21"/>
          <w:highlight w:val="none"/>
          <w:u w:val="single" w:color="auto"/>
          <w:lang w:val="en-US" w:eastAsia="zh-CN"/>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w:t>
      </w:r>
    </w:p>
    <w:p w14:paraId="681146F8">
      <w:pPr>
        <w:spacing w:before="143"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4.</w:t>
      </w:r>
      <w:r>
        <w:rPr>
          <w:rFonts w:ascii="黑体" w:hAnsi="黑体" w:eastAsia="黑体" w:cs="黑体"/>
          <w:color w:val="auto"/>
          <w:spacing w:val="-1"/>
          <w:sz w:val="24"/>
          <w:szCs w:val="24"/>
          <w:highlight w:val="none"/>
        </w:rPr>
        <w:t>招标文件的获取</w:t>
      </w:r>
    </w:p>
    <w:p w14:paraId="3D02B75C">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4.1 凡有意参加投标者（若为联合体投标，指联合体所有成员）， 应当在主体信息库</w:t>
      </w:r>
    </w:p>
    <w:p w14:paraId="09A3FE61">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（辽宁省工程建设项目主体云库）进行注册登记（具体参见主体云库注册操作指南）。</w:t>
      </w:r>
    </w:p>
    <w:p w14:paraId="62EA59E7">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 xml:space="preserve">4.2 完成注册登记后， 请于 </w:t>
      </w:r>
      <w:r>
        <w:rPr>
          <w:rFonts w:hint="eastAsia" w:ascii="Times New Roman" w:hAnsi="Times New Roman" w:eastAsia="Times New Roman" w:cs="Times New Roman"/>
          <w:color w:val="auto"/>
          <w:spacing w:val="6"/>
          <w:position w:val="16"/>
          <w:sz w:val="21"/>
          <w:szCs w:val="21"/>
          <w:highlight w:val="none"/>
          <w:lang w:val="en-US" w:eastAsia="zh-CN"/>
        </w:rPr>
        <w:t>2026年3月25日08时30分</w:t>
      </w:r>
      <w:r>
        <w:rPr>
          <w:rFonts w:ascii="Times New Roman" w:hAnsi="Times New Roman" w:eastAsia="Times New Roman" w:cs="Times New Roman"/>
          <w:color w:val="auto"/>
          <w:spacing w:val="6"/>
          <w:position w:val="16"/>
          <w:sz w:val="21"/>
          <w:szCs w:val="21"/>
          <w:highlight w:val="none"/>
        </w:rPr>
        <w:t>至</w:t>
      </w:r>
      <w:r>
        <w:rPr>
          <w:rFonts w:hint="eastAsia" w:ascii="Times New Roman" w:hAnsi="Times New Roman" w:eastAsia="Times New Roman" w:cs="Times New Roman"/>
          <w:color w:val="auto"/>
          <w:spacing w:val="6"/>
          <w:position w:val="16"/>
          <w:sz w:val="21"/>
          <w:szCs w:val="21"/>
          <w:highlight w:val="none"/>
          <w:lang w:val="en-US" w:eastAsia="zh-CN"/>
        </w:rPr>
        <w:t>2026年3月31日16时30分</w:t>
      </w:r>
      <w:r>
        <w:rPr>
          <w:rFonts w:ascii="Times New Roman" w:hAnsi="Times New Roman" w:eastAsia="Times New Roman" w:cs="Times New Roman"/>
          <w:color w:val="auto"/>
          <w:spacing w:val="6"/>
          <w:position w:val="16"/>
          <w:sz w:val="21"/>
          <w:szCs w:val="21"/>
          <w:highlight w:val="none"/>
        </w:rPr>
        <w:t xml:space="preserve">止（北京时间、 下同），通过 </w:t>
      </w:r>
      <w:r>
        <w:rPr>
          <w:rFonts w:hint="eastAsia" w:ascii="Times New Roman" w:hAnsi="Times New Roman" w:eastAsia="Times New Roman" w:cs="Times New Roman"/>
          <w:color w:val="auto"/>
          <w:spacing w:val="6"/>
          <w:position w:val="16"/>
          <w:sz w:val="21"/>
          <w:szCs w:val="21"/>
          <w:highlight w:val="none"/>
        </w:rPr>
        <w:t>辽宁工程咨询招投标交易平台</w:t>
      </w:r>
      <w:r>
        <w:rPr>
          <w:rFonts w:ascii="Times New Roman" w:hAnsi="Times New Roman" w:eastAsia="Times New Roman" w:cs="Times New Roman"/>
          <w:color w:val="auto"/>
          <w:spacing w:val="6"/>
          <w:position w:val="16"/>
          <w:sz w:val="21"/>
          <w:szCs w:val="21"/>
          <w:highlight w:val="none"/>
        </w:rPr>
        <w:t>（投标盲盒工具</w:t>
      </w:r>
      <w:r>
        <w:rPr>
          <w:rFonts w:ascii="Times New Roman" w:hAnsi="Times New Roman" w:eastAsia="Times New Roman" w:cs="Times New Roman"/>
          <w:color w:val="auto"/>
          <w:spacing w:val="6"/>
          <w:position w:val="16"/>
          <w:sz w:val="21"/>
          <w:szCs w:val="21"/>
          <w:highlight w:val="none"/>
        </w:rPr>
        <w:fldChar w:fldCharType="begin"/>
      </w:r>
      <w:r>
        <w:rPr>
          <w:rFonts w:ascii="Times New Roman" w:hAnsi="Times New Roman" w:eastAsia="Times New Roman" w:cs="Times New Roman"/>
          <w:color w:val="auto"/>
          <w:spacing w:val="6"/>
          <w:position w:val="16"/>
          <w:sz w:val="21"/>
          <w:szCs w:val="21"/>
          <w:highlight w:val="none"/>
        </w:rPr>
        <w:instrText xml:space="preserve"> HYPERLINK "https://xbox.lnzb.com" </w:instrText>
      </w:r>
      <w:r>
        <w:rPr>
          <w:rFonts w:ascii="Times New Roman" w:hAnsi="Times New Roman" w:eastAsia="Times New Roman" w:cs="Times New Roman"/>
          <w:color w:val="auto"/>
          <w:spacing w:val="6"/>
          <w:position w:val="16"/>
          <w:sz w:val="21"/>
          <w:szCs w:val="21"/>
          <w:highlight w:val="none"/>
        </w:rPr>
        <w:fldChar w:fldCharType="separate"/>
      </w:r>
      <w:r>
        <w:rPr>
          <w:rFonts w:ascii="Times New Roman" w:hAnsi="Times New Roman" w:eastAsia="Times New Roman" w:cs="Times New Roman"/>
          <w:color w:val="auto"/>
          <w:spacing w:val="6"/>
          <w:position w:val="16"/>
          <w:sz w:val="21"/>
          <w:szCs w:val="21"/>
          <w:highlight w:val="none"/>
        </w:rPr>
        <w:t>https://xbox.lnzb.com</w:t>
      </w:r>
      <w:r>
        <w:rPr>
          <w:rFonts w:ascii="Times New Roman" w:hAnsi="Times New Roman" w:eastAsia="Times New Roman" w:cs="Times New Roman"/>
          <w:color w:val="auto"/>
          <w:spacing w:val="6"/>
          <w:position w:val="16"/>
          <w:sz w:val="21"/>
          <w:szCs w:val="21"/>
          <w:highlight w:val="none"/>
        </w:rPr>
        <w:fldChar w:fldCharType="end"/>
      </w:r>
      <w:r>
        <w:rPr>
          <w:rFonts w:ascii="Times New Roman" w:hAnsi="Times New Roman" w:eastAsia="Times New Roman" w:cs="Times New Roman"/>
          <w:color w:val="auto"/>
          <w:spacing w:val="6"/>
          <w:position w:val="16"/>
          <w:sz w:val="21"/>
          <w:szCs w:val="21"/>
          <w:highlight w:val="none"/>
        </w:rPr>
        <w:t>），在所投标段进行资格确认并下载招标文件。联合体投标的，由联合体牵头人下载招标文件。</w:t>
      </w:r>
    </w:p>
    <w:p w14:paraId="379950FD">
      <w:pPr>
        <w:spacing w:before="147"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5.</w:t>
      </w:r>
      <w:r>
        <w:rPr>
          <w:rFonts w:ascii="黑体" w:hAnsi="黑体" w:eastAsia="黑体" w:cs="黑体"/>
          <w:color w:val="auto"/>
          <w:spacing w:val="-1"/>
          <w:sz w:val="24"/>
          <w:szCs w:val="24"/>
          <w:highlight w:val="none"/>
        </w:rPr>
        <w:t>投标文件的递交</w:t>
      </w:r>
    </w:p>
    <w:p w14:paraId="54EC8E6E">
      <w:pPr>
        <w:spacing w:before="15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5.1 </w:t>
      </w:r>
      <w:r>
        <w:rPr>
          <w:rFonts w:ascii="宋体" w:hAnsi="宋体" w:eastAsia="宋体" w:cs="宋体"/>
          <w:color w:val="auto"/>
          <w:spacing w:val="-5"/>
          <w:sz w:val="21"/>
          <w:szCs w:val="21"/>
          <w:highlight w:val="none"/>
        </w:rPr>
        <w:t>投标文件递交截止时间为</w:t>
      </w:r>
      <w:r>
        <w:rPr>
          <w:rFonts w:ascii="宋体" w:hAnsi="宋体" w:eastAsia="宋体" w:cs="宋体"/>
          <w:color w:val="auto"/>
          <w:spacing w:val="-104"/>
          <w:sz w:val="21"/>
          <w:szCs w:val="21"/>
          <w:highlight w:val="none"/>
        </w:rPr>
        <w:t xml:space="preserve"> </w:t>
      </w:r>
      <w:r>
        <w:rPr>
          <w:rFonts w:hint="eastAsia" w:ascii="宋体" w:hAnsi="宋体" w:eastAsia="宋体" w:cs="宋体"/>
          <w:color w:val="auto"/>
          <w:spacing w:val="51"/>
          <w:sz w:val="21"/>
          <w:szCs w:val="21"/>
          <w:highlight w:val="none"/>
          <w:u w:val="single" w:color="auto"/>
          <w:lang w:val="en-US" w:eastAsia="zh-CN"/>
        </w:rPr>
        <w:t>2026年4月15日</w:t>
      </w:r>
      <w:r>
        <w:rPr>
          <w:rFonts w:hint="eastAsia" w:ascii="宋体" w:hAnsi="宋体" w:eastAsia="宋体" w:cs="宋体"/>
          <w:color w:val="auto"/>
          <w:spacing w:val="-5"/>
          <w:sz w:val="21"/>
          <w:szCs w:val="21"/>
          <w:highlight w:val="none"/>
          <w:lang w:val="en-US" w:eastAsia="zh-CN"/>
        </w:rPr>
        <w:t>9</w:t>
      </w:r>
      <w:r>
        <w:rPr>
          <w:rFonts w:ascii="宋体" w:hAnsi="宋体" w:eastAsia="宋体" w:cs="宋体"/>
          <w:color w:val="auto"/>
          <w:spacing w:val="-5"/>
          <w:sz w:val="21"/>
          <w:szCs w:val="21"/>
          <w:highlight w:val="none"/>
        </w:rPr>
        <w:t xml:space="preserve"> 时</w:t>
      </w:r>
      <w:r>
        <w:rPr>
          <w:rFonts w:hint="eastAsia" w:ascii="宋体" w:hAnsi="宋体" w:eastAsia="宋体" w:cs="宋体"/>
          <w:color w:val="auto"/>
          <w:spacing w:val="-5"/>
          <w:sz w:val="21"/>
          <w:szCs w:val="21"/>
          <w:highlight w:val="none"/>
          <w:lang w:val="en-US" w:eastAsia="zh-CN"/>
        </w:rPr>
        <w:t>30分</w:t>
      </w:r>
      <w:r>
        <w:rPr>
          <w:rFonts w:ascii="宋体" w:hAnsi="宋体" w:eastAsia="宋体" w:cs="宋体"/>
          <w:color w:val="auto"/>
          <w:spacing w:val="-5"/>
          <w:sz w:val="21"/>
          <w:szCs w:val="21"/>
          <w:highlight w:val="none"/>
        </w:rPr>
        <w:t>。</w:t>
      </w:r>
    </w:p>
    <w:p w14:paraId="15F82112">
      <w:pPr>
        <w:spacing w:before="173" w:line="369" w:lineRule="auto"/>
        <w:ind w:left="11" w:right="6" w:firstLine="446"/>
        <w:rPr>
          <w:rFonts w:ascii="宋体" w:hAnsi="宋体" w:eastAsia="宋体" w:cs="宋体"/>
          <w:color w:val="auto"/>
          <w:sz w:val="21"/>
          <w:szCs w:val="21"/>
          <w:highlight w:val="none"/>
        </w:rPr>
      </w:pPr>
      <w:r>
        <w:rPr>
          <w:rFonts w:ascii="Times New Roman" w:hAnsi="Times New Roman" w:eastAsia="Times New Roman" w:cs="Times New Roman"/>
          <w:color w:val="auto"/>
          <w:spacing w:val="15"/>
          <w:sz w:val="21"/>
          <w:szCs w:val="21"/>
          <w:highlight w:val="none"/>
        </w:rPr>
        <w:t xml:space="preserve">5.2  </w:t>
      </w:r>
      <w:r>
        <w:rPr>
          <w:rFonts w:ascii="宋体" w:hAnsi="宋体" w:eastAsia="宋体" w:cs="宋体"/>
          <w:color w:val="auto"/>
          <w:spacing w:val="15"/>
          <w:sz w:val="21"/>
          <w:szCs w:val="21"/>
          <w:highlight w:val="none"/>
        </w:rPr>
        <w:t>投标人应当在投标</w:t>
      </w:r>
      <w:r>
        <w:rPr>
          <w:rFonts w:ascii="宋体" w:hAnsi="宋体" w:eastAsia="宋体" w:cs="宋体"/>
          <w:color w:val="auto"/>
          <w:spacing w:val="-60"/>
          <w:sz w:val="21"/>
          <w:szCs w:val="21"/>
          <w:highlight w:val="none"/>
        </w:rPr>
        <w:t xml:space="preserve"> </w:t>
      </w:r>
      <w:r>
        <w:rPr>
          <w:rFonts w:ascii="宋体" w:hAnsi="宋体" w:eastAsia="宋体" w:cs="宋体"/>
          <w:color w:val="auto"/>
          <w:spacing w:val="15"/>
          <w:sz w:val="21"/>
          <w:szCs w:val="21"/>
          <w:highlight w:val="none"/>
        </w:rPr>
        <w:t>截止时间前</w:t>
      </w:r>
      <w:r>
        <w:rPr>
          <w:rFonts w:ascii="宋体" w:hAnsi="宋体" w:eastAsia="宋体" w:cs="宋体"/>
          <w:color w:val="auto"/>
          <w:spacing w:val="-4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15"/>
          <w:sz w:val="21"/>
          <w:szCs w:val="21"/>
          <w:highlight w:val="none"/>
        </w:rPr>
        <w:t>通过</w:t>
      </w:r>
      <w:r>
        <w:rPr>
          <w:rFonts w:hint="eastAsia" w:ascii="宋体" w:hAnsi="宋体" w:eastAsia="宋体" w:cs="宋体"/>
          <w:color w:val="auto"/>
          <w:spacing w:val="15"/>
          <w:sz w:val="21"/>
          <w:szCs w:val="21"/>
          <w:highlight w:val="none"/>
          <w:u w:val="single" w:color="auto"/>
        </w:rPr>
        <w:t>辽宁工程咨询招投标交易平台(投标盲盒工具https://nxbox.Inzb.com:8888/#/login)</w:t>
      </w:r>
      <w:r>
        <w:rPr>
          <w:rFonts w:ascii="宋体" w:hAnsi="宋体" w:eastAsia="宋体" w:cs="宋体"/>
          <w:color w:val="auto"/>
          <w:spacing w:val="-48"/>
          <w:sz w:val="21"/>
          <w:szCs w:val="21"/>
          <w:highlight w:val="none"/>
        </w:rPr>
        <w:t>，</w:t>
      </w:r>
      <w:r>
        <w:rPr>
          <w:rFonts w:ascii="宋体" w:hAnsi="宋体" w:eastAsia="宋体" w:cs="宋体"/>
          <w:color w:val="auto"/>
          <w:spacing w:val="2"/>
          <w:sz w:val="21"/>
          <w:szCs w:val="21"/>
          <w:highlight w:val="none"/>
        </w:rPr>
        <w:t>选择所投标段将加密的电子投标文件上传。投标人完成投</w:t>
      </w:r>
      <w:r>
        <w:rPr>
          <w:rFonts w:ascii="宋体" w:hAnsi="宋体" w:eastAsia="宋体" w:cs="宋体"/>
          <w:color w:val="auto"/>
          <w:spacing w:val="1"/>
          <w:sz w:val="21"/>
          <w:szCs w:val="21"/>
          <w:highlight w:val="none"/>
        </w:rPr>
        <w:t>标文件上</w:t>
      </w:r>
      <w:r>
        <w:rPr>
          <w:rFonts w:ascii="宋体" w:hAnsi="宋体" w:eastAsia="宋体" w:cs="宋体"/>
          <w:color w:val="auto"/>
          <w:sz w:val="21"/>
          <w:szCs w:val="21"/>
          <w:highlight w:val="none"/>
        </w:rPr>
        <w:t>传后， 电子交易系统向投标人发出电子签收凭证，递交时间以电子签收凭证载明的时间为</w:t>
      </w:r>
      <w:r>
        <w:rPr>
          <w:rFonts w:ascii="宋体" w:hAnsi="宋体" w:eastAsia="宋体" w:cs="宋体"/>
          <w:color w:val="auto"/>
          <w:spacing w:val="3"/>
          <w:sz w:val="21"/>
          <w:szCs w:val="21"/>
          <w:highlight w:val="none"/>
        </w:rPr>
        <w:t>准。逾期未完成上传或未加密的电子投标文件，招标人（电子交易系统）将拒收其投标文</w:t>
      </w:r>
      <w:r>
        <w:rPr>
          <w:rFonts w:ascii="宋体" w:hAnsi="宋体" w:eastAsia="宋体" w:cs="宋体"/>
          <w:color w:val="auto"/>
          <w:spacing w:val="-4"/>
          <w:sz w:val="21"/>
          <w:szCs w:val="21"/>
          <w:highlight w:val="none"/>
        </w:rPr>
        <w:t>件。</w:t>
      </w:r>
    </w:p>
    <w:p w14:paraId="6922904A">
      <w:pPr>
        <w:tabs>
          <w:tab w:val="left" w:pos="128"/>
        </w:tabs>
        <w:spacing w:before="119" w:line="266" w:lineRule="auto"/>
        <w:ind w:left="10" w:right="17" w:firstLine="44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 xml:space="preserve">5.3    </w:t>
      </w:r>
      <w:r>
        <w:rPr>
          <w:rFonts w:ascii="宋体" w:hAnsi="宋体" w:eastAsia="宋体" w:cs="宋体"/>
          <w:color w:val="auto"/>
          <w:spacing w:val="-8"/>
          <w:sz w:val="21"/>
          <w:szCs w:val="21"/>
          <w:highlight w:val="none"/>
        </w:rPr>
        <w:t>开 标</w:t>
      </w:r>
      <w:r>
        <w:rPr>
          <w:rFonts w:ascii="宋体" w:hAnsi="宋体" w:eastAsia="宋体" w:cs="宋体"/>
          <w:color w:val="auto"/>
          <w:spacing w:val="20"/>
          <w:sz w:val="21"/>
          <w:szCs w:val="21"/>
          <w:highlight w:val="none"/>
        </w:rPr>
        <w:t xml:space="preserve"> </w:t>
      </w:r>
      <w:r>
        <w:rPr>
          <w:rFonts w:ascii="宋体" w:hAnsi="宋体" w:eastAsia="宋体" w:cs="宋体"/>
          <w:color w:val="auto"/>
          <w:spacing w:val="-8"/>
          <w:sz w:val="21"/>
          <w:szCs w:val="21"/>
          <w:highlight w:val="none"/>
        </w:rPr>
        <w:t>地</w:t>
      </w:r>
      <w:r>
        <w:rPr>
          <w:rFonts w:ascii="宋体" w:hAnsi="宋体" w:eastAsia="宋体" w:cs="宋体"/>
          <w:color w:val="auto"/>
          <w:spacing w:val="29"/>
          <w:sz w:val="21"/>
          <w:szCs w:val="21"/>
          <w:highlight w:val="none"/>
        </w:rPr>
        <w:t xml:space="preserve"> </w:t>
      </w:r>
      <w:r>
        <w:rPr>
          <w:rFonts w:ascii="宋体" w:hAnsi="宋体" w:eastAsia="宋体" w:cs="宋体"/>
          <w:color w:val="auto"/>
          <w:spacing w:val="-8"/>
          <w:sz w:val="21"/>
          <w:szCs w:val="21"/>
          <w:highlight w:val="none"/>
        </w:rPr>
        <w:t>点</w:t>
      </w:r>
      <w:r>
        <w:rPr>
          <w:rFonts w:ascii="宋体" w:hAnsi="宋体" w:eastAsia="宋体" w:cs="宋体"/>
          <w:color w:val="auto"/>
          <w:spacing w:val="37"/>
          <w:sz w:val="21"/>
          <w:szCs w:val="21"/>
          <w:highlight w:val="none"/>
        </w:rPr>
        <w:t xml:space="preserve"> </w:t>
      </w:r>
      <w:r>
        <w:rPr>
          <w:rFonts w:ascii="宋体" w:hAnsi="宋体" w:eastAsia="宋体" w:cs="宋体"/>
          <w:color w:val="auto"/>
          <w:spacing w:val="-8"/>
          <w:sz w:val="21"/>
          <w:szCs w:val="21"/>
          <w:highlight w:val="none"/>
        </w:rPr>
        <w:t>：</w:t>
      </w:r>
      <w:r>
        <w:rPr>
          <w:rFonts w:ascii="宋体" w:hAnsi="宋体" w:eastAsia="宋体" w:cs="宋体"/>
          <w:color w:val="auto"/>
          <w:spacing w:val="12"/>
          <w:sz w:val="21"/>
          <w:szCs w:val="21"/>
          <w:highlight w:val="none"/>
        </w:rPr>
        <w:t xml:space="preserve"> </w:t>
      </w:r>
      <w:r>
        <w:rPr>
          <w:rFonts w:ascii="宋体" w:hAnsi="宋体" w:eastAsia="宋体" w:cs="宋体"/>
          <w:color w:val="auto"/>
          <w:spacing w:val="-92"/>
          <w:sz w:val="21"/>
          <w:szCs w:val="21"/>
          <w:highlight w:val="none"/>
          <w:u w:val="single" w:color="auto"/>
        </w:rPr>
        <w:t xml:space="preserve"> </w:t>
      </w:r>
      <w:r>
        <w:rPr>
          <w:rFonts w:ascii="宋体" w:hAnsi="宋体" w:eastAsia="宋体" w:cs="宋体"/>
          <w:color w:val="auto"/>
          <w:spacing w:val="-8"/>
          <w:sz w:val="21"/>
          <w:szCs w:val="21"/>
          <w:highlight w:val="none"/>
          <w:u w:val="single" w:color="auto"/>
        </w:rPr>
        <w:t>辽</w:t>
      </w:r>
      <w:r>
        <w:rPr>
          <w:rFonts w:ascii="宋体" w:hAnsi="宋体" w:eastAsia="宋体" w:cs="宋体"/>
          <w:color w:val="auto"/>
          <w:spacing w:val="29"/>
          <w:sz w:val="21"/>
          <w:szCs w:val="21"/>
          <w:highlight w:val="none"/>
          <w:u w:val="single" w:color="auto"/>
        </w:rPr>
        <w:t xml:space="preserve"> </w:t>
      </w:r>
      <w:r>
        <w:rPr>
          <w:rFonts w:ascii="宋体" w:hAnsi="宋体" w:eastAsia="宋体" w:cs="宋体"/>
          <w:color w:val="auto"/>
          <w:spacing w:val="-8"/>
          <w:sz w:val="21"/>
          <w:szCs w:val="21"/>
          <w:highlight w:val="none"/>
          <w:u w:val="single" w:color="auto"/>
        </w:rPr>
        <w:t>宁</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8"/>
          <w:sz w:val="21"/>
          <w:szCs w:val="21"/>
          <w:highlight w:val="none"/>
          <w:u w:val="single" w:color="auto"/>
        </w:rPr>
        <w:t>省</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8"/>
          <w:sz w:val="21"/>
          <w:szCs w:val="21"/>
          <w:highlight w:val="none"/>
          <w:u w:val="single" w:color="auto"/>
        </w:rPr>
        <w:t>工</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8"/>
          <w:sz w:val="21"/>
          <w:szCs w:val="21"/>
          <w:highlight w:val="none"/>
          <w:u w:val="single" w:color="auto"/>
        </w:rPr>
        <w:t>程</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8"/>
          <w:sz w:val="21"/>
          <w:szCs w:val="21"/>
          <w:highlight w:val="none"/>
          <w:u w:val="single" w:color="auto"/>
        </w:rPr>
        <w:t>建</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8"/>
          <w:sz w:val="21"/>
          <w:szCs w:val="21"/>
          <w:highlight w:val="none"/>
          <w:u w:val="single" w:color="auto"/>
        </w:rPr>
        <w:t>设</w:t>
      </w:r>
      <w:r>
        <w:rPr>
          <w:rFonts w:ascii="宋体" w:hAnsi="宋体" w:eastAsia="宋体" w:cs="宋体"/>
          <w:color w:val="auto"/>
          <w:spacing w:val="22"/>
          <w:sz w:val="21"/>
          <w:szCs w:val="21"/>
          <w:highlight w:val="none"/>
          <w:u w:val="single" w:color="auto"/>
        </w:rPr>
        <w:t xml:space="preserve"> </w:t>
      </w:r>
      <w:r>
        <w:rPr>
          <w:rFonts w:ascii="宋体" w:hAnsi="宋体" w:eastAsia="宋体" w:cs="宋体"/>
          <w:color w:val="auto"/>
          <w:spacing w:val="-8"/>
          <w:sz w:val="21"/>
          <w:szCs w:val="21"/>
          <w:highlight w:val="none"/>
          <w:u w:val="single" w:color="auto"/>
        </w:rPr>
        <w:t>项  目</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
          <w:sz w:val="21"/>
          <w:szCs w:val="21"/>
          <w:highlight w:val="none"/>
          <w:u w:val="single" w:color="auto"/>
        </w:rPr>
        <w:t>数 字</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8"/>
          <w:sz w:val="21"/>
          <w:szCs w:val="21"/>
          <w:highlight w:val="none"/>
          <w:u w:val="single" w:color="auto"/>
        </w:rPr>
        <w:t>化</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8"/>
          <w:sz w:val="21"/>
          <w:szCs w:val="21"/>
          <w:highlight w:val="none"/>
          <w:u w:val="single" w:color="auto"/>
        </w:rPr>
        <w:t>开</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8"/>
          <w:sz w:val="21"/>
          <w:szCs w:val="21"/>
          <w:highlight w:val="none"/>
          <w:u w:val="single" w:color="auto"/>
        </w:rPr>
        <w:t>标 评</w:t>
      </w:r>
      <w:r>
        <w:rPr>
          <w:rFonts w:ascii="宋体" w:hAnsi="宋体" w:eastAsia="宋体" w:cs="宋体"/>
          <w:color w:val="auto"/>
          <w:spacing w:val="24"/>
          <w:sz w:val="21"/>
          <w:szCs w:val="21"/>
          <w:highlight w:val="none"/>
          <w:u w:val="single" w:color="auto"/>
        </w:rPr>
        <w:t xml:space="preserve"> </w:t>
      </w:r>
      <w:r>
        <w:rPr>
          <w:rFonts w:ascii="宋体" w:hAnsi="宋体" w:eastAsia="宋体" w:cs="宋体"/>
          <w:color w:val="auto"/>
          <w:spacing w:val="-8"/>
          <w:sz w:val="21"/>
          <w:szCs w:val="21"/>
          <w:highlight w:val="none"/>
          <w:u w:val="single" w:color="auto"/>
        </w:rPr>
        <w:t>标</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8"/>
          <w:sz w:val="21"/>
          <w:szCs w:val="21"/>
          <w:highlight w:val="none"/>
          <w:u w:val="single" w:color="auto"/>
        </w:rPr>
        <w:t>系</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8"/>
          <w:sz w:val="21"/>
          <w:szCs w:val="21"/>
          <w:highlight w:val="none"/>
          <w:u w:val="single" w:color="auto"/>
        </w:rPr>
        <w:t>统</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pacing w:val="-6"/>
          <w:sz w:val="21"/>
          <w:szCs w:val="21"/>
          <w:highlight w:val="none"/>
          <w:u w:val="single" w:color="auto"/>
        </w:rPr>
        <w:t>（</w:t>
      </w:r>
      <w:r>
        <w:rPr>
          <w:color w:val="auto"/>
          <w:highlight w:val="none"/>
        </w:rPr>
        <w:fldChar w:fldCharType="begin"/>
      </w:r>
      <w:r>
        <w:rPr>
          <w:color w:val="auto"/>
          <w:highlight w:val="none"/>
        </w:rPr>
        <w:instrText xml:space="preserve"> HYPERLINK "https://dts.lnzb.com:8888/zjt" </w:instrText>
      </w:r>
      <w:r>
        <w:rPr>
          <w:color w:val="auto"/>
          <w:highlight w:val="none"/>
        </w:rPr>
        <w:fldChar w:fldCharType="separate"/>
      </w:r>
      <w:r>
        <w:rPr>
          <w:rFonts w:ascii="宋体" w:hAnsi="宋体" w:eastAsia="宋体" w:cs="宋体"/>
          <w:color w:val="auto"/>
          <w:spacing w:val="-6"/>
          <w:sz w:val="21"/>
          <w:szCs w:val="21"/>
          <w:highlight w:val="none"/>
          <w:u w:val="single" w:color="auto"/>
        </w:rPr>
        <w:t>https://dts.lnzb.com:8888/zjt</w:t>
      </w:r>
      <w:r>
        <w:rPr>
          <w:rFonts w:ascii="宋体" w:hAnsi="宋体" w:eastAsia="宋体" w:cs="宋体"/>
          <w:color w:val="auto"/>
          <w:spacing w:val="-6"/>
          <w:sz w:val="21"/>
          <w:szCs w:val="21"/>
          <w:highlight w:val="none"/>
          <w:u w:val="single" w:color="auto"/>
        </w:rPr>
        <w:fldChar w:fldCharType="end"/>
      </w:r>
      <w:r>
        <w:rPr>
          <w:rFonts w:ascii="宋体" w:hAnsi="宋体" w:eastAsia="宋体" w:cs="宋体"/>
          <w:color w:val="auto"/>
          <w:spacing w:val="-6"/>
          <w:sz w:val="21"/>
          <w:szCs w:val="21"/>
          <w:highlight w:val="none"/>
          <w:u w:val="single" w:color="auto"/>
        </w:rPr>
        <w:t>-bid/）</w:t>
      </w:r>
      <w:r>
        <w:rPr>
          <w:rFonts w:ascii="宋体" w:hAnsi="宋体" w:eastAsia="宋体" w:cs="宋体"/>
          <w:color w:val="auto"/>
          <w:spacing w:val="-6"/>
          <w:sz w:val="21"/>
          <w:szCs w:val="21"/>
          <w:highlight w:val="none"/>
        </w:rPr>
        <w:t>。</w:t>
      </w:r>
    </w:p>
    <w:p w14:paraId="528D4D46">
      <w:pPr>
        <w:spacing w:before="115" w:line="337" w:lineRule="auto"/>
        <w:ind w:right="18" w:firstLine="408" w:firstLineChars="200"/>
        <w:jc w:val="left"/>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 </w:t>
      </w:r>
      <w:r>
        <w:rPr>
          <w:rFonts w:ascii="宋体" w:hAnsi="宋体" w:eastAsia="宋体" w:cs="宋体"/>
          <w:color w:val="auto"/>
          <w:spacing w:val="-3"/>
          <w:sz w:val="21"/>
          <w:szCs w:val="21"/>
          <w:highlight w:val="none"/>
        </w:rPr>
        <w:t xml:space="preserve">开标方式： </w:t>
      </w:r>
      <w:r>
        <w:rPr>
          <w:rFonts w:ascii="宋体" w:hAnsi="宋体" w:eastAsia="宋体" w:cs="宋体"/>
          <w:color w:val="auto"/>
          <w:spacing w:val="-3"/>
          <w:sz w:val="21"/>
          <w:szCs w:val="21"/>
          <w:highlight w:val="none"/>
          <w:u w:val="single" w:color="auto"/>
        </w:rPr>
        <w:t>远程不见面开标</w:t>
      </w:r>
      <w:r>
        <w:rPr>
          <w:rFonts w:ascii="宋体" w:hAnsi="宋体" w:eastAsia="宋体" w:cs="宋体"/>
          <w:color w:val="auto"/>
          <w:spacing w:val="-3"/>
          <w:sz w:val="21"/>
          <w:szCs w:val="21"/>
          <w:highlight w:val="none"/>
        </w:rPr>
        <w:t>。</w:t>
      </w:r>
    </w:p>
    <w:p w14:paraId="2D74AC09">
      <w:pPr>
        <w:spacing w:before="1" w:line="219"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6.</w:t>
      </w:r>
      <w:r>
        <w:rPr>
          <w:rFonts w:ascii="黑体" w:hAnsi="黑体" w:eastAsia="黑体" w:cs="黑体"/>
          <w:color w:val="auto"/>
          <w:spacing w:val="-1"/>
          <w:sz w:val="24"/>
          <w:szCs w:val="24"/>
          <w:highlight w:val="none"/>
        </w:rPr>
        <w:t>投标相关事宜</w:t>
      </w:r>
    </w:p>
    <w:p w14:paraId="05A0D95A">
      <w:pPr>
        <w:spacing w:before="160" w:line="371" w:lineRule="auto"/>
        <w:ind w:right="1"/>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1、本项目计划开工开始日期和计划竣工结束日期为计划日期，具体以签订合同为准。</w:t>
      </w:r>
    </w:p>
    <w:p w14:paraId="0E562FAB">
      <w:pPr>
        <w:spacing w:before="191" w:line="218"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7.</w:t>
      </w:r>
      <w:r>
        <w:rPr>
          <w:rFonts w:ascii="黑体" w:hAnsi="黑体" w:eastAsia="黑体" w:cs="黑体"/>
          <w:color w:val="auto"/>
          <w:spacing w:val="-1"/>
          <w:sz w:val="24"/>
          <w:szCs w:val="24"/>
          <w:highlight w:val="none"/>
        </w:rPr>
        <w:t>评标办法</w:t>
      </w:r>
    </w:p>
    <w:p w14:paraId="2C9761BD">
      <w:pPr>
        <w:spacing w:before="163" w:line="346" w:lineRule="auto"/>
        <w:ind w:left="45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本次招标评标办法采用</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1"/>
          <w:sz w:val="21"/>
          <w:szCs w:val="21"/>
          <w:highlight w:val="none"/>
          <w:u w:val="single" w:color="auto"/>
        </w:rPr>
        <w:t>综合评估法</w:t>
      </w:r>
      <w:r>
        <w:rPr>
          <w:rFonts w:ascii="宋体" w:hAnsi="宋体" w:eastAsia="宋体" w:cs="宋体"/>
          <w:color w:val="auto"/>
          <w:spacing w:val="-52"/>
          <w:sz w:val="21"/>
          <w:szCs w:val="21"/>
          <w:highlight w:val="none"/>
          <w:u w:val="single" w:color="auto"/>
        </w:rPr>
        <w:t xml:space="preserve"> </w:t>
      </w:r>
      <w:r>
        <w:rPr>
          <w:rFonts w:ascii="宋体" w:hAnsi="宋体" w:eastAsia="宋体" w:cs="宋体"/>
          <w:color w:val="auto"/>
          <w:spacing w:val="-1"/>
          <w:sz w:val="21"/>
          <w:szCs w:val="21"/>
          <w:highlight w:val="none"/>
        </w:rPr>
        <w:t>。</w:t>
      </w:r>
    </w:p>
    <w:p w14:paraId="15423B6C">
      <w:pPr>
        <w:spacing w:before="131" w:line="218" w:lineRule="auto"/>
        <w:ind w:left="19"/>
        <w:rPr>
          <w:rFonts w:ascii="黑体" w:hAnsi="黑体" w:eastAsia="黑体" w:cs="黑体"/>
          <w:color w:val="auto"/>
          <w:sz w:val="24"/>
          <w:szCs w:val="24"/>
          <w:highlight w:val="none"/>
        </w:rPr>
      </w:pPr>
      <w:r>
        <w:rPr>
          <w:rFonts w:hint="eastAsia" w:ascii="Times New Roman" w:hAnsi="Times New Roman" w:eastAsia="宋体" w:cs="Times New Roman"/>
          <w:color w:val="auto"/>
          <w:spacing w:val="-1"/>
          <w:sz w:val="24"/>
          <w:szCs w:val="24"/>
          <w:highlight w:val="none"/>
          <w:lang w:val="en-US" w:eastAsia="zh-CN"/>
        </w:rPr>
        <w:t>8</w:t>
      </w:r>
      <w:r>
        <w:rPr>
          <w:rFonts w:ascii="Times New Roman" w:hAnsi="Times New Roman" w:eastAsia="Times New Roman" w:cs="Times New Roman"/>
          <w:color w:val="auto"/>
          <w:spacing w:val="-1"/>
          <w:sz w:val="24"/>
          <w:szCs w:val="24"/>
          <w:highlight w:val="none"/>
        </w:rPr>
        <w:t>.</w:t>
      </w:r>
      <w:r>
        <w:rPr>
          <w:rFonts w:ascii="黑体" w:hAnsi="黑体" w:eastAsia="黑体" w:cs="黑体"/>
          <w:color w:val="auto"/>
          <w:spacing w:val="-1"/>
          <w:sz w:val="24"/>
          <w:szCs w:val="24"/>
          <w:highlight w:val="none"/>
        </w:rPr>
        <w:t>发布公告的媒介</w:t>
      </w:r>
    </w:p>
    <w:p w14:paraId="60CFC3B0">
      <w:pPr>
        <w:spacing w:before="160" w:line="371"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本次招标公告同时在</w:t>
      </w:r>
      <w:r>
        <w:rPr>
          <w:rFonts w:ascii="宋体" w:hAnsi="宋体" w:eastAsia="宋体" w:cs="宋体"/>
          <w:color w:val="auto"/>
          <w:spacing w:val="1"/>
          <w:sz w:val="21"/>
          <w:szCs w:val="21"/>
          <w:highlight w:val="none"/>
          <w:u w:val="single" w:color="auto"/>
        </w:rPr>
        <w:t>辽宁建设工程信息网、辽宁省招标投</w:t>
      </w:r>
      <w:r>
        <w:rPr>
          <w:rFonts w:ascii="宋体" w:hAnsi="宋体" w:eastAsia="宋体" w:cs="宋体"/>
          <w:color w:val="auto"/>
          <w:sz w:val="21"/>
          <w:szCs w:val="21"/>
          <w:highlight w:val="none"/>
          <w:u w:val="single" w:color="auto"/>
        </w:rPr>
        <w:t>标监管网等</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rPr>
        <w:t>（发布公告的媒</w:t>
      </w:r>
    </w:p>
    <w:p w14:paraId="06C08E04">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介名称）上发布。</w:t>
      </w:r>
    </w:p>
    <w:p w14:paraId="4E2435EC">
      <w:pPr>
        <w:spacing w:before="143" w:line="218" w:lineRule="auto"/>
        <w:ind w:left="38"/>
        <w:rPr>
          <w:rFonts w:ascii="黑体" w:hAnsi="黑体" w:eastAsia="黑体" w:cs="黑体"/>
          <w:color w:val="auto"/>
          <w:sz w:val="24"/>
          <w:szCs w:val="24"/>
          <w:highlight w:val="none"/>
        </w:rPr>
      </w:pPr>
      <w:r>
        <w:rPr>
          <w:rFonts w:hint="eastAsia" w:ascii="Times New Roman" w:hAnsi="Times New Roman" w:eastAsia="宋体" w:cs="Times New Roman"/>
          <w:color w:val="auto"/>
          <w:spacing w:val="-4"/>
          <w:sz w:val="24"/>
          <w:szCs w:val="24"/>
          <w:highlight w:val="none"/>
          <w:lang w:val="en-US" w:eastAsia="zh-CN"/>
        </w:rPr>
        <w:t>9</w:t>
      </w:r>
      <w:r>
        <w:rPr>
          <w:rFonts w:ascii="Times New Roman" w:hAnsi="Times New Roman" w:eastAsia="Times New Roman" w:cs="Times New Roman"/>
          <w:color w:val="auto"/>
          <w:spacing w:val="-4"/>
          <w:sz w:val="24"/>
          <w:szCs w:val="24"/>
          <w:highlight w:val="none"/>
        </w:rPr>
        <w:t>.</w:t>
      </w:r>
      <w:r>
        <w:rPr>
          <w:rFonts w:ascii="黑体" w:hAnsi="黑体" w:eastAsia="黑体" w:cs="黑体"/>
          <w:color w:val="auto"/>
          <w:spacing w:val="-4"/>
          <w:sz w:val="24"/>
          <w:szCs w:val="24"/>
          <w:highlight w:val="none"/>
        </w:rPr>
        <w:t>监督信息</w:t>
      </w:r>
    </w:p>
    <w:p w14:paraId="45A2D9D6">
      <w:pPr>
        <w:widowControl w:val="0"/>
        <w:numPr>
          <w:ilvl w:val="0"/>
          <w:numId w:val="0"/>
        </w:numPr>
        <w:ind w:left="0" w:leftChars="0" w:firstLine="0" w:firstLineChars="0"/>
        <w:jc w:val="left"/>
        <w:rPr>
          <w:rFonts w:ascii="宋体" w:hAnsi="宋体" w:eastAsia="宋体" w:cs="宋体"/>
          <w:color w:val="auto"/>
          <w:spacing w:val="-16"/>
          <w:sz w:val="21"/>
          <w:szCs w:val="21"/>
          <w:highlight w:val="none"/>
        </w:rPr>
      </w:pPr>
      <w:r>
        <w:rPr>
          <w:rFonts w:ascii="宋体" w:hAnsi="宋体" w:eastAsia="宋体" w:cs="宋体"/>
          <w:color w:val="auto"/>
          <w:spacing w:val="-16"/>
          <w:sz w:val="21"/>
          <w:szCs w:val="21"/>
          <w:highlight w:val="none"/>
        </w:rPr>
        <w:t>1.监督部门</w:t>
      </w:r>
      <w:r>
        <w:rPr>
          <w:rFonts w:ascii="宋体" w:hAnsi="宋体" w:eastAsia="宋体" w:cs="宋体"/>
          <w:color w:val="auto"/>
          <w:spacing w:val="-9"/>
          <w:sz w:val="21"/>
          <w:szCs w:val="21"/>
          <w:highlight w:val="none"/>
        </w:rPr>
        <w:t>：</w:t>
      </w:r>
      <w:r>
        <w:rPr>
          <w:rFonts w:ascii="宋体" w:hAnsi="宋体" w:eastAsia="宋体" w:cs="宋体"/>
          <w:color w:val="auto"/>
          <w:spacing w:val="-16"/>
          <w:sz w:val="21"/>
          <w:szCs w:val="21"/>
          <w:highlight w:val="none"/>
        </w:rPr>
        <w:t>营口市城乡建设与公用事业中心，负责人： 李先生，联系方式：0417-2657306。 2.招标负责人：</w:t>
      </w:r>
      <w:r>
        <w:rPr>
          <w:rFonts w:hint="eastAsia" w:ascii="宋体" w:hAnsi="宋体" w:eastAsia="宋体" w:cs="宋体"/>
          <w:color w:val="auto"/>
          <w:spacing w:val="-16"/>
          <w:sz w:val="21"/>
          <w:szCs w:val="21"/>
          <w:highlight w:val="none"/>
          <w:lang w:val="en-US" w:eastAsia="zh-CN"/>
        </w:rPr>
        <w:t>盛陶然</w:t>
      </w:r>
      <w:r>
        <w:rPr>
          <w:rFonts w:ascii="宋体" w:hAnsi="宋体" w:eastAsia="宋体" w:cs="宋体"/>
          <w:color w:val="auto"/>
          <w:spacing w:val="-16"/>
          <w:sz w:val="21"/>
          <w:szCs w:val="21"/>
          <w:highlight w:val="none"/>
        </w:rPr>
        <w:t>，联系方式：</w:t>
      </w:r>
      <w:r>
        <w:rPr>
          <w:rFonts w:hint="eastAsia" w:ascii="宋体" w:hAnsi="宋体" w:eastAsia="宋体" w:cs="宋体"/>
          <w:color w:val="auto"/>
          <w:spacing w:val="-16"/>
          <w:sz w:val="21"/>
          <w:szCs w:val="21"/>
          <w:highlight w:val="none"/>
          <w:lang w:eastAsia="zh-CN"/>
        </w:rPr>
        <w:t>15940733332</w:t>
      </w:r>
      <w:r>
        <w:rPr>
          <w:rFonts w:ascii="宋体" w:hAnsi="宋体" w:eastAsia="宋体" w:cs="宋体"/>
          <w:color w:val="auto"/>
          <w:spacing w:val="-16"/>
          <w:sz w:val="21"/>
          <w:szCs w:val="21"/>
          <w:highlight w:val="none"/>
        </w:rPr>
        <w:t xml:space="preserve"> 。</w:t>
      </w:r>
    </w:p>
    <w:p w14:paraId="514F7140">
      <w:pPr>
        <w:spacing w:before="137"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1</w:t>
      </w:r>
      <w:r>
        <w:rPr>
          <w:rFonts w:hint="eastAsia" w:ascii="Times New Roman" w:hAnsi="Times New Roman" w:eastAsia="宋体" w:cs="Times New Roman"/>
          <w:color w:val="auto"/>
          <w:spacing w:val="-4"/>
          <w:sz w:val="24"/>
          <w:szCs w:val="24"/>
          <w:highlight w:val="none"/>
          <w:lang w:val="en-US" w:eastAsia="zh-CN"/>
        </w:rPr>
        <w:t>0</w:t>
      </w:r>
      <w:r>
        <w:rPr>
          <w:rFonts w:ascii="Times New Roman" w:hAnsi="Times New Roman" w:eastAsia="Times New Roman" w:cs="Times New Roman"/>
          <w:color w:val="auto"/>
          <w:spacing w:val="-4"/>
          <w:sz w:val="24"/>
          <w:szCs w:val="24"/>
          <w:highlight w:val="none"/>
        </w:rPr>
        <w:t>.</w:t>
      </w:r>
      <w:r>
        <w:rPr>
          <w:rFonts w:ascii="黑体" w:hAnsi="黑体" w:eastAsia="黑体" w:cs="黑体"/>
          <w:color w:val="auto"/>
          <w:spacing w:val="-4"/>
          <w:sz w:val="24"/>
          <w:szCs w:val="24"/>
          <w:highlight w:val="none"/>
        </w:rPr>
        <w:t>联系方式</w:t>
      </w:r>
    </w:p>
    <w:p w14:paraId="55FE9409">
      <w:pPr>
        <w:spacing w:before="159" w:line="220" w:lineRule="auto"/>
        <w:ind w:left="6198" w:leftChars="217" w:hanging="5742" w:hangingChars="3300"/>
        <w:rPr>
          <w:rFonts w:hint="eastAsia" w:ascii="宋体" w:hAnsi="宋体" w:eastAsia="宋体" w:cs="宋体"/>
          <w:color w:val="auto"/>
          <w:sz w:val="21"/>
          <w:szCs w:val="21"/>
          <w:highlight w:val="none"/>
          <w:lang w:eastAsia="zh-CN"/>
        </w:rPr>
      </w:pPr>
      <w:r>
        <w:rPr>
          <w:rFonts w:ascii="宋体" w:hAnsi="宋体" w:eastAsia="宋体" w:cs="宋体"/>
          <w:color w:val="auto"/>
          <w:spacing w:val="-18"/>
          <w:sz w:val="21"/>
          <w:szCs w:val="21"/>
          <w:highlight w:val="none"/>
        </w:rPr>
        <w:t>招 标</w:t>
      </w:r>
      <w:r>
        <w:rPr>
          <w:rFonts w:ascii="宋体" w:hAnsi="宋体" w:eastAsia="宋体" w:cs="宋体"/>
          <w:color w:val="auto"/>
          <w:spacing w:val="12"/>
          <w:sz w:val="21"/>
          <w:szCs w:val="21"/>
          <w:highlight w:val="none"/>
        </w:rPr>
        <w:t xml:space="preserve"> </w:t>
      </w:r>
      <w:r>
        <w:rPr>
          <w:rFonts w:ascii="宋体" w:hAnsi="宋体" w:eastAsia="宋体" w:cs="宋体"/>
          <w:color w:val="auto"/>
          <w:spacing w:val="-18"/>
          <w:sz w:val="21"/>
          <w:szCs w:val="21"/>
          <w:highlight w:val="none"/>
        </w:rPr>
        <w:t>人：</w:t>
      </w:r>
      <w:r>
        <w:rPr>
          <w:rFonts w:hint="eastAsia" w:ascii="仿宋_GB2312" w:eastAsia="仿宋_GB2312"/>
          <w:color w:val="auto"/>
          <w:sz w:val="24"/>
          <w:szCs w:val="24"/>
          <w:highlight w:val="none"/>
          <w:lang w:eastAsia="zh-CN"/>
        </w:rPr>
        <w:t>营口广厦住房租赁有限公司</w:t>
      </w:r>
      <w:r>
        <w:rPr>
          <w:rFonts w:ascii="宋体" w:hAnsi="宋体" w:eastAsia="宋体" w:cs="宋体"/>
          <w:color w:val="auto"/>
          <w:spacing w:val="4"/>
          <w:sz w:val="21"/>
          <w:szCs w:val="21"/>
          <w:highlight w:val="none"/>
        </w:rPr>
        <w:t xml:space="preserve">   </w:t>
      </w:r>
      <w:r>
        <w:rPr>
          <w:rFonts w:ascii="宋体" w:hAnsi="宋体" w:eastAsia="宋体" w:cs="宋体"/>
          <w:color w:val="auto"/>
          <w:spacing w:val="-18"/>
          <w:sz w:val="21"/>
          <w:szCs w:val="21"/>
          <w:highlight w:val="none"/>
        </w:rPr>
        <w:t>招标代理机构：</w:t>
      </w:r>
      <w:r>
        <w:rPr>
          <w:rFonts w:hint="eastAsia" w:ascii="仿宋_GB2312" w:eastAsia="仿宋_GB2312"/>
          <w:color w:val="auto"/>
          <w:sz w:val="24"/>
          <w:szCs w:val="24"/>
          <w:highlight w:val="none"/>
          <w:lang w:eastAsia="zh-CN"/>
        </w:rPr>
        <w:t>沈阳招标中心有限公司</w:t>
      </w:r>
    </w:p>
    <w:p w14:paraId="384927A8">
      <w:pPr>
        <w:spacing w:line="360" w:lineRule="exact"/>
        <w:ind w:firstLine="352" w:firstLineChars="200"/>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地</w:t>
      </w:r>
      <w:r>
        <w:rPr>
          <w:rFonts w:ascii="宋体" w:hAnsi="宋体" w:eastAsia="宋体" w:cs="宋体"/>
          <w:color w:val="auto"/>
          <w:spacing w:val="3"/>
          <w:sz w:val="21"/>
          <w:szCs w:val="21"/>
          <w:highlight w:val="none"/>
        </w:rPr>
        <w:t xml:space="preserve">    </w:t>
      </w:r>
      <w:r>
        <w:rPr>
          <w:rFonts w:ascii="宋体" w:hAnsi="宋体" w:eastAsia="宋体" w:cs="宋体"/>
          <w:color w:val="auto"/>
          <w:spacing w:val="-17"/>
          <w:sz w:val="21"/>
          <w:szCs w:val="21"/>
          <w:highlight w:val="none"/>
        </w:rPr>
        <w:t>址：</w:t>
      </w:r>
      <w:r>
        <w:rPr>
          <w:rFonts w:ascii="宋体" w:hAnsi="宋体" w:eastAsia="宋体" w:cs="宋体"/>
          <w:color w:val="auto"/>
          <w:spacing w:val="-31"/>
          <w:sz w:val="21"/>
          <w:szCs w:val="21"/>
          <w:highlight w:val="none"/>
        </w:rPr>
        <w:t xml:space="preserve"> </w:t>
      </w:r>
      <w:r>
        <w:rPr>
          <w:rFonts w:hint="eastAsia" w:ascii="仿宋_GB2312" w:eastAsia="仿宋_GB2312"/>
          <w:color w:val="auto"/>
          <w:sz w:val="24"/>
          <w:szCs w:val="24"/>
          <w:highlight w:val="none"/>
        </w:rPr>
        <w:t>营</w:t>
      </w:r>
      <w:r>
        <w:rPr>
          <w:rFonts w:hint="eastAsia" w:ascii="仿宋_GB2312" w:eastAsia="仿宋_GB2312"/>
          <w:color w:val="auto"/>
          <w:sz w:val="24"/>
          <w:szCs w:val="24"/>
          <w:highlight w:val="none"/>
          <w:lang w:val="en-US" w:eastAsia="zh-CN"/>
        </w:rPr>
        <w:t>口</w:t>
      </w:r>
      <w:r>
        <w:rPr>
          <w:rFonts w:hint="eastAsia" w:ascii="仿宋_GB2312" w:eastAsia="仿宋_GB2312"/>
          <w:color w:val="auto"/>
          <w:sz w:val="24"/>
          <w:szCs w:val="24"/>
          <w:highlight w:val="none"/>
        </w:rPr>
        <w:t>市西市区得胜路北</w:t>
      </w:r>
      <w:r>
        <w:rPr>
          <w:rFonts w:hint="eastAsia" w:ascii="仿宋_GB2312" w:eastAsia="仿宋_GB2312"/>
          <w:color w:val="auto"/>
          <w:sz w:val="24"/>
          <w:szCs w:val="24"/>
          <w:highlight w:val="none"/>
          <w:lang w:val="en-US" w:eastAsia="zh-CN"/>
        </w:rPr>
        <w:t>31</w:t>
      </w:r>
      <w:r>
        <w:rPr>
          <w:rFonts w:hint="eastAsia" w:ascii="仿宋_GB2312" w:eastAsia="仿宋_GB2312"/>
          <w:color w:val="auto"/>
          <w:sz w:val="24"/>
          <w:szCs w:val="24"/>
          <w:highlight w:val="none"/>
        </w:rPr>
        <w:t>号</w:t>
      </w:r>
      <w:r>
        <w:rPr>
          <w:rFonts w:ascii="宋体" w:hAnsi="宋体" w:eastAsia="宋体" w:cs="宋体"/>
          <w:color w:val="auto"/>
          <w:spacing w:val="-17"/>
          <w:sz w:val="21"/>
          <w:szCs w:val="21"/>
          <w:highlight w:val="none"/>
        </w:rPr>
        <w:t xml:space="preserve"> </w:t>
      </w:r>
      <w:r>
        <w:rPr>
          <w:rFonts w:ascii="宋体" w:hAnsi="宋体" w:eastAsia="宋体" w:cs="宋体"/>
          <w:color w:val="auto"/>
          <w:spacing w:val="-18"/>
          <w:sz w:val="21"/>
          <w:szCs w:val="21"/>
          <w:highlight w:val="none"/>
        </w:rPr>
        <w:t>地</w:t>
      </w:r>
      <w:r>
        <w:rPr>
          <w:rFonts w:ascii="宋体" w:hAnsi="宋体" w:eastAsia="宋体" w:cs="宋体"/>
          <w:color w:val="auto"/>
          <w:spacing w:val="1"/>
          <w:sz w:val="21"/>
          <w:szCs w:val="21"/>
          <w:highlight w:val="none"/>
        </w:rPr>
        <w:t xml:space="preserve">    </w:t>
      </w:r>
      <w:r>
        <w:rPr>
          <w:rFonts w:ascii="宋体" w:hAnsi="宋体" w:eastAsia="宋体" w:cs="宋体"/>
          <w:color w:val="auto"/>
          <w:spacing w:val="-18"/>
          <w:sz w:val="21"/>
          <w:szCs w:val="21"/>
          <w:highlight w:val="none"/>
        </w:rPr>
        <w:t>址：</w:t>
      </w:r>
      <w:r>
        <w:rPr>
          <w:rFonts w:hint="eastAsia" w:ascii="仿宋_GB2312" w:eastAsia="仿宋_GB2312"/>
          <w:color w:val="auto"/>
          <w:sz w:val="24"/>
          <w:szCs w:val="24"/>
          <w:highlight w:val="none"/>
          <w:lang w:eastAsia="zh-CN"/>
        </w:rPr>
        <w:t>沈阳市和平区绥化东街2号</w:t>
      </w:r>
      <w:r>
        <w:rPr>
          <w:rFonts w:ascii="宋体" w:hAnsi="宋体" w:eastAsia="宋体" w:cs="宋体"/>
          <w:color w:val="auto"/>
          <w:spacing w:val="-30"/>
          <w:sz w:val="21"/>
          <w:szCs w:val="21"/>
          <w:highlight w:val="none"/>
          <w:u w:val="none" w:color="auto"/>
        </w:rPr>
        <w:t xml:space="preserve"> </w:t>
      </w:r>
      <w:r>
        <w:rPr>
          <w:rFonts w:ascii="宋体" w:hAnsi="宋体" w:eastAsia="宋体" w:cs="宋体"/>
          <w:color w:val="auto"/>
          <w:sz w:val="21"/>
          <w:szCs w:val="21"/>
          <w:highlight w:val="none"/>
          <w:u w:val="none" w:color="auto"/>
        </w:rPr>
        <w:t xml:space="preserve">      </w:t>
      </w:r>
      <w:r>
        <w:rPr>
          <w:rFonts w:ascii="宋体" w:hAnsi="宋体" w:eastAsia="宋体" w:cs="宋体"/>
          <w:color w:val="auto"/>
          <w:sz w:val="21"/>
          <w:szCs w:val="21"/>
          <w:highlight w:val="none"/>
          <w:u w:val="single" w:color="auto"/>
        </w:rPr>
        <w:t xml:space="preserve">         </w:t>
      </w:r>
    </w:p>
    <w:p w14:paraId="232B58E9">
      <w:pPr>
        <w:spacing w:before="156" w:line="221" w:lineRule="auto"/>
        <w:ind w:left="471"/>
        <w:rPr>
          <w:rFonts w:ascii="宋体" w:hAnsi="宋体" w:eastAsia="宋体" w:cs="宋体"/>
          <w:color w:val="auto"/>
          <w:sz w:val="21"/>
          <w:szCs w:val="21"/>
          <w:highlight w:val="none"/>
        </w:rPr>
      </w:pPr>
      <w:r>
        <w:rPr>
          <w:rFonts w:ascii="宋体" w:hAnsi="宋体" w:eastAsia="宋体" w:cs="宋体"/>
          <w:color w:val="auto"/>
          <w:spacing w:val="-31"/>
          <w:w w:val="98"/>
          <w:sz w:val="21"/>
          <w:szCs w:val="21"/>
          <w:highlight w:val="none"/>
        </w:rPr>
        <w:t>邮</w:t>
      </w:r>
      <w:r>
        <w:rPr>
          <w:rFonts w:ascii="宋体" w:hAnsi="宋体" w:eastAsia="宋体" w:cs="宋体"/>
          <w:color w:val="auto"/>
          <w:spacing w:val="3"/>
          <w:sz w:val="21"/>
          <w:szCs w:val="21"/>
          <w:highlight w:val="none"/>
        </w:rPr>
        <w:t xml:space="preserve">    </w:t>
      </w:r>
      <w:r>
        <w:rPr>
          <w:rFonts w:ascii="宋体" w:hAnsi="宋体" w:eastAsia="宋体" w:cs="宋体"/>
          <w:color w:val="auto"/>
          <w:spacing w:val="-31"/>
          <w:w w:val="98"/>
          <w:sz w:val="21"/>
          <w:szCs w:val="21"/>
          <w:highlight w:val="none"/>
        </w:rPr>
        <w:t>编：</w:t>
      </w:r>
      <w:r>
        <w:rPr>
          <w:rFonts w:ascii="宋体" w:hAnsi="宋体" w:eastAsia="宋体" w:cs="宋体"/>
          <w:color w:val="auto"/>
          <w:spacing w:val="-28"/>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rPr>
        <w:t xml:space="preserve">                </w:t>
      </w:r>
      <w:r>
        <w:rPr>
          <w:rFonts w:ascii="宋体" w:hAnsi="宋体" w:eastAsia="宋体" w:cs="宋体"/>
          <w:color w:val="auto"/>
          <w:spacing w:val="-31"/>
          <w:w w:val="98"/>
          <w:sz w:val="21"/>
          <w:szCs w:val="21"/>
          <w:highlight w:val="none"/>
        </w:rPr>
        <w:t>邮</w:t>
      </w:r>
      <w:r>
        <w:rPr>
          <w:rFonts w:ascii="宋体" w:hAnsi="宋体" w:eastAsia="宋体" w:cs="宋体"/>
          <w:color w:val="auto"/>
          <w:sz w:val="21"/>
          <w:szCs w:val="21"/>
          <w:highlight w:val="none"/>
        </w:rPr>
        <w:t xml:space="preserve">    </w:t>
      </w:r>
      <w:r>
        <w:rPr>
          <w:rFonts w:ascii="宋体" w:hAnsi="宋体" w:eastAsia="宋体" w:cs="宋体"/>
          <w:color w:val="auto"/>
          <w:spacing w:val="-31"/>
          <w:w w:val="98"/>
          <w:sz w:val="21"/>
          <w:szCs w:val="21"/>
          <w:highlight w:val="none"/>
        </w:rPr>
        <w:t>编：</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1F66ED50">
      <w:pPr>
        <w:spacing w:line="126" w:lineRule="exact"/>
        <w:rPr>
          <w:color w:val="auto"/>
          <w:highlight w:val="none"/>
        </w:rPr>
      </w:pPr>
    </w:p>
    <w:p w14:paraId="50314BB5">
      <w:pPr>
        <w:spacing w:line="126" w:lineRule="exact"/>
        <w:rPr>
          <w:color w:val="auto"/>
          <w:highlight w:val="none"/>
        </w:rPr>
        <w:sectPr>
          <w:footerReference r:id="rId14" w:type="default"/>
          <w:pgSz w:w="11905" w:h="16839"/>
          <w:pgMar w:top="1431" w:right="1785" w:bottom="1036" w:left="1785" w:header="0" w:footer="847" w:gutter="0"/>
          <w:pgNumType w:fmt="decimal" w:start="1"/>
          <w:cols w:equalWidth="0" w:num="1">
            <w:col w:w="8333"/>
          </w:cols>
        </w:sectPr>
      </w:pPr>
    </w:p>
    <w:p w14:paraId="41132A84">
      <w:pPr>
        <w:spacing w:before="41" w:line="223" w:lineRule="auto"/>
        <w:ind w:left="456"/>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联</w:t>
      </w:r>
      <w:r>
        <w:rPr>
          <w:rFonts w:ascii="宋体" w:hAnsi="宋体" w:eastAsia="宋体" w:cs="宋体"/>
          <w:color w:val="auto"/>
          <w:spacing w:val="13"/>
          <w:sz w:val="21"/>
          <w:szCs w:val="21"/>
          <w:highlight w:val="none"/>
        </w:rPr>
        <w:t xml:space="preserve"> </w:t>
      </w:r>
      <w:r>
        <w:rPr>
          <w:rFonts w:ascii="宋体" w:hAnsi="宋体" w:eastAsia="宋体" w:cs="宋体"/>
          <w:color w:val="auto"/>
          <w:spacing w:val="-25"/>
          <w:sz w:val="21"/>
          <w:szCs w:val="21"/>
          <w:highlight w:val="none"/>
        </w:rPr>
        <w:t>系</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2"/>
          <w:sz w:val="21"/>
          <w:szCs w:val="21"/>
          <w:highlight w:val="none"/>
          <w:u w:val="single"/>
        </w:rPr>
        <w:t xml:space="preserve"> </w:t>
      </w:r>
      <w:r>
        <w:rPr>
          <w:rFonts w:hint="eastAsia" w:ascii="宋体" w:hAnsi="宋体" w:eastAsia="宋体" w:cs="宋体"/>
          <w:color w:val="auto"/>
          <w:spacing w:val="-16"/>
          <w:sz w:val="21"/>
          <w:szCs w:val="21"/>
          <w:highlight w:val="none"/>
          <w:u w:val="single"/>
          <w:lang w:val="en-US" w:eastAsia="zh-CN"/>
        </w:rPr>
        <w:t>盛陶然</w:t>
      </w:r>
      <w:r>
        <w:rPr>
          <w:rFonts w:ascii="宋体" w:hAnsi="宋体" w:eastAsia="宋体" w:cs="宋体"/>
          <w:color w:val="auto"/>
          <w:sz w:val="21"/>
          <w:szCs w:val="21"/>
          <w:highlight w:val="none"/>
          <w:u w:val="none" w:color="auto"/>
        </w:rPr>
        <w:t xml:space="preserve">             </w:t>
      </w:r>
    </w:p>
    <w:p w14:paraId="7044DDCB">
      <w:pPr>
        <w:spacing w:before="163" w:line="223" w:lineRule="auto"/>
        <w:ind w:left="480"/>
        <w:rPr>
          <w:rFonts w:ascii="宋体" w:hAnsi="宋体" w:eastAsia="宋体" w:cs="宋体"/>
          <w:color w:val="auto"/>
          <w:sz w:val="21"/>
          <w:szCs w:val="21"/>
          <w:highlight w:val="none"/>
          <w:u w:val="none" w:color="auto"/>
        </w:rPr>
      </w:pPr>
      <w:r>
        <w:rPr>
          <w:rFonts w:ascii="宋体" w:hAnsi="宋体" w:eastAsia="宋体" w:cs="宋体"/>
          <w:color w:val="auto"/>
          <w:spacing w:val="-30"/>
          <w:w w:val="96"/>
          <w:sz w:val="21"/>
          <w:szCs w:val="21"/>
          <w:highlight w:val="none"/>
        </w:rPr>
        <w:t>电</w:t>
      </w:r>
      <w:r>
        <w:rPr>
          <w:rFonts w:ascii="宋体" w:hAnsi="宋体" w:eastAsia="宋体" w:cs="宋体"/>
          <w:color w:val="auto"/>
          <w:spacing w:val="3"/>
          <w:sz w:val="21"/>
          <w:szCs w:val="21"/>
          <w:highlight w:val="none"/>
        </w:rPr>
        <w:t xml:space="preserve">    </w:t>
      </w:r>
      <w:r>
        <w:rPr>
          <w:rFonts w:ascii="宋体" w:hAnsi="宋体" w:eastAsia="宋体" w:cs="宋体"/>
          <w:color w:val="auto"/>
          <w:spacing w:val="-30"/>
          <w:w w:val="96"/>
          <w:sz w:val="21"/>
          <w:szCs w:val="21"/>
          <w:highlight w:val="none"/>
        </w:rPr>
        <w:t>话：</w:t>
      </w:r>
      <w:r>
        <w:rPr>
          <w:rFonts w:ascii="宋体" w:hAnsi="宋体" w:eastAsia="宋体" w:cs="宋体"/>
          <w:color w:val="auto"/>
          <w:spacing w:val="-30"/>
          <w:sz w:val="21"/>
          <w:szCs w:val="21"/>
          <w:highlight w:val="none"/>
        </w:rPr>
        <w:t xml:space="preserve"> </w:t>
      </w:r>
      <w:r>
        <w:rPr>
          <w:rFonts w:hint="eastAsia" w:ascii="宋体" w:hAnsi="宋体" w:eastAsia="宋体" w:cs="宋体"/>
          <w:color w:val="auto"/>
          <w:spacing w:val="-16"/>
          <w:sz w:val="21"/>
          <w:szCs w:val="21"/>
          <w:highlight w:val="none"/>
          <w:u w:val="single" w:color="auto"/>
          <w:lang w:eastAsia="zh-CN"/>
        </w:rPr>
        <w:t>15940733332</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u w:val="none" w:color="auto"/>
        </w:rPr>
        <w:t xml:space="preserve">            </w:t>
      </w:r>
    </w:p>
    <w:p w14:paraId="5915565F">
      <w:pPr>
        <w:spacing w:before="169" w:line="367" w:lineRule="auto"/>
        <w:ind w:left="453"/>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0F422F70">
      <w:pPr>
        <w:spacing w:before="1" w:line="220" w:lineRule="auto"/>
        <w:ind w:left="480"/>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电子邮件：</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3FEE6632">
      <w:pPr>
        <w:spacing w:before="172" w:line="367" w:lineRule="auto"/>
        <w:ind w:left="472"/>
        <w:rPr>
          <w:rFonts w:ascii="宋体" w:hAnsi="宋体" w:eastAsia="宋体" w:cs="宋体"/>
          <w:color w:val="auto"/>
          <w:sz w:val="21"/>
          <w:szCs w:val="21"/>
          <w:highlight w:val="none"/>
        </w:rPr>
      </w:pPr>
      <w:r>
        <w:rPr>
          <w:rFonts w:ascii="宋体" w:hAnsi="宋体" w:eastAsia="宋体" w:cs="宋体"/>
          <w:color w:val="auto"/>
          <w:spacing w:val="-35"/>
          <w:sz w:val="21"/>
          <w:szCs w:val="21"/>
          <w:highlight w:val="none"/>
        </w:rPr>
        <w:t>网</w:t>
      </w:r>
      <w:r>
        <w:rPr>
          <w:rFonts w:ascii="宋体" w:hAnsi="宋体" w:eastAsia="宋体" w:cs="宋体"/>
          <w:color w:val="auto"/>
          <w:spacing w:val="2"/>
          <w:sz w:val="21"/>
          <w:szCs w:val="21"/>
          <w:highlight w:val="none"/>
        </w:rPr>
        <w:t xml:space="preserve">    </w:t>
      </w:r>
      <w:r>
        <w:rPr>
          <w:rFonts w:ascii="宋体" w:hAnsi="宋体" w:eastAsia="宋体" w:cs="宋体"/>
          <w:color w:val="auto"/>
          <w:spacing w:val="-35"/>
          <w:sz w:val="21"/>
          <w:szCs w:val="21"/>
          <w:highlight w:val="none"/>
        </w:rPr>
        <w:t>址：</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2D4EF69A">
      <w:pPr>
        <w:spacing w:line="221" w:lineRule="auto"/>
        <w:ind w:left="456"/>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开户银行：</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u w:val="single" w:color="auto"/>
        </w:rPr>
        <w:t xml:space="preserve">             </w:t>
      </w:r>
    </w:p>
    <w:p w14:paraId="3EBFEEEA">
      <w:pPr>
        <w:spacing w:before="170" w:line="186" w:lineRule="auto"/>
        <w:ind w:left="459"/>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账</w:t>
      </w:r>
      <w:r>
        <w:rPr>
          <w:rFonts w:ascii="宋体" w:hAnsi="宋体" w:eastAsia="宋体" w:cs="宋体"/>
          <w:color w:val="auto"/>
          <w:spacing w:val="3"/>
          <w:sz w:val="21"/>
          <w:szCs w:val="21"/>
          <w:highlight w:val="none"/>
        </w:rPr>
        <w:t xml:space="preserve">    </w:t>
      </w:r>
      <w:r>
        <w:rPr>
          <w:rFonts w:ascii="宋体" w:hAnsi="宋体" w:eastAsia="宋体" w:cs="宋体"/>
          <w:color w:val="auto"/>
          <w:spacing w:val="-31"/>
          <w:sz w:val="21"/>
          <w:szCs w:val="21"/>
          <w:highlight w:val="none"/>
        </w:rPr>
        <w:t xml:space="preserve">号： </w:t>
      </w:r>
      <w:r>
        <w:rPr>
          <w:rFonts w:ascii="宋体" w:hAnsi="宋体" w:eastAsia="宋体" w:cs="宋体"/>
          <w:color w:val="auto"/>
          <w:sz w:val="21"/>
          <w:szCs w:val="21"/>
          <w:highlight w:val="none"/>
          <w:u w:val="single" w:color="auto"/>
        </w:rPr>
        <w:t xml:space="preserve">             </w:t>
      </w:r>
    </w:p>
    <w:p w14:paraId="06293DEF">
      <w:pPr>
        <w:pStyle w:val="3"/>
        <w:spacing w:line="14" w:lineRule="auto"/>
        <w:rPr>
          <w:color w:val="auto"/>
          <w:sz w:val="2"/>
          <w:highlight w:val="none"/>
        </w:rPr>
      </w:pPr>
      <w:r>
        <w:rPr>
          <w:color w:val="auto"/>
          <w:sz w:val="2"/>
          <w:szCs w:val="2"/>
          <w:highlight w:val="none"/>
        </w:rPr>
        <w:br w:type="column"/>
      </w:r>
    </w:p>
    <w:p w14:paraId="78AE7C6F">
      <w:pPr>
        <w:spacing w:before="40" w:line="223" w:lineRule="auto"/>
        <w:ind w:left="2"/>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联系人：</w:t>
      </w:r>
      <w:r>
        <w:rPr>
          <w:rFonts w:ascii="宋体" w:hAnsi="宋体" w:eastAsia="宋体" w:cs="宋体"/>
          <w:color w:val="auto"/>
          <w:spacing w:val="-34"/>
          <w:sz w:val="21"/>
          <w:szCs w:val="21"/>
          <w:highlight w:val="none"/>
        </w:rPr>
        <w:t xml:space="preserve"> </w:t>
      </w:r>
      <w:r>
        <w:rPr>
          <w:rFonts w:hint="eastAsia" w:ascii="仿宋_GB2312" w:eastAsia="仿宋_GB2312"/>
          <w:color w:val="auto"/>
          <w:sz w:val="24"/>
          <w:szCs w:val="24"/>
          <w:highlight w:val="none"/>
          <w:u w:val="single"/>
          <w:lang w:eastAsia="zh-CN"/>
        </w:rPr>
        <w:t>崔大勇、刘佳麟</w:t>
      </w:r>
      <w:r>
        <w:rPr>
          <w:rFonts w:ascii="宋体" w:hAnsi="宋体" w:eastAsia="宋体" w:cs="宋体"/>
          <w:color w:val="auto"/>
          <w:sz w:val="21"/>
          <w:szCs w:val="21"/>
          <w:highlight w:val="none"/>
          <w:u w:val="none" w:color="auto"/>
        </w:rPr>
        <w:t xml:space="preserve">               </w:t>
      </w:r>
    </w:p>
    <w:p w14:paraId="3FF72E7A">
      <w:pPr>
        <w:spacing w:before="169" w:line="220" w:lineRule="auto"/>
        <w:rPr>
          <w:rFonts w:hint="eastAsia" w:ascii="仿宋_GB2312" w:eastAsia="仿宋_GB2312"/>
          <w:color w:val="auto"/>
          <w:sz w:val="24"/>
          <w:szCs w:val="24"/>
          <w:highlight w:val="none"/>
          <w:u w:val="single"/>
          <w:lang w:eastAsia="zh-CN"/>
        </w:rPr>
      </w:pPr>
      <w:r>
        <w:rPr>
          <w:rFonts w:ascii="宋体" w:hAnsi="宋体" w:eastAsia="宋体" w:cs="宋体"/>
          <w:color w:val="auto"/>
          <w:spacing w:val="-30"/>
          <w:w w:val="96"/>
          <w:sz w:val="21"/>
          <w:szCs w:val="21"/>
          <w:highlight w:val="none"/>
        </w:rPr>
        <w:t>电</w:t>
      </w:r>
      <w:r>
        <w:rPr>
          <w:rFonts w:ascii="宋体" w:hAnsi="宋体" w:eastAsia="宋体" w:cs="宋体"/>
          <w:color w:val="auto"/>
          <w:sz w:val="21"/>
          <w:szCs w:val="21"/>
          <w:highlight w:val="none"/>
        </w:rPr>
        <w:t xml:space="preserve">    </w:t>
      </w:r>
      <w:r>
        <w:rPr>
          <w:rFonts w:ascii="宋体" w:hAnsi="宋体" w:eastAsia="宋体" w:cs="宋体"/>
          <w:color w:val="auto"/>
          <w:spacing w:val="-30"/>
          <w:w w:val="96"/>
          <w:sz w:val="21"/>
          <w:szCs w:val="21"/>
          <w:highlight w:val="none"/>
        </w:rPr>
        <w:t>话：</w:t>
      </w:r>
      <w:r>
        <w:rPr>
          <w:rFonts w:hint="eastAsia" w:ascii="仿宋_GB2312" w:eastAsia="仿宋_GB2312"/>
          <w:color w:val="auto"/>
          <w:sz w:val="24"/>
          <w:szCs w:val="24"/>
          <w:highlight w:val="none"/>
          <w:u w:val="single"/>
          <w:lang w:val="en-US" w:eastAsia="zh-CN"/>
        </w:rPr>
        <w:t>024-22503596、22503578</w:t>
      </w:r>
    </w:p>
    <w:p w14:paraId="698470DF">
      <w:pPr>
        <w:spacing w:before="167" w:line="221" w:lineRule="auto"/>
        <w:ind w:left="26"/>
        <w:rPr>
          <w:rFonts w:ascii="宋体" w:hAnsi="宋体" w:eastAsia="宋体" w:cs="宋体"/>
          <w:color w:val="auto"/>
          <w:sz w:val="21"/>
          <w:szCs w:val="21"/>
          <w:highlight w:val="none"/>
        </w:rPr>
      </w:pPr>
      <w:r>
        <w:rPr>
          <w:rFonts w:ascii="宋体" w:hAnsi="宋体" w:eastAsia="宋体" w:cs="宋体"/>
          <w:color w:val="auto"/>
          <w:spacing w:val="-23"/>
          <w:sz w:val="21"/>
          <w:szCs w:val="21"/>
          <w:highlight w:val="none"/>
        </w:rPr>
        <w:t>电子邮件：</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syzbsc@163.com</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u w:val="none" w:color="auto"/>
        </w:rPr>
        <w:t xml:space="preserve">          </w:t>
      </w:r>
      <w:r>
        <w:rPr>
          <w:rFonts w:ascii="宋体" w:hAnsi="宋体" w:eastAsia="宋体" w:cs="宋体"/>
          <w:color w:val="auto"/>
          <w:sz w:val="21"/>
          <w:szCs w:val="21"/>
          <w:highlight w:val="none"/>
          <w:u w:val="single" w:color="auto"/>
        </w:rPr>
        <w:t xml:space="preserve">  </w:t>
      </w:r>
    </w:p>
    <w:p w14:paraId="7D21206D">
      <w:pPr>
        <w:spacing w:before="171" w:line="367" w:lineRule="auto"/>
        <w:ind w:left="70"/>
        <w:rPr>
          <w:rFonts w:ascii="宋体" w:hAnsi="宋体" w:eastAsia="宋体" w:cs="宋体"/>
          <w:color w:val="auto"/>
          <w:sz w:val="21"/>
          <w:szCs w:val="21"/>
          <w:highlight w:val="none"/>
        </w:rPr>
      </w:pPr>
      <w:r>
        <w:rPr>
          <w:rFonts w:ascii="宋体" w:hAnsi="宋体" w:eastAsia="宋体" w:cs="宋体"/>
          <w:color w:val="auto"/>
          <w:spacing w:val="-35"/>
          <w:sz w:val="21"/>
          <w:szCs w:val="21"/>
          <w:highlight w:val="none"/>
        </w:rPr>
        <w:t>网</w:t>
      </w:r>
      <w:r>
        <w:rPr>
          <w:rFonts w:ascii="宋体" w:hAnsi="宋体" w:eastAsia="宋体" w:cs="宋体"/>
          <w:color w:val="auto"/>
          <w:sz w:val="21"/>
          <w:szCs w:val="21"/>
          <w:highlight w:val="none"/>
        </w:rPr>
        <w:t xml:space="preserve">    </w:t>
      </w:r>
      <w:r>
        <w:rPr>
          <w:rFonts w:ascii="宋体" w:hAnsi="宋体" w:eastAsia="宋体" w:cs="宋体"/>
          <w:color w:val="auto"/>
          <w:spacing w:val="-35"/>
          <w:sz w:val="21"/>
          <w:szCs w:val="21"/>
          <w:highlight w:val="none"/>
        </w:rPr>
        <w:t>址：</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16CD1698">
      <w:pPr>
        <w:spacing w:before="1" w:line="221" w:lineRule="auto"/>
        <w:ind w:left="55"/>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开户银行：</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3FC8BAF">
      <w:pPr>
        <w:spacing w:before="170" w:line="186" w:lineRule="auto"/>
        <w:ind w:left="57"/>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账</w:t>
      </w:r>
      <w:r>
        <w:rPr>
          <w:rFonts w:ascii="宋体" w:hAnsi="宋体" w:eastAsia="宋体" w:cs="宋体"/>
          <w:color w:val="auto"/>
          <w:spacing w:val="1"/>
          <w:sz w:val="21"/>
          <w:szCs w:val="21"/>
          <w:highlight w:val="none"/>
        </w:rPr>
        <w:t xml:space="preserve">    </w:t>
      </w:r>
      <w:r>
        <w:rPr>
          <w:rFonts w:ascii="宋体" w:hAnsi="宋体" w:eastAsia="宋体" w:cs="宋体"/>
          <w:color w:val="auto"/>
          <w:spacing w:val="-31"/>
          <w:sz w:val="21"/>
          <w:szCs w:val="21"/>
          <w:highlight w:val="none"/>
        </w:rPr>
        <w:t>号：</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2574FF0A">
      <w:pPr>
        <w:spacing w:line="186" w:lineRule="auto"/>
        <w:rPr>
          <w:rFonts w:ascii="宋体" w:hAnsi="宋体" w:eastAsia="宋体" w:cs="宋体"/>
          <w:color w:val="auto"/>
          <w:sz w:val="21"/>
          <w:szCs w:val="21"/>
          <w:highlight w:val="none"/>
        </w:rPr>
        <w:sectPr>
          <w:type w:val="continuous"/>
          <w:pgSz w:w="11905" w:h="16839"/>
          <w:pgMar w:top="1431" w:right="1785" w:bottom="1036" w:left="1785" w:header="0" w:footer="847" w:gutter="0"/>
          <w:pgNumType w:fmt="decimal"/>
          <w:cols w:equalWidth="0" w:num="2">
            <w:col w:w="4455" w:space="100"/>
            <w:col w:w="3779"/>
          </w:cols>
        </w:sectPr>
      </w:pPr>
    </w:p>
    <w:p w14:paraId="57C01015">
      <w:pPr>
        <w:pStyle w:val="3"/>
        <w:spacing w:line="278" w:lineRule="auto"/>
        <w:rPr>
          <w:color w:val="auto"/>
          <w:highlight w:val="none"/>
        </w:rPr>
      </w:pPr>
    </w:p>
    <w:p w14:paraId="699A24D6">
      <w:pPr>
        <w:pStyle w:val="3"/>
        <w:spacing w:line="279" w:lineRule="auto"/>
        <w:rPr>
          <w:color w:val="auto"/>
          <w:highlight w:val="none"/>
        </w:rPr>
      </w:pPr>
    </w:p>
    <w:p w14:paraId="320ECC75">
      <w:pPr>
        <w:tabs>
          <w:tab w:val="left" w:pos="6329"/>
        </w:tabs>
        <w:spacing w:before="68" w:line="186" w:lineRule="auto"/>
        <w:ind w:left="5277"/>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lang w:val="en-US" w:eastAsia="zh-CN"/>
        </w:rPr>
        <w:t>2026</w:t>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20"/>
          <w:sz w:val="21"/>
          <w:szCs w:val="21"/>
          <w:highlight w:val="none"/>
          <w:u w:val="single" w:color="auto"/>
        </w:rPr>
        <w:t xml:space="preserve"> </w:t>
      </w:r>
      <w:r>
        <w:rPr>
          <w:rFonts w:hint="eastAsia" w:ascii="宋体" w:hAnsi="宋体" w:eastAsia="宋体" w:cs="宋体"/>
          <w:color w:val="auto"/>
          <w:spacing w:val="20"/>
          <w:sz w:val="21"/>
          <w:szCs w:val="21"/>
          <w:highlight w:val="none"/>
          <w:u w:val="single" w:color="auto"/>
          <w:lang w:val="en-US" w:eastAsia="zh-CN"/>
        </w:rPr>
        <w:t>3</w:t>
      </w:r>
      <w:r>
        <w:rPr>
          <w:rFonts w:ascii="宋体" w:hAnsi="宋体" w:eastAsia="宋体" w:cs="宋体"/>
          <w:color w:val="auto"/>
          <w:spacing w:val="-22"/>
          <w:sz w:val="21"/>
          <w:szCs w:val="21"/>
          <w:highlight w:val="none"/>
        </w:rPr>
        <w:t>月</w:t>
      </w:r>
      <w:r>
        <w:rPr>
          <w:rFonts w:hint="eastAsia" w:ascii="宋体" w:hAnsi="宋体" w:eastAsia="宋体" w:cs="宋体"/>
          <w:color w:val="auto"/>
          <w:spacing w:val="17"/>
          <w:sz w:val="21"/>
          <w:szCs w:val="21"/>
          <w:highlight w:val="none"/>
          <w:u w:val="single" w:color="auto"/>
          <w:lang w:val="en-US" w:eastAsia="zh-CN"/>
        </w:rPr>
        <w:t>25</w:t>
      </w:r>
      <w:r>
        <w:rPr>
          <w:rFonts w:ascii="宋体" w:hAnsi="宋体" w:eastAsia="宋体" w:cs="宋体"/>
          <w:color w:val="auto"/>
          <w:spacing w:val="-22"/>
          <w:sz w:val="21"/>
          <w:szCs w:val="21"/>
          <w:highlight w:val="none"/>
        </w:rPr>
        <w:t>日</w:t>
      </w:r>
    </w:p>
    <w:p w14:paraId="54EEAE60">
      <w:pPr>
        <w:spacing w:line="186" w:lineRule="auto"/>
        <w:rPr>
          <w:rFonts w:ascii="宋体" w:hAnsi="宋体" w:eastAsia="宋体" w:cs="宋体"/>
          <w:color w:val="auto"/>
          <w:sz w:val="21"/>
          <w:szCs w:val="21"/>
          <w:highlight w:val="none"/>
        </w:rPr>
        <w:sectPr>
          <w:type w:val="continuous"/>
          <w:pgSz w:w="11905" w:h="16839"/>
          <w:pgMar w:top="1431" w:right="1785" w:bottom="1036" w:left="1785" w:header="0" w:footer="847" w:gutter="0"/>
          <w:pgNumType w:fmt="decimal"/>
          <w:cols w:equalWidth="0" w:num="1">
            <w:col w:w="8333"/>
          </w:cols>
        </w:sectPr>
      </w:pPr>
    </w:p>
    <w:p w14:paraId="3EACE2B8">
      <w:pPr>
        <w:spacing w:line="186" w:lineRule="auto"/>
        <w:rPr>
          <w:rFonts w:ascii="宋体" w:hAnsi="宋体" w:eastAsia="宋体" w:cs="宋体"/>
          <w:color w:val="auto"/>
          <w:sz w:val="21"/>
          <w:szCs w:val="21"/>
          <w:highlight w:val="none"/>
        </w:rPr>
        <w:sectPr>
          <w:footerReference r:id="rId15" w:type="default"/>
          <w:type w:val="continuous"/>
          <w:pgSz w:w="11905" w:h="16839"/>
          <w:pgMar w:top="1431" w:right="1785" w:bottom="1033" w:left="1785" w:header="0" w:footer="847" w:gutter="0"/>
          <w:pgNumType w:fmt="decimal"/>
          <w:cols w:equalWidth="0" w:num="1">
            <w:col w:w="8333"/>
          </w:cols>
        </w:sectPr>
      </w:pPr>
      <w:bookmarkStart w:id="11" w:name="bookmark29"/>
      <w:bookmarkEnd w:id="11"/>
      <w:bookmarkStart w:id="12" w:name="bookmark24"/>
      <w:bookmarkEnd w:id="12"/>
      <w:bookmarkStart w:id="13" w:name="bookmark28"/>
      <w:bookmarkEnd w:id="13"/>
      <w:bookmarkStart w:id="14" w:name="bookmark26"/>
      <w:bookmarkEnd w:id="14"/>
      <w:bookmarkStart w:id="15" w:name="bookmark25"/>
      <w:bookmarkEnd w:id="15"/>
      <w:bookmarkStart w:id="16" w:name="bookmark27"/>
      <w:bookmarkEnd w:id="16"/>
    </w:p>
    <w:p w14:paraId="79263BC6">
      <w:pPr>
        <w:pStyle w:val="3"/>
        <w:spacing w:line="244" w:lineRule="auto"/>
        <w:rPr>
          <w:color w:val="auto"/>
          <w:highlight w:val="none"/>
        </w:rPr>
      </w:pPr>
    </w:p>
    <w:p w14:paraId="05B558BE">
      <w:pPr>
        <w:pStyle w:val="3"/>
        <w:spacing w:line="244" w:lineRule="auto"/>
        <w:rPr>
          <w:color w:val="auto"/>
          <w:highlight w:val="none"/>
        </w:rPr>
      </w:pPr>
    </w:p>
    <w:p w14:paraId="54C19D22">
      <w:pPr>
        <w:pStyle w:val="3"/>
        <w:spacing w:line="244" w:lineRule="auto"/>
        <w:rPr>
          <w:color w:val="auto"/>
          <w:highlight w:val="none"/>
        </w:rPr>
      </w:pPr>
    </w:p>
    <w:p w14:paraId="564D0DD3">
      <w:pPr>
        <w:pStyle w:val="3"/>
        <w:spacing w:line="244" w:lineRule="auto"/>
        <w:rPr>
          <w:color w:val="auto"/>
          <w:highlight w:val="none"/>
        </w:rPr>
      </w:pPr>
    </w:p>
    <w:p w14:paraId="00E7B1C5">
      <w:pPr>
        <w:pStyle w:val="3"/>
        <w:spacing w:line="244" w:lineRule="auto"/>
        <w:rPr>
          <w:color w:val="auto"/>
          <w:highlight w:val="none"/>
        </w:rPr>
      </w:pPr>
    </w:p>
    <w:p w14:paraId="33CFB705">
      <w:pPr>
        <w:pStyle w:val="3"/>
        <w:spacing w:line="244" w:lineRule="auto"/>
        <w:rPr>
          <w:color w:val="auto"/>
          <w:highlight w:val="none"/>
        </w:rPr>
      </w:pPr>
    </w:p>
    <w:p w14:paraId="16052FB4">
      <w:pPr>
        <w:pStyle w:val="3"/>
        <w:spacing w:line="244" w:lineRule="auto"/>
        <w:rPr>
          <w:color w:val="auto"/>
          <w:highlight w:val="none"/>
        </w:rPr>
      </w:pPr>
    </w:p>
    <w:p w14:paraId="0AC58AA8">
      <w:pPr>
        <w:pStyle w:val="3"/>
        <w:spacing w:line="244" w:lineRule="auto"/>
        <w:rPr>
          <w:color w:val="auto"/>
          <w:highlight w:val="none"/>
        </w:rPr>
      </w:pPr>
    </w:p>
    <w:p w14:paraId="1D2DB0CB">
      <w:pPr>
        <w:pStyle w:val="3"/>
        <w:spacing w:line="244" w:lineRule="auto"/>
        <w:rPr>
          <w:color w:val="auto"/>
          <w:highlight w:val="none"/>
        </w:rPr>
      </w:pPr>
    </w:p>
    <w:p w14:paraId="5B58C673">
      <w:pPr>
        <w:pStyle w:val="3"/>
        <w:spacing w:line="244" w:lineRule="auto"/>
        <w:rPr>
          <w:color w:val="auto"/>
          <w:highlight w:val="none"/>
        </w:rPr>
      </w:pPr>
    </w:p>
    <w:p w14:paraId="41D4CE71">
      <w:pPr>
        <w:pStyle w:val="3"/>
        <w:spacing w:line="244" w:lineRule="auto"/>
        <w:rPr>
          <w:color w:val="auto"/>
          <w:highlight w:val="none"/>
        </w:rPr>
      </w:pPr>
    </w:p>
    <w:p w14:paraId="500ED8C8">
      <w:pPr>
        <w:pStyle w:val="3"/>
        <w:spacing w:line="244" w:lineRule="auto"/>
        <w:rPr>
          <w:color w:val="auto"/>
          <w:highlight w:val="none"/>
        </w:rPr>
      </w:pPr>
    </w:p>
    <w:p w14:paraId="6EDBE957">
      <w:pPr>
        <w:pStyle w:val="3"/>
        <w:spacing w:line="245" w:lineRule="auto"/>
        <w:rPr>
          <w:color w:val="auto"/>
          <w:highlight w:val="none"/>
        </w:rPr>
      </w:pPr>
    </w:p>
    <w:p w14:paraId="42B83D32">
      <w:pPr>
        <w:pStyle w:val="3"/>
        <w:spacing w:line="245" w:lineRule="auto"/>
        <w:rPr>
          <w:color w:val="auto"/>
          <w:highlight w:val="none"/>
        </w:rPr>
      </w:pPr>
    </w:p>
    <w:p w14:paraId="64E2C094">
      <w:pPr>
        <w:pStyle w:val="3"/>
        <w:spacing w:line="245" w:lineRule="auto"/>
        <w:rPr>
          <w:color w:val="auto"/>
          <w:highlight w:val="none"/>
        </w:rPr>
      </w:pPr>
    </w:p>
    <w:p w14:paraId="14E95F88">
      <w:pPr>
        <w:spacing w:before="104" w:line="219" w:lineRule="auto"/>
        <w:ind w:left="2740"/>
        <w:outlineLvl w:val="0"/>
        <w:rPr>
          <w:rFonts w:ascii="黑体" w:hAnsi="黑体" w:eastAsia="黑体" w:cs="黑体"/>
          <w:color w:val="auto"/>
          <w:sz w:val="32"/>
          <w:szCs w:val="32"/>
          <w:highlight w:val="none"/>
        </w:rPr>
      </w:pPr>
      <w:bookmarkStart w:id="17" w:name="bookmark42"/>
      <w:bookmarkEnd w:id="17"/>
      <w:bookmarkStart w:id="18" w:name="bookmark43"/>
      <w:bookmarkEnd w:id="18"/>
      <w:bookmarkStart w:id="19" w:name="bookmark44"/>
      <w:bookmarkEnd w:id="19"/>
      <w:bookmarkStart w:id="20" w:name="bookmark41"/>
      <w:bookmarkEnd w:id="20"/>
      <w:r>
        <w:rPr>
          <w:rFonts w:ascii="黑体" w:hAnsi="黑体" w:eastAsia="黑体" w:cs="黑体"/>
          <w:color w:val="auto"/>
          <w:spacing w:val="-1"/>
          <w:sz w:val="32"/>
          <w:szCs w:val="32"/>
          <w:highlight w:val="none"/>
        </w:rPr>
        <w:t>第二章  投标人须知</w:t>
      </w:r>
    </w:p>
    <w:p w14:paraId="5D2ACCC7">
      <w:pPr>
        <w:spacing w:line="219" w:lineRule="auto"/>
        <w:rPr>
          <w:rFonts w:ascii="黑体" w:hAnsi="黑体" w:eastAsia="黑体" w:cs="黑体"/>
          <w:color w:val="auto"/>
          <w:sz w:val="32"/>
          <w:szCs w:val="32"/>
          <w:highlight w:val="none"/>
        </w:rPr>
        <w:sectPr>
          <w:footerReference r:id="rId16" w:type="default"/>
          <w:pgSz w:w="11905" w:h="16839"/>
          <w:pgMar w:top="1431" w:right="1785" w:bottom="1036" w:left="1785" w:header="0" w:footer="847" w:gutter="0"/>
          <w:pgNumType w:fmt="decimal"/>
          <w:cols w:space="720" w:num="1"/>
        </w:sectPr>
      </w:pPr>
    </w:p>
    <w:p w14:paraId="573E99A7">
      <w:pPr>
        <w:spacing w:before="64" w:line="219" w:lineRule="auto"/>
        <w:ind w:left="2783"/>
        <w:rPr>
          <w:rFonts w:ascii="黑体" w:hAnsi="黑体" w:eastAsia="黑体" w:cs="黑体"/>
          <w:color w:val="auto"/>
          <w:sz w:val="32"/>
          <w:szCs w:val="32"/>
          <w:highlight w:val="none"/>
        </w:rPr>
      </w:pPr>
      <w:bookmarkStart w:id="21" w:name="bookmark47"/>
      <w:bookmarkEnd w:id="21"/>
      <w:bookmarkStart w:id="22" w:name="bookmark45"/>
      <w:bookmarkEnd w:id="22"/>
      <w:bookmarkStart w:id="23" w:name="bookmark48"/>
      <w:bookmarkEnd w:id="23"/>
      <w:bookmarkStart w:id="24" w:name="bookmark46"/>
      <w:bookmarkEnd w:id="24"/>
      <w:bookmarkStart w:id="25" w:name="bookmark49"/>
      <w:bookmarkEnd w:id="25"/>
      <w:r>
        <w:rPr>
          <w:rFonts w:ascii="黑体" w:hAnsi="黑体" w:eastAsia="黑体" w:cs="黑体"/>
          <w:color w:val="auto"/>
          <w:spacing w:val="-1"/>
          <w:sz w:val="32"/>
          <w:szCs w:val="32"/>
          <w:highlight w:val="none"/>
        </w:rPr>
        <w:t>第二章  投标人须知</w:t>
      </w:r>
    </w:p>
    <w:p w14:paraId="52475E98">
      <w:pPr>
        <w:spacing w:before="176" w:line="219" w:lineRule="auto"/>
        <w:ind w:left="3096"/>
        <w:outlineLvl w:val="1"/>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投标人须知前附表</w:t>
      </w: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AAD5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54" w:type="dxa"/>
            <w:vAlign w:val="top"/>
          </w:tcPr>
          <w:p w14:paraId="5496C049">
            <w:pPr>
              <w:pStyle w:val="11"/>
              <w:spacing w:before="212" w:line="221" w:lineRule="auto"/>
              <w:ind w:left="115"/>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121" w:type="dxa"/>
            <w:vAlign w:val="top"/>
          </w:tcPr>
          <w:p w14:paraId="1FD175FC">
            <w:pPr>
              <w:pStyle w:val="11"/>
              <w:spacing w:before="212" w:line="221" w:lineRule="auto"/>
              <w:ind w:left="491"/>
              <w:rPr>
                <w:color w:val="auto"/>
                <w:highlight w:val="none"/>
              </w:rPr>
            </w:pPr>
            <w:r>
              <w:rPr>
                <w:color w:val="auto"/>
                <w:spacing w:val="-5"/>
                <w:highlight w:val="none"/>
                <w14:textOutline w14:w="3831" w14:cap="flat" w14:cmpd="sng">
                  <w14:solidFill>
                    <w14:srgbClr w14:val="000000"/>
                  </w14:solidFill>
                  <w14:prstDash w14:val="solid"/>
                  <w14:miter w14:val="0"/>
                </w14:textOutline>
              </w:rPr>
              <w:t>条</w:t>
            </w:r>
            <w:r>
              <w:rPr>
                <w:color w:val="auto"/>
                <w:spacing w:val="10"/>
                <w:highlight w:val="none"/>
              </w:rPr>
              <w:t xml:space="preserve"> </w:t>
            </w:r>
            <w:r>
              <w:rPr>
                <w:color w:val="auto"/>
                <w:spacing w:val="-5"/>
                <w:highlight w:val="none"/>
                <w14:textOutline w14:w="3831" w14:cap="flat" w14:cmpd="sng">
                  <w14:solidFill>
                    <w14:srgbClr w14:val="000000"/>
                  </w14:solidFill>
                  <w14:prstDash w14:val="solid"/>
                  <w14:miter w14:val="0"/>
                </w14:textOutline>
              </w:rPr>
              <w:t>款</w:t>
            </w:r>
            <w:r>
              <w:rPr>
                <w:color w:val="auto"/>
                <w:spacing w:val="12"/>
                <w:highlight w:val="none"/>
              </w:rPr>
              <w:t xml:space="preserve"> </w:t>
            </w:r>
            <w:r>
              <w:rPr>
                <w:color w:val="auto"/>
                <w:spacing w:val="-5"/>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5"/>
                <w:highlight w:val="none"/>
                <w14:textOutline w14:w="3831" w14:cap="flat" w14:cmpd="sng">
                  <w14:solidFill>
                    <w14:srgbClr w14:val="000000"/>
                  </w14:solidFill>
                  <w14:prstDash w14:val="solid"/>
                  <w14:miter w14:val="0"/>
                </w14:textOutline>
              </w:rPr>
              <w:t>称</w:t>
            </w:r>
          </w:p>
        </w:tc>
        <w:tc>
          <w:tcPr>
            <w:tcW w:w="5447" w:type="dxa"/>
            <w:vAlign w:val="top"/>
          </w:tcPr>
          <w:p w14:paraId="228339C6">
            <w:pPr>
              <w:pStyle w:val="11"/>
              <w:spacing w:before="212" w:line="221" w:lineRule="auto"/>
              <w:ind w:left="2149"/>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15"/>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34"/>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7"/>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14:paraId="2D0F1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4832B4B0">
            <w:pPr>
              <w:spacing w:line="250" w:lineRule="auto"/>
              <w:rPr>
                <w:rFonts w:ascii="Arial"/>
                <w:color w:val="auto"/>
                <w:sz w:val="21"/>
                <w:highlight w:val="none"/>
              </w:rPr>
            </w:pPr>
          </w:p>
          <w:p w14:paraId="7FA0ED46">
            <w:pPr>
              <w:spacing w:line="250" w:lineRule="auto"/>
              <w:rPr>
                <w:rFonts w:ascii="Arial"/>
                <w:color w:val="auto"/>
                <w:sz w:val="21"/>
                <w:highlight w:val="none"/>
              </w:rPr>
            </w:pPr>
          </w:p>
          <w:p w14:paraId="55259C23">
            <w:pPr>
              <w:spacing w:line="251" w:lineRule="auto"/>
              <w:rPr>
                <w:rFonts w:ascii="Arial"/>
                <w:color w:val="auto"/>
                <w:sz w:val="21"/>
                <w:highlight w:val="none"/>
              </w:rPr>
            </w:pPr>
          </w:p>
          <w:p w14:paraId="22C685CF">
            <w:pPr>
              <w:spacing w:line="251" w:lineRule="auto"/>
              <w:rPr>
                <w:rFonts w:ascii="Arial"/>
                <w:color w:val="auto"/>
                <w:sz w:val="21"/>
                <w:highlight w:val="none"/>
              </w:rPr>
            </w:pPr>
          </w:p>
          <w:p w14:paraId="4A697C72">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1.1.2</w:t>
            </w:r>
          </w:p>
        </w:tc>
        <w:tc>
          <w:tcPr>
            <w:tcW w:w="2121" w:type="dxa"/>
            <w:vAlign w:val="top"/>
          </w:tcPr>
          <w:p w14:paraId="675BDD44">
            <w:pPr>
              <w:spacing w:line="319" w:lineRule="auto"/>
              <w:rPr>
                <w:rFonts w:ascii="Arial"/>
                <w:color w:val="auto"/>
                <w:sz w:val="21"/>
                <w:highlight w:val="none"/>
              </w:rPr>
            </w:pPr>
          </w:p>
          <w:p w14:paraId="54D9AAC0">
            <w:pPr>
              <w:spacing w:line="319" w:lineRule="auto"/>
              <w:rPr>
                <w:rFonts w:ascii="Arial"/>
                <w:color w:val="auto"/>
                <w:sz w:val="21"/>
                <w:highlight w:val="none"/>
              </w:rPr>
            </w:pPr>
          </w:p>
          <w:p w14:paraId="3A69D754">
            <w:pPr>
              <w:spacing w:line="320" w:lineRule="auto"/>
              <w:rPr>
                <w:rFonts w:ascii="Arial"/>
                <w:color w:val="auto"/>
                <w:sz w:val="21"/>
                <w:highlight w:val="none"/>
              </w:rPr>
            </w:pPr>
          </w:p>
          <w:p w14:paraId="0B0C6CEF">
            <w:pPr>
              <w:pStyle w:val="11"/>
              <w:spacing w:before="69" w:line="221" w:lineRule="auto"/>
              <w:ind w:left="754"/>
              <w:rPr>
                <w:color w:val="auto"/>
                <w:highlight w:val="none"/>
              </w:rPr>
            </w:pPr>
            <w:r>
              <w:rPr>
                <w:color w:val="auto"/>
                <w:spacing w:val="-2"/>
                <w:highlight w:val="none"/>
              </w:rPr>
              <w:t>招标人</w:t>
            </w:r>
          </w:p>
        </w:tc>
        <w:tc>
          <w:tcPr>
            <w:tcW w:w="5447" w:type="dxa"/>
            <w:vAlign w:val="top"/>
          </w:tcPr>
          <w:p w14:paraId="006A4595">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名  称：</w:t>
            </w:r>
            <w:r>
              <w:rPr>
                <w:rFonts w:hint="eastAsia" w:cs="宋体"/>
                <w:color w:val="auto"/>
                <w:spacing w:val="4"/>
                <w:highlight w:val="none"/>
                <w:lang w:eastAsia="zh-CN"/>
              </w:rPr>
              <w:t>营口广厦住房租赁有限公司</w:t>
            </w:r>
          </w:p>
          <w:p w14:paraId="05AC460C">
            <w:pPr>
              <w:pStyle w:val="11"/>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地  址：</w:t>
            </w:r>
            <w:r>
              <w:rPr>
                <w:rFonts w:hint="eastAsia" w:ascii="宋体" w:hAnsi="宋体" w:eastAsia="宋体" w:cs="宋体"/>
                <w:color w:val="auto"/>
                <w:spacing w:val="4"/>
                <w:highlight w:val="none"/>
              </w:rPr>
              <w:t>营口市西市区新联北大街63号</w:t>
            </w:r>
          </w:p>
          <w:p w14:paraId="132BAE32">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联系人：</w:t>
            </w:r>
            <w:r>
              <w:rPr>
                <w:rFonts w:hint="eastAsia" w:cs="宋体"/>
                <w:color w:val="auto"/>
                <w:spacing w:val="4"/>
                <w:highlight w:val="none"/>
                <w:lang w:eastAsia="zh-CN"/>
              </w:rPr>
              <w:t>盛陶然</w:t>
            </w:r>
          </w:p>
          <w:p w14:paraId="352153A0">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电  话：</w:t>
            </w:r>
            <w:r>
              <w:rPr>
                <w:rFonts w:hint="eastAsia" w:cs="宋体"/>
                <w:color w:val="auto"/>
                <w:spacing w:val="4"/>
                <w:highlight w:val="none"/>
                <w:lang w:eastAsia="zh-CN"/>
              </w:rPr>
              <w:t>15940733332</w:t>
            </w:r>
          </w:p>
          <w:p w14:paraId="5F0E1736">
            <w:pPr>
              <w:pStyle w:val="11"/>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电子邮件：</w:t>
            </w:r>
          </w:p>
          <w:p w14:paraId="3A3786CE">
            <w:pPr>
              <w:pStyle w:val="11"/>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项目负责人姓名及联系方式：</w:t>
            </w:r>
          </w:p>
          <w:p w14:paraId="6AF69B26">
            <w:pPr>
              <w:pStyle w:val="11"/>
              <w:spacing w:before="72" w:line="240" w:lineRule="auto"/>
              <w:ind w:left="113"/>
              <w:rPr>
                <w:rFonts w:hint="eastAsia" w:eastAsia="宋体"/>
                <w:color w:val="auto"/>
                <w:highlight w:val="none"/>
                <w:lang w:eastAsia="zh-CN"/>
              </w:rPr>
            </w:pPr>
            <w:r>
              <w:rPr>
                <w:rFonts w:ascii="宋体" w:hAnsi="宋体" w:eastAsia="宋体" w:cs="宋体"/>
                <w:color w:val="auto"/>
                <w:spacing w:val="4"/>
                <w:highlight w:val="none"/>
              </w:rPr>
              <w:t>姓名：</w:t>
            </w:r>
            <w:r>
              <w:rPr>
                <w:rFonts w:hint="eastAsia" w:cs="宋体"/>
                <w:color w:val="auto"/>
                <w:spacing w:val="4"/>
                <w:highlight w:val="none"/>
                <w:lang w:eastAsia="zh-CN"/>
              </w:rPr>
              <w:t>盛陶然</w:t>
            </w:r>
            <w:r>
              <w:rPr>
                <w:rFonts w:ascii="宋体" w:hAnsi="宋体" w:eastAsia="宋体" w:cs="宋体"/>
                <w:color w:val="auto"/>
                <w:spacing w:val="4"/>
                <w:highlight w:val="none"/>
              </w:rPr>
              <w:t xml:space="preserve">   电话：</w:t>
            </w:r>
            <w:r>
              <w:rPr>
                <w:rFonts w:hint="eastAsia" w:cs="宋体"/>
                <w:color w:val="auto"/>
                <w:spacing w:val="4"/>
                <w:highlight w:val="none"/>
                <w:lang w:eastAsia="zh-CN"/>
              </w:rPr>
              <w:t>15940733332</w:t>
            </w:r>
          </w:p>
        </w:tc>
      </w:tr>
      <w:tr w14:paraId="17ABF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14:paraId="35A91554">
            <w:pPr>
              <w:spacing w:line="252" w:lineRule="auto"/>
              <w:rPr>
                <w:rFonts w:ascii="Arial"/>
                <w:color w:val="auto"/>
                <w:sz w:val="21"/>
                <w:highlight w:val="none"/>
              </w:rPr>
            </w:pPr>
          </w:p>
          <w:p w14:paraId="4B64461B">
            <w:pPr>
              <w:spacing w:line="252" w:lineRule="auto"/>
              <w:rPr>
                <w:rFonts w:ascii="Arial"/>
                <w:color w:val="auto"/>
                <w:sz w:val="21"/>
                <w:highlight w:val="none"/>
              </w:rPr>
            </w:pPr>
          </w:p>
          <w:p w14:paraId="6B8CA374">
            <w:pPr>
              <w:spacing w:line="252" w:lineRule="auto"/>
              <w:rPr>
                <w:rFonts w:ascii="Arial"/>
                <w:color w:val="auto"/>
                <w:sz w:val="21"/>
                <w:highlight w:val="none"/>
              </w:rPr>
            </w:pPr>
          </w:p>
          <w:p w14:paraId="4E97729D">
            <w:pPr>
              <w:spacing w:line="252" w:lineRule="auto"/>
              <w:rPr>
                <w:rFonts w:ascii="Arial"/>
                <w:color w:val="auto"/>
                <w:sz w:val="21"/>
                <w:highlight w:val="none"/>
              </w:rPr>
            </w:pPr>
          </w:p>
          <w:p w14:paraId="0D4C45AB">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1.1.3</w:t>
            </w:r>
          </w:p>
        </w:tc>
        <w:tc>
          <w:tcPr>
            <w:tcW w:w="2121" w:type="dxa"/>
            <w:vAlign w:val="top"/>
          </w:tcPr>
          <w:p w14:paraId="012011BA">
            <w:pPr>
              <w:spacing w:line="241" w:lineRule="auto"/>
              <w:rPr>
                <w:rFonts w:ascii="Arial"/>
                <w:color w:val="auto"/>
                <w:sz w:val="21"/>
                <w:highlight w:val="none"/>
              </w:rPr>
            </w:pPr>
          </w:p>
          <w:p w14:paraId="2F8C4B3E">
            <w:pPr>
              <w:spacing w:line="241" w:lineRule="auto"/>
              <w:rPr>
                <w:rFonts w:ascii="Arial"/>
                <w:color w:val="auto"/>
                <w:sz w:val="21"/>
                <w:highlight w:val="none"/>
              </w:rPr>
            </w:pPr>
          </w:p>
          <w:p w14:paraId="042FA2CC">
            <w:pPr>
              <w:spacing w:line="241" w:lineRule="auto"/>
              <w:rPr>
                <w:rFonts w:ascii="Arial"/>
                <w:color w:val="auto"/>
                <w:sz w:val="21"/>
                <w:highlight w:val="none"/>
              </w:rPr>
            </w:pPr>
          </w:p>
          <w:p w14:paraId="45F36DB8">
            <w:pPr>
              <w:spacing w:line="241" w:lineRule="auto"/>
              <w:rPr>
                <w:rFonts w:ascii="Arial"/>
                <w:color w:val="auto"/>
                <w:sz w:val="21"/>
                <w:highlight w:val="none"/>
              </w:rPr>
            </w:pPr>
          </w:p>
          <w:p w14:paraId="03E92DCB">
            <w:pPr>
              <w:pStyle w:val="11"/>
              <w:spacing w:before="68" w:line="220" w:lineRule="auto"/>
              <w:ind w:left="437"/>
              <w:rPr>
                <w:color w:val="auto"/>
                <w:highlight w:val="none"/>
              </w:rPr>
            </w:pPr>
            <w:r>
              <w:rPr>
                <w:color w:val="auto"/>
                <w:spacing w:val="-1"/>
                <w:highlight w:val="none"/>
              </w:rPr>
              <w:t>招标代理机构</w:t>
            </w:r>
          </w:p>
        </w:tc>
        <w:tc>
          <w:tcPr>
            <w:tcW w:w="5447" w:type="dxa"/>
            <w:vAlign w:val="top"/>
          </w:tcPr>
          <w:p w14:paraId="08202830">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名  称：</w:t>
            </w:r>
            <w:r>
              <w:rPr>
                <w:rFonts w:hint="eastAsia" w:cs="宋体"/>
                <w:color w:val="auto"/>
                <w:spacing w:val="4"/>
                <w:highlight w:val="none"/>
                <w:lang w:eastAsia="zh-CN"/>
              </w:rPr>
              <w:t>沈阳招标中心有限公司</w:t>
            </w:r>
          </w:p>
          <w:p w14:paraId="7146E430">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地  址：</w:t>
            </w:r>
            <w:r>
              <w:rPr>
                <w:rFonts w:hint="eastAsia" w:cs="宋体"/>
                <w:color w:val="auto"/>
                <w:spacing w:val="4"/>
                <w:highlight w:val="none"/>
                <w:lang w:eastAsia="zh-CN"/>
              </w:rPr>
              <w:t>沈阳市和平区绥化东街2号</w:t>
            </w:r>
          </w:p>
          <w:p w14:paraId="555A67FC">
            <w:pPr>
              <w:pStyle w:val="11"/>
              <w:spacing w:before="72" w:line="240" w:lineRule="auto"/>
              <w:ind w:left="113"/>
              <w:rPr>
                <w:rFonts w:hint="eastAsia" w:ascii="宋体" w:hAnsi="宋体" w:eastAsia="宋体" w:cs="宋体"/>
                <w:color w:val="auto"/>
                <w:spacing w:val="4"/>
                <w:highlight w:val="none"/>
              </w:rPr>
            </w:pPr>
            <w:r>
              <w:rPr>
                <w:rFonts w:ascii="宋体" w:hAnsi="宋体" w:eastAsia="宋体" w:cs="宋体"/>
                <w:color w:val="auto"/>
                <w:spacing w:val="4"/>
                <w:highlight w:val="none"/>
              </w:rPr>
              <w:t>联系人：</w:t>
            </w:r>
            <w:r>
              <w:rPr>
                <w:rFonts w:hint="eastAsia" w:cs="宋体"/>
                <w:color w:val="auto"/>
                <w:spacing w:val="4"/>
                <w:highlight w:val="none"/>
                <w:lang w:eastAsia="zh-CN"/>
              </w:rPr>
              <w:t>崔大勇、刘佳麟</w:t>
            </w:r>
          </w:p>
          <w:p w14:paraId="211EBBD6">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电  话：</w:t>
            </w:r>
            <w:r>
              <w:rPr>
                <w:rFonts w:hint="eastAsia" w:cs="宋体"/>
                <w:color w:val="auto"/>
                <w:spacing w:val="4"/>
                <w:highlight w:val="none"/>
                <w:lang w:eastAsia="zh-CN"/>
              </w:rPr>
              <w:t>024-22503596、22503578</w:t>
            </w:r>
          </w:p>
          <w:p w14:paraId="401C2086">
            <w:pPr>
              <w:pStyle w:val="11"/>
              <w:spacing w:before="72" w:line="240" w:lineRule="auto"/>
              <w:ind w:left="113"/>
              <w:rPr>
                <w:rFonts w:hint="default" w:ascii="宋体" w:hAnsi="宋体" w:eastAsia="宋体" w:cs="宋体"/>
                <w:color w:val="auto"/>
                <w:spacing w:val="4"/>
                <w:highlight w:val="none"/>
                <w:lang w:val="en-US" w:eastAsia="zh-CN"/>
              </w:rPr>
            </w:pPr>
            <w:r>
              <w:rPr>
                <w:rFonts w:ascii="宋体" w:hAnsi="宋体" w:eastAsia="宋体" w:cs="宋体"/>
                <w:color w:val="auto"/>
                <w:spacing w:val="4"/>
                <w:highlight w:val="none"/>
              </w:rPr>
              <w:t>电子邮件：</w:t>
            </w:r>
            <w:r>
              <w:rPr>
                <w:rFonts w:hint="eastAsia" w:cs="宋体"/>
                <w:color w:val="auto"/>
                <w:spacing w:val="4"/>
                <w:highlight w:val="none"/>
                <w:lang w:val="en-US" w:eastAsia="zh-CN"/>
              </w:rPr>
              <w:t>syzbsc@163.com</w:t>
            </w:r>
          </w:p>
          <w:p w14:paraId="3EBF0A02">
            <w:pPr>
              <w:pStyle w:val="11"/>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项目负责人姓名及联系方式：</w:t>
            </w:r>
          </w:p>
          <w:p w14:paraId="1FB5A3C4">
            <w:pPr>
              <w:pStyle w:val="11"/>
              <w:spacing w:before="72" w:line="240" w:lineRule="auto"/>
              <w:ind w:left="113"/>
              <w:rPr>
                <w:rFonts w:hint="eastAsia" w:eastAsia="宋体"/>
                <w:color w:val="auto"/>
                <w:highlight w:val="none"/>
                <w:lang w:eastAsia="zh-CN"/>
              </w:rPr>
            </w:pPr>
            <w:r>
              <w:rPr>
                <w:rFonts w:ascii="宋体" w:hAnsi="宋体" w:eastAsia="宋体" w:cs="宋体"/>
                <w:color w:val="auto"/>
                <w:spacing w:val="4"/>
                <w:highlight w:val="none"/>
              </w:rPr>
              <w:t>姓名：</w:t>
            </w:r>
            <w:r>
              <w:rPr>
                <w:rFonts w:hint="eastAsia" w:cs="宋体"/>
                <w:color w:val="auto"/>
                <w:spacing w:val="4"/>
                <w:highlight w:val="none"/>
                <w:lang w:eastAsia="zh-CN"/>
              </w:rPr>
              <w:t>崔大勇、刘佳麟</w:t>
            </w:r>
            <w:r>
              <w:rPr>
                <w:rFonts w:ascii="宋体" w:hAnsi="宋体" w:eastAsia="宋体" w:cs="宋体"/>
                <w:color w:val="auto"/>
                <w:spacing w:val="4"/>
                <w:highlight w:val="none"/>
              </w:rPr>
              <w:t xml:space="preserve">                电话：</w:t>
            </w:r>
            <w:r>
              <w:rPr>
                <w:rFonts w:hint="eastAsia" w:cs="宋体"/>
                <w:color w:val="auto"/>
                <w:spacing w:val="4"/>
                <w:highlight w:val="none"/>
                <w:lang w:eastAsia="zh-CN"/>
              </w:rPr>
              <w:t>024-22503596、22503578</w:t>
            </w:r>
          </w:p>
        </w:tc>
      </w:tr>
      <w:tr w14:paraId="743BA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4D3FF12C">
            <w:pPr>
              <w:spacing w:before="182"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1.1.4</w:t>
            </w:r>
          </w:p>
        </w:tc>
        <w:tc>
          <w:tcPr>
            <w:tcW w:w="2121" w:type="dxa"/>
            <w:vAlign w:val="top"/>
          </w:tcPr>
          <w:p w14:paraId="09955141">
            <w:pPr>
              <w:pStyle w:val="11"/>
              <w:spacing w:before="72" w:line="240" w:lineRule="auto"/>
              <w:ind w:left="113"/>
              <w:jc w:val="center"/>
              <w:rPr>
                <w:rFonts w:ascii="宋体" w:hAnsi="宋体" w:eastAsia="宋体" w:cs="宋体"/>
                <w:color w:val="auto"/>
                <w:spacing w:val="4"/>
                <w:highlight w:val="none"/>
              </w:rPr>
            </w:pPr>
            <w:r>
              <w:rPr>
                <w:rFonts w:ascii="宋体" w:hAnsi="宋体" w:eastAsia="宋体" w:cs="宋体"/>
                <w:color w:val="auto"/>
                <w:spacing w:val="4"/>
                <w:highlight w:val="none"/>
                <w:u w:val="none"/>
              </w:rPr>
              <w:t>标段项目名称</w:t>
            </w:r>
          </w:p>
        </w:tc>
        <w:tc>
          <w:tcPr>
            <w:tcW w:w="5447" w:type="dxa"/>
            <w:vAlign w:val="top"/>
          </w:tcPr>
          <w:p w14:paraId="1FB42A0C">
            <w:pPr>
              <w:pStyle w:val="11"/>
              <w:spacing w:before="72" w:line="240" w:lineRule="auto"/>
              <w:ind w:left="113"/>
              <w:rPr>
                <w:rFonts w:hint="default" w:ascii="宋体" w:hAnsi="宋体" w:eastAsia="宋体" w:cs="宋体"/>
                <w:snapToGrid w:val="0"/>
                <w:color w:val="auto"/>
                <w:spacing w:val="4"/>
                <w:kern w:val="0"/>
                <w:sz w:val="21"/>
                <w:szCs w:val="21"/>
                <w:highlight w:val="none"/>
                <w:lang w:val="en-US" w:eastAsia="en-US" w:bidi="ar-SA"/>
              </w:rPr>
            </w:pPr>
            <w:r>
              <w:rPr>
                <w:rFonts w:hint="eastAsia" w:cs="宋体"/>
                <w:snapToGrid w:val="0"/>
                <w:color w:val="auto"/>
                <w:spacing w:val="4"/>
                <w:kern w:val="0"/>
                <w:sz w:val="21"/>
                <w:szCs w:val="21"/>
                <w:highlight w:val="none"/>
                <w:lang w:val="en-US" w:eastAsia="zh-CN" w:bidi="ar-SA"/>
              </w:rPr>
              <w:t>营口市保障性租赁住房(2025年第一批)项目装修施工二标段</w:t>
            </w:r>
          </w:p>
        </w:tc>
      </w:tr>
      <w:tr w14:paraId="3C36E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54" w:type="dxa"/>
            <w:vAlign w:val="top"/>
          </w:tcPr>
          <w:p w14:paraId="03227D2D">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1.1.5</w:t>
            </w:r>
          </w:p>
        </w:tc>
        <w:tc>
          <w:tcPr>
            <w:tcW w:w="2121" w:type="dxa"/>
            <w:vAlign w:val="top"/>
          </w:tcPr>
          <w:p w14:paraId="0EF41A5E">
            <w:pPr>
              <w:pStyle w:val="11"/>
              <w:spacing w:before="146" w:line="222" w:lineRule="auto"/>
              <w:ind w:left="650"/>
              <w:rPr>
                <w:color w:val="auto"/>
                <w:highlight w:val="none"/>
              </w:rPr>
            </w:pPr>
            <w:r>
              <w:rPr>
                <w:color w:val="auto"/>
                <w:spacing w:val="-2"/>
                <w:highlight w:val="none"/>
              </w:rPr>
              <w:t>建设地点</w:t>
            </w:r>
          </w:p>
        </w:tc>
        <w:tc>
          <w:tcPr>
            <w:tcW w:w="5447" w:type="dxa"/>
            <w:vAlign w:val="top"/>
          </w:tcPr>
          <w:p w14:paraId="0D14F850">
            <w:pPr>
              <w:spacing w:line="240" w:lineRule="auto"/>
              <w:rPr>
                <w:rFonts w:ascii="宋体" w:hAnsi="宋体" w:eastAsia="宋体" w:cs="宋体"/>
                <w:snapToGrid w:val="0"/>
                <w:color w:val="auto"/>
                <w:spacing w:val="4"/>
                <w:kern w:val="0"/>
                <w:sz w:val="21"/>
                <w:szCs w:val="21"/>
                <w:highlight w:val="none"/>
                <w:lang w:val="en-US" w:eastAsia="en-US" w:bidi="ar-SA"/>
              </w:rPr>
            </w:pPr>
            <w:r>
              <w:rPr>
                <w:rFonts w:hint="eastAsia" w:ascii="仿宋" w:hAnsi="仿宋" w:eastAsia="仿宋" w:cs="仿宋"/>
                <w:color w:val="auto"/>
                <w:sz w:val="21"/>
                <w:szCs w:val="21"/>
                <w:highlight w:val="none"/>
                <w:lang w:val="en-US" w:eastAsia="zh-CN"/>
              </w:rPr>
              <w:t>营口市</w:t>
            </w:r>
          </w:p>
        </w:tc>
      </w:tr>
      <w:tr w14:paraId="60D8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0116A5C8">
            <w:pPr>
              <w:spacing w:before="187"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1.1.6</w:t>
            </w:r>
          </w:p>
        </w:tc>
        <w:tc>
          <w:tcPr>
            <w:tcW w:w="2121" w:type="dxa"/>
            <w:vAlign w:val="top"/>
          </w:tcPr>
          <w:p w14:paraId="40CFE0AD">
            <w:pPr>
              <w:pStyle w:val="11"/>
              <w:spacing w:before="151" w:line="219" w:lineRule="auto"/>
              <w:ind w:left="439"/>
              <w:rPr>
                <w:color w:val="auto"/>
                <w:highlight w:val="none"/>
              </w:rPr>
            </w:pPr>
            <w:r>
              <w:rPr>
                <w:color w:val="auto"/>
                <w:spacing w:val="-1"/>
                <w:highlight w:val="none"/>
              </w:rPr>
              <w:t>项目投资估算</w:t>
            </w:r>
          </w:p>
        </w:tc>
        <w:tc>
          <w:tcPr>
            <w:tcW w:w="5447" w:type="dxa"/>
            <w:vAlign w:val="top"/>
          </w:tcPr>
          <w:p w14:paraId="20C20CAB">
            <w:pPr>
              <w:pStyle w:val="11"/>
              <w:spacing w:before="72" w:line="240" w:lineRule="auto"/>
              <w:ind w:left="113"/>
              <w:rPr>
                <w:rFonts w:ascii="宋体" w:hAnsi="宋体" w:eastAsia="宋体" w:cs="宋体"/>
                <w:color w:val="auto"/>
                <w:spacing w:val="4"/>
                <w:highlight w:val="none"/>
              </w:rPr>
            </w:pPr>
            <w:r>
              <w:rPr>
                <w:rFonts w:hint="eastAsia"/>
                <w:color w:val="auto"/>
                <w:highlight w:val="none"/>
                <w:lang w:val="en-US" w:eastAsia="zh-CN"/>
              </w:rPr>
              <w:t>9152.83</w:t>
            </w:r>
            <w:r>
              <w:rPr>
                <w:rFonts w:ascii="宋体" w:hAnsi="宋体" w:eastAsia="宋体" w:cs="宋体"/>
                <w:color w:val="auto"/>
                <w:spacing w:val="4"/>
                <w:highlight w:val="none"/>
              </w:rPr>
              <w:t>万元</w:t>
            </w:r>
          </w:p>
        </w:tc>
      </w:tr>
      <w:tr w14:paraId="02CD4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34D87F2E">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1.1.7</w:t>
            </w:r>
          </w:p>
        </w:tc>
        <w:tc>
          <w:tcPr>
            <w:tcW w:w="2121" w:type="dxa"/>
            <w:vAlign w:val="top"/>
          </w:tcPr>
          <w:p w14:paraId="114348F7">
            <w:pPr>
              <w:pStyle w:val="11"/>
              <w:spacing w:before="147" w:line="221" w:lineRule="auto"/>
              <w:ind w:left="460"/>
              <w:rPr>
                <w:color w:val="auto"/>
                <w:highlight w:val="none"/>
              </w:rPr>
            </w:pPr>
            <w:r>
              <w:rPr>
                <w:color w:val="auto"/>
                <w:spacing w:val="-5"/>
                <w:highlight w:val="none"/>
              </w:rPr>
              <w:t>电子交易系统</w:t>
            </w:r>
          </w:p>
        </w:tc>
        <w:tc>
          <w:tcPr>
            <w:tcW w:w="5447" w:type="dxa"/>
            <w:vAlign w:val="top"/>
          </w:tcPr>
          <w:p w14:paraId="2A6D5ED8">
            <w:pPr>
              <w:pStyle w:val="11"/>
              <w:tabs>
                <w:tab w:val="left" w:pos="1643"/>
              </w:tabs>
              <w:spacing w:before="146" w:line="222" w:lineRule="auto"/>
              <w:ind w:left="103"/>
              <w:rPr>
                <w:color w:val="auto"/>
                <w:highlight w:val="none"/>
              </w:rPr>
            </w:pPr>
            <w:r>
              <w:rPr>
                <w:rFonts w:hint="eastAsia"/>
                <w:color w:val="auto"/>
                <w:highlight w:val="none"/>
              </w:rPr>
              <w:t>辽宁省房屋建筑和市政工程电子交易系统</w:t>
            </w:r>
            <w:r>
              <w:rPr>
                <w:rFonts w:hint="eastAsia"/>
                <w:color w:val="auto"/>
                <w:highlight w:val="none"/>
              </w:rPr>
              <w:br w:type="textWrapping"/>
            </w:r>
            <w:r>
              <w:rPr>
                <w:rFonts w:hint="eastAsia"/>
                <w:color w:val="auto"/>
                <w:highlight w:val="none"/>
              </w:rPr>
              <w:t>（工程咨询）</w:t>
            </w:r>
          </w:p>
        </w:tc>
      </w:tr>
      <w:tr w14:paraId="2409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4" w:type="dxa"/>
            <w:vAlign w:val="top"/>
          </w:tcPr>
          <w:p w14:paraId="65F2F932">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1.2.1</w:t>
            </w:r>
          </w:p>
        </w:tc>
        <w:tc>
          <w:tcPr>
            <w:tcW w:w="2121" w:type="dxa"/>
            <w:vAlign w:val="top"/>
          </w:tcPr>
          <w:p w14:paraId="6F9AB209">
            <w:pPr>
              <w:pStyle w:val="11"/>
              <w:spacing w:before="146" w:line="221" w:lineRule="auto"/>
              <w:ind w:left="656"/>
              <w:rPr>
                <w:color w:val="auto"/>
                <w:highlight w:val="none"/>
              </w:rPr>
            </w:pPr>
            <w:r>
              <w:rPr>
                <w:color w:val="auto"/>
                <w:spacing w:val="-3"/>
                <w:highlight w:val="none"/>
              </w:rPr>
              <w:t>资金来源</w:t>
            </w:r>
          </w:p>
        </w:tc>
        <w:tc>
          <w:tcPr>
            <w:tcW w:w="5447" w:type="dxa"/>
            <w:vAlign w:val="top"/>
          </w:tcPr>
          <w:p w14:paraId="6E3297AD">
            <w:pPr>
              <w:rPr>
                <w:rFonts w:hint="default" w:ascii="Arial" w:eastAsia="仿宋_GB2312"/>
                <w:color w:val="auto"/>
                <w:sz w:val="21"/>
                <w:highlight w:val="none"/>
                <w:lang w:val="en-US" w:eastAsia="zh-CN"/>
              </w:rPr>
            </w:pPr>
            <w:r>
              <w:rPr>
                <w:rFonts w:hint="eastAsia" w:ascii="仿宋_GB2312" w:eastAsia="仿宋_GB2312" w:cs="宋体"/>
                <w:color w:val="auto"/>
                <w:sz w:val="24"/>
                <w:szCs w:val="24"/>
                <w:highlight w:val="none"/>
                <w:lang w:val="en-US" w:eastAsia="zh-CN"/>
              </w:rPr>
              <w:t>财政资金</w:t>
            </w:r>
          </w:p>
        </w:tc>
      </w:tr>
      <w:tr w14:paraId="684D5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9159BA7">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1.2.2</w:t>
            </w:r>
          </w:p>
        </w:tc>
        <w:tc>
          <w:tcPr>
            <w:tcW w:w="2121" w:type="dxa"/>
            <w:vAlign w:val="top"/>
          </w:tcPr>
          <w:p w14:paraId="33D12BDF">
            <w:pPr>
              <w:pStyle w:val="11"/>
              <w:spacing w:before="147" w:line="222" w:lineRule="auto"/>
              <w:ind w:left="665"/>
              <w:rPr>
                <w:color w:val="auto"/>
                <w:highlight w:val="none"/>
              </w:rPr>
            </w:pPr>
            <w:r>
              <w:rPr>
                <w:color w:val="auto"/>
                <w:spacing w:val="-5"/>
                <w:highlight w:val="none"/>
              </w:rPr>
              <w:t>出资比例</w:t>
            </w:r>
          </w:p>
        </w:tc>
        <w:tc>
          <w:tcPr>
            <w:tcW w:w="5447" w:type="dxa"/>
            <w:vAlign w:val="top"/>
          </w:tcPr>
          <w:p w14:paraId="41F709C1">
            <w:pPr>
              <w:rPr>
                <w:rFonts w:hint="default" w:ascii="Arial" w:eastAsia="宋体"/>
                <w:color w:val="auto"/>
                <w:sz w:val="21"/>
                <w:highlight w:val="none"/>
                <w:lang w:val="en-US" w:eastAsia="zh-CN"/>
              </w:rPr>
            </w:pPr>
            <w:r>
              <w:rPr>
                <w:rFonts w:hint="eastAsia" w:eastAsia="宋体"/>
                <w:color w:val="auto"/>
                <w:highlight w:val="none"/>
                <w:lang w:val="en-US" w:eastAsia="zh-CN"/>
              </w:rPr>
              <w:t>100%财政资金</w:t>
            </w:r>
          </w:p>
        </w:tc>
      </w:tr>
      <w:tr w14:paraId="5DFBB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424B0AB2">
            <w:pPr>
              <w:spacing w:before="189"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1.2.3</w:t>
            </w:r>
          </w:p>
        </w:tc>
        <w:tc>
          <w:tcPr>
            <w:tcW w:w="2121" w:type="dxa"/>
            <w:vAlign w:val="top"/>
          </w:tcPr>
          <w:p w14:paraId="721710DC">
            <w:pPr>
              <w:pStyle w:val="11"/>
              <w:spacing w:before="152" w:line="219" w:lineRule="auto"/>
              <w:ind w:left="331"/>
              <w:rPr>
                <w:color w:val="auto"/>
                <w:highlight w:val="none"/>
              </w:rPr>
            </w:pPr>
            <w:r>
              <w:rPr>
                <w:color w:val="auto"/>
                <w:spacing w:val="-1"/>
                <w:highlight w:val="none"/>
              </w:rPr>
              <w:t>标段合同估算价</w:t>
            </w:r>
          </w:p>
        </w:tc>
        <w:tc>
          <w:tcPr>
            <w:tcW w:w="5447" w:type="dxa"/>
            <w:vAlign w:val="top"/>
          </w:tcPr>
          <w:p w14:paraId="049E9114">
            <w:pPr>
              <w:pStyle w:val="11"/>
              <w:tabs>
                <w:tab w:val="left" w:pos="1630"/>
              </w:tabs>
              <w:spacing w:before="152" w:line="221" w:lineRule="auto"/>
              <w:ind w:left="103"/>
              <w:rPr>
                <w:color w:val="auto"/>
                <w:highlight w:val="none"/>
              </w:rPr>
            </w:pPr>
            <w:r>
              <w:rPr>
                <w:rFonts w:hint="eastAsia"/>
                <w:color w:val="auto"/>
                <w:highlight w:val="none"/>
                <w:lang w:val="en-US" w:eastAsia="zh-CN"/>
              </w:rPr>
              <w:t>822</w:t>
            </w:r>
            <w:r>
              <w:rPr>
                <w:rFonts w:hint="eastAsia"/>
                <w:color w:val="auto"/>
                <w:highlight w:val="none"/>
                <w:lang w:eastAsia="zh-CN"/>
              </w:rPr>
              <w:t>万元</w:t>
            </w:r>
          </w:p>
        </w:tc>
      </w:tr>
      <w:tr w14:paraId="6B86D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2ABF75B3">
            <w:pPr>
              <w:spacing w:before="184"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1.2.4</w:t>
            </w:r>
          </w:p>
        </w:tc>
        <w:tc>
          <w:tcPr>
            <w:tcW w:w="2121" w:type="dxa"/>
            <w:vAlign w:val="top"/>
          </w:tcPr>
          <w:p w14:paraId="2BC2FE4A">
            <w:pPr>
              <w:pStyle w:val="11"/>
              <w:spacing w:before="148" w:line="221" w:lineRule="auto"/>
              <w:ind w:left="445"/>
              <w:rPr>
                <w:color w:val="auto"/>
                <w:highlight w:val="none"/>
              </w:rPr>
            </w:pPr>
            <w:r>
              <w:rPr>
                <w:color w:val="auto"/>
                <w:spacing w:val="-2"/>
                <w:highlight w:val="none"/>
              </w:rPr>
              <w:t>资金落实情况</w:t>
            </w:r>
          </w:p>
        </w:tc>
        <w:tc>
          <w:tcPr>
            <w:tcW w:w="5447" w:type="dxa"/>
            <w:vAlign w:val="top"/>
          </w:tcPr>
          <w:p w14:paraId="53B6C466">
            <w:pPr>
              <w:rPr>
                <w:rFonts w:ascii="Arial"/>
                <w:color w:val="auto"/>
                <w:sz w:val="21"/>
                <w:highlight w:val="none"/>
              </w:rPr>
            </w:pPr>
            <w:r>
              <w:rPr>
                <w:rFonts w:hint="eastAsia"/>
                <w:color w:val="auto"/>
                <w:highlight w:val="none"/>
                <w:lang w:eastAsia="zh-CN"/>
              </w:rPr>
              <w:t>已落实</w:t>
            </w:r>
          </w:p>
        </w:tc>
      </w:tr>
      <w:tr w14:paraId="26623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854" w:type="dxa"/>
            <w:vAlign w:val="top"/>
          </w:tcPr>
          <w:p w14:paraId="488A9B25">
            <w:pPr>
              <w:spacing w:line="463" w:lineRule="auto"/>
              <w:rPr>
                <w:rFonts w:ascii="Arial"/>
                <w:color w:val="auto"/>
                <w:sz w:val="21"/>
                <w:highlight w:val="none"/>
              </w:rPr>
            </w:pPr>
          </w:p>
          <w:p w14:paraId="128420C8">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1.3.1</w:t>
            </w:r>
          </w:p>
        </w:tc>
        <w:tc>
          <w:tcPr>
            <w:tcW w:w="2121" w:type="dxa"/>
            <w:vAlign w:val="top"/>
          </w:tcPr>
          <w:p w14:paraId="2C7B6B57">
            <w:pPr>
              <w:spacing w:line="419" w:lineRule="auto"/>
              <w:rPr>
                <w:rFonts w:ascii="Arial"/>
                <w:color w:val="auto"/>
                <w:sz w:val="21"/>
                <w:highlight w:val="none"/>
              </w:rPr>
            </w:pPr>
          </w:p>
          <w:p w14:paraId="18656DE4">
            <w:pPr>
              <w:pStyle w:val="11"/>
              <w:spacing w:before="68" w:line="221" w:lineRule="auto"/>
              <w:ind w:left="648"/>
              <w:rPr>
                <w:color w:val="auto"/>
                <w:highlight w:val="none"/>
              </w:rPr>
            </w:pPr>
            <w:r>
              <w:rPr>
                <w:color w:val="auto"/>
                <w:spacing w:val="-1"/>
                <w:highlight w:val="none"/>
              </w:rPr>
              <w:t>招标范围</w:t>
            </w:r>
          </w:p>
        </w:tc>
        <w:tc>
          <w:tcPr>
            <w:tcW w:w="5447" w:type="dxa"/>
            <w:vAlign w:val="top"/>
          </w:tcPr>
          <w:p w14:paraId="6C939BD9">
            <w:pPr>
              <w:spacing w:line="397" w:lineRule="auto"/>
              <w:rPr>
                <w:rFonts w:ascii="Arial"/>
                <w:color w:val="auto"/>
                <w:sz w:val="21"/>
                <w:highlight w:val="none"/>
              </w:rPr>
            </w:pPr>
            <w:r>
              <w:rPr>
                <w:rFonts w:hint="eastAsia"/>
                <w:color w:val="auto"/>
                <w:highlight w:val="none"/>
                <w:lang w:eastAsia="zh-CN"/>
              </w:rPr>
              <w:t>本项目拟收购两个住宅项目用于保障性租赁住房，其中本标段为金沙滩澜湾小区（二期项目）共275套住房，面积共计16440.00平方米，对其进行装修改造，并配置家具家电。</w:t>
            </w:r>
          </w:p>
          <w:p w14:paraId="4C7388F1">
            <w:pPr>
              <w:pStyle w:val="11"/>
              <w:spacing w:before="134" w:line="220" w:lineRule="auto"/>
              <w:rPr>
                <w:color w:val="auto"/>
                <w:highlight w:val="none"/>
              </w:rPr>
            </w:pPr>
            <w:r>
              <w:rPr>
                <w:color w:val="auto"/>
                <w:spacing w:val="-1"/>
                <w:highlight w:val="none"/>
              </w:rPr>
              <w:t>关于招标范围的详细说明见第七章“技术标准和要求”。</w:t>
            </w:r>
          </w:p>
        </w:tc>
      </w:tr>
      <w:tr w14:paraId="4CAA7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8" w:hRule="atLeast"/>
        </w:trPr>
        <w:tc>
          <w:tcPr>
            <w:tcW w:w="854" w:type="dxa"/>
            <w:vAlign w:val="top"/>
          </w:tcPr>
          <w:p w14:paraId="3BC2AAF6">
            <w:pPr>
              <w:spacing w:line="243" w:lineRule="auto"/>
              <w:rPr>
                <w:rFonts w:ascii="Arial"/>
                <w:color w:val="auto"/>
                <w:sz w:val="21"/>
                <w:highlight w:val="none"/>
              </w:rPr>
            </w:pPr>
          </w:p>
          <w:p w14:paraId="0EF2018B">
            <w:pPr>
              <w:spacing w:line="243" w:lineRule="auto"/>
              <w:rPr>
                <w:rFonts w:ascii="Arial"/>
                <w:color w:val="auto"/>
                <w:sz w:val="21"/>
                <w:highlight w:val="none"/>
              </w:rPr>
            </w:pPr>
          </w:p>
          <w:p w14:paraId="435B0B43">
            <w:pPr>
              <w:spacing w:line="244" w:lineRule="auto"/>
              <w:rPr>
                <w:rFonts w:ascii="Arial"/>
                <w:color w:val="auto"/>
                <w:sz w:val="21"/>
                <w:highlight w:val="none"/>
              </w:rPr>
            </w:pPr>
          </w:p>
          <w:p w14:paraId="412800D6">
            <w:pPr>
              <w:spacing w:line="244" w:lineRule="auto"/>
              <w:rPr>
                <w:rFonts w:ascii="Arial"/>
                <w:color w:val="auto"/>
                <w:sz w:val="21"/>
                <w:highlight w:val="none"/>
              </w:rPr>
            </w:pPr>
          </w:p>
          <w:p w14:paraId="209409F9">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1.3.2</w:t>
            </w:r>
          </w:p>
        </w:tc>
        <w:tc>
          <w:tcPr>
            <w:tcW w:w="2121" w:type="dxa"/>
            <w:vAlign w:val="top"/>
          </w:tcPr>
          <w:p w14:paraId="2F314F5E">
            <w:pPr>
              <w:spacing w:line="310" w:lineRule="auto"/>
              <w:rPr>
                <w:rFonts w:ascii="Arial"/>
                <w:color w:val="auto"/>
                <w:sz w:val="21"/>
                <w:highlight w:val="none"/>
              </w:rPr>
            </w:pPr>
          </w:p>
          <w:p w14:paraId="0D2CFAD2">
            <w:pPr>
              <w:spacing w:line="310" w:lineRule="auto"/>
              <w:rPr>
                <w:rFonts w:ascii="Arial"/>
                <w:color w:val="auto"/>
                <w:sz w:val="21"/>
                <w:highlight w:val="none"/>
              </w:rPr>
            </w:pPr>
          </w:p>
          <w:p w14:paraId="344A36E7">
            <w:pPr>
              <w:spacing w:line="310" w:lineRule="auto"/>
              <w:rPr>
                <w:rFonts w:ascii="Arial"/>
                <w:color w:val="auto"/>
                <w:sz w:val="21"/>
                <w:highlight w:val="none"/>
              </w:rPr>
            </w:pPr>
          </w:p>
          <w:p w14:paraId="44D27B73">
            <w:pPr>
              <w:pStyle w:val="11"/>
              <w:spacing w:before="68" w:line="221" w:lineRule="auto"/>
              <w:ind w:left="647"/>
              <w:rPr>
                <w:color w:val="auto"/>
                <w:highlight w:val="none"/>
              </w:rPr>
            </w:pPr>
            <w:r>
              <w:rPr>
                <w:color w:val="auto"/>
                <w:spacing w:val="-1"/>
                <w:highlight w:val="none"/>
              </w:rPr>
              <w:t>计划工期</w:t>
            </w:r>
          </w:p>
        </w:tc>
        <w:tc>
          <w:tcPr>
            <w:tcW w:w="5447" w:type="dxa"/>
            <w:vAlign w:val="top"/>
          </w:tcPr>
          <w:p w14:paraId="696192E4">
            <w:pPr>
              <w:pStyle w:val="11"/>
              <w:spacing w:before="202" w:line="221" w:lineRule="auto"/>
              <w:ind w:left="111"/>
              <w:rPr>
                <w:color w:val="auto"/>
                <w:highlight w:val="none"/>
              </w:rPr>
            </w:pPr>
            <w:r>
              <w:rPr>
                <w:color w:val="auto"/>
                <w:spacing w:val="-26"/>
                <w:highlight w:val="none"/>
              </w:rPr>
              <w:t>计划工期：</w:t>
            </w:r>
            <w:r>
              <w:rPr>
                <w:color w:val="auto"/>
                <w:spacing w:val="49"/>
                <w:highlight w:val="none"/>
              </w:rPr>
              <w:t xml:space="preserve"> </w:t>
            </w:r>
            <w:r>
              <w:rPr>
                <w:color w:val="auto"/>
                <w:spacing w:val="17"/>
                <w:highlight w:val="none"/>
                <w:u w:val="single" w:color="auto"/>
              </w:rPr>
              <w:t xml:space="preserve"> </w:t>
            </w:r>
            <w:r>
              <w:rPr>
                <w:rFonts w:hint="eastAsia"/>
                <w:color w:val="auto"/>
                <w:spacing w:val="17"/>
                <w:highlight w:val="none"/>
                <w:u w:val="single" w:color="auto"/>
                <w:lang w:val="en-US" w:eastAsia="zh-CN"/>
              </w:rPr>
              <w:t>67日历天</w:t>
            </w:r>
            <w:r>
              <w:rPr>
                <w:color w:val="auto"/>
                <w:spacing w:val="-26"/>
                <w:highlight w:val="none"/>
              </w:rPr>
              <w:t>；</w:t>
            </w:r>
          </w:p>
          <w:p w14:paraId="0ACC35B6">
            <w:pPr>
              <w:pStyle w:val="11"/>
              <w:spacing w:before="69" w:line="279" w:lineRule="auto"/>
              <w:ind w:left="111"/>
              <w:rPr>
                <w:color w:val="auto"/>
                <w:highlight w:val="none"/>
              </w:rPr>
            </w:pPr>
            <w:r>
              <w:rPr>
                <w:color w:val="auto"/>
                <w:spacing w:val="-7"/>
                <w:highlight w:val="none"/>
              </w:rPr>
              <w:t>计划开工日期：</w:t>
            </w:r>
            <w:r>
              <w:rPr>
                <w:color w:val="auto"/>
                <w:spacing w:val="-28"/>
                <w:highlight w:val="none"/>
              </w:rPr>
              <w:t xml:space="preserve"> </w:t>
            </w:r>
            <w:r>
              <w:rPr>
                <w:rFonts w:hint="eastAsia"/>
                <w:color w:val="auto"/>
                <w:spacing w:val="10"/>
                <w:highlight w:val="none"/>
                <w:u w:val="single" w:color="auto"/>
                <w:lang w:val="en-US" w:eastAsia="zh-CN"/>
              </w:rPr>
              <w:t>2026年4月24日</w:t>
            </w:r>
          </w:p>
          <w:p w14:paraId="571493F3">
            <w:pPr>
              <w:pStyle w:val="11"/>
              <w:spacing w:line="220" w:lineRule="auto"/>
              <w:ind w:left="111"/>
              <w:rPr>
                <w:color w:val="auto"/>
                <w:highlight w:val="none"/>
              </w:rPr>
            </w:pPr>
            <w:r>
              <w:rPr>
                <w:color w:val="auto"/>
                <w:spacing w:val="-13"/>
                <w:highlight w:val="none"/>
              </w:rPr>
              <w:t>计划竣工日期：</w:t>
            </w:r>
            <w:r>
              <w:rPr>
                <w:color w:val="auto"/>
                <w:spacing w:val="-27"/>
                <w:highlight w:val="none"/>
              </w:rPr>
              <w:t xml:space="preserve"> </w:t>
            </w:r>
            <w:r>
              <w:rPr>
                <w:rFonts w:hint="eastAsia"/>
                <w:color w:val="auto"/>
                <w:spacing w:val="10"/>
                <w:highlight w:val="none"/>
                <w:u w:val="single" w:color="auto"/>
                <w:lang w:val="en-US" w:eastAsia="zh-CN"/>
              </w:rPr>
              <w:t>2026</w:t>
            </w:r>
            <w:r>
              <w:rPr>
                <w:color w:val="auto"/>
                <w:spacing w:val="-13"/>
                <w:highlight w:val="none"/>
              </w:rPr>
              <w:t>年</w:t>
            </w:r>
            <w:r>
              <w:rPr>
                <w:rFonts w:hint="eastAsia"/>
                <w:color w:val="auto"/>
                <w:spacing w:val="-13"/>
                <w:highlight w:val="none"/>
                <w:lang w:val="en-US" w:eastAsia="zh-CN"/>
              </w:rPr>
              <w:t>6</w:t>
            </w:r>
            <w:r>
              <w:rPr>
                <w:color w:val="auto"/>
                <w:spacing w:val="-13"/>
                <w:highlight w:val="none"/>
              </w:rPr>
              <w:t>月</w:t>
            </w:r>
            <w:r>
              <w:rPr>
                <w:rFonts w:hint="eastAsia"/>
                <w:color w:val="auto"/>
                <w:spacing w:val="14"/>
                <w:highlight w:val="none"/>
                <w:u w:val="single" w:color="auto"/>
                <w:lang w:val="en-US" w:eastAsia="zh-CN"/>
              </w:rPr>
              <w:t>30</w:t>
            </w:r>
            <w:r>
              <w:rPr>
                <w:color w:val="auto"/>
                <w:spacing w:val="-13"/>
                <w:highlight w:val="none"/>
              </w:rPr>
              <w:t>日。</w:t>
            </w:r>
          </w:p>
          <w:p w14:paraId="7C02243C">
            <w:pPr>
              <w:pStyle w:val="11"/>
              <w:spacing w:before="70" w:line="221" w:lineRule="auto"/>
              <w:ind w:left="123"/>
              <w:rPr>
                <w:color w:val="auto"/>
                <w:highlight w:val="none"/>
              </w:rPr>
            </w:pPr>
            <w:r>
              <w:rPr>
                <w:color w:val="auto"/>
                <w:spacing w:val="-3"/>
                <w:highlight w:val="none"/>
              </w:rPr>
              <w:t>除上述总工期外，发包人还要求以下区段工期：</w:t>
            </w:r>
          </w:p>
          <w:p w14:paraId="0CFA22E6">
            <w:pPr>
              <w:pStyle w:val="11"/>
              <w:tabs>
                <w:tab w:val="left" w:pos="2340"/>
              </w:tabs>
              <w:spacing w:before="206" w:line="174" w:lineRule="auto"/>
              <w:ind w:left="103"/>
              <w:rPr>
                <w:color w:val="auto"/>
                <w:sz w:val="7"/>
                <w:szCs w:val="7"/>
                <w:highlight w:val="none"/>
              </w:rPr>
            </w:pPr>
            <w:r>
              <w:rPr>
                <w:rFonts w:hint="eastAsia"/>
                <w:color w:val="auto"/>
                <w:sz w:val="7"/>
                <w:szCs w:val="7"/>
                <w:highlight w:val="none"/>
                <w:u w:val="single" w:color="auto"/>
                <w:lang w:val="en-US" w:eastAsia="zh-CN"/>
              </w:rPr>
              <w:t>/</w:t>
            </w:r>
            <w:r>
              <w:rPr>
                <w:color w:val="auto"/>
                <w:sz w:val="7"/>
                <w:szCs w:val="7"/>
                <w:highlight w:val="none"/>
                <w:u w:val="single" w:color="auto"/>
              </w:rPr>
              <w:tab/>
            </w:r>
            <w:r>
              <w:rPr>
                <w:color w:val="auto"/>
                <w:sz w:val="7"/>
                <w:szCs w:val="7"/>
                <w:highlight w:val="none"/>
                <w:u w:val="single" w:color="auto"/>
              </w:rPr>
              <w:t xml:space="preserve">。    </w:t>
            </w:r>
          </w:p>
          <w:p w14:paraId="447A8EB7">
            <w:pPr>
              <w:pStyle w:val="11"/>
              <w:spacing w:before="115" w:line="220" w:lineRule="auto"/>
              <w:ind w:left="112"/>
              <w:rPr>
                <w:color w:val="auto"/>
                <w:highlight w:val="none"/>
              </w:rPr>
            </w:pPr>
            <w:r>
              <w:rPr>
                <w:color w:val="auto"/>
                <w:spacing w:val="-1"/>
                <w:highlight w:val="none"/>
              </w:rPr>
              <w:t>有关工期的详细要求见第七章“技术标准和要求”。</w:t>
            </w:r>
          </w:p>
        </w:tc>
      </w:tr>
    </w:tbl>
    <w:p w14:paraId="5F6F39F7">
      <w:pPr>
        <w:pStyle w:val="3"/>
        <w:rPr>
          <w:color w:val="auto"/>
          <w:highlight w:val="none"/>
        </w:rPr>
      </w:pPr>
    </w:p>
    <w:p w14:paraId="74072617">
      <w:pPr>
        <w:rPr>
          <w:color w:val="auto"/>
          <w:highlight w:val="none"/>
        </w:rPr>
        <w:sectPr>
          <w:footerReference r:id="rId17" w:type="default"/>
          <w:pgSz w:w="11905" w:h="16839"/>
          <w:pgMar w:top="1421" w:right="1733" w:bottom="1036" w:left="1742" w:header="0" w:footer="847" w:gutter="0"/>
          <w:pgNumType w:fmt="decimal"/>
          <w:cols w:space="720" w:num="1"/>
        </w:sectPr>
      </w:pPr>
    </w:p>
    <w:p w14:paraId="0826BF2C">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F96C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54" w:type="dxa"/>
            <w:vAlign w:val="top"/>
          </w:tcPr>
          <w:p w14:paraId="6DA92A03">
            <w:pPr>
              <w:spacing w:line="373" w:lineRule="auto"/>
              <w:rPr>
                <w:rFonts w:ascii="Arial"/>
                <w:color w:val="auto"/>
                <w:sz w:val="21"/>
                <w:highlight w:val="none"/>
              </w:rPr>
            </w:pPr>
          </w:p>
          <w:p w14:paraId="4ED50CA5">
            <w:pPr>
              <w:spacing w:before="60" w:line="189" w:lineRule="auto"/>
              <w:ind w:left="236"/>
              <w:rPr>
                <w:rFonts w:ascii="Times New Roman" w:hAnsi="Times New Roman" w:eastAsia="Times New Roman" w:cs="Times New Roman"/>
                <w:color w:val="auto"/>
                <w:sz w:val="21"/>
                <w:szCs w:val="21"/>
                <w:highlight w:val="none"/>
              </w:rPr>
            </w:pPr>
            <w:bookmarkStart w:id="26" w:name="bookmark50"/>
            <w:bookmarkEnd w:id="26"/>
            <w:bookmarkStart w:id="27" w:name="bookmark51"/>
            <w:bookmarkEnd w:id="27"/>
            <w:r>
              <w:rPr>
                <w:rFonts w:ascii="Times New Roman" w:hAnsi="Times New Roman" w:eastAsia="Times New Roman" w:cs="Times New Roman"/>
                <w:color w:val="auto"/>
                <w:spacing w:val="-4"/>
                <w:sz w:val="21"/>
                <w:szCs w:val="21"/>
                <w:highlight w:val="none"/>
              </w:rPr>
              <w:t>1.3.3</w:t>
            </w:r>
          </w:p>
        </w:tc>
        <w:tc>
          <w:tcPr>
            <w:tcW w:w="2121" w:type="dxa"/>
            <w:vAlign w:val="top"/>
          </w:tcPr>
          <w:p w14:paraId="623C627C">
            <w:pPr>
              <w:spacing w:line="329" w:lineRule="auto"/>
              <w:rPr>
                <w:rFonts w:ascii="Arial"/>
                <w:color w:val="auto"/>
                <w:sz w:val="21"/>
                <w:highlight w:val="none"/>
              </w:rPr>
            </w:pPr>
          </w:p>
          <w:p w14:paraId="6EA79A69">
            <w:pPr>
              <w:pStyle w:val="11"/>
              <w:spacing w:before="68" w:line="221" w:lineRule="auto"/>
              <w:ind w:left="648"/>
              <w:rPr>
                <w:color w:val="auto"/>
                <w:highlight w:val="none"/>
              </w:rPr>
            </w:pPr>
            <w:r>
              <w:rPr>
                <w:color w:val="auto"/>
                <w:spacing w:val="-1"/>
                <w:highlight w:val="none"/>
              </w:rPr>
              <w:t>质量要求</w:t>
            </w:r>
          </w:p>
        </w:tc>
        <w:tc>
          <w:tcPr>
            <w:tcW w:w="5447" w:type="dxa"/>
            <w:vAlign w:val="top"/>
          </w:tcPr>
          <w:p w14:paraId="086AAB65">
            <w:pPr>
              <w:pStyle w:val="11"/>
              <w:spacing w:before="81" w:line="221" w:lineRule="auto"/>
              <w:ind w:left="112"/>
              <w:rPr>
                <w:color w:val="auto"/>
                <w:highlight w:val="none"/>
              </w:rPr>
            </w:pPr>
            <w:r>
              <w:rPr>
                <w:color w:val="auto"/>
                <w:spacing w:val="-21"/>
                <w:highlight w:val="none"/>
              </w:rPr>
              <w:t>质量目标：</w:t>
            </w:r>
            <w:r>
              <w:rPr>
                <w:color w:val="auto"/>
                <w:spacing w:val="52"/>
                <w:highlight w:val="none"/>
              </w:rPr>
              <w:t xml:space="preserve"> </w:t>
            </w:r>
            <w:r>
              <w:rPr>
                <w:color w:val="auto"/>
                <w:spacing w:val="-48"/>
                <w:highlight w:val="none"/>
                <w:u w:val="single" w:color="auto"/>
              </w:rPr>
              <w:t xml:space="preserve"> </w:t>
            </w:r>
            <w:r>
              <w:rPr>
                <w:color w:val="auto"/>
                <w:spacing w:val="-21"/>
                <w:highlight w:val="none"/>
                <w:u w:val="single" w:color="auto"/>
              </w:rPr>
              <w:t>合格；</w:t>
            </w:r>
          </w:p>
          <w:p w14:paraId="4532D9B6">
            <w:pPr>
              <w:pStyle w:val="11"/>
              <w:spacing w:before="66" w:line="221" w:lineRule="auto"/>
              <w:ind w:left="112"/>
              <w:rPr>
                <w:color w:val="auto"/>
                <w:highlight w:val="none"/>
              </w:rPr>
            </w:pPr>
            <w:r>
              <w:rPr>
                <w:color w:val="auto"/>
                <w:spacing w:val="-27"/>
                <w:highlight w:val="none"/>
              </w:rPr>
              <w:t>其他要求：</w:t>
            </w:r>
            <w:r>
              <w:rPr>
                <w:color w:val="auto"/>
                <w:spacing w:val="53"/>
                <w:highlight w:val="none"/>
              </w:rPr>
              <w:t xml:space="preserve"> </w:t>
            </w:r>
            <w:r>
              <w:rPr>
                <w:color w:val="auto"/>
                <w:spacing w:val="3"/>
                <w:highlight w:val="none"/>
                <w:u w:val="single" w:color="auto"/>
              </w:rPr>
              <w:t xml:space="preserve">             </w:t>
            </w:r>
            <w:r>
              <w:rPr>
                <w:color w:val="auto"/>
                <w:spacing w:val="-27"/>
                <w:highlight w:val="none"/>
                <w:u w:val="single" w:color="auto"/>
              </w:rPr>
              <w:t>。</w:t>
            </w:r>
          </w:p>
          <w:p w14:paraId="4E63BF5A">
            <w:pPr>
              <w:pStyle w:val="11"/>
              <w:spacing w:before="70" w:line="210" w:lineRule="auto"/>
              <w:ind w:left="114"/>
              <w:rPr>
                <w:color w:val="auto"/>
                <w:highlight w:val="none"/>
              </w:rPr>
            </w:pPr>
            <w:r>
              <w:rPr>
                <w:color w:val="auto"/>
                <w:spacing w:val="-1"/>
                <w:highlight w:val="none"/>
              </w:rPr>
              <w:t>关于质量要求的详细说明见第七章“技术标准和要求”。</w:t>
            </w:r>
          </w:p>
        </w:tc>
      </w:tr>
      <w:tr w14:paraId="0AB2B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854" w:type="dxa"/>
            <w:vAlign w:val="top"/>
          </w:tcPr>
          <w:p w14:paraId="57664BC8">
            <w:pPr>
              <w:spacing w:line="253" w:lineRule="auto"/>
              <w:rPr>
                <w:rFonts w:ascii="Arial"/>
                <w:color w:val="auto"/>
                <w:sz w:val="21"/>
                <w:highlight w:val="none"/>
              </w:rPr>
            </w:pPr>
          </w:p>
          <w:p w14:paraId="1D5F75AF">
            <w:pPr>
              <w:spacing w:line="253" w:lineRule="auto"/>
              <w:rPr>
                <w:rFonts w:ascii="Arial"/>
                <w:color w:val="auto"/>
                <w:sz w:val="21"/>
                <w:highlight w:val="none"/>
              </w:rPr>
            </w:pPr>
          </w:p>
          <w:p w14:paraId="4501D85A">
            <w:pPr>
              <w:spacing w:line="253" w:lineRule="auto"/>
              <w:rPr>
                <w:rFonts w:ascii="Arial"/>
                <w:color w:val="auto"/>
                <w:sz w:val="21"/>
                <w:highlight w:val="none"/>
              </w:rPr>
            </w:pPr>
          </w:p>
          <w:p w14:paraId="483ED654">
            <w:pPr>
              <w:spacing w:line="253" w:lineRule="auto"/>
              <w:rPr>
                <w:rFonts w:ascii="Arial"/>
                <w:color w:val="auto"/>
                <w:sz w:val="21"/>
                <w:highlight w:val="none"/>
              </w:rPr>
            </w:pPr>
          </w:p>
          <w:p w14:paraId="04A1E04B">
            <w:pPr>
              <w:spacing w:line="253" w:lineRule="auto"/>
              <w:rPr>
                <w:rFonts w:ascii="Arial"/>
                <w:color w:val="auto"/>
                <w:sz w:val="21"/>
                <w:highlight w:val="none"/>
              </w:rPr>
            </w:pPr>
          </w:p>
          <w:p w14:paraId="203AC5E4">
            <w:pPr>
              <w:spacing w:line="254" w:lineRule="auto"/>
              <w:rPr>
                <w:rFonts w:ascii="Arial"/>
                <w:color w:val="auto"/>
                <w:sz w:val="21"/>
                <w:highlight w:val="none"/>
              </w:rPr>
            </w:pPr>
          </w:p>
          <w:p w14:paraId="0EC2A4D9">
            <w:pPr>
              <w:spacing w:line="254" w:lineRule="auto"/>
              <w:rPr>
                <w:rFonts w:ascii="Arial"/>
                <w:color w:val="auto"/>
                <w:sz w:val="21"/>
                <w:highlight w:val="none"/>
              </w:rPr>
            </w:pPr>
          </w:p>
          <w:p w14:paraId="3C55F7A1">
            <w:pPr>
              <w:spacing w:line="254" w:lineRule="auto"/>
              <w:rPr>
                <w:rFonts w:ascii="Arial"/>
                <w:color w:val="auto"/>
                <w:sz w:val="21"/>
                <w:highlight w:val="none"/>
              </w:rPr>
            </w:pPr>
          </w:p>
          <w:p w14:paraId="3A9EA6DC">
            <w:pPr>
              <w:spacing w:line="254" w:lineRule="auto"/>
              <w:rPr>
                <w:rFonts w:ascii="Arial"/>
                <w:color w:val="auto"/>
                <w:sz w:val="21"/>
                <w:highlight w:val="none"/>
              </w:rPr>
            </w:pPr>
          </w:p>
          <w:p w14:paraId="4ECBF963">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1.4.1</w:t>
            </w:r>
          </w:p>
        </w:tc>
        <w:tc>
          <w:tcPr>
            <w:tcW w:w="2121" w:type="dxa"/>
            <w:vAlign w:val="top"/>
          </w:tcPr>
          <w:p w14:paraId="3C7F458B">
            <w:pPr>
              <w:spacing w:line="259" w:lineRule="auto"/>
              <w:rPr>
                <w:rFonts w:ascii="Arial"/>
                <w:color w:val="auto"/>
                <w:sz w:val="21"/>
                <w:highlight w:val="none"/>
              </w:rPr>
            </w:pPr>
          </w:p>
          <w:p w14:paraId="55DB13ED">
            <w:pPr>
              <w:spacing w:line="259" w:lineRule="auto"/>
              <w:rPr>
                <w:rFonts w:ascii="Arial"/>
                <w:color w:val="auto"/>
                <w:sz w:val="21"/>
                <w:highlight w:val="none"/>
              </w:rPr>
            </w:pPr>
          </w:p>
          <w:p w14:paraId="19CE2AC4">
            <w:pPr>
              <w:spacing w:line="259" w:lineRule="auto"/>
              <w:rPr>
                <w:rFonts w:ascii="Arial"/>
                <w:color w:val="auto"/>
                <w:sz w:val="21"/>
                <w:highlight w:val="none"/>
              </w:rPr>
            </w:pPr>
          </w:p>
          <w:p w14:paraId="44AD00A0">
            <w:pPr>
              <w:spacing w:line="259" w:lineRule="auto"/>
              <w:rPr>
                <w:rFonts w:ascii="Arial"/>
                <w:color w:val="auto"/>
                <w:sz w:val="21"/>
                <w:highlight w:val="none"/>
              </w:rPr>
            </w:pPr>
          </w:p>
          <w:p w14:paraId="661B03E0">
            <w:pPr>
              <w:spacing w:line="259" w:lineRule="auto"/>
              <w:rPr>
                <w:rFonts w:ascii="Arial"/>
                <w:color w:val="auto"/>
                <w:sz w:val="21"/>
                <w:highlight w:val="none"/>
              </w:rPr>
            </w:pPr>
          </w:p>
          <w:p w14:paraId="15B013B2">
            <w:pPr>
              <w:spacing w:line="260" w:lineRule="auto"/>
              <w:rPr>
                <w:rFonts w:ascii="Arial"/>
                <w:color w:val="auto"/>
                <w:sz w:val="21"/>
                <w:highlight w:val="none"/>
              </w:rPr>
            </w:pPr>
          </w:p>
          <w:p w14:paraId="5787831F">
            <w:pPr>
              <w:spacing w:line="260" w:lineRule="auto"/>
              <w:rPr>
                <w:rFonts w:ascii="Arial"/>
                <w:color w:val="auto"/>
                <w:sz w:val="21"/>
                <w:highlight w:val="none"/>
              </w:rPr>
            </w:pPr>
          </w:p>
          <w:p w14:paraId="5329245C">
            <w:pPr>
              <w:spacing w:line="260" w:lineRule="auto"/>
              <w:rPr>
                <w:rFonts w:ascii="Arial"/>
                <w:color w:val="auto"/>
                <w:sz w:val="21"/>
                <w:highlight w:val="none"/>
              </w:rPr>
            </w:pPr>
          </w:p>
          <w:p w14:paraId="75E6577A">
            <w:pPr>
              <w:pStyle w:val="11"/>
              <w:spacing w:before="69" w:line="251" w:lineRule="auto"/>
              <w:ind w:left="549" w:right="245" w:hanging="322"/>
              <w:rPr>
                <w:color w:val="auto"/>
                <w:highlight w:val="none"/>
              </w:rPr>
            </w:pPr>
            <w:r>
              <w:rPr>
                <w:color w:val="auto"/>
                <w:spacing w:val="-5"/>
                <w:highlight w:val="none"/>
              </w:rPr>
              <w:t>投标人资质条件、</w:t>
            </w:r>
            <w:r>
              <w:rPr>
                <w:color w:val="auto"/>
                <w:spacing w:val="1"/>
                <w:highlight w:val="none"/>
              </w:rPr>
              <w:t xml:space="preserve"> </w:t>
            </w:r>
            <w:r>
              <w:rPr>
                <w:color w:val="auto"/>
                <w:spacing w:val="-2"/>
                <w:highlight w:val="none"/>
              </w:rPr>
              <w:t>能力和信誉</w:t>
            </w:r>
          </w:p>
        </w:tc>
        <w:tc>
          <w:tcPr>
            <w:tcW w:w="5447" w:type="dxa"/>
            <w:vAlign w:val="top"/>
          </w:tcPr>
          <w:p w14:paraId="3F72B422">
            <w:pPr>
              <w:pStyle w:val="11"/>
              <w:spacing w:before="76" w:line="261" w:lineRule="auto"/>
              <w:ind w:left="114" w:right="109" w:firstLine="5"/>
              <w:rPr>
                <w:color w:val="auto"/>
                <w:highlight w:val="none"/>
              </w:rPr>
            </w:pPr>
            <w:r>
              <w:rPr>
                <w:color w:val="auto"/>
                <w:spacing w:val="-5"/>
                <w:highlight w:val="none"/>
                <w14:textOutline w14:w="3831" w14:cap="flat" w14:cmpd="sng">
                  <w14:solidFill>
                    <w14:srgbClr w14:val="000000"/>
                  </w14:solidFill>
                  <w14:prstDash w14:val="solid"/>
                  <w14:miter w14:val="0"/>
                </w14:textOutline>
              </w:rPr>
              <w:t>资质条件：具备</w:t>
            </w:r>
            <w:r>
              <w:rPr>
                <w:color w:val="auto"/>
                <w:spacing w:val="-104"/>
                <w:highlight w:val="none"/>
              </w:rPr>
              <w:t xml:space="preserve"> </w:t>
            </w:r>
            <w:r>
              <w:rPr>
                <w:rFonts w:ascii="宋体" w:hAnsi="宋体" w:eastAsia="宋体" w:cs="宋体"/>
                <w:color w:val="auto"/>
                <w:spacing w:val="-1"/>
                <w:sz w:val="21"/>
                <w:szCs w:val="21"/>
                <w:highlight w:val="none"/>
              </w:rPr>
              <w:t>具备 [施工总承包·</w:t>
            </w:r>
            <w:r>
              <w:rPr>
                <w:rFonts w:hint="eastAsia" w:cs="宋体"/>
                <w:color w:val="auto"/>
                <w:spacing w:val="-1"/>
                <w:sz w:val="21"/>
                <w:szCs w:val="21"/>
                <w:highlight w:val="none"/>
                <w:lang w:eastAsia="zh-CN"/>
              </w:rPr>
              <w:t>建筑工程</w:t>
            </w:r>
            <w:r>
              <w:rPr>
                <w:rFonts w:ascii="宋体" w:hAnsi="宋体" w:eastAsia="宋体" w:cs="宋体"/>
                <w:color w:val="auto"/>
                <w:spacing w:val="-1"/>
                <w:sz w:val="21"/>
                <w:szCs w:val="21"/>
                <w:highlight w:val="none"/>
              </w:rPr>
              <w:t>·</w:t>
            </w:r>
            <w:r>
              <w:rPr>
                <w:rFonts w:hint="eastAsia" w:cs="宋体"/>
                <w:color w:val="auto"/>
                <w:spacing w:val="-1"/>
                <w:sz w:val="21"/>
                <w:szCs w:val="21"/>
                <w:highlight w:val="none"/>
                <w:lang w:eastAsia="zh-CN"/>
              </w:rPr>
              <w:t>建筑工程二级</w:t>
            </w:r>
            <w:r>
              <w:rPr>
                <w:rFonts w:ascii="宋体" w:hAnsi="宋体" w:eastAsia="宋体" w:cs="宋体"/>
                <w:color w:val="auto"/>
                <w:spacing w:val="-1"/>
                <w:sz w:val="21"/>
                <w:szCs w:val="21"/>
                <w:highlight w:val="none"/>
              </w:rPr>
              <w:t>](含)</w:t>
            </w:r>
            <w:r>
              <w:rPr>
                <w:rFonts w:hint="eastAsia" w:ascii="宋体" w:hAnsi="宋体" w:eastAsia="宋体" w:cs="宋体"/>
                <w:color w:val="auto"/>
                <w:spacing w:val="-1"/>
                <w:sz w:val="21"/>
                <w:szCs w:val="21"/>
                <w:highlight w:val="none"/>
                <w:lang w:val="en-US" w:eastAsia="zh-CN"/>
              </w:rPr>
              <w:t>以</w:t>
            </w:r>
            <w:r>
              <w:rPr>
                <w:rFonts w:ascii="宋体" w:hAnsi="宋体" w:eastAsia="宋体" w:cs="宋体"/>
                <w:color w:val="auto"/>
                <w:spacing w:val="-1"/>
                <w:sz w:val="21"/>
                <w:szCs w:val="21"/>
                <w:highlight w:val="none"/>
              </w:rPr>
              <w:t>上资质</w:t>
            </w:r>
            <w:r>
              <w:rPr>
                <w:rFonts w:hint="eastAsia" w:ascii="宋体" w:hAnsi="宋体" w:eastAsia="宋体" w:cs="宋体"/>
                <w:color w:val="auto"/>
                <w:spacing w:val="-1"/>
                <w:sz w:val="21"/>
                <w:szCs w:val="21"/>
                <w:highlight w:val="none"/>
                <w:lang w:val="en-US" w:eastAsia="zh-CN"/>
              </w:rPr>
              <w:t>或建筑装修装饰工程专业承包二级及以上资质</w:t>
            </w:r>
            <w:r>
              <w:rPr>
                <w:color w:val="auto"/>
                <w:spacing w:val="-5"/>
                <w:highlight w:val="none"/>
              </w:rPr>
              <w:t>且</w:t>
            </w:r>
            <w:r>
              <w:rPr>
                <w:color w:val="auto"/>
                <w:spacing w:val="7"/>
                <w:highlight w:val="none"/>
              </w:rPr>
              <w:t>具备有效的安全生产许可证，具备市场监督管理部门核</w:t>
            </w:r>
            <w:r>
              <w:rPr>
                <w:color w:val="auto"/>
                <w:spacing w:val="-4"/>
                <w:highlight w:val="none"/>
              </w:rPr>
              <w:t>发的有效营业执照。</w:t>
            </w:r>
          </w:p>
          <w:p w14:paraId="4F50BBB7">
            <w:pPr>
              <w:pStyle w:val="11"/>
              <w:spacing w:before="69" w:line="252" w:lineRule="auto"/>
              <w:ind w:left="112" w:right="124" w:hanging="1"/>
              <w:rPr>
                <w:color w:val="auto"/>
                <w:highlight w:val="none"/>
              </w:rPr>
            </w:pPr>
            <w:r>
              <w:rPr>
                <w:color w:val="auto"/>
                <w:spacing w:val="-5"/>
                <w:highlight w:val="none"/>
                <w14:textOutline w14:w="3831" w14:cap="flat" w14:cmpd="sng">
                  <w14:solidFill>
                    <w14:srgbClr w14:val="000000"/>
                  </w14:solidFill>
                  <w14:prstDash w14:val="solid"/>
                  <w14:miter w14:val="0"/>
                </w14:textOutline>
              </w:rPr>
              <w:t>信誉要求：</w:t>
            </w:r>
            <w:r>
              <w:rPr>
                <w:color w:val="auto"/>
                <w:spacing w:val="72"/>
                <w:highlight w:val="none"/>
              </w:rPr>
              <w:t xml:space="preserve"> </w:t>
            </w:r>
            <w:r>
              <w:rPr>
                <w:color w:val="auto"/>
                <w:spacing w:val="-5"/>
                <w:highlight w:val="none"/>
              </w:rPr>
              <w:t>不得具有投标人须知第</w:t>
            </w:r>
            <w:r>
              <w:rPr>
                <w:color w:val="auto"/>
                <w:spacing w:val="28"/>
                <w:highlight w:val="none"/>
              </w:rPr>
              <w:t xml:space="preserve"> </w:t>
            </w:r>
            <w:r>
              <w:rPr>
                <w:rFonts w:ascii="Times New Roman" w:hAnsi="Times New Roman" w:eastAsia="Times New Roman" w:cs="Times New Roman"/>
                <w:color w:val="auto"/>
                <w:spacing w:val="-5"/>
                <w:highlight w:val="none"/>
              </w:rPr>
              <w:t>1.4.3</w:t>
            </w:r>
            <w:r>
              <w:rPr>
                <w:color w:val="auto"/>
                <w:spacing w:val="-5"/>
                <w:highlight w:val="none"/>
              </w:rPr>
              <w:t>（</w:t>
            </w:r>
            <w:r>
              <w:rPr>
                <w:rFonts w:ascii="Times New Roman" w:hAnsi="Times New Roman" w:eastAsia="Times New Roman" w:cs="Times New Roman"/>
                <w:color w:val="auto"/>
                <w:spacing w:val="-5"/>
                <w:highlight w:val="none"/>
              </w:rPr>
              <w:t>10</w:t>
            </w:r>
            <w:r>
              <w:rPr>
                <w:color w:val="auto"/>
                <w:spacing w:val="-5"/>
                <w:highlight w:val="none"/>
              </w:rPr>
              <w:t>）至（</w:t>
            </w:r>
            <w:r>
              <w:rPr>
                <w:rFonts w:ascii="Times New Roman" w:hAnsi="Times New Roman" w:eastAsia="Times New Roman" w:cs="Times New Roman"/>
                <w:color w:val="auto"/>
                <w:spacing w:val="-5"/>
                <w:highlight w:val="none"/>
              </w:rPr>
              <w:t>17</w:t>
            </w:r>
            <w:r>
              <w:rPr>
                <w:color w:val="auto"/>
                <w:spacing w:val="-5"/>
                <w:highlight w:val="none"/>
              </w:rPr>
              <w:t>）</w:t>
            </w:r>
            <w:r>
              <w:rPr>
                <w:color w:val="auto"/>
                <w:highlight w:val="none"/>
              </w:rPr>
              <w:t xml:space="preserve"> </w:t>
            </w:r>
            <w:r>
              <w:rPr>
                <w:color w:val="auto"/>
                <w:spacing w:val="-4"/>
                <w:highlight w:val="none"/>
              </w:rPr>
              <w:t>条目规定的情形。</w:t>
            </w:r>
          </w:p>
          <w:p w14:paraId="1517701D">
            <w:pPr>
              <w:pStyle w:val="11"/>
              <w:spacing w:before="66" w:line="266" w:lineRule="auto"/>
              <w:ind w:left="111" w:right="110" w:firstLine="3"/>
              <w:rPr>
                <w:color w:val="auto"/>
                <w:highlight w:val="none"/>
              </w:rPr>
            </w:pPr>
            <w:r>
              <w:rPr>
                <w:color w:val="auto"/>
                <w:spacing w:val="-8"/>
                <w:highlight w:val="none"/>
                <w14:textOutline w14:w="3831" w14:cap="flat" w14:cmpd="sng">
                  <w14:solidFill>
                    <w14:srgbClr w14:val="000000"/>
                  </w14:solidFill>
                  <w14:prstDash w14:val="solid"/>
                  <w14:miter w14:val="0"/>
                </w14:textOutline>
              </w:rPr>
              <w:t>项目经理资格：</w:t>
            </w:r>
            <w:r>
              <w:rPr>
                <w:color w:val="auto"/>
                <w:spacing w:val="80"/>
                <w:highlight w:val="none"/>
              </w:rPr>
              <w:t xml:space="preserve"> </w:t>
            </w:r>
            <w:r>
              <w:rPr>
                <w:color w:val="auto"/>
                <w:spacing w:val="-8"/>
                <w:highlight w:val="none"/>
              </w:rPr>
              <w:t>具备</w:t>
            </w:r>
            <w:r>
              <w:rPr>
                <w:rFonts w:hint="eastAsia" w:cs="宋体"/>
                <w:color w:val="auto"/>
                <w:spacing w:val="-1"/>
                <w:sz w:val="21"/>
                <w:szCs w:val="21"/>
                <w:highlight w:val="none"/>
                <w:lang w:eastAsia="zh-CN"/>
              </w:rPr>
              <w:t>建筑工程</w:t>
            </w:r>
            <w:r>
              <w:rPr>
                <w:color w:val="auto"/>
                <w:spacing w:val="-8"/>
                <w:highlight w:val="none"/>
              </w:rPr>
              <w:t>专业</w:t>
            </w:r>
            <w:r>
              <w:rPr>
                <w:color w:val="auto"/>
                <w:spacing w:val="-8"/>
                <w:highlight w:val="none"/>
                <w:u w:val="single" w:color="auto"/>
              </w:rPr>
              <w:t xml:space="preserve"> </w:t>
            </w:r>
            <w:r>
              <w:rPr>
                <w:rFonts w:hint="eastAsia"/>
                <w:color w:val="auto"/>
                <w:spacing w:val="-8"/>
                <w:highlight w:val="none"/>
                <w:u w:val="single" w:color="auto"/>
                <w:lang w:val="en-US" w:eastAsia="zh-CN"/>
              </w:rPr>
              <w:t>二</w:t>
            </w:r>
            <w:r>
              <w:rPr>
                <w:color w:val="auto"/>
                <w:spacing w:val="-8"/>
                <w:highlight w:val="none"/>
              </w:rPr>
              <w:t>级注册建造师执业资</w:t>
            </w:r>
            <w:r>
              <w:rPr>
                <w:color w:val="auto"/>
                <w:spacing w:val="1"/>
                <w:highlight w:val="none"/>
              </w:rPr>
              <w:t>格和有效的安全生产考核合格证书（</w:t>
            </w:r>
            <w:r>
              <w:rPr>
                <w:rFonts w:ascii="Times New Roman" w:hAnsi="Times New Roman" w:eastAsia="Times New Roman" w:cs="Times New Roman"/>
                <w:color w:val="auto"/>
                <w:spacing w:val="1"/>
                <w:highlight w:val="none"/>
              </w:rPr>
              <w:t>B</w:t>
            </w:r>
            <w:r>
              <w:rPr>
                <w:rFonts w:ascii="Times New Roman" w:hAnsi="Times New Roman" w:eastAsia="Times New Roman" w:cs="Times New Roman"/>
                <w:color w:val="auto"/>
                <w:spacing w:val="37"/>
                <w:highlight w:val="none"/>
              </w:rPr>
              <w:t xml:space="preserve"> </w:t>
            </w:r>
            <w:r>
              <w:rPr>
                <w:color w:val="auto"/>
                <w:spacing w:val="1"/>
                <w:highlight w:val="none"/>
              </w:rPr>
              <w:t>证</w:t>
            </w:r>
            <w:r>
              <w:rPr>
                <w:color w:val="auto"/>
                <w:spacing w:val="-37"/>
                <w:highlight w:val="none"/>
              </w:rPr>
              <w:t>），</w:t>
            </w:r>
            <w:r>
              <w:rPr>
                <w:color w:val="auto"/>
                <w:spacing w:val="1"/>
                <w:highlight w:val="none"/>
              </w:rPr>
              <w:t>且未担任其</w:t>
            </w:r>
            <w:r>
              <w:rPr>
                <w:color w:val="auto"/>
                <w:spacing w:val="-2"/>
                <w:highlight w:val="none"/>
              </w:rPr>
              <w:t>他在建工程项目的项目经理，二次刷卡认证通过；《注册</w:t>
            </w:r>
            <w:r>
              <w:rPr>
                <w:color w:val="auto"/>
                <w:spacing w:val="-5"/>
                <w:highlight w:val="none"/>
              </w:rPr>
              <w:t>建造师执业管理办法（试行）》第九条规定的情</w:t>
            </w:r>
            <w:r>
              <w:rPr>
                <w:color w:val="auto"/>
                <w:spacing w:val="-6"/>
                <w:highlight w:val="none"/>
              </w:rPr>
              <w:t>形除外。</w:t>
            </w:r>
          </w:p>
          <w:p w14:paraId="21A59942">
            <w:pPr>
              <w:pStyle w:val="11"/>
              <w:spacing w:before="69" w:line="252" w:lineRule="auto"/>
              <w:ind w:left="110" w:right="116"/>
              <w:rPr>
                <w:color w:val="auto"/>
                <w:highlight w:val="none"/>
              </w:rPr>
            </w:pPr>
            <w:r>
              <w:rPr>
                <w:color w:val="auto"/>
                <w:spacing w:val="7"/>
                <w:highlight w:val="none"/>
                <w14:textOutline w14:w="3831" w14:cap="flat" w14:cmpd="sng">
                  <w14:solidFill>
                    <w14:srgbClr w14:val="000000"/>
                  </w14:solidFill>
                  <w14:prstDash w14:val="solid"/>
                  <w14:miter w14:val="0"/>
                </w14:textOutline>
              </w:rPr>
              <w:t>注：项目经理不得同时在两个或者两个以上工程项目担</w:t>
            </w:r>
            <w:r>
              <w:rPr>
                <w:color w:val="auto"/>
                <w:spacing w:val="4"/>
                <w:highlight w:val="none"/>
              </w:rPr>
              <w:t xml:space="preserve"> </w:t>
            </w:r>
            <w:r>
              <w:rPr>
                <w:color w:val="auto"/>
                <w:spacing w:val="-5"/>
                <w:highlight w:val="none"/>
                <w14:textOutline w14:w="3831" w14:cap="flat" w14:cmpd="sng">
                  <w14:solidFill>
                    <w14:srgbClr w14:val="000000"/>
                  </w14:solidFill>
                  <w14:prstDash w14:val="solid"/>
                  <w14:miter w14:val="0"/>
                </w14:textOutline>
              </w:rPr>
              <w:t>任项目经理。</w:t>
            </w:r>
          </w:p>
          <w:p w14:paraId="5196DE3F">
            <w:pPr>
              <w:pStyle w:val="11"/>
              <w:spacing w:before="67" w:line="221" w:lineRule="auto"/>
              <w:ind w:left="110"/>
              <w:rPr>
                <w:color w:val="auto"/>
                <w:highlight w:val="none"/>
              </w:rPr>
            </w:pPr>
            <w:r>
              <w:rPr>
                <w:color w:val="auto"/>
                <w:spacing w:val="-23"/>
                <w:w w:val="96"/>
                <w:highlight w:val="none"/>
                <w14:textOutline w14:w="3831" w14:cap="flat" w14:cmpd="sng">
                  <w14:solidFill>
                    <w14:srgbClr w14:val="000000"/>
                  </w14:solidFill>
                  <w14:prstDash w14:val="solid"/>
                  <w14:miter w14:val="0"/>
                </w14:textOutline>
              </w:rPr>
              <w:t>业绩要求：</w:t>
            </w:r>
            <w:r>
              <w:rPr>
                <w:color w:val="auto"/>
                <w:spacing w:val="48"/>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5C1D81CD">
            <w:pPr>
              <w:pStyle w:val="11"/>
              <w:spacing w:before="70" w:line="220" w:lineRule="auto"/>
              <w:ind w:left="114"/>
              <w:rPr>
                <w:color w:val="auto"/>
                <w:highlight w:val="none"/>
              </w:rPr>
            </w:pPr>
            <w:r>
              <w:rPr>
                <w:color w:val="auto"/>
                <w:spacing w:val="-12"/>
                <w:highlight w:val="none"/>
                <w14:textOutline w14:w="3831" w14:cap="flat" w14:cmpd="sng">
                  <w14:solidFill>
                    <w14:srgbClr w14:val="000000"/>
                  </w14:solidFill>
                  <w14:prstDash w14:val="solid"/>
                  <w14:miter w14:val="0"/>
                </w14:textOutline>
              </w:rPr>
              <w:t>项目管理机构主要人员要求：</w:t>
            </w:r>
            <w:r>
              <w:rPr>
                <w:color w:val="auto"/>
                <w:spacing w:val="53"/>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5FB8B657">
            <w:pPr>
              <w:pStyle w:val="11"/>
              <w:spacing w:before="71" w:line="254" w:lineRule="auto"/>
              <w:ind w:left="107" w:right="584" w:firstLine="4"/>
              <w:rPr>
                <w:rFonts w:ascii="Times New Roman" w:hAnsi="Times New Roman" w:eastAsia="Times New Roman" w:cs="Times New Roman"/>
                <w:color w:val="auto"/>
                <w:highlight w:val="none"/>
              </w:rPr>
            </w:pPr>
            <w:r>
              <w:rPr>
                <w:color w:val="auto"/>
                <w:spacing w:val="-9"/>
                <w:highlight w:val="none"/>
                <w14:textOutline w14:w="3831" w14:cap="flat" w14:cmpd="sng">
                  <w14:solidFill>
                    <w14:srgbClr w14:val="000000"/>
                  </w14:solidFill>
                  <w14:prstDash w14:val="solid"/>
                  <w14:miter w14:val="0"/>
                </w14:textOutline>
              </w:rPr>
              <w:t>其他要求：</w:t>
            </w:r>
            <w:r>
              <w:rPr>
                <w:color w:val="auto"/>
                <w:spacing w:val="77"/>
                <w:highlight w:val="none"/>
              </w:rPr>
              <w:t xml:space="preserve"> </w:t>
            </w:r>
            <w:r>
              <w:rPr>
                <w:rFonts w:ascii="Times New Roman" w:hAnsi="Times New Roman" w:eastAsia="Times New Roman" w:cs="Times New Roman"/>
                <w:color w:val="auto"/>
                <w:spacing w:val="-9"/>
                <w:highlight w:val="none"/>
              </w:rPr>
              <w:t>1.</w:t>
            </w:r>
            <w:r>
              <w:rPr>
                <w:color w:val="auto"/>
                <w:spacing w:val="-9"/>
                <w:highlight w:val="none"/>
              </w:rPr>
              <w:t>具有有效的企业在辽基本信息登记单。</w:t>
            </w:r>
            <w:r>
              <w:rPr>
                <w:color w:val="auto"/>
                <w:highlight w:val="none"/>
              </w:rPr>
              <w:t xml:space="preserve"> </w:t>
            </w:r>
          </w:p>
        </w:tc>
      </w:tr>
      <w:tr w14:paraId="683C1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854" w:type="dxa"/>
            <w:vAlign w:val="top"/>
          </w:tcPr>
          <w:p w14:paraId="3D88912D">
            <w:pPr>
              <w:spacing w:line="272" w:lineRule="auto"/>
              <w:rPr>
                <w:rFonts w:ascii="Arial"/>
                <w:color w:val="auto"/>
                <w:sz w:val="21"/>
                <w:highlight w:val="none"/>
              </w:rPr>
            </w:pPr>
          </w:p>
          <w:p w14:paraId="681B4A97">
            <w:pPr>
              <w:spacing w:line="272" w:lineRule="auto"/>
              <w:rPr>
                <w:rFonts w:ascii="Arial"/>
                <w:color w:val="auto"/>
                <w:sz w:val="21"/>
                <w:highlight w:val="none"/>
              </w:rPr>
            </w:pPr>
          </w:p>
          <w:p w14:paraId="416FF850">
            <w:pPr>
              <w:spacing w:line="273" w:lineRule="auto"/>
              <w:rPr>
                <w:rFonts w:ascii="Arial"/>
                <w:color w:val="auto"/>
                <w:sz w:val="21"/>
                <w:highlight w:val="none"/>
              </w:rPr>
            </w:pPr>
          </w:p>
          <w:p w14:paraId="5AB37C4B">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1.4.2</w:t>
            </w:r>
          </w:p>
        </w:tc>
        <w:tc>
          <w:tcPr>
            <w:tcW w:w="2121" w:type="dxa"/>
            <w:vAlign w:val="top"/>
          </w:tcPr>
          <w:p w14:paraId="68E2A77D">
            <w:pPr>
              <w:spacing w:line="257" w:lineRule="auto"/>
              <w:rPr>
                <w:rFonts w:ascii="Arial"/>
                <w:color w:val="auto"/>
                <w:sz w:val="21"/>
                <w:highlight w:val="none"/>
              </w:rPr>
            </w:pPr>
          </w:p>
          <w:p w14:paraId="47B7E379">
            <w:pPr>
              <w:spacing w:line="258" w:lineRule="auto"/>
              <w:rPr>
                <w:rFonts w:ascii="Arial"/>
                <w:color w:val="auto"/>
                <w:sz w:val="21"/>
                <w:highlight w:val="none"/>
              </w:rPr>
            </w:pPr>
          </w:p>
          <w:p w14:paraId="010E7D92">
            <w:pPr>
              <w:spacing w:line="258" w:lineRule="auto"/>
              <w:rPr>
                <w:rFonts w:ascii="Arial"/>
                <w:color w:val="auto"/>
                <w:sz w:val="21"/>
                <w:highlight w:val="none"/>
              </w:rPr>
            </w:pPr>
          </w:p>
          <w:p w14:paraId="0D222A89">
            <w:pPr>
              <w:pStyle w:val="11"/>
              <w:spacing w:before="68" w:line="221" w:lineRule="auto"/>
              <w:ind w:left="122"/>
              <w:rPr>
                <w:color w:val="auto"/>
                <w:highlight w:val="none"/>
              </w:rPr>
            </w:pPr>
            <w:r>
              <w:rPr>
                <w:color w:val="auto"/>
                <w:spacing w:val="-1"/>
                <w:highlight w:val="none"/>
              </w:rPr>
              <w:t>是否接受联合体投标</w:t>
            </w:r>
          </w:p>
        </w:tc>
        <w:tc>
          <w:tcPr>
            <w:tcW w:w="5447" w:type="dxa"/>
            <w:vAlign w:val="top"/>
          </w:tcPr>
          <w:p w14:paraId="2BB46E86">
            <w:pPr>
              <w:pStyle w:val="11"/>
              <w:spacing w:before="207" w:line="222" w:lineRule="auto"/>
              <w:ind w:left="132"/>
              <w:rPr>
                <w:color w:val="auto"/>
                <w:highlight w:val="none"/>
              </w:rPr>
            </w:pPr>
            <w:r>
              <w:rPr>
                <w:color w:val="auto"/>
                <w:spacing w:val="-5"/>
                <w:highlight w:val="none"/>
              </w:rPr>
              <w:sym w:font="Wingdings 2" w:char="0052"/>
            </w:r>
            <w:r>
              <w:rPr>
                <w:color w:val="auto"/>
                <w:spacing w:val="-5"/>
                <w:highlight w:val="none"/>
              </w:rPr>
              <w:t>不接受</w:t>
            </w:r>
          </w:p>
          <w:p w14:paraId="4F6219FF">
            <w:pPr>
              <w:pStyle w:val="11"/>
              <w:spacing w:before="68" w:line="221" w:lineRule="auto"/>
              <w:ind w:left="132"/>
              <w:rPr>
                <w:color w:val="auto"/>
                <w:highlight w:val="none"/>
              </w:rPr>
            </w:pPr>
            <w:r>
              <w:rPr>
                <w:color w:val="auto"/>
                <w:spacing w:val="-10"/>
                <w:highlight w:val="none"/>
              </w:rPr>
              <w:t xml:space="preserve">□接受，应满足下列要求： </w:t>
            </w:r>
            <w:r>
              <w:rPr>
                <w:color w:val="auto"/>
                <w:highlight w:val="none"/>
                <w:u w:val="single" w:color="auto"/>
              </w:rPr>
              <w:t xml:space="preserve">       </w:t>
            </w:r>
          </w:p>
          <w:p w14:paraId="42AF99AC">
            <w:pPr>
              <w:pStyle w:val="11"/>
              <w:spacing w:before="67" w:line="262" w:lineRule="auto"/>
              <w:ind w:left="111" w:right="115"/>
              <w:jc w:val="both"/>
              <w:rPr>
                <w:color w:val="auto"/>
                <w:highlight w:val="none"/>
              </w:rPr>
            </w:pPr>
            <w:r>
              <w:rPr>
                <w:color w:val="auto"/>
                <w:spacing w:val="7"/>
                <w:highlight w:val="none"/>
              </w:rPr>
              <w:t>其中：</w:t>
            </w:r>
            <w:r>
              <w:rPr>
                <w:color w:val="auto"/>
                <w:spacing w:val="7"/>
                <w:highlight w:val="none"/>
                <w:u w:val="single" w:color="auto"/>
              </w:rPr>
              <w:t>联合体资质按照联合体协议约定的分工认定，其</w:t>
            </w:r>
            <w:r>
              <w:rPr>
                <w:color w:val="auto"/>
                <w:spacing w:val="4"/>
                <w:highlight w:val="none"/>
              </w:rPr>
              <w:t xml:space="preserve"> </w:t>
            </w:r>
            <w:r>
              <w:rPr>
                <w:color w:val="auto"/>
                <w:spacing w:val="7"/>
                <w:highlight w:val="none"/>
                <w:u w:val="single" w:color="auto"/>
              </w:rPr>
              <w:t>他按照评审标准规定和联合体协议中约定的各成员分工</w:t>
            </w:r>
            <w:r>
              <w:rPr>
                <w:color w:val="auto"/>
                <w:spacing w:val="4"/>
                <w:highlight w:val="none"/>
              </w:rPr>
              <w:t xml:space="preserve"> </w:t>
            </w:r>
            <w:r>
              <w:rPr>
                <w:color w:val="auto"/>
                <w:spacing w:val="-25"/>
                <w:w w:val="98"/>
                <w:highlight w:val="none"/>
                <w:u w:val="single" w:color="auto"/>
              </w:rPr>
              <w:t>要求进行。</w:t>
            </w:r>
            <w:r>
              <w:rPr>
                <w:color w:val="auto"/>
                <w:spacing w:val="3"/>
                <w:highlight w:val="none"/>
                <w:u w:val="single" w:color="auto"/>
              </w:rPr>
              <w:t xml:space="preserve">  </w:t>
            </w:r>
          </w:p>
        </w:tc>
      </w:tr>
      <w:tr w14:paraId="4907D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5638DEAE">
            <w:pPr>
              <w:pStyle w:val="11"/>
              <w:spacing w:before="118"/>
              <w:ind w:left="120" w:right="124" w:firstLine="115"/>
              <w:rPr>
                <w:color w:val="auto"/>
                <w:highlight w:val="none"/>
              </w:rPr>
            </w:pPr>
            <w:r>
              <w:rPr>
                <w:rFonts w:ascii="Times New Roman" w:hAnsi="Times New Roman" w:eastAsia="Times New Roman" w:cs="Times New Roman"/>
                <w:color w:val="auto"/>
                <w:spacing w:val="-5"/>
                <w:highlight w:val="none"/>
              </w:rPr>
              <w:t>1.4.3</w:t>
            </w:r>
            <w:r>
              <w:rPr>
                <w:rFonts w:ascii="Times New Roman" w:hAnsi="Times New Roman" w:eastAsia="Times New Roman" w:cs="Times New Roman"/>
                <w:color w:val="auto"/>
                <w:highlight w:val="none"/>
              </w:rPr>
              <w:t xml:space="preserve">   </w:t>
            </w:r>
            <w:r>
              <w:rPr>
                <w:color w:val="auto"/>
                <w:spacing w:val="-7"/>
                <w:highlight w:val="none"/>
              </w:rPr>
              <w:t>（</w:t>
            </w:r>
            <w:r>
              <w:rPr>
                <w:rFonts w:ascii="Times New Roman" w:hAnsi="Times New Roman" w:eastAsia="Times New Roman" w:cs="Times New Roman"/>
                <w:color w:val="auto"/>
                <w:spacing w:val="-7"/>
                <w:highlight w:val="none"/>
              </w:rPr>
              <w:t>17</w:t>
            </w:r>
            <w:r>
              <w:rPr>
                <w:color w:val="auto"/>
                <w:spacing w:val="-7"/>
                <w:highlight w:val="none"/>
              </w:rPr>
              <w:t>）</w:t>
            </w:r>
          </w:p>
        </w:tc>
        <w:tc>
          <w:tcPr>
            <w:tcW w:w="2121" w:type="dxa"/>
            <w:vAlign w:val="top"/>
          </w:tcPr>
          <w:p w14:paraId="5E468272">
            <w:pPr>
              <w:pStyle w:val="11"/>
              <w:spacing w:before="82" w:line="242" w:lineRule="auto"/>
              <w:ind w:left="752" w:right="108" w:hanging="631"/>
              <w:rPr>
                <w:color w:val="auto"/>
                <w:highlight w:val="none"/>
              </w:rPr>
            </w:pPr>
            <w:r>
              <w:rPr>
                <w:color w:val="auto"/>
                <w:spacing w:val="-1"/>
                <w:highlight w:val="none"/>
              </w:rPr>
              <w:t>投标人不得存在的其</w:t>
            </w:r>
            <w:r>
              <w:rPr>
                <w:color w:val="auto"/>
                <w:spacing w:val="3"/>
                <w:highlight w:val="none"/>
              </w:rPr>
              <w:t xml:space="preserve"> </w:t>
            </w:r>
            <w:r>
              <w:rPr>
                <w:color w:val="auto"/>
                <w:spacing w:val="-2"/>
                <w:highlight w:val="none"/>
              </w:rPr>
              <w:t>他情形</w:t>
            </w:r>
          </w:p>
        </w:tc>
        <w:tc>
          <w:tcPr>
            <w:tcW w:w="5447" w:type="dxa"/>
            <w:vAlign w:val="top"/>
          </w:tcPr>
          <w:p w14:paraId="4CE16D48">
            <w:pP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r w14:paraId="0EDC7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54" w:type="dxa"/>
            <w:vAlign w:val="top"/>
          </w:tcPr>
          <w:p w14:paraId="370B916B">
            <w:pPr>
              <w:spacing w:line="434" w:lineRule="auto"/>
              <w:rPr>
                <w:rFonts w:ascii="Arial"/>
                <w:color w:val="auto"/>
                <w:sz w:val="21"/>
                <w:highlight w:val="none"/>
              </w:rPr>
            </w:pPr>
          </w:p>
          <w:p w14:paraId="7DDC9847">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1.9.1</w:t>
            </w:r>
          </w:p>
        </w:tc>
        <w:tc>
          <w:tcPr>
            <w:tcW w:w="2121" w:type="dxa"/>
            <w:vAlign w:val="top"/>
          </w:tcPr>
          <w:p w14:paraId="5B1BA1D3">
            <w:pPr>
              <w:spacing w:line="390" w:lineRule="auto"/>
              <w:rPr>
                <w:rFonts w:ascii="Arial"/>
                <w:color w:val="auto"/>
                <w:sz w:val="21"/>
                <w:highlight w:val="none"/>
              </w:rPr>
            </w:pPr>
          </w:p>
          <w:p w14:paraId="2F230490">
            <w:pPr>
              <w:pStyle w:val="11"/>
              <w:spacing w:before="68" w:line="221" w:lineRule="auto"/>
              <w:ind w:left="648"/>
              <w:rPr>
                <w:color w:val="auto"/>
                <w:highlight w:val="none"/>
              </w:rPr>
            </w:pPr>
            <w:r>
              <w:rPr>
                <w:color w:val="auto"/>
                <w:spacing w:val="-1"/>
                <w:highlight w:val="none"/>
              </w:rPr>
              <w:t>踏勘现场</w:t>
            </w:r>
          </w:p>
        </w:tc>
        <w:tc>
          <w:tcPr>
            <w:tcW w:w="5447" w:type="dxa"/>
            <w:vAlign w:val="top"/>
          </w:tcPr>
          <w:p w14:paraId="251B2D17">
            <w:pPr>
              <w:pStyle w:val="11"/>
              <w:spacing w:before="139" w:line="222" w:lineRule="auto"/>
              <w:ind w:left="132"/>
              <w:rPr>
                <w:color w:val="auto"/>
                <w:highlight w:val="none"/>
              </w:rPr>
            </w:pPr>
            <w:r>
              <w:rPr>
                <w:color w:val="auto"/>
                <w:spacing w:val="-4"/>
                <w:highlight w:val="none"/>
              </w:rPr>
              <w:sym w:font="Wingdings 2" w:char="0052"/>
            </w:r>
            <w:r>
              <w:rPr>
                <w:color w:val="auto"/>
                <w:spacing w:val="-4"/>
                <w:highlight w:val="none"/>
              </w:rPr>
              <w:t>不统一组织（选）</w:t>
            </w:r>
          </w:p>
          <w:p w14:paraId="797EDDCE">
            <w:pPr>
              <w:pStyle w:val="11"/>
              <w:spacing w:before="68" w:line="250" w:lineRule="auto"/>
              <w:ind w:left="1374" w:right="1766" w:hanging="1242"/>
              <w:rPr>
                <w:color w:val="auto"/>
                <w:highlight w:val="none"/>
              </w:rPr>
            </w:pPr>
            <w:r>
              <w:rPr>
                <w:color w:val="auto"/>
                <w:spacing w:val="-10"/>
                <w:highlight w:val="none"/>
              </w:rPr>
              <w:t>□统一组织，踏勘时间：</w:t>
            </w:r>
            <w:r>
              <w:rPr>
                <w:color w:val="auto"/>
                <w:spacing w:val="-22"/>
                <w:highlight w:val="none"/>
              </w:rPr>
              <w:t xml:space="preserve"> </w:t>
            </w:r>
            <w:r>
              <w:rPr>
                <w:color w:val="auto"/>
                <w:spacing w:val="9"/>
                <w:highlight w:val="none"/>
                <w:u w:val="single" w:color="auto"/>
              </w:rPr>
              <w:t xml:space="preserve">           </w:t>
            </w:r>
            <w:r>
              <w:rPr>
                <w:color w:val="auto"/>
                <w:spacing w:val="4"/>
                <w:highlight w:val="none"/>
              </w:rPr>
              <w:t xml:space="preserve"> </w:t>
            </w:r>
            <w:r>
              <w:rPr>
                <w:color w:val="auto"/>
                <w:spacing w:val="-17"/>
                <w:highlight w:val="none"/>
              </w:rPr>
              <w:t>踏勘地点：</w:t>
            </w:r>
            <w:r>
              <w:rPr>
                <w:color w:val="auto"/>
                <w:spacing w:val="-29"/>
                <w:highlight w:val="none"/>
              </w:rPr>
              <w:t xml:space="preserve"> </w:t>
            </w:r>
            <w:r>
              <w:rPr>
                <w:color w:val="auto"/>
                <w:highlight w:val="none"/>
                <w:u w:val="single" w:color="auto"/>
              </w:rPr>
              <w:t xml:space="preserve">            </w:t>
            </w:r>
          </w:p>
        </w:tc>
      </w:tr>
      <w:tr w14:paraId="63172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54" w:type="dxa"/>
            <w:vAlign w:val="top"/>
          </w:tcPr>
          <w:p w14:paraId="1F98AC3D">
            <w:pPr>
              <w:spacing w:line="257" w:lineRule="auto"/>
              <w:rPr>
                <w:rFonts w:ascii="Arial"/>
                <w:color w:val="auto"/>
                <w:sz w:val="21"/>
                <w:highlight w:val="none"/>
              </w:rPr>
            </w:pPr>
          </w:p>
          <w:p w14:paraId="398D6D46">
            <w:pPr>
              <w:spacing w:line="258" w:lineRule="auto"/>
              <w:rPr>
                <w:rFonts w:ascii="Arial"/>
                <w:color w:val="auto"/>
                <w:sz w:val="21"/>
                <w:highlight w:val="none"/>
              </w:rPr>
            </w:pPr>
          </w:p>
          <w:p w14:paraId="3CC943B9">
            <w:pPr>
              <w:spacing w:before="6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1.10.1</w:t>
            </w:r>
          </w:p>
        </w:tc>
        <w:tc>
          <w:tcPr>
            <w:tcW w:w="2121" w:type="dxa"/>
            <w:vAlign w:val="top"/>
          </w:tcPr>
          <w:p w14:paraId="7228313A">
            <w:pPr>
              <w:spacing w:line="471" w:lineRule="auto"/>
              <w:rPr>
                <w:rFonts w:ascii="Arial"/>
                <w:color w:val="auto"/>
                <w:sz w:val="21"/>
                <w:highlight w:val="none"/>
              </w:rPr>
            </w:pPr>
          </w:p>
          <w:p w14:paraId="5405D335">
            <w:pPr>
              <w:pStyle w:val="11"/>
              <w:spacing w:before="68" w:line="220" w:lineRule="auto"/>
              <w:ind w:left="544"/>
              <w:rPr>
                <w:color w:val="auto"/>
                <w:highlight w:val="none"/>
              </w:rPr>
            </w:pPr>
            <w:r>
              <w:rPr>
                <w:color w:val="auto"/>
                <w:spacing w:val="-1"/>
                <w:highlight w:val="none"/>
              </w:rPr>
              <w:t>投标预备会</w:t>
            </w:r>
          </w:p>
        </w:tc>
        <w:tc>
          <w:tcPr>
            <w:tcW w:w="5447" w:type="dxa"/>
            <w:vAlign w:val="top"/>
          </w:tcPr>
          <w:p w14:paraId="583E6527">
            <w:pPr>
              <w:pStyle w:val="11"/>
              <w:spacing w:before="224" w:line="222" w:lineRule="auto"/>
              <w:ind w:left="132"/>
              <w:rPr>
                <w:color w:val="auto"/>
                <w:highlight w:val="none"/>
              </w:rPr>
            </w:pPr>
            <w:r>
              <w:rPr>
                <w:color w:val="auto"/>
                <w:spacing w:val="-6"/>
                <w:highlight w:val="none"/>
              </w:rPr>
              <w:sym w:font="Wingdings 2" w:char="0052"/>
            </w:r>
            <w:r>
              <w:rPr>
                <w:color w:val="auto"/>
                <w:spacing w:val="-6"/>
                <w:highlight w:val="none"/>
              </w:rPr>
              <w:t>不召开（选）</w:t>
            </w:r>
          </w:p>
          <w:p w14:paraId="5534857D">
            <w:pPr>
              <w:pStyle w:val="11"/>
              <w:spacing w:before="65" w:line="252" w:lineRule="auto"/>
              <w:ind w:left="963" w:right="1977" w:hanging="831"/>
              <w:rPr>
                <w:color w:val="auto"/>
                <w:highlight w:val="none"/>
              </w:rPr>
            </w:pPr>
            <w:r>
              <w:rPr>
                <w:color w:val="auto"/>
                <w:spacing w:val="-16"/>
                <w:highlight w:val="none"/>
              </w:rPr>
              <w:t>□召开，召开时间：</w:t>
            </w:r>
            <w:r>
              <w:rPr>
                <w:color w:val="auto"/>
                <w:spacing w:val="14"/>
                <w:highlight w:val="none"/>
              </w:rPr>
              <w:t xml:space="preserve"> </w:t>
            </w:r>
            <w:r>
              <w:rPr>
                <w:color w:val="auto"/>
                <w:spacing w:val="7"/>
                <w:highlight w:val="none"/>
                <w:u w:val="single" w:color="auto"/>
              </w:rPr>
              <w:t xml:space="preserve">             </w:t>
            </w:r>
            <w:r>
              <w:rPr>
                <w:color w:val="auto"/>
                <w:spacing w:val="9"/>
                <w:highlight w:val="none"/>
              </w:rPr>
              <w:t xml:space="preserve"> </w:t>
            </w:r>
            <w:r>
              <w:rPr>
                <w:color w:val="auto"/>
                <w:spacing w:val="-27"/>
                <w:highlight w:val="none"/>
              </w:rPr>
              <w:t>召开地点：</w:t>
            </w:r>
            <w:r>
              <w:rPr>
                <w:color w:val="auto"/>
                <w:spacing w:val="13"/>
                <w:highlight w:val="none"/>
              </w:rPr>
              <w:t xml:space="preserve"> </w:t>
            </w:r>
            <w:r>
              <w:rPr>
                <w:color w:val="auto"/>
                <w:highlight w:val="none"/>
                <w:u w:val="single" w:color="auto"/>
              </w:rPr>
              <w:t xml:space="preserve">              </w:t>
            </w:r>
          </w:p>
        </w:tc>
      </w:tr>
      <w:tr w14:paraId="58A75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145C1EE4">
            <w:pPr>
              <w:spacing w:before="28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1.10.2</w:t>
            </w:r>
          </w:p>
        </w:tc>
        <w:tc>
          <w:tcPr>
            <w:tcW w:w="2121" w:type="dxa"/>
            <w:vAlign w:val="top"/>
          </w:tcPr>
          <w:p w14:paraId="2A4F0EBB">
            <w:pPr>
              <w:pStyle w:val="11"/>
              <w:spacing w:before="85" w:line="241" w:lineRule="auto"/>
              <w:ind w:left="646" w:right="214" w:hanging="419"/>
              <w:rPr>
                <w:color w:val="auto"/>
                <w:highlight w:val="none"/>
              </w:rPr>
            </w:pPr>
            <w:r>
              <w:rPr>
                <w:color w:val="auto"/>
                <w:spacing w:val="-1"/>
                <w:highlight w:val="none"/>
              </w:rPr>
              <w:t>投标人提出问题的</w:t>
            </w:r>
            <w:r>
              <w:rPr>
                <w:color w:val="auto"/>
                <w:highlight w:val="none"/>
              </w:rPr>
              <w:t xml:space="preserve"> </w:t>
            </w:r>
            <w:r>
              <w:rPr>
                <w:color w:val="auto"/>
                <w:spacing w:val="-1"/>
                <w:highlight w:val="none"/>
              </w:rPr>
              <w:t>截止时间</w:t>
            </w:r>
          </w:p>
        </w:tc>
        <w:tc>
          <w:tcPr>
            <w:tcW w:w="5447" w:type="dxa"/>
            <w:vAlign w:val="top"/>
          </w:tcPr>
          <w:p w14:paraId="59ED01EC">
            <w:pPr>
              <w:pStyle w:val="11"/>
              <w:spacing w:before="85" w:line="220" w:lineRule="auto"/>
              <w:ind w:left="132"/>
              <w:rPr>
                <w:color w:val="auto"/>
                <w:highlight w:val="none"/>
              </w:rPr>
            </w:pPr>
            <w:r>
              <w:rPr>
                <w:color w:val="auto"/>
                <w:spacing w:val="-5"/>
                <w:highlight w:val="none"/>
              </w:rPr>
              <w:t>□召开投标预备会之日</w:t>
            </w:r>
            <w:r>
              <w:rPr>
                <w:color w:val="auto"/>
                <w:spacing w:val="-94"/>
                <w:highlight w:val="none"/>
              </w:rPr>
              <w:t xml:space="preserve"> </w:t>
            </w:r>
            <w:r>
              <w:rPr>
                <w:color w:val="auto"/>
                <w:spacing w:val="20"/>
                <w:highlight w:val="none"/>
                <w:u w:val="single" w:color="auto"/>
              </w:rPr>
              <w:t xml:space="preserve">     </w:t>
            </w:r>
            <w:r>
              <w:rPr>
                <w:color w:val="auto"/>
                <w:spacing w:val="-57"/>
                <w:highlight w:val="none"/>
              </w:rPr>
              <w:t xml:space="preserve"> </w:t>
            </w:r>
            <w:r>
              <w:rPr>
                <w:color w:val="auto"/>
                <w:spacing w:val="-5"/>
                <w:highlight w:val="none"/>
              </w:rPr>
              <w:t>日前</w:t>
            </w:r>
          </w:p>
          <w:p w14:paraId="6274F9AA">
            <w:pPr>
              <w:pStyle w:val="11"/>
              <w:spacing w:before="66" w:line="204" w:lineRule="auto"/>
              <w:ind w:left="132"/>
              <w:rPr>
                <w:color w:val="auto"/>
                <w:highlight w:val="none"/>
              </w:rPr>
            </w:pPr>
            <w:r>
              <w:rPr>
                <w:rFonts w:hint="eastAsia"/>
                <w:color w:val="auto"/>
                <w:spacing w:val="-19"/>
                <w:highlight w:val="none"/>
                <w:lang w:eastAsia="zh-CN"/>
              </w:rPr>
              <w:t>☑</w:t>
            </w:r>
            <w:r>
              <w:rPr>
                <w:color w:val="auto"/>
                <w:spacing w:val="3"/>
                <w:highlight w:val="none"/>
              </w:rPr>
              <w:t xml:space="preserve"> </w:t>
            </w:r>
            <w:r>
              <w:rPr>
                <w:rFonts w:hint="eastAsia"/>
                <w:color w:val="auto"/>
                <w:spacing w:val="3"/>
                <w:highlight w:val="none"/>
                <w:lang w:val="en-US" w:eastAsia="zh-CN"/>
              </w:rPr>
              <w:t>2026年4月5日</w:t>
            </w:r>
            <w:r>
              <w:rPr>
                <w:rFonts w:hint="eastAsia"/>
                <w:color w:val="auto"/>
                <w:spacing w:val="5"/>
                <w:highlight w:val="none"/>
                <w:lang w:val="en-US" w:eastAsia="zh-CN"/>
              </w:rPr>
              <w:t>16</w:t>
            </w:r>
            <w:r>
              <w:rPr>
                <w:color w:val="auto"/>
                <w:spacing w:val="-19"/>
                <w:highlight w:val="none"/>
              </w:rPr>
              <w:t>时</w:t>
            </w:r>
            <w:r>
              <w:rPr>
                <w:rFonts w:hint="eastAsia"/>
                <w:color w:val="auto"/>
                <w:spacing w:val="-19"/>
                <w:highlight w:val="none"/>
                <w:lang w:val="en-US" w:eastAsia="zh-CN"/>
              </w:rPr>
              <w:t>0</w:t>
            </w:r>
            <w:r>
              <w:rPr>
                <w:rFonts w:hint="eastAsia"/>
                <w:color w:val="auto"/>
                <w:spacing w:val="4"/>
                <w:highlight w:val="none"/>
                <w:lang w:val="en-US" w:eastAsia="zh-CN"/>
              </w:rPr>
              <w:t>0</w:t>
            </w:r>
            <w:r>
              <w:rPr>
                <w:color w:val="auto"/>
                <w:spacing w:val="-19"/>
                <w:highlight w:val="none"/>
              </w:rPr>
              <w:t>分</w:t>
            </w:r>
          </w:p>
        </w:tc>
      </w:tr>
      <w:tr w14:paraId="16672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14:paraId="354A32C1">
            <w:pPr>
              <w:spacing w:line="333" w:lineRule="auto"/>
              <w:rPr>
                <w:rFonts w:ascii="Arial"/>
                <w:color w:val="auto"/>
                <w:sz w:val="21"/>
                <w:highlight w:val="none"/>
              </w:rPr>
            </w:pPr>
          </w:p>
          <w:p w14:paraId="59AE1003">
            <w:pPr>
              <w:spacing w:line="333" w:lineRule="auto"/>
              <w:rPr>
                <w:rFonts w:ascii="Arial"/>
                <w:color w:val="auto"/>
                <w:sz w:val="21"/>
                <w:highlight w:val="none"/>
              </w:rPr>
            </w:pPr>
          </w:p>
          <w:p w14:paraId="0A544697">
            <w:pPr>
              <w:spacing w:before="60" w:line="189" w:lineRule="auto"/>
              <w:ind w:left="26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1.11</w:t>
            </w:r>
          </w:p>
        </w:tc>
        <w:tc>
          <w:tcPr>
            <w:tcW w:w="2121" w:type="dxa"/>
            <w:vAlign w:val="top"/>
          </w:tcPr>
          <w:p w14:paraId="30941536">
            <w:pPr>
              <w:spacing w:line="311" w:lineRule="auto"/>
              <w:rPr>
                <w:rFonts w:ascii="Arial"/>
                <w:color w:val="auto"/>
                <w:sz w:val="21"/>
                <w:highlight w:val="none"/>
              </w:rPr>
            </w:pPr>
          </w:p>
          <w:p w14:paraId="7CCF72A4">
            <w:pPr>
              <w:spacing w:line="311" w:lineRule="auto"/>
              <w:rPr>
                <w:rFonts w:ascii="Arial"/>
                <w:color w:val="auto"/>
                <w:sz w:val="21"/>
                <w:highlight w:val="none"/>
              </w:rPr>
            </w:pPr>
          </w:p>
          <w:p w14:paraId="1EE20829">
            <w:pPr>
              <w:pStyle w:val="11"/>
              <w:spacing w:before="68" w:line="221" w:lineRule="auto"/>
              <w:ind w:left="808"/>
              <w:rPr>
                <w:color w:val="auto"/>
                <w:highlight w:val="none"/>
              </w:rPr>
            </w:pPr>
            <w:r>
              <w:rPr>
                <w:color w:val="auto"/>
                <w:spacing w:val="-5"/>
                <w:highlight w:val="none"/>
              </w:rPr>
              <w:t>分</w:t>
            </w:r>
            <w:r>
              <w:rPr>
                <w:color w:val="auto"/>
                <w:spacing w:val="8"/>
                <w:highlight w:val="none"/>
              </w:rPr>
              <w:t xml:space="preserve"> </w:t>
            </w:r>
            <w:r>
              <w:rPr>
                <w:color w:val="auto"/>
                <w:spacing w:val="-5"/>
                <w:highlight w:val="none"/>
              </w:rPr>
              <w:t>包</w:t>
            </w:r>
          </w:p>
        </w:tc>
        <w:tc>
          <w:tcPr>
            <w:tcW w:w="5447" w:type="dxa"/>
            <w:vAlign w:val="top"/>
          </w:tcPr>
          <w:p w14:paraId="7E056A4A">
            <w:pPr>
              <w:pStyle w:val="11"/>
              <w:spacing w:before="213" w:line="221" w:lineRule="auto"/>
              <w:ind w:left="132"/>
              <w:rPr>
                <w:color w:val="auto"/>
                <w:highlight w:val="none"/>
              </w:rPr>
            </w:pPr>
            <w:r>
              <w:rPr>
                <w:color w:val="auto"/>
                <w:spacing w:val="-5"/>
                <w:highlight w:val="none"/>
              </w:rPr>
              <w:sym w:font="Wingdings 2" w:char="0052"/>
            </w:r>
            <w:r>
              <w:rPr>
                <w:color w:val="auto"/>
                <w:spacing w:val="-5"/>
                <w:highlight w:val="none"/>
              </w:rPr>
              <w:t>不允许</w:t>
            </w:r>
          </w:p>
          <w:p w14:paraId="06291AA2">
            <w:pPr>
              <w:pStyle w:val="11"/>
              <w:spacing w:before="70" w:line="221" w:lineRule="auto"/>
              <w:ind w:left="132"/>
              <w:rPr>
                <w:color w:val="auto"/>
                <w:highlight w:val="none"/>
              </w:rPr>
            </w:pPr>
            <w:r>
              <w:rPr>
                <w:color w:val="auto"/>
                <w:spacing w:val="-10"/>
                <w:highlight w:val="none"/>
              </w:rPr>
              <w:t>□允许，分包内容要求：</w:t>
            </w:r>
            <w:r>
              <w:rPr>
                <w:color w:val="auto"/>
                <w:spacing w:val="-22"/>
                <w:highlight w:val="none"/>
              </w:rPr>
              <w:t xml:space="preserve"> </w:t>
            </w:r>
            <w:r>
              <w:rPr>
                <w:color w:val="auto"/>
                <w:highlight w:val="none"/>
                <w:u w:val="single" w:color="auto"/>
              </w:rPr>
              <w:t xml:space="preserve">             </w:t>
            </w:r>
          </w:p>
          <w:p w14:paraId="013D6D06">
            <w:pPr>
              <w:pStyle w:val="11"/>
              <w:spacing w:before="65" w:line="221" w:lineRule="auto"/>
              <w:ind w:left="959"/>
              <w:rPr>
                <w:color w:val="auto"/>
                <w:highlight w:val="none"/>
              </w:rPr>
            </w:pPr>
            <w:r>
              <w:rPr>
                <w:color w:val="auto"/>
                <w:spacing w:val="-13"/>
                <w:highlight w:val="none"/>
              </w:rPr>
              <w:t>分包金额要求：</w:t>
            </w:r>
            <w:r>
              <w:rPr>
                <w:color w:val="auto"/>
                <w:spacing w:val="-27"/>
                <w:highlight w:val="none"/>
              </w:rPr>
              <w:t xml:space="preserve"> </w:t>
            </w:r>
            <w:r>
              <w:rPr>
                <w:color w:val="auto"/>
                <w:highlight w:val="none"/>
                <w:u w:val="single" w:color="auto"/>
              </w:rPr>
              <w:t xml:space="preserve">             </w:t>
            </w:r>
          </w:p>
          <w:p w14:paraId="78602A0F">
            <w:pPr>
              <w:pStyle w:val="11"/>
              <w:spacing w:before="70" w:line="221" w:lineRule="auto"/>
              <w:ind w:left="374"/>
              <w:rPr>
                <w:color w:val="auto"/>
                <w:highlight w:val="none"/>
              </w:rPr>
            </w:pPr>
            <w:r>
              <w:rPr>
                <w:color w:val="auto"/>
                <w:spacing w:val="-1"/>
                <w:highlight w:val="none"/>
              </w:rPr>
              <w:t>接受分包的第三人资质要求：</w:t>
            </w:r>
            <w:r>
              <w:rPr>
                <w:color w:val="auto"/>
                <w:highlight w:val="none"/>
                <w:u w:val="single" w:color="auto"/>
              </w:rPr>
              <w:t xml:space="preserve">       </w:t>
            </w:r>
          </w:p>
        </w:tc>
      </w:tr>
    </w:tbl>
    <w:p w14:paraId="4D2AB538">
      <w:pPr>
        <w:pStyle w:val="3"/>
        <w:rPr>
          <w:color w:val="auto"/>
          <w:highlight w:val="none"/>
        </w:rPr>
      </w:pPr>
    </w:p>
    <w:p w14:paraId="667B989B">
      <w:pPr>
        <w:rPr>
          <w:color w:val="auto"/>
          <w:highlight w:val="none"/>
        </w:rPr>
        <w:sectPr>
          <w:footerReference r:id="rId18" w:type="default"/>
          <w:pgSz w:w="11905" w:h="16839"/>
          <w:pgMar w:top="1431" w:right="1733" w:bottom="1036" w:left="1742" w:header="0" w:footer="847" w:gutter="0"/>
          <w:pgNumType w:fmt="decimal"/>
          <w:cols w:space="720" w:num="1"/>
        </w:sectPr>
      </w:pPr>
    </w:p>
    <w:p w14:paraId="3F456278">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FA00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14:paraId="0A9EB1D3">
            <w:pPr>
              <w:spacing w:line="257" w:lineRule="auto"/>
              <w:rPr>
                <w:rFonts w:ascii="Arial"/>
                <w:color w:val="auto"/>
                <w:sz w:val="21"/>
                <w:highlight w:val="none"/>
              </w:rPr>
            </w:pPr>
          </w:p>
          <w:p w14:paraId="78B06315">
            <w:pPr>
              <w:spacing w:line="258" w:lineRule="auto"/>
              <w:rPr>
                <w:rFonts w:ascii="Arial"/>
                <w:color w:val="auto"/>
                <w:sz w:val="21"/>
                <w:highlight w:val="none"/>
              </w:rPr>
            </w:pPr>
          </w:p>
          <w:p w14:paraId="38643AD3">
            <w:pPr>
              <w:spacing w:line="258" w:lineRule="auto"/>
              <w:rPr>
                <w:rFonts w:ascii="Arial"/>
                <w:color w:val="auto"/>
                <w:sz w:val="21"/>
                <w:highlight w:val="none"/>
              </w:rPr>
            </w:pPr>
          </w:p>
          <w:p w14:paraId="1F5C39F3">
            <w:pPr>
              <w:spacing w:before="61" w:line="189" w:lineRule="auto"/>
              <w:ind w:left="260"/>
              <w:rPr>
                <w:rFonts w:ascii="Times New Roman" w:hAnsi="Times New Roman" w:eastAsia="Times New Roman" w:cs="Times New Roman"/>
                <w:color w:val="auto"/>
                <w:sz w:val="21"/>
                <w:szCs w:val="21"/>
                <w:highlight w:val="none"/>
              </w:rPr>
            </w:pPr>
            <w:bookmarkStart w:id="28" w:name="bookmark54"/>
            <w:bookmarkEnd w:id="28"/>
            <w:bookmarkStart w:id="29" w:name="bookmark52"/>
            <w:bookmarkEnd w:id="29"/>
            <w:bookmarkStart w:id="30" w:name="bookmark53"/>
            <w:bookmarkEnd w:id="30"/>
            <w:r>
              <w:rPr>
                <w:rFonts w:ascii="Times New Roman" w:hAnsi="Times New Roman" w:eastAsia="Times New Roman" w:cs="Times New Roman"/>
                <w:color w:val="auto"/>
                <w:spacing w:val="-5"/>
                <w:sz w:val="21"/>
                <w:szCs w:val="21"/>
                <w:highlight w:val="none"/>
              </w:rPr>
              <w:t>1.12</w:t>
            </w:r>
          </w:p>
        </w:tc>
        <w:tc>
          <w:tcPr>
            <w:tcW w:w="2121" w:type="dxa"/>
            <w:vAlign w:val="top"/>
          </w:tcPr>
          <w:p w14:paraId="13AFED70">
            <w:pPr>
              <w:spacing w:line="243" w:lineRule="auto"/>
              <w:rPr>
                <w:rFonts w:ascii="Arial"/>
                <w:color w:val="auto"/>
                <w:sz w:val="21"/>
                <w:highlight w:val="none"/>
              </w:rPr>
            </w:pPr>
          </w:p>
          <w:p w14:paraId="70DAEC1F">
            <w:pPr>
              <w:spacing w:line="243" w:lineRule="auto"/>
              <w:rPr>
                <w:rFonts w:ascii="Arial"/>
                <w:color w:val="auto"/>
                <w:sz w:val="21"/>
                <w:highlight w:val="none"/>
              </w:rPr>
            </w:pPr>
          </w:p>
          <w:p w14:paraId="67CF16AA">
            <w:pPr>
              <w:spacing w:line="243" w:lineRule="auto"/>
              <w:rPr>
                <w:rFonts w:ascii="Arial"/>
                <w:color w:val="auto"/>
                <w:sz w:val="21"/>
                <w:highlight w:val="none"/>
              </w:rPr>
            </w:pPr>
          </w:p>
          <w:p w14:paraId="79D1A74A">
            <w:pPr>
              <w:pStyle w:val="11"/>
              <w:spacing w:before="68" w:line="221" w:lineRule="auto"/>
              <w:ind w:left="806"/>
              <w:rPr>
                <w:color w:val="auto"/>
                <w:highlight w:val="none"/>
              </w:rPr>
            </w:pPr>
            <w:r>
              <w:rPr>
                <w:color w:val="auto"/>
                <w:spacing w:val="-4"/>
                <w:highlight w:val="none"/>
              </w:rPr>
              <w:t>偏</w:t>
            </w:r>
            <w:r>
              <w:rPr>
                <w:color w:val="auto"/>
                <w:spacing w:val="12"/>
                <w:highlight w:val="none"/>
              </w:rPr>
              <w:t xml:space="preserve"> </w:t>
            </w:r>
            <w:r>
              <w:rPr>
                <w:color w:val="auto"/>
                <w:spacing w:val="-4"/>
                <w:highlight w:val="none"/>
              </w:rPr>
              <w:t>离</w:t>
            </w:r>
          </w:p>
        </w:tc>
        <w:tc>
          <w:tcPr>
            <w:tcW w:w="5447" w:type="dxa"/>
            <w:vAlign w:val="top"/>
          </w:tcPr>
          <w:p w14:paraId="1D7CEF88">
            <w:pPr>
              <w:pStyle w:val="11"/>
              <w:spacing w:before="158" w:line="221" w:lineRule="auto"/>
              <w:ind w:left="132"/>
              <w:rPr>
                <w:color w:val="auto"/>
                <w:highlight w:val="none"/>
              </w:rPr>
            </w:pPr>
            <w:r>
              <w:rPr>
                <w:color w:val="auto"/>
                <w:spacing w:val="-5"/>
                <w:highlight w:val="none"/>
              </w:rPr>
              <w:sym w:font="Wingdings 2" w:char="0052"/>
            </w:r>
            <w:r>
              <w:rPr>
                <w:color w:val="auto"/>
                <w:spacing w:val="-5"/>
                <w:highlight w:val="none"/>
              </w:rPr>
              <w:t>不允许</w:t>
            </w:r>
          </w:p>
          <w:p w14:paraId="03DC4814">
            <w:pPr>
              <w:pStyle w:val="11"/>
              <w:spacing w:before="71" w:line="252" w:lineRule="auto"/>
              <w:ind w:left="113" w:right="116" w:firstLine="19"/>
              <w:rPr>
                <w:color w:val="auto"/>
                <w:highlight w:val="none"/>
              </w:rPr>
            </w:pPr>
            <w:r>
              <w:rPr>
                <w:color w:val="auto"/>
                <w:spacing w:val="6"/>
                <w:highlight w:val="none"/>
              </w:rPr>
              <w:t>□允许，可偏离的项目和范围见第七章“技术标准和要</w:t>
            </w:r>
            <w:r>
              <w:rPr>
                <w:color w:val="auto"/>
                <w:spacing w:val="7"/>
                <w:highlight w:val="none"/>
              </w:rPr>
              <w:t xml:space="preserve"> </w:t>
            </w:r>
            <w:r>
              <w:rPr>
                <w:color w:val="auto"/>
                <w:spacing w:val="-3"/>
                <w:highlight w:val="none"/>
              </w:rPr>
              <w:t>求”：</w:t>
            </w:r>
          </w:p>
          <w:p w14:paraId="70877524">
            <w:pPr>
              <w:pStyle w:val="11"/>
              <w:spacing w:before="64" w:line="283" w:lineRule="auto"/>
              <w:ind w:left="541"/>
              <w:rPr>
                <w:color w:val="auto"/>
                <w:highlight w:val="none"/>
              </w:rPr>
            </w:pPr>
            <w:r>
              <w:rPr>
                <w:color w:val="auto"/>
                <w:spacing w:val="-11"/>
                <w:highlight w:val="none"/>
              </w:rPr>
              <w:t>允许偏离最高项数：</w:t>
            </w:r>
            <w:r>
              <w:rPr>
                <w:color w:val="auto"/>
                <w:spacing w:val="-21"/>
                <w:highlight w:val="none"/>
              </w:rPr>
              <w:t xml:space="preserve"> </w:t>
            </w:r>
            <w:r>
              <w:rPr>
                <w:color w:val="auto"/>
                <w:highlight w:val="none"/>
                <w:u w:val="single" w:color="auto"/>
              </w:rPr>
              <w:t xml:space="preserve">      </w:t>
            </w:r>
          </w:p>
          <w:p w14:paraId="7147893D">
            <w:pPr>
              <w:pStyle w:val="11"/>
              <w:spacing w:line="220" w:lineRule="auto"/>
              <w:ind w:left="533"/>
              <w:rPr>
                <w:color w:val="auto"/>
                <w:highlight w:val="none"/>
              </w:rPr>
            </w:pPr>
            <w:r>
              <w:rPr>
                <w:color w:val="auto"/>
                <w:spacing w:val="-18"/>
                <w:highlight w:val="none"/>
              </w:rPr>
              <w:t>偏差调整方法：</w:t>
            </w:r>
            <w:r>
              <w:rPr>
                <w:color w:val="auto"/>
                <w:spacing w:val="15"/>
                <w:highlight w:val="none"/>
              </w:rPr>
              <w:t xml:space="preserve"> </w:t>
            </w:r>
            <w:r>
              <w:rPr>
                <w:color w:val="auto"/>
                <w:highlight w:val="none"/>
                <w:u w:val="single" w:color="auto"/>
              </w:rPr>
              <w:t xml:space="preserve">          </w:t>
            </w:r>
          </w:p>
        </w:tc>
      </w:tr>
      <w:tr w14:paraId="69B86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45A07393">
            <w:pPr>
              <w:spacing w:before="114" w:line="285" w:lineRule="exact"/>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8"/>
                <w:sz w:val="21"/>
                <w:szCs w:val="21"/>
                <w:highlight w:val="none"/>
              </w:rPr>
              <w:t>2.1.1</w:t>
            </w:r>
          </w:p>
          <w:p w14:paraId="73D05D91">
            <w:pPr>
              <w:pStyle w:val="11"/>
              <w:spacing w:line="209" w:lineRule="auto"/>
              <w:ind w:left="173"/>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9</w:t>
            </w:r>
            <w:r>
              <w:rPr>
                <w:color w:val="auto"/>
                <w:spacing w:val="-5"/>
                <w:highlight w:val="none"/>
              </w:rPr>
              <w:t>）</w:t>
            </w:r>
          </w:p>
        </w:tc>
        <w:tc>
          <w:tcPr>
            <w:tcW w:w="2121" w:type="dxa"/>
            <w:vAlign w:val="top"/>
          </w:tcPr>
          <w:p w14:paraId="3B21C8BC">
            <w:pPr>
              <w:pStyle w:val="11"/>
              <w:spacing w:before="78" w:line="246" w:lineRule="auto"/>
              <w:ind w:left="858" w:right="108" w:hanging="737"/>
              <w:rPr>
                <w:color w:val="auto"/>
                <w:highlight w:val="none"/>
              </w:rPr>
            </w:pPr>
            <w:r>
              <w:rPr>
                <w:color w:val="auto"/>
                <w:spacing w:val="-1"/>
                <w:highlight w:val="none"/>
              </w:rPr>
              <w:t>构成招标文件的其他</w:t>
            </w:r>
            <w:r>
              <w:rPr>
                <w:color w:val="auto"/>
                <w:spacing w:val="3"/>
                <w:highlight w:val="none"/>
              </w:rPr>
              <w:t xml:space="preserve"> </w:t>
            </w:r>
            <w:r>
              <w:rPr>
                <w:color w:val="auto"/>
                <w:spacing w:val="-2"/>
                <w:highlight w:val="none"/>
              </w:rPr>
              <w:t>材料</w:t>
            </w:r>
          </w:p>
        </w:tc>
        <w:tc>
          <w:tcPr>
            <w:tcW w:w="5447" w:type="dxa"/>
            <w:vAlign w:val="top"/>
          </w:tcPr>
          <w:p w14:paraId="06C6D461">
            <w:pPr>
              <w:rPr>
                <w:rFonts w:ascii="Arial"/>
                <w:color w:val="auto"/>
                <w:sz w:val="21"/>
                <w:highlight w:val="none"/>
              </w:rPr>
            </w:pPr>
            <w:bookmarkStart w:id="31" w:name="EB316973a01edd4d0b8a0629b63af16ead"/>
            <w:r>
              <w:rPr>
                <w:rFonts w:hint="eastAsia" w:ascii="仿宋_GB2312" w:eastAsia="仿宋_GB2312"/>
                <w:color w:val="auto"/>
                <w:sz w:val="24"/>
                <w:szCs w:val="24"/>
                <w:highlight w:val="none"/>
              </w:rPr>
              <w:t>招标人在招标期间发出的补遗文件和其他有效函件，均是招标文件的组成部分</w:t>
            </w:r>
            <w:bookmarkEnd w:id="31"/>
          </w:p>
        </w:tc>
      </w:tr>
      <w:tr w14:paraId="0CC8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14:paraId="5B60AD5F">
            <w:pPr>
              <w:spacing w:line="263" w:lineRule="auto"/>
              <w:rPr>
                <w:rFonts w:ascii="Arial"/>
                <w:color w:val="auto"/>
                <w:sz w:val="21"/>
                <w:highlight w:val="none"/>
              </w:rPr>
            </w:pPr>
          </w:p>
          <w:p w14:paraId="4D7D2DB0">
            <w:pPr>
              <w:spacing w:before="61" w:line="189" w:lineRule="auto"/>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2.2.1</w:t>
            </w:r>
          </w:p>
        </w:tc>
        <w:tc>
          <w:tcPr>
            <w:tcW w:w="2121" w:type="dxa"/>
            <w:vAlign w:val="top"/>
          </w:tcPr>
          <w:p w14:paraId="0B6D29B6">
            <w:pPr>
              <w:pStyle w:val="11"/>
              <w:spacing w:before="130" w:line="252" w:lineRule="auto"/>
              <w:ind w:left="331" w:right="108" w:hanging="210"/>
              <w:rPr>
                <w:color w:val="auto"/>
                <w:highlight w:val="none"/>
              </w:rPr>
            </w:pPr>
            <w:r>
              <w:rPr>
                <w:color w:val="auto"/>
                <w:spacing w:val="-1"/>
                <w:highlight w:val="none"/>
              </w:rPr>
              <w:t>投标人要求澄清招标</w:t>
            </w:r>
            <w:r>
              <w:rPr>
                <w:color w:val="auto"/>
                <w:spacing w:val="3"/>
                <w:highlight w:val="none"/>
              </w:rPr>
              <w:t xml:space="preserve"> </w:t>
            </w:r>
            <w:r>
              <w:rPr>
                <w:color w:val="auto"/>
                <w:spacing w:val="-1"/>
                <w:highlight w:val="none"/>
              </w:rPr>
              <w:t>文件的截止时间</w:t>
            </w:r>
          </w:p>
        </w:tc>
        <w:tc>
          <w:tcPr>
            <w:tcW w:w="5447" w:type="dxa"/>
            <w:vAlign w:val="top"/>
          </w:tcPr>
          <w:p w14:paraId="24F05D8F">
            <w:pPr>
              <w:pStyle w:val="11"/>
              <w:spacing w:before="288" w:line="221" w:lineRule="auto"/>
              <w:ind w:left="112"/>
              <w:rPr>
                <w:color w:val="auto"/>
                <w:highlight w:val="none"/>
              </w:rPr>
            </w:pPr>
            <w:r>
              <w:rPr>
                <w:color w:val="auto"/>
                <w:spacing w:val="-3"/>
                <w:highlight w:val="none"/>
              </w:rPr>
              <w:t>递交投标文件截止之日</w:t>
            </w:r>
            <w:r>
              <w:rPr>
                <w:color w:val="auto"/>
                <w:spacing w:val="-97"/>
                <w:highlight w:val="none"/>
              </w:rPr>
              <w:t xml:space="preserve"> </w:t>
            </w:r>
            <w:r>
              <w:rPr>
                <w:color w:val="auto"/>
                <w:highlight w:val="none"/>
                <w:u w:val="single" w:color="auto"/>
              </w:rPr>
              <w:t xml:space="preserve">  </w:t>
            </w:r>
            <w:r>
              <w:rPr>
                <w:rFonts w:hint="eastAsia"/>
                <w:color w:val="auto"/>
                <w:highlight w:val="none"/>
                <w:u w:val="single" w:color="auto"/>
                <w:lang w:val="en-US" w:eastAsia="zh-CN"/>
              </w:rPr>
              <w:t>10</w:t>
            </w:r>
            <w:r>
              <w:rPr>
                <w:color w:val="auto"/>
                <w:highlight w:val="none"/>
                <w:u w:val="single" w:color="auto"/>
              </w:rPr>
              <w:t xml:space="preserve">   </w:t>
            </w:r>
            <w:r>
              <w:rPr>
                <w:color w:val="auto"/>
                <w:spacing w:val="-60"/>
                <w:highlight w:val="none"/>
              </w:rPr>
              <w:t xml:space="preserve"> </w:t>
            </w:r>
            <w:r>
              <w:rPr>
                <w:color w:val="auto"/>
                <w:spacing w:val="-3"/>
                <w:highlight w:val="none"/>
              </w:rPr>
              <w:t>日前</w:t>
            </w:r>
          </w:p>
        </w:tc>
      </w:tr>
      <w:tr w14:paraId="2AC52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14:paraId="799F8097">
            <w:pPr>
              <w:spacing w:line="265" w:lineRule="auto"/>
              <w:rPr>
                <w:rFonts w:ascii="Arial"/>
                <w:color w:val="auto"/>
                <w:sz w:val="21"/>
                <w:highlight w:val="none"/>
              </w:rPr>
            </w:pPr>
          </w:p>
          <w:p w14:paraId="0F942326">
            <w:pPr>
              <w:spacing w:line="265" w:lineRule="auto"/>
              <w:rPr>
                <w:rFonts w:ascii="Arial"/>
                <w:color w:val="auto"/>
                <w:sz w:val="21"/>
                <w:highlight w:val="none"/>
              </w:rPr>
            </w:pPr>
          </w:p>
          <w:p w14:paraId="5E0266AA">
            <w:pPr>
              <w:spacing w:line="265" w:lineRule="auto"/>
              <w:rPr>
                <w:rFonts w:ascii="Arial"/>
                <w:color w:val="auto"/>
                <w:sz w:val="21"/>
                <w:highlight w:val="none"/>
              </w:rPr>
            </w:pPr>
          </w:p>
          <w:p w14:paraId="74D58F5A">
            <w:pPr>
              <w:spacing w:line="265" w:lineRule="auto"/>
              <w:rPr>
                <w:rFonts w:ascii="Arial"/>
                <w:color w:val="auto"/>
                <w:sz w:val="21"/>
                <w:highlight w:val="none"/>
              </w:rPr>
            </w:pPr>
          </w:p>
          <w:p w14:paraId="7E32BCAC">
            <w:pPr>
              <w:spacing w:line="265" w:lineRule="auto"/>
              <w:rPr>
                <w:rFonts w:ascii="Arial"/>
                <w:color w:val="auto"/>
                <w:sz w:val="21"/>
                <w:highlight w:val="none"/>
              </w:rPr>
            </w:pPr>
          </w:p>
          <w:p w14:paraId="4878B79C">
            <w:pPr>
              <w:spacing w:line="265" w:lineRule="auto"/>
              <w:rPr>
                <w:rFonts w:ascii="Arial"/>
                <w:color w:val="auto"/>
                <w:sz w:val="21"/>
                <w:highlight w:val="none"/>
              </w:rPr>
            </w:pPr>
          </w:p>
          <w:p w14:paraId="6085575D">
            <w:pPr>
              <w:spacing w:line="265" w:lineRule="auto"/>
              <w:rPr>
                <w:rFonts w:ascii="Arial"/>
                <w:color w:val="auto"/>
                <w:sz w:val="21"/>
                <w:highlight w:val="none"/>
              </w:rPr>
            </w:pPr>
          </w:p>
          <w:p w14:paraId="26F1B3AB">
            <w:pPr>
              <w:spacing w:line="266" w:lineRule="auto"/>
              <w:rPr>
                <w:rFonts w:ascii="Arial"/>
                <w:color w:val="auto"/>
                <w:sz w:val="21"/>
                <w:highlight w:val="none"/>
              </w:rPr>
            </w:pPr>
          </w:p>
          <w:p w14:paraId="67EE75F8">
            <w:pPr>
              <w:spacing w:before="60" w:line="189" w:lineRule="auto"/>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2.4.1</w:t>
            </w:r>
          </w:p>
        </w:tc>
        <w:tc>
          <w:tcPr>
            <w:tcW w:w="2121" w:type="dxa"/>
            <w:vAlign w:val="top"/>
          </w:tcPr>
          <w:p w14:paraId="427DBCEC">
            <w:pPr>
              <w:rPr>
                <w:rFonts w:ascii="Arial"/>
                <w:color w:val="auto"/>
                <w:sz w:val="21"/>
                <w:highlight w:val="none"/>
              </w:rPr>
            </w:pPr>
          </w:p>
          <w:p w14:paraId="4021EFC8">
            <w:pPr>
              <w:rPr>
                <w:rFonts w:ascii="Arial"/>
                <w:color w:val="auto"/>
                <w:sz w:val="21"/>
                <w:highlight w:val="none"/>
              </w:rPr>
            </w:pPr>
          </w:p>
          <w:p w14:paraId="27D5A848">
            <w:pPr>
              <w:rPr>
                <w:rFonts w:ascii="Arial"/>
                <w:color w:val="auto"/>
                <w:sz w:val="21"/>
                <w:highlight w:val="none"/>
              </w:rPr>
            </w:pPr>
          </w:p>
          <w:p w14:paraId="17815DE3">
            <w:pPr>
              <w:rPr>
                <w:rFonts w:ascii="Arial"/>
                <w:color w:val="auto"/>
                <w:sz w:val="21"/>
                <w:highlight w:val="none"/>
              </w:rPr>
            </w:pPr>
          </w:p>
          <w:p w14:paraId="360C6A4D">
            <w:pPr>
              <w:rPr>
                <w:rFonts w:ascii="Arial"/>
                <w:color w:val="auto"/>
                <w:sz w:val="21"/>
                <w:highlight w:val="none"/>
              </w:rPr>
            </w:pPr>
          </w:p>
          <w:p w14:paraId="1FF92729">
            <w:pPr>
              <w:rPr>
                <w:rFonts w:ascii="Arial"/>
                <w:color w:val="auto"/>
                <w:sz w:val="21"/>
                <w:highlight w:val="none"/>
              </w:rPr>
            </w:pPr>
          </w:p>
          <w:p w14:paraId="0A4EC036">
            <w:pPr>
              <w:rPr>
                <w:rFonts w:ascii="Arial"/>
                <w:color w:val="auto"/>
                <w:sz w:val="21"/>
                <w:highlight w:val="none"/>
              </w:rPr>
            </w:pPr>
          </w:p>
          <w:p w14:paraId="5D155C51">
            <w:pPr>
              <w:rPr>
                <w:rFonts w:ascii="Arial"/>
                <w:color w:val="auto"/>
                <w:sz w:val="21"/>
                <w:highlight w:val="none"/>
              </w:rPr>
            </w:pPr>
          </w:p>
          <w:p w14:paraId="72402ECC">
            <w:pPr>
              <w:pStyle w:val="11"/>
              <w:spacing w:before="68" w:line="252" w:lineRule="auto"/>
              <w:ind w:left="648" w:right="319" w:hanging="315"/>
              <w:rPr>
                <w:color w:val="auto"/>
                <w:highlight w:val="none"/>
              </w:rPr>
            </w:pPr>
            <w:r>
              <w:rPr>
                <w:color w:val="auto"/>
                <w:spacing w:val="-1"/>
                <w:highlight w:val="none"/>
              </w:rPr>
              <w:t>异议受理部门及</w:t>
            </w:r>
            <w:r>
              <w:rPr>
                <w:color w:val="auto"/>
                <w:highlight w:val="none"/>
              </w:rPr>
              <w:t xml:space="preserve"> </w:t>
            </w:r>
            <w:r>
              <w:rPr>
                <w:color w:val="auto"/>
                <w:spacing w:val="-1"/>
                <w:highlight w:val="none"/>
              </w:rPr>
              <w:t>联系方式</w:t>
            </w:r>
          </w:p>
        </w:tc>
        <w:tc>
          <w:tcPr>
            <w:tcW w:w="5447" w:type="dxa"/>
            <w:vAlign w:val="top"/>
          </w:tcPr>
          <w:p w14:paraId="0CE1A394">
            <w:pPr>
              <w:pStyle w:val="11"/>
              <w:spacing w:before="79" w:line="221" w:lineRule="auto"/>
              <w:ind w:left="112"/>
              <w:rPr>
                <w:color w:val="auto"/>
                <w:highlight w:val="none"/>
              </w:rPr>
            </w:pPr>
            <w:r>
              <w:rPr>
                <w:color w:val="auto"/>
                <w:spacing w:val="-12"/>
                <w:highlight w:val="none"/>
              </w:rPr>
              <w:t>招</w:t>
            </w:r>
            <w:r>
              <w:rPr>
                <w:color w:val="auto"/>
                <w:spacing w:val="22"/>
                <w:highlight w:val="none"/>
              </w:rPr>
              <w:t xml:space="preserve">   </w:t>
            </w:r>
            <w:r>
              <w:rPr>
                <w:color w:val="auto"/>
                <w:spacing w:val="-12"/>
                <w:highlight w:val="none"/>
              </w:rPr>
              <w:t>标</w:t>
            </w:r>
            <w:r>
              <w:rPr>
                <w:color w:val="auto"/>
                <w:spacing w:val="30"/>
                <w:highlight w:val="none"/>
              </w:rPr>
              <w:t xml:space="preserve">  </w:t>
            </w:r>
            <w:r>
              <w:rPr>
                <w:color w:val="auto"/>
                <w:spacing w:val="-12"/>
                <w:highlight w:val="none"/>
              </w:rPr>
              <w:t>人：</w:t>
            </w:r>
          </w:p>
          <w:p w14:paraId="76D85D4E">
            <w:pPr>
              <w:pStyle w:val="11"/>
              <w:spacing w:before="69" w:line="223" w:lineRule="auto"/>
              <w:ind w:left="113"/>
              <w:rPr>
                <w:color w:val="auto"/>
                <w:highlight w:val="none"/>
                <w:u w:val="none" w:color="auto"/>
              </w:rPr>
            </w:pPr>
            <w:r>
              <w:rPr>
                <w:color w:val="auto"/>
                <w:spacing w:val="-29"/>
                <w:w w:val="99"/>
                <w:highlight w:val="none"/>
              </w:rPr>
              <w:t>名</w:t>
            </w:r>
            <w:r>
              <w:rPr>
                <w:color w:val="auto"/>
                <w:spacing w:val="1"/>
                <w:highlight w:val="none"/>
              </w:rPr>
              <w:t xml:space="preserve">        </w:t>
            </w:r>
            <w:r>
              <w:rPr>
                <w:color w:val="auto"/>
                <w:spacing w:val="-29"/>
                <w:w w:val="99"/>
                <w:highlight w:val="none"/>
              </w:rPr>
              <w:t>称：</w:t>
            </w:r>
            <w:r>
              <w:rPr>
                <w:rFonts w:hint="eastAsia" w:cs="宋体"/>
                <w:color w:val="auto"/>
                <w:spacing w:val="4"/>
                <w:highlight w:val="none"/>
                <w:lang w:eastAsia="zh-CN"/>
              </w:rPr>
              <w:t>营口广厦住房租赁有限公司</w:t>
            </w:r>
            <w:r>
              <w:rPr>
                <w:color w:val="auto"/>
                <w:spacing w:val="-28"/>
                <w:highlight w:val="none"/>
                <w:u w:val="none" w:color="auto"/>
              </w:rPr>
              <w:t xml:space="preserve"> </w:t>
            </w:r>
            <w:r>
              <w:rPr>
                <w:color w:val="auto"/>
                <w:highlight w:val="none"/>
                <w:u w:val="none" w:color="auto"/>
              </w:rPr>
              <w:t xml:space="preserve">          </w:t>
            </w:r>
          </w:p>
          <w:p w14:paraId="52D9C544">
            <w:pPr>
              <w:pStyle w:val="11"/>
              <w:spacing w:before="63" w:line="230" w:lineRule="auto"/>
              <w:ind w:left="111"/>
              <w:rPr>
                <w:color w:val="auto"/>
                <w:highlight w:val="none"/>
              </w:rPr>
            </w:pPr>
            <w:r>
              <w:rPr>
                <w:color w:val="auto"/>
                <w:spacing w:val="-29"/>
                <w:w w:val="99"/>
                <w:highlight w:val="none"/>
              </w:rPr>
              <w:t>地</w:t>
            </w:r>
            <w:r>
              <w:rPr>
                <w:color w:val="auto"/>
                <w:spacing w:val="1"/>
                <w:highlight w:val="none"/>
              </w:rPr>
              <w:t xml:space="preserve">        </w:t>
            </w:r>
            <w:r>
              <w:rPr>
                <w:color w:val="auto"/>
                <w:spacing w:val="-29"/>
                <w:w w:val="99"/>
                <w:highlight w:val="none"/>
              </w:rPr>
              <w:t>址：</w:t>
            </w:r>
            <w:r>
              <w:rPr>
                <w:color w:val="auto"/>
                <w:spacing w:val="-25"/>
                <w:highlight w:val="none"/>
              </w:rPr>
              <w:t xml:space="preserve"> </w:t>
            </w:r>
            <w:r>
              <w:rPr>
                <w:rFonts w:hint="eastAsia" w:ascii="宋体" w:hAnsi="宋体" w:eastAsia="宋体" w:cs="宋体"/>
                <w:color w:val="auto"/>
                <w:spacing w:val="4"/>
                <w:highlight w:val="none"/>
              </w:rPr>
              <w:t>营口市西市区新联北大街63号</w:t>
            </w:r>
            <w:r>
              <w:rPr>
                <w:color w:val="auto"/>
                <w:highlight w:val="none"/>
                <w:u w:val="none" w:color="auto"/>
              </w:rPr>
              <w:t xml:space="preserve">          </w:t>
            </w:r>
          </w:p>
          <w:p w14:paraId="52FB9F7D">
            <w:pPr>
              <w:pStyle w:val="11"/>
              <w:spacing w:before="59" w:line="223" w:lineRule="auto"/>
              <w:ind w:left="112"/>
              <w:rPr>
                <w:color w:val="auto"/>
                <w:highlight w:val="none"/>
              </w:rPr>
            </w:pPr>
            <w:r>
              <w:rPr>
                <w:color w:val="auto"/>
                <w:spacing w:val="-7"/>
                <w:highlight w:val="none"/>
              </w:rPr>
              <w:t>联</w:t>
            </w:r>
            <w:r>
              <w:rPr>
                <w:color w:val="auto"/>
                <w:spacing w:val="22"/>
                <w:highlight w:val="none"/>
              </w:rPr>
              <w:t xml:space="preserve">   </w:t>
            </w:r>
            <w:r>
              <w:rPr>
                <w:color w:val="auto"/>
                <w:spacing w:val="-7"/>
                <w:highlight w:val="none"/>
              </w:rPr>
              <w:t>系</w:t>
            </w:r>
            <w:r>
              <w:rPr>
                <w:color w:val="auto"/>
                <w:spacing w:val="30"/>
                <w:highlight w:val="none"/>
              </w:rPr>
              <w:t xml:space="preserve">  </w:t>
            </w:r>
            <w:r>
              <w:rPr>
                <w:color w:val="auto"/>
                <w:spacing w:val="-7"/>
                <w:highlight w:val="none"/>
              </w:rPr>
              <w:t>人：</w:t>
            </w:r>
            <w:r>
              <w:rPr>
                <w:rFonts w:hint="eastAsia" w:cs="宋体"/>
                <w:color w:val="auto"/>
                <w:spacing w:val="4"/>
                <w:highlight w:val="none"/>
                <w:lang w:eastAsia="zh-CN"/>
              </w:rPr>
              <w:t>盛陶然</w:t>
            </w:r>
            <w:r>
              <w:rPr>
                <w:color w:val="auto"/>
                <w:highlight w:val="none"/>
                <w:u w:val="none" w:color="auto"/>
              </w:rPr>
              <w:t xml:space="preserve">          </w:t>
            </w:r>
          </w:p>
          <w:p w14:paraId="609C24DA">
            <w:pPr>
              <w:pStyle w:val="11"/>
              <w:spacing w:before="67" w:line="223" w:lineRule="auto"/>
              <w:ind w:left="136"/>
              <w:rPr>
                <w:rFonts w:hint="eastAsia" w:eastAsia="宋体"/>
                <w:color w:val="auto"/>
                <w:highlight w:val="none"/>
                <w:lang w:eastAsia="zh-CN"/>
              </w:rPr>
            </w:pPr>
            <w:r>
              <w:rPr>
                <w:color w:val="auto"/>
                <w:spacing w:val="-30"/>
                <w:w w:val="96"/>
                <w:highlight w:val="none"/>
              </w:rPr>
              <w:t>电</w:t>
            </w:r>
            <w:r>
              <w:rPr>
                <w:color w:val="auto"/>
                <w:spacing w:val="1"/>
                <w:highlight w:val="none"/>
              </w:rPr>
              <w:t xml:space="preserve">        </w:t>
            </w:r>
            <w:r>
              <w:rPr>
                <w:color w:val="auto"/>
                <w:spacing w:val="-30"/>
                <w:w w:val="96"/>
                <w:highlight w:val="none"/>
              </w:rPr>
              <w:t>话：</w:t>
            </w:r>
            <w:r>
              <w:rPr>
                <w:rFonts w:hint="eastAsia" w:cs="宋体"/>
                <w:color w:val="auto"/>
                <w:spacing w:val="4"/>
                <w:highlight w:val="none"/>
                <w:lang w:eastAsia="zh-CN"/>
              </w:rPr>
              <w:t>15940733332</w:t>
            </w:r>
          </w:p>
          <w:p w14:paraId="45E4AFC4">
            <w:pPr>
              <w:pStyle w:val="11"/>
              <w:spacing w:before="64" w:line="283" w:lineRule="auto"/>
              <w:ind w:left="126"/>
              <w:rPr>
                <w:color w:val="auto"/>
                <w:highlight w:val="none"/>
              </w:rPr>
            </w:pPr>
            <w:r>
              <w:rPr>
                <w:color w:val="auto"/>
                <w:spacing w:val="-24"/>
                <w:highlight w:val="none"/>
              </w:rPr>
              <w:t>邮</w:t>
            </w:r>
            <w:r>
              <w:rPr>
                <w:color w:val="auto"/>
                <w:spacing w:val="62"/>
                <w:highlight w:val="none"/>
              </w:rPr>
              <w:t xml:space="preserve"> </w:t>
            </w:r>
            <w:r>
              <w:rPr>
                <w:color w:val="auto"/>
                <w:spacing w:val="-24"/>
                <w:highlight w:val="none"/>
              </w:rPr>
              <w:t>政</w:t>
            </w:r>
            <w:r>
              <w:rPr>
                <w:color w:val="auto"/>
                <w:spacing w:val="11"/>
                <w:highlight w:val="none"/>
              </w:rPr>
              <w:t xml:space="preserve"> </w:t>
            </w:r>
            <w:r>
              <w:rPr>
                <w:color w:val="auto"/>
                <w:spacing w:val="-24"/>
                <w:highlight w:val="none"/>
              </w:rPr>
              <w:t>编</w:t>
            </w:r>
            <w:r>
              <w:rPr>
                <w:color w:val="auto"/>
                <w:spacing w:val="56"/>
                <w:highlight w:val="none"/>
              </w:rPr>
              <w:t xml:space="preserve"> </w:t>
            </w:r>
            <w:r>
              <w:rPr>
                <w:color w:val="auto"/>
                <w:spacing w:val="-24"/>
                <w:highlight w:val="none"/>
              </w:rPr>
              <w:t>码：</w:t>
            </w:r>
            <w:r>
              <w:rPr>
                <w:color w:val="auto"/>
                <w:spacing w:val="-30"/>
                <w:highlight w:val="none"/>
              </w:rPr>
              <w:t xml:space="preserve"> </w:t>
            </w:r>
            <w:r>
              <w:rPr>
                <w:color w:val="auto"/>
                <w:highlight w:val="none"/>
                <w:u w:val="single" w:color="auto"/>
              </w:rPr>
              <w:t xml:space="preserve">          </w:t>
            </w:r>
          </w:p>
          <w:p w14:paraId="0297AF04">
            <w:pPr>
              <w:pStyle w:val="11"/>
              <w:spacing w:before="1" w:line="219" w:lineRule="auto"/>
              <w:ind w:left="112"/>
              <w:rPr>
                <w:color w:val="auto"/>
                <w:highlight w:val="none"/>
              </w:rPr>
            </w:pPr>
            <w:r>
              <w:rPr>
                <w:color w:val="auto"/>
                <w:spacing w:val="-5"/>
                <w:highlight w:val="none"/>
              </w:rPr>
              <w:t>招标代理机构：</w:t>
            </w:r>
          </w:p>
          <w:p w14:paraId="4DE7D195">
            <w:pPr>
              <w:pStyle w:val="11"/>
              <w:spacing w:before="71" w:line="223" w:lineRule="auto"/>
              <w:ind w:left="113"/>
              <w:rPr>
                <w:color w:val="auto"/>
                <w:highlight w:val="none"/>
              </w:rPr>
            </w:pPr>
            <w:r>
              <w:rPr>
                <w:color w:val="auto"/>
                <w:spacing w:val="-29"/>
                <w:w w:val="99"/>
                <w:highlight w:val="none"/>
              </w:rPr>
              <w:t>名</w:t>
            </w:r>
            <w:r>
              <w:rPr>
                <w:color w:val="auto"/>
                <w:spacing w:val="1"/>
                <w:highlight w:val="none"/>
              </w:rPr>
              <w:t xml:space="preserve">        </w:t>
            </w:r>
            <w:r>
              <w:rPr>
                <w:color w:val="auto"/>
                <w:spacing w:val="-29"/>
                <w:w w:val="99"/>
                <w:highlight w:val="none"/>
              </w:rPr>
              <w:t>称：</w:t>
            </w:r>
            <w:r>
              <w:rPr>
                <w:rFonts w:hint="eastAsia" w:cs="宋体"/>
                <w:color w:val="auto"/>
                <w:spacing w:val="4"/>
                <w:highlight w:val="none"/>
                <w:lang w:eastAsia="zh-CN"/>
              </w:rPr>
              <w:t>沈阳招标中心有限公司</w:t>
            </w:r>
            <w:r>
              <w:rPr>
                <w:color w:val="auto"/>
                <w:spacing w:val="-28"/>
                <w:highlight w:val="none"/>
              </w:rPr>
              <w:t xml:space="preserve"> </w:t>
            </w:r>
            <w:r>
              <w:rPr>
                <w:color w:val="auto"/>
                <w:highlight w:val="none"/>
                <w:u w:val="none" w:color="auto"/>
              </w:rPr>
              <w:t xml:space="preserve">        </w:t>
            </w:r>
            <w:r>
              <w:rPr>
                <w:color w:val="auto"/>
                <w:highlight w:val="none"/>
                <w:u w:val="single" w:color="auto"/>
              </w:rPr>
              <w:t xml:space="preserve">  </w:t>
            </w:r>
          </w:p>
          <w:p w14:paraId="63A83E79">
            <w:pPr>
              <w:pStyle w:val="11"/>
              <w:spacing w:before="72" w:line="240" w:lineRule="auto"/>
              <w:ind w:left="113"/>
              <w:rPr>
                <w:rFonts w:hint="eastAsia" w:ascii="宋体" w:hAnsi="宋体" w:eastAsia="宋体" w:cs="宋体"/>
                <w:color w:val="auto"/>
                <w:spacing w:val="4"/>
                <w:highlight w:val="none"/>
                <w:lang w:eastAsia="zh-CN"/>
              </w:rPr>
            </w:pPr>
            <w:r>
              <w:rPr>
                <w:color w:val="auto"/>
                <w:spacing w:val="-29"/>
                <w:w w:val="99"/>
                <w:highlight w:val="none"/>
              </w:rPr>
              <w:t>地</w:t>
            </w:r>
            <w:r>
              <w:rPr>
                <w:color w:val="auto"/>
                <w:spacing w:val="1"/>
                <w:highlight w:val="none"/>
              </w:rPr>
              <w:t xml:space="preserve">        </w:t>
            </w:r>
            <w:r>
              <w:rPr>
                <w:color w:val="auto"/>
                <w:spacing w:val="-29"/>
                <w:w w:val="99"/>
                <w:highlight w:val="none"/>
              </w:rPr>
              <w:t>址：</w:t>
            </w:r>
            <w:r>
              <w:rPr>
                <w:rFonts w:hint="eastAsia" w:cs="宋体"/>
                <w:color w:val="auto"/>
                <w:spacing w:val="4"/>
                <w:highlight w:val="none"/>
                <w:lang w:eastAsia="zh-CN"/>
              </w:rPr>
              <w:t>沈阳市和平区绥化东街2号</w:t>
            </w:r>
          </w:p>
          <w:p w14:paraId="79C2CB58">
            <w:pPr>
              <w:pStyle w:val="11"/>
              <w:spacing w:before="72" w:line="240" w:lineRule="auto"/>
              <w:ind w:left="113"/>
              <w:rPr>
                <w:rFonts w:hint="eastAsia" w:ascii="宋体" w:hAnsi="宋体" w:eastAsia="宋体" w:cs="宋体"/>
                <w:color w:val="auto"/>
                <w:spacing w:val="4"/>
                <w:highlight w:val="none"/>
              </w:rPr>
            </w:pPr>
            <w:r>
              <w:rPr>
                <w:color w:val="auto"/>
                <w:spacing w:val="-25"/>
                <w:highlight w:val="none"/>
              </w:rPr>
              <w:t>联</w:t>
            </w:r>
            <w:r>
              <w:rPr>
                <w:color w:val="auto"/>
                <w:spacing w:val="22"/>
                <w:highlight w:val="none"/>
              </w:rPr>
              <w:t xml:space="preserve">   </w:t>
            </w:r>
            <w:r>
              <w:rPr>
                <w:color w:val="auto"/>
                <w:spacing w:val="-25"/>
                <w:highlight w:val="none"/>
              </w:rPr>
              <w:t>系</w:t>
            </w:r>
            <w:r>
              <w:rPr>
                <w:color w:val="auto"/>
                <w:spacing w:val="29"/>
                <w:highlight w:val="none"/>
              </w:rPr>
              <w:t xml:space="preserve">  </w:t>
            </w:r>
            <w:r>
              <w:rPr>
                <w:color w:val="auto"/>
                <w:spacing w:val="-25"/>
                <w:highlight w:val="none"/>
              </w:rPr>
              <w:t>人：</w:t>
            </w:r>
            <w:r>
              <w:rPr>
                <w:rFonts w:hint="eastAsia" w:cs="宋体"/>
                <w:color w:val="auto"/>
                <w:spacing w:val="4"/>
                <w:highlight w:val="none"/>
                <w:lang w:eastAsia="zh-CN"/>
              </w:rPr>
              <w:t>崔大勇、刘佳麟</w:t>
            </w:r>
          </w:p>
          <w:p w14:paraId="448764E4">
            <w:pPr>
              <w:pStyle w:val="11"/>
              <w:spacing w:before="69" w:line="223" w:lineRule="auto"/>
              <w:ind w:left="136"/>
              <w:rPr>
                <w:color w:val="auto"/>
                <w:highlight w:val="none"/>
              </w:rPr>
            </w:pPr>
            <w:r>
              <w:rPr>
                <w:color w:val="auto"/>
                <w:spacing w:val="-30"/>
                <w:w w:val="96"/>
                <w:highlight w:val="none"/>
              </w:rPr>
              <w:t>电</w:t>
            </w:r>
            <w:r>
              <w:rPr>
                <w:color w:val="auto"/>
                <w:spacing w:val="1"/>
                <w:highlight w:val="none"/>
              </w:rPr>
              <w:t xml:space="preserve">        </w:t>
            </w:r>
            <w:r>
              <w:rPr>
                <w:color w:val="auto"/>
                <w:spacing w:val="-30"/>
                <w:w w:val="96"/>
                <w:highlight w:val="none"/>
              </w:rPr>
              <w:t>话：</w:t>
            </w:r>
            <w:r>
              <w:rPr>
                <w:color w:val="auto"/>
                <w:spacing w:val="-28"/>
                <w:highlight w:val="none"/>
              </w:rPr>
              <w:t xml:space="preserve"> </w:t>
            </w:r>
            <w:r>
              <w:rPr>
                <w:rFonts w:hint="eastAsia" w:cs="宋体"/>
                <w:color w:val="auto"/>
                <w:spacing w:val="4"/>
                <w:highlight w:val="none"/>
                <w:lang w:eastAsia="zh-CN"/>
              </w:rPr>
              <w:t>024-22503596、22503578</w:t>
            </w:r>
            <w:r>
              <w:rPr>
                <w:color w:val="auto"/>
                <w:highlight w:val="none"/>
                <w:u w:val="single" w:color="auto"/>
              </w:rPr>
              <w:t xml:space="preserve">         </w:t>
            </w:r>
          </w:p>
          <w:p w14:paraId="4619461A">
            <w:pPr>
              <w:pStyle w:val="11"/>
              <w:spacing w:before="63" w:line="221" w:lineRule="auto"/>
              <w:ind w:left="126"/>
              <w:rPr>
                <w:color w:val="auto"/>
                <w:highlight w:val="none"/>
              </w:rPr>
            </w:pPr>
            <w:r>
              <w:rPr>
                <w:color w:val="auto"/>
                <w:spacing w:val="-24"/>
                <w:highlight w:val="none"/>
              </w:rPr>
              <w:t>邮</w:t>
            </w:r>
            <w:r>
              <w:rPr>
                <w:color w:val="auto"/>
                <w:spacing w:val="62"/>
                <w:highlight w:val="none"/>
              </w:rPr>
              <w:t xml:space="preserve"> </w:t>
            </w:r>
            <w:r>
              <w:rPr>
                <w:color w:val="auto"/>
                <w:spacing w:val="-24"/>
                <w:highlight w:val="none"/>
              </w:rPr>
              <w:t>政</w:t>
            </w:r>
            <w:r>
              <w:rPr>
                <w:color w:val="auto"/>
                <w:spacing w:val="11"/>
                <w:highlight w:val="none"/>
              </w:rPr>
              <w:t xml:space="preserve"> </w:t>
            </w:r>
            <w:r>
              <w:rPr>
                <w:color w:val="auto"/>
                <w:spacing w:val="-24"/>
                <w:highlight w:val="none"/>
              </w:rPr>
              <w:t>编</w:t>
            </w:r>
            <w:r>
              <w:rPr>
                <w:color w:val="auto"/>
                <w:spacing w:val="56"/>
                <w:highlight w:val="none"/>
              </w:rPr>
              <w:t xml:space="preserve"> </w:t>
            </w:r>
            <w:r>
              <w:rPr>
                <w:color w:val="auto"/>
                <w:spacing w:val="-24"/>
                <w:highlight w:val="none"/>
              </w:rPr>
              <w:t>码：</w:t>
            </w:r>
            <w:r>
              <w:rPr>
                <w:color w:val="auto"/>
                <w:spacing w:val="-30"/>
                <w:highlight w:val="none"/>
              </w:rPr>
              <w:t xml:space="preserve"> </w:t>
            </w:r>
            <w:r>
              <w:rPr>
                <w:rFonts w:hint="eastAsia"/>
                <w:color w:val="auto"/>
                <w:spacing w:val="-30"/>
                <w:highlight w:val="none"/>
                <w:lang w:val="en-US" w:eastAsia="zh-CN"/>
              </w:rPr>
              <w:t>110033</w:t>
            </w:r>
            <w:r>
              <w:rPr>
                <w:color w:val="auto"/>
                <w:highlight w:val="none"/>
                <w:u w:val="none" w:color="auto"/>
              </w:rPr>
              <w:t xml:space="preserve">          </w:t>
            </w:r>
          </w:p>
          <w:p w14:paraId="5A2D76B4">
            <w:pPr>
              <w:pStyle w:val="11"/>
              <w:spacing w:before="70" w:line="245" w:lineRule="auto"/>
              <w:ind w:left="114" w:right="116" w:hanging="1"/>
              <w:rPr>
                <w:color w:val="auto"/>
                <w:highlight w:val="none"/>
              </w:rPr>
            </w:pPr>
            <w:r>
              <w:rPr>
                <w:color w:val="auto"/>
                <w:spacing w:val="7"/>
                <w:highlight w:val="none"/>
              </w:rPr>
              <w:t>异议投诉渠道：辽宁省工程建设项目招标投标异议投诉</w:t>
            </w:r>
            <w:r>
              <w:rPr>
                <w:color w:val="auto"/>
                <w:spacing w:val="2"/>
                <w:highlight w:val="none"/>
              </w:rPr>
              <w:t xml:space="preserve"> </w:t>
            </w:r>
            <w:r>
              <w:rPr>
                <w:color w:val="auto"/>
                <w:spacing w:val="-2"/>
                <w:highlight w:val="none"/>
              </w:rPr>
              <w:t>处理系统</w:t>
            </w:r>
          </w:p>
        </w:tc>
      </w:tr>
      <w:tr w14:paraId="1DE46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6D463B9D">
            <w:pPr>
              <w:pStyle w:val="11"/>
              <w:spacing w:before="112" w:line="243" w:lineRule="auto"/>
              <w:ind w:left="120" w:right="124" w:firstLine="99"/>
              <w:rPr>
                <w:color w:val="auto"/>
                <w:highlight w:val="none"/>
              </w:rPr>
            </w:pPr>
            <w:r>
              <w:rPr>
                <w:rFonts w:ascii="Times New Roman" w:hAnsi="Times New Roman" w:eastAsia="Times New Roman" w:cs="Times New Roman"/>
                <w:color w:val="auto"/>
                <w:spacing w:val="-2"/>
                <w:highlight w:val="none"/>
              </w:rPr>
              <w:t>3.1.1</w:t>
            </w:r>
            <w:r>
              <w:rPr>
                <w:rFonts w:ascii="Times New Roman" w:hAnsi="Times New Roman" w:eastAsia="Times New Roman" w:cs="Times New Roman"/>
                <w:color w:val="auto"/>
                <w:highlight w:val="none"/>
              </w:rPr>
              <w:t xml:space="preserve">   </w:t>
            </w:r>
            <w:r>
              <w:rPr>
                <w:color w:val="auto"/>
                <w:spacing w:val="-7"/>
                <w:highlight w:val="none"/>
              </w:rPr>
              <w:t>（</w:t>
            </w:r>
            <w:r>
              <w:rPr>
                <w:rFonts w:ascii="Times New Roman" w:hAnsi="Times New Roman" w:eastAsia="Times New Roman" w:cs="Times New Roman"/>
                <w:color w:val="auto"/>
                <w:spacing w:val="-7"/>
                <w:highlight w:val="none"/>
              </w:rPr>
              <w:t>10</w:t>
            </w:r>
            <w:r>
              <w:rPr>
                <w:color w:val="auto"/>
                <w:spacing w:val="-7"/>
                <w:highlight w:val="none"/>
              </w:rPr>
              <w:t>）</w:t>
            </w:r>
          </w:p>
        </w:tc>
        <w:tc>
          <w:tcPr>
            <w:tcW w:w="2121" w:type="dxa"/>
            <w:vAlign w:val="top"/>
          </w:tcPr>
          <w:p w14:paraId="3D2DFBC4">
            <w:pPr>
              <w:pStyle w:val="11"/>
              <w:spacing w:before="75" w:line="245" w:lineRule="auto"/>
              <w:ind w:left="858" w:right="108" w:hanging="737"/>
              <w:rPr>
                <w:color w:val="auto"/>
                <w:highlight w:val="none"/>
              </w:rPr>
            </w:pPr>
            <w:r>
              <w:rPr>
                <w:color w:val="auto"/>
                <w:spacing w:val="-1"/>
                <w:highlight w:val="none"/>
              </w:rPr>
              <w:t>构成投标文件的其他</w:t>
            </w:r>
            <w:r>
              <w:rPr>
                <w:color w:val="auto"/>
                <w:spacing w:val="3"/>
                <w:highlight w:val="none"/>
              </w:rPr>
              <w:t xml:space="preserve"> </w:t>
            </w:r>
            <w:r>
              <w:rPr>
                <w:color w:val="auto"/>
                <w:spacing w:val="-2"/>
                <w:highlight w:val="none"/>
              </w:rPr>
              <w:t>材料</w:t>
            </w:r>
          </w:p>
        </w:tc>
        <w:tc>
          <w:tcPr>
            <w:tcW w:w="5447" w:type="dxa"/>
            <w:vAlign w:val="top"/>
          </w:tcPr>
          <w:p w14:paraId="2FD5DEB1">
            <w:pPr>
              <w:rPr>
                <w:rFonts w:ascii="Arial"/>
                <w:color w:val="auto"/>
                <w:sz w:val="21"/>
                <w:highlight w:val="none"/>
              </w:rPr>
            </w:pPr>
            <w:r>
              <w:rPr>
                <w:rFonts w:hint="eastAsia"/>
                <w:color w:val="auto"/>
                <w:highlight w:val="none"/>
                <w:lang w:eastAsia="zh-CN"/>
              </w:rPr>
              <w:t>工程量清单，图纸，技术文件等</w:t>
            </w:r>
          </w:p>
        </w:tc>
      </w:tr>
      <w:tr w14:paraId="617CC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14:paraId="31A5700F">
            <w:pPr>
              <w:spacing w:line="267" w:lineRule="auto"/>
              <w:rPr>
                <w:rFonts w:ascii="Arial"/>
                <w:color w:val="auto"/>
                <w:sz w:val="21"/>
                <w:highlight w:val="none"/>
              </w:rPr>
            </w:pPr>
          </w:p>
          <w:p w14:paraId="67E03964">
            <w:pPr>
              <w:spacing w:line="267" w:lineRule="auto"/>
              <w:rPr>
                <w:rFonts w:ascii="Arial"/>
                <w:color w:val="auto"/>
                <w:sz w:val="21"/>
                <w:highlight w:val="none"/>
              </w:rPr>
            </w:pPr>
          </w:p>
          <w:p w14:paraId="28950C57">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3.2.4</w:t>
            </w:r>
          </w:p>
        </w:tc>
        <w:tc>
          <w:tcPr>
            <w:tcW w:w="2121" w:type="dxa"/>
            <w:vAlign w:val="top"/>
          </w:tcPr>
          <w:p w14:paraId="4681F91F">
            <w:pPr>
              <w:spacing w:line="245" w:lineRule="auto"/>
              <w:rPr>
                <w:rFonts w:ascii="Arial"/>
                <w:color w:val="auto"/>
                <w:sz w:val="21"/>
                <w:highlight w:val="none"/>
              </w:rPr>
            </w:pPr>
          </w:p>
          <w:p w14:paraId="0090CDAE">
            <w:pPr>
              <w:spacing w:line="245" w:lineRule="auto"/>
              <w:rPr>
                <w:rFonts w:ascii="Arial"/>
                <w:color w:val="auto"/>
                <w:sz w:val="21"/>
                <w:highlight w:val="none"/>
              </w:rPr>
            </w:pPr>
          </w:p>
          <w:p w14:paraId="41F20365">
            <w:pPr>
              <w:pStyle w:val="11"/>
              <w:spacing w:before="68" w:line="219" w:lineRule="auto"/>
              <w:ind w:left="438"/>
              <w:rPr>
                <w:color w:val="auto"/>
                <w:highlight w:val="none"/>
              </w:rPr>
            </w:pPr>
            <w:r>
              <w:rPr>
                <w:color w:val="auto"/>
                <w:spacing w:val="-1"/>
                <w:highlight w:val="none"/>
              </w:rPr>
              <w:t>最高投标限价</w:t>
            </w:r>
          </w:p>
        </w:tc>
        <w:tc>
          <w:tcPr>
            <w:tcW w:w="5447" w:type="dxa"/>
            <w:vAlign w:val="top"/>
          </w:tcPr>
          <w:p w14:paraId="3AFF064B">
            <w:pPr>
              <w:pStyle w:val="11"/>
              <w:spacing w:before="81" w:line="219" w:lineRule="auto"/>
              <w:ind w:left="132"/>
              <w:rPr>
                <w:color w:val="auto"/>
                <w:highlight w:val="none"/>
              </w:rPr>
            </w:pPr>
            <w:r>
              <w:rPr>
                <w:color w:val="auto"/>
                <w:spacing w:val="-3"/>
                <w:highlight w:val="none"/>
              </w:rPr>
              <w:t>□不设置最高投标限价</w:t>
            </w:r>
          </w:p>
          <w:p w14:paraId="4E5289C7">
            <w:pPr>
              <w:pStyle w:val="11"/>
              <w:spacing w:before="72" w:line="219" w:lineRule="auto"/>
              <w:ind w:left="132"/>
              <w:rPr>
                <w:color w:val="auto"/>
                <w:highlight w:val="none"/>
              </w:rPr>
            </w:pPr>
            <w:r>
              <w:rPr>
                <w:color w:val="auto"/>
                <w:spacing w:val="-7"/>
                <w:highlight w:val="none"/>
              </w:rPr>
              <w:sym w:font="Wingdings 2" w:char="0052"/>
            </w:r>
            <w:r>
              <w:rPr>
                <w:color w:val="auto"/>
                <w:spacing w:val="-7"/>
                <w:highlight w:val="none"/>
              </w:rPr>
              <w:t xml:space="preserve">设置最高投标限价，最高投标限价： </w:t>
            </w:r>
            <w:r>
              <w:rPr>
                <w:rFonts w:hint="eastAsia"/>
                <w:color w:val="auto"/>
                <w:spacing w:val="-7"/>
                <w:highlight w:val="none"/>
                <w:u w:val="single" w:color="auto"/>
                <w:lang w:val="en-US" w:eastAsia="zh-CN"/>
              </w:rPr>
              <w:t xml:space="preserve">   万元</w:t>
            </w:r>
            <w:r>
              <w:rPr>
                <w:color w:val="auto"/>
                <w:spacing w:val="-7"/>
                <w:highlight w:val="none"/>
              </w:rPr>
              <w:t>。</w:t>
            </w:r>
          </w:p>
          <w:p w14:paraId="0D6A0C23">
            <w:pPr>
              <w:pStyle w:val="11"/>
              <w:spacing w:before="66" w:line="245" w:lineRule="auto"/>
              <w:ind w:left="112" w:right="381" w:firstLine="1"/>
              <w:rPr>
                <w:color w:val="auto"/>
                <w:highlight w:val="none"/>
              </w:rPr>
            </w:pPr>
            <w:r>
              <w:rPr>
                <w:color w:val="auto"/>
                <w:spacing w:val="-5"/>
                <w:highlight w:val="none"/>
              </w:rPr>
              <w:t>最高投标限价公布时间：投标截止时间</w:t>
            </w:r>
            <w:r>
              <w:rPr>
                <w:color w:val="auto"/>
                <w:spacing w:val="-87"/>
                <w:highlight w:val="none"/>
              </w:rPr>
              <w:t xml:space="preserve"> </w:t>
            </w:r>
            <w:r>
              <w:rPr>
                <w:color w:val="auto"/>
                <w:spacing w:val="6"/>
                <w:highlight w:val="none"/>
                <w:u w:val="single" w:color="auto"/>
              </w:rPr>
              <w:t xml:space="preserve">    </w:t>
            </w:r>
            <w:r>
              <w:rPr>
                <w:rFonts w:hint="eastAsia"/>
                <w:color w:val="auto"/>
                <w:spacing w:val="6"/>
                <w:highlight w:val="none"/>
                <w:u w:val="single" w:color="auto"/>
                <w:lang w:val="en-US" w:eastAsia="zh-CN"/>
              </w:rPr>
              <w:t>3</w:t>
            </w:r>
            <w:r>
              <w:rPr>
                <w:color w:val="auto"/>
                <w:spacing w:val="6"/>
                <w:highlight w:val="none"/>
                <w:u w:val="single" w:color="auto"/>
              </w:rPr>
              <w:t xml:space="preserve">   </w:t>
            </w:r>
            <w:r>
              <w:rPr>
                <w:color w:val="auto"/>
                <w:spacing w:val="-55"/>
                <w:highlight w:val="none"/>
              </w:rPr>
              <w:t xml:space="preserve"> </w:t>
            </w:r>
            <w:r>
              <w:rPr>
                <w:color w:val="auto"/>
                <w:spacing w:val="-5"/>
                <w:highlight w:val="none"/>
              </w:rPr>
              <w:t>日前。</w:t>
            </w:r>
            <w:r>
              <w:rPr>
                <w:color w:val="auto"/>
                <w:highlight w:val="none"/>
              </w:rPr>
              <w:t xml:space="preserve"> </w:t>
            </w:r>
            <w:r>
              <w:rPr>
                <w:color w:val="auto"/>
                <w:spacing w:val="-9"/>
                <w:highlight w:val="none"/>
              </w:rPr>
              <w:t>其他要求：</w:t>
            </w:r>
          </w:p>
        </w:tc>
      </w:tr>
      <w:tr w14:paraId="11122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14:paraId="6F88369E">
            <w:pPr>
              <w:spacing w:line="292" w:lineRule="auto"/>
              <w:rPr>
                <w:rFonts w:ascii="Arial"/>
                <w:color w:val="auto"/>
                <w:sz w:val="21"/>
                <w:highlight w:val="none"/>
              </w:rPr>
            </w:pPr>
          </w:p>
          <w:p w14:paraId="2B96CC6B">
            <w:pPr>
              <w:spacing w:line="292" w:lineRule="auto"/>
              <w:rPr>
                <w:rFonts w:ascii="Arial"/>
                <w:color w:val="auto"/>
                <w:sz w:val="21"/>
                <w:highlight w:val="none"/>
              </w:rPr>
            </w:pPr>
          </w:p>
          <w:p w14:paraId="2753607B">
            <w:pPr>
              <w:spacing w:line="292" w:lineRule="auto"/>
              <w:rPr>
                <w:rFonts w:ascii="Arial"/>
                <w:color w:val="auto"/>
                <w:sz w:val="21"/>
                <w:highlight w:val="none"/>
              </w:rPr>
            </w:pPr>
          </w:p>
          <w:p w14:paraId="4DB5997E">
            <w:pPr>
              <w:spacing w:line="293" w:lineRule="auto"/>
              <w:rPr>
                <w:rFonts w:ascii="Arial"/>
                <w:color w:val="auto"/>
                <w:sz w:val="21"/>
                <w:highlight w:val="none"/>
              </w:rPr>
            </w:pPr>
          </w:p>
          <w:p w14:paraId="2D17B66D">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3.2.5</w:t>
            </w:r>
          </w:p>
        </w:tc>
        <w:tc>
          <w:tcPr>
            <w:tcW w:w="2121" w:type="dxa"/>
            <w:vAlign w:val="top"/>
          </w:tcPr>
          <w:p w14:paraId="2A4D2918">
            <w:pPr>
              <w:spacing w:line="281" w:lineRule="auto"/>
              <w:rPr>
                <w:rFonts w:ascii="Arial"/>
                <w:color w:val="auto"/>
                <w:sz w:val="21"/>
                <w:highlight w:val="none"/>
              </w:rPr>
            </w:pPr>
          </w:p>
          <w:p w14:paraId="6D060B68">
            <w:pPr>
              <w:spacing w:line="281" w:lineRule="auto"/>
              <w:rPr>
                <w:rFonts w:ascii="Arial"/>
                <w:color w:val="auto"/>
                <w:sz w:val="21"/>
                <w:highlight w:val="none"/>
              </w:rPr>
            </w:pPr>
          </w:p>
          <w:p w14:paraId="28CF56A6">
            <w:pPr>
              <w:spacing w:line="281" w:lineRule="auto"/>
              <w:rPr>
                <w:rFonts w:ascii="Arial"/>
                <w:color w:val="auto"/>
                <w:sz w:val="21"/>
                <w:highlight w:val="none"/>
              </w:rPr>
            </w:pPr>
          </w:p>
          <w:p w14:paraId="3B646CA7">
            <w:pPr>
              <w:spacing w:line="282" w:lineRule="auto"/>
              <w:rPr>
                <w:rFonts w:ascii="Arial"/>
                <w:color w:val="auto"/>
                <w:sz w:val="21"/>
                <w:highlight w:val="none"/>
              </w:rPr>
            </w:pPr>
          </w:p>
          <w:p w14:paraId="51D95024">
            <w:pPr>
              <w:pStyle w:val="11"/>
              <w:spacing w:before="68" w:line="219" w:lineRule="auto"/>
              <w:ind w:left="646"/>
              <w:rPr>
                <w:color w:val="auto"/>
                <w:highlight w:val="none"/>
              </w:rPr>
            </w:pPr>
            <w:r>
              <w:rPr>
                <w:color w:val="auto"/>
                <w:spacing w:val="-1"/>
                <w:highlight w:val="none"/>
              </w:rPr>
              <w:t>报价说明</w:t>
            </w:r>
          </w:p>
        </w:tc>
        <w:tc>
          <w:tcPr>
            <w:tcW w:w="5447" w:type="dxa"/>
            <w:vAlign w:val="top"/>
          </w:tcPr>
          <w:p w14:paraId="754F0131">
            <w:pPr>
              <w:pStyle w:val="11"/>
              <w:spacing w:before="81" w:line="219" w:lineRule="auto"/>
              <w:ind w:left="109"/>
              <w:rPr>
                <w:color w:val="auto"/>
                <w:highlight w:val="none"/>
              </w:rPr>
            </w:pPr>
            <w:r>
              <w:rPr>
                <w:color w:val="auto"/>
                <w:spacing w:val="-8"/>
                <w:highlight w:val="none"/>
              </w:rPr>
              <w:t>报价方式：</w:t>
            </w:r>
          </w:p>
          <w:p w14:paraId="7984F5C2">
            <w:pPr>
              <w:pStyle w:val="11"/>
              <w:spacing w:before="68" w:line="219" w:lineRule="auto"/>
              <w:ind w:left="132"/>
              <w:rPr>
                <w:color w:val="auto"/>
                <w:highlight w:val="none"/>
              </w:rPr>
            </w:pPr>
            <w:r>
              <w:rPr>
                <w:color w:val="auto"/>
                <w:spacing w:val="-4"/>
                <w:highlight w:val="none"/>
              </w:rPr>
              <w:sym w:font="Wingdings 2" w:char="0052"/>
            </w:r>
            <w:r>
              <w:rPr>
                <w:color w:val="auto"/>
                <w:spacing w:val="-4"/>
                <w:highlight w:val="none"/>
              </w:rPr>
              <w:t>人民币价格</w:t>
            </w:r>
          </w:p>
          <w:p w14:paraId="7BEA4B2A">
            <w:pPr>
              <w:pStyle w:val="11"/>
              <w:spacing w:before="72" w:line="219" w:lineRule="auto"/>
              <w:ind w:left="132"/>
              <w:rPr>
                <w:color w:val="auto"/>
                <w:highlight w:val="none"/>
              </w:rPr>
            </w:pPr>
            <w:r>
              <w:rPr>
                <w:color w:val="auto"/>
                <w:spacing w:val="-2"/>
                <w:highlight w:val="none"/>
              </w:rPr>
              <w:t>□综合费率（参与价格评审的为综合费率）</w:t>
            </w:r>
          </w:p>
          <w:p w14:paraId="090C4384">
            <w:pPr>
              <w:pStyle w:val="11"/>
              <w:spacing w:before="72" w:line="219" w:lineRule="auto"/>
              <w:ind w:left="132"/>
              <w:rPr>
                <w:color w:val="auto"/>
                <w:highlight w:val="none"/>
              </w:rPr>
            </w:pPr>
            <w:r>
              <w:rPr>
                <w:color w:val="auto"/>
                <w:spacing w:val="-3"/>
                <w:highlight w:val="none"/>
              </w:rPr>
              <w:t>□下浮率（参与价格评审的为下浮率）</w:t>
            </w:r>
          </w:p>
          <w:p w14:paraId="56E71E29">
            <w:pPr>
              <w:pStyle w:val="11"/>
              <w:spacing w:before="67" w:line="219" w:lineRule="auto"/>
              <w:ind w:left="132"/>
              <w:rPr>
                <w:color w:val="auto"/>
                <w:highlight w:val="none"/>
              </w:rPr>
            </w:pPr>
            <w:r>
              <w:rPr>
                <w:color w:val="auto"/>
                <w:spacing w:val="-2"/>
                <w:highlight w:val="none"/>
              </w:rPr>
              <w:t>□综合单价（参与价格评审的为综合单价）</w:t>
            </w:r>
          </w:p>
          <w:p w14:paraId="714FB224">
            <w:pPr>
              <w:pStyle w:val="11"/>
              <w:spacing w:before="72" w:line="219" w:lineRule="auto"/>
              <w:ind w:left="111"/>
              <w:rPr>
                <w:color w:val="auto"/>
                <w:highlight w:val="none"/>
              </w:rPr>
            </w:pPr>
            <w:r>
              <w:rPr>
                <w:color w:val="auto"/>
                <w:spacing w:val="7"/>
                <w:highlight w:val="none"/>
              </w:rPr>
              <w:t>特别说明：非人民币价格方式报价，投标人均应根据实</w:t>
            </w:r>
          </w:p>
          <w:p w14:paraId="6F348701">
            <w:pPr>
              <w:pStyle w:val="11"/>
              <w:spacing w:before="73" w:line="317" w:lineRule="exact"/>
              <w:ind w:left="126"/>
              <w:rPr>
                <w:color w:val="auto"/>
                <w:highlight w:val="none"/>
              </w:rPr>
            </w:pPr>
            <w:r>
              <w:rPr>
                <w:color w:val="auto"/>
                <w:spacing w:val="-3"/>
                <w:position w:val="7"/>
                <w:highlight w:val="none"/>
              </w:rPr>
              <w:t>际情况合理填报转换的人民币价格。</w:t>
            </w:r>
          </w:p>
          <w:p w14:paraId="07E9C4AE">
            <w:pPr>
              <w:pStyle w:val="11"/>
              <w:spacing w:before="1" w:line="205" w:lineRule="auto"/>
              <w:ind w:left="109"/>
              <w:rPr>
                <w:color w:val="auto"/>
                <w:highlight w:val="none"/>
              </w:rPr>
            </w:pPr>
            <w:r>
              <w:rPr>
                <w:color w:val="auto"/>
                <w:spacing w:val="-23"/>
                <w:w w:val="96"/>
                <w:highlight w:val="none"/>
              </w:rPr>
              <w:t>报价要求：</w:t>
            </w:r>
            <w:r>
              <w:rPr>
                <w:color w:val="auto"/>
                <w:spacing w:val="50"/>
                <w:highlight w:val="none"/>
              </w:rPr>
              <w:t xml:space="preserve"> </w:t>
            </w:r>
            <w:r>
              <w:rPr>
                <w:rFonts w:hint="eastAsia"/>
                <w:color w:val="auto"/>
                <w:highlight w:val="none"/>
                <w:u w:val="single"/>
                <w:lang w:eastAsia="zh-CN"/>
              </w:rPr>
              <w:t>有效报价的确定：不超出招标控制价的投标报价为有效投标报价。</w:t>
            </w:r>
          </w:p>
        </w:tc>
      </w:tr>
      <w:tr w14:paraId="2CED7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DEC9353">
            <w:pPr>
              <w:spacing w:before="186"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3.3.1</w:t>
            </w:r>
          </w:p>
        </w:tc>
        <w:tc>
          <w:tcPr>
            <w:tcW w:w="2121" w:type="dxa"/>
            <w:vAlign w:val="top"/>
          </w:tcPr>
          <w:p w14:paraId="05F567C4">
            <w:pPr>
              <w:pStyle w:val="11"/>
              <w:spacing w:before="149" w:line="221" w:lineRule="auto"/>
              <w:ind w:left="544"/>
              <w:rPr>
                <w:color w:val="auto"/>
                <w:highlight w:val="none"/>
              </w:rPr>
            </w:pPr>
            <w:r>
              <w:rPr>
                <w:color w:val="auto"/>
                <w:spacing w:val="-1"/>
                <w:highlight w:val="none"/>
              </w:rPr>
              <w:t>投标有效期</w:t>
            </w:r>
          </w:p>
        </w:tc>
        <w:tc>
          <w:tcPr>
            <w:tcW w:w="5447" w:type="dxa"/>
            <w:vAlign w:val="top"/>
          </w:tcPr>
          <w:p w14:paraId="4130A0ED">
            <w:pPr>
              <w:pStyle w:val="11"/>
              <w:spacing w:before="149" w:line="221" w:lineRule="auto"/>
              <w:ind w:left="145"/>
              <w:rPr>
                <w:color w:val="auto"/>
                <w:highlight w:val="none"/>
              </w:rPr>
            </w:pPr>
            <w:r>
              <w:rPr>
                <w:color w:val="auto"/>
                <w:spacing w:val="-6"/>
                <w:highlight w:val="none"/>
              </w:rPr>
              <w:t>自投标截止之日起</w:t>
            </w:r>
            <w:r>
              <w:rPr>
                <w:color w:val="auto"/>
                <w:spacing w:val="-6"/>
                <w:highlight w:val="none"/>
                <w:u w:val="single" w:color="auto"/>
              </w:rPr>
              <w:t xml:space="preserve"> </w:t>
            </w:r>
            <w:r>
              <w:rPr>
                <w:rFonts w:hint="eastAsia"/>
                <w:color w:val="auto"/>
                <w:spacing w:val="-6"/>
                <w:highlight w:val="none"/>
                <w:u w:val="single" w:color="auto"/>
                <w:lang w:val="en-US" w:eastAsia="zh-CN"/>
              </w:rPr>
              <w:t>90</w:t>
            </w:r>
            <w:r>
              <w:rPr>
                <w:color w:val="auto"/>
                <w:spacing w:val="-47"/>
                <w:highlight w:val="none"/>
              </w:rPr>
              <w:t xml:space="preserve"> </w:t>
            </w:r>
            <w:r>
              <w:rPr>
                <w:color w:val="auto"/>
                <w:spacing w:val="-6"/>
                <w:highlight w:val="none"/>
              </w:rPr>
              <w:t>日内有效</w:t>
            </w:r>
          </w:p>
        </w:tc>
      </w:tr>
      <w:tr w14:paraId="5A99B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1C50E5E3">
            <w:pPr>
              <w:spacing w:line="267" w:lineRule="auto"/>
              <w:rPr>
                <w:rFonts w:ascii="Arial"/>
                <w:color w:val="auto"/>
                <w:sz w:val="21"/>
                <w:highlight w:val="none"/>
              </w:rPr>
            </w:pPr>
          </w:p>
          <w:p w14:paraId="7FCE389B">
            <w:pPr>
              <w:spacing w:line="268" w:lineRule="auto"/>
              <w:rPr>
                <w:rFonts w:ascii="Arial"/>
                <w:color w:val="auto"/>
                <w:sz w:val="21"/>
                <w:highlight w:val="none"/>
              </w:rPr>
            </w:pPr>
          </w:p>
          <w:p w14:paraId="4E7BD138">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3.4.1</w:t>
            </w:r>
          </w:p>
        </w:tc>
        <w:tc>
          <w:tcPr>
            <w:tcW w:w="2121" w:type="dxa"/>
            <w:vAlign w:val="top"/>
          </w:tcPr>
          <w:p w14:paraId="1CF0286C">
            <w:pPr>
              <w:spacing w:line="246" w:lineRule="auto"/>
              <w:rPr>
                <w:rFonts w:ascii="Arial"/>
                <w:color w:val="auto"/>
                <w:sz w:val="21"/>
                <w:highlight w:val="none"/>
              </w:rPr>
            </w:pPr>
          </w:p>
          <w:p w14:paraId="51F77982">
            <w:pPr>
              <w:spacing w:line="246" w:lineRule="auto"/>
              <w:rPr>
                <w:rFonts w:ascii="Arial"/>
                <w:color w:val="auto"/>
                <w:sz w:val="21"/>
                <w:highlight w:val="none"/>
              </w:rPr>
            </w:pPr>
          </w:p>
          <w:p w14:paraId="0F7BBF59">
            <w:pPr>
              <w:pStyle w:val="11"/>
              <w:spacing w:before="68" w:line="221" w:lineRule="auto"/>
              <w:ind w:left="544"/>
              <w:rPr>
                <w:color w:val="auto"/>
                <w:highlight w:val="none"/>
              </w:rPr>
            </w:pPr>
            <w:r>
              <w:rPr>
                <w:color w:val="auto"/>
                <w:spacing w:val="-1"/>
                <w:highlight w:val="none"/>
              </w:rPr>
              <w:t>投标保证金</w:t>
            </w:r>
          </w:p>
        </w:tc>
        <w:tc>
          <w:tcPr>
            <w:tcW w:w="5447" w:type="dxa"/>
            <w:vAlign w:val="top"/>
          </w:tcPr>
          <w:p w14:paraId="1596B6C6">
            <w:pPr>
              <w:pStyle w:val="11"/>
              <w:spacing w:before="40" w:line="207" w:lineRule="auto"/>
              <w:ind w:left="125"/>
              <w:rPr>
                <w:color w:val="auto"/>
                <w:highlight w:val="none"/>
              </w:rPr>
            </w:pPr>
            <w:r>
              <w:rPr>
                <w:rFonts w:ascii="Times New Roman" w:hAnsi="Times New Roman" w:eastAsia="Times New Roman" w:cs="Times New Roman"/>
                <w:color w:val="auto"/>
                <w:spacing w:val="-6"/>
                <w:sz w:val="32"/>
                <w:szCs w:val="32"/>
                <w:highlight w:val="none"/>
              </w:rPr>
              <w:t>□</w:t>
            </w:r>
            <w:r>
              <w:rPr>
                <w:color w:val="auto"/>
                <w:spacing w:val="-6"/>
                <w:highlight w:val="none"/>
              </w:rPr>
              <w:t>不提交</w:t>
            </w:r>
          </w:p>
          <w:p w14:paraId="11BCD889">
            <w:pPr>
              <w:pStyle w:val="11"/>
              <w:spacing w:line="222" w:lineRule="auto"/>
              <w:ind w:left="125"/>
              <w:rPr>
                <w:color w:val="auto"/>
                <w:highlight w:val="none"/>
              </w:rPr>
            </w:pPr>
            <w:r>
              <w:rPr>
                <w:rFonts w:ascii="Times New Roman" w:hAnsi="Times New Roman" w:eastAsia="Times New Roman" w:cs="Times New Roman"/>
                <w:color w:val="auto"/>
                <w:spacing w:val="-8"/>
                <w:sz w:val="32"/>
                <w:szCs w:val="32"/>
                <w:highlight w:val="none"/>
              </w:rPr>
              <w:sym w:font="Wingdings 2" w:char="0052"/>
            </w:r>
            <w:r>
              <w:rPr>
                <w:color w:val="auto"/>
                <w:spacing w:val="-8"/>
                <w:highlight w:val="none"/>
              </w:rPr>
              <w:t>提交</w:t>
            </w:r>
          </w:p>
          <w:p w14:paraId="7B44E768">
            <w:pPr>
              <w:pStyle w:val="11"/>
              <w:numPr>
                <w:ilvl w:val="0"/>
                <w:numId w:val="1"/>
              </w:numPr>
              <w:spacing w:before="21" w:line="246" w:lineRule="auto"/>
              <w:ind w:left="126" w:right="499"/>
              <w:rPr>
                <w:color w:val="auto"/>
                <w:spacing w:val="-14"/>
                <w:highlight w:val="none"/>
                <w14:textOutline w14:w="3831" w14:cap="flat" w14:cmpd="sng">
                  <w14:solidFill>
                    <w14:srgbClr w14:val="000000"/>
                  </w14:solidFill>
                  <w14:prstDash w14:val="solid"/>
                  <w14:miter w14:val="0"/>
                </w14:textOutline>
              </w:rPr>
            </w:pPr>
            <w:r>
              <w:rPr>
                <w:color w:val="auto"/>
                <w:spacing w:val="-6"/>
                <w:highlight w:val="none"/>
              </w:rPr>
              <w:t>递交截止时间（到账时间</w:t>
            </w:r>
            <w:r>
              <w:rPr>
                <w:color w:val="auto"/>
                <w:spacing w:val="-13"/>
                <w:highlight w:val="none"/>
              </w:rPr>
              <w:t>）</w:t>
            </w:r>
            <w:r>
              <w:rPr>
                <w:color w:val="auto"/>
                <w:spacing w:val="37"/>
                <w:highlight w:val="none"/>
              </w:rPr>
              <w:t xml:space="preserve"> </w:t>
            </w:r>
            <w:r>
              <w:rPr>
                <w:color w:val="auto"/>
                <w:spacing w:val="-13"/>
                <w:highlight w:val="none"/>
              </w:rPr>
              <w:t>：</w:t>
            </w:r>
            <w:r>
              <w:rPr>
                <w:color w:val="auto"/>
                <w:spacing w:val="-6"/>
                <w:highlight w:val="none"/>
                <w14:textOutline w14:w="3831" w14:cap="flat" w14:cmpd="sng">
                  <w14:solidFill>
                    <w14:srgbClr w14:val="000000"/>
                  </w14:solidFill>
                  <w14:prstDash w14:val="solid"/>
                  <w14:miter w14:val="0"/>
                </w14:textOutline>
              </w:rPr>
              <w:t>同本标段投标截止时</w:t>
            </w:r>
            <w:r>
              <w:rPr>
                <w:color w:val="auto"/>
                <w:highlight w:val="none"/>
              </w:rPr>
              <w:t xml:space="preserve"> </w:t>
            </w:r>
            <w:r>
              <w:rPr>
                <w:color w:val="auto"/>
                <w:spacing w:val="-14"/>
                <w:highlight w:val="none"/>
                <w14:textOutline w14:w="3831" w14:cap="flat" w14:cmpd="sng">
                  <w14:solidFill>
                    <w14:srgbClr w14:val="000000"/>
                  </w14:solidFill>
                  <w14:prstDash w14:val="solid"/>
                  <w14:miter w14:val="0"/>
                </w14:textOutline>
              </w:rPr>
              <w:t>间。</w:t>
            </w:r>
          </w:p>
        </w:tc>
      </w:tr>
    </w:tbl>
    <w:p w14:paraId="519F1579">
      <w:pPr>
        <w:pStyle w:val="3"/>
        <w:rPr>
          <w:color w:val="auto"/>
          <w:highlight w:val="none"/>
        </w:rPr>
      </w:pPr>
    </w:p>
    <w:p w14:paraId="27D6DD66">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52BDE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top"/>
          </w:tcPr>
          <w:p w14:paraId="2C3CCD12">
            <w:pPr>
              <w:rPr>
                <w:rFonts w:ascii="Arial"/>
                <w:color w:val="auto"/>
                <w:sz w:val="21"/>
                <w:highlight w:val="none"/>
              </w:rPr>
            </w:pPr>
          </w:p>
        </w:tc>
        <w:tc>
          <w:tcPr>
            <w:tcW w:w="2121" w:type="dxa"/>
            <w:vAlign w:val="top"/>
          </w:tcPr>
          <w:p w14:paraId="01CEF81E">
            <w:pPr>
              <w:rPr>
                <w:rFonts w:ascii="Arial"/>
                <w:color w:val="auto"/>
                <w:sz w:val="21"/>
                <w:highlight w:val="none"/>
              </w:rPr>
            </w:pPr>
          </w:p>
        </w:tc>
        <w:tc>
          <w:tcPr>
            <w:tcW w:w="5447" w:type="dxa"/>
            <w:vAlign w:val="top"/>
          </w:tcPr>
          <w:p w14:paraId="1B31FE2B">
            <w:pPr>
              <w:pStyle w:val="11"/>
              <w:spacing w:before="81" w:line="221" w:lineRule="auto"/>
              <w:ind w:left="113"/>
              <w:rPr>
                <w:color w:val="auto"/>
                <w:highlight w:val="none"/>
              </w:rPr>
            </w:pPr>
            <w:bookmarkStart w:id="32" w:name="bookmark56"/>
            <w:bookmarkEnd w:id="32"/>
            <w:bookmarkStart w:id="33" w:name="bookmark57"/>
            <w:bookmarkEnd w:id="33"/>
            <w:bookmarkStart w:id="34" w:name="bookmark55"/>
            <w:bookmarkEnd w:id="34"/>
            <w:bookmarkStart w:id="35" w:name="bookmark58"/>
            <w:bookmarkEnd w:id="35"/>
            <w:r>
              <w:rPr>
                <w:color w:val="auto"/>
                <w:spacing w:val="-14"/>
                <w:highlight w:val="none"/>
              </w:rPr>
              <w:t xml:space="preserve">2.金额： </w:t>
            </w:r>
            <w:r>
              <w:rPr>
                <w:color w:val="auto"/>
                <w:spacing w:val="-14"/>
                <w:highlight w:val="none"/>
                <w:u w:val="single" w:color="auto"/>
              </w:rPr>
              <w:t xml:space="preserve"> </w:t>
            </w:r>
            <w:r>
              <w:rPr>
                <w:rFonts w:hint="eastAsia"/>
                <w:color w:val="auto"/>
                <w:spacing w:val="-14"/>
                <w:highlight w:val="none"/>
                <w:u w:val="single" w:color="auto"/>
                <w:lang w:val="en-US" w:eastAsia="zh-CN"/>
              </w:rPr>
              <w:t>8万元</w:t>
            </w:r>
            <w:r>
              <w:rPr>
                <w:color w:val="auto"/>
                <w:spacing w:val="-14"/>
                <w:highlight w:val="none"/>
              </w:rPr>
              <w:t>。</w:t>
            </w:r>
          </w:p>
          <w:p w14:paraId="2813D50D">
            <w:pPr>
              <w:pStyle w:val="11"/>
              <w:spacing w:before="66" w:line="221" w:lineRule="auto"/>
              <w:ind w:left="115"/>
              <w:rPr>
                <w:color w:val="auto"/>
                <w:highlight w:val="none"/>
              </w:rPr>
            </w:pPr>
            <w:r>
              <w:rPr>
                <w:color w:val="auto"/>
                <w:spacing w:val="-8"/>
                <w:highlight w:val="none"/>
              </w:rPr>
              <w:t>3.形式：</w:t>
            </w:r>
            <w:r>
              <w:rPr>
                <w:rFonts w:hint="eastAsia"/>
                <w:color w:val="auto"/>
                <w:highlight w:val="none"/>
                <w:lang w:eastAsia="zh-CN"/>
              </w:rPr>
              <w:sym w:font="Wingdings 2" w:char="0052"/>
            </w:r>
            <w:r>
              <w:rPr>
                <w:rFonts w:hint="eastAsia"/>
                <w:color w:val="auto"/>
                <w:highlight w:val="none"/>
                <w:lang w:eastAsia="zh-CN"/>
              </w:rPr>
              <w:t>现金（指电汇、支票）  ☑保函（保险）</w:t>
            </w:r>
            <w:r>
              <w:rPr>
                <w:color w:val="auto"/>
                <w:spacing w:val="91"/>
                <w:highlight w:val="none"/>
              </w:rPr>
              <w:t xml:space="preserve"> </w:t>
            </w:r>
            <w:r>
              <w:rPr>
                <w:color w:val="auto"/>
                <w:spacing w:val="-8"/>
                <w:highlight w:val="none"/>
              </w:rPr>
              <w:t>□其他形式</w:t>
            </w:r>
          </w:p>
          <w:p w14:paraId="31D1C156">
            <w:pPr>
              <w:pStyle w:val="11"/>
              <w:spacing w:before="69" w:line="222" w:lineRule="auto"/>
              <w:ind w:left="110"/>
              <w:rPr>
                <w:color w:val="auto"/>
                <w:highlight w:val="none"/>
              </w:rPr>
            </w:pPr>
            <w:r>
              <w:rPr>
                <w:color w:val="auto"/>
                <w:spacing w:val="-5"/>
                <w:highlight w:val="none"/>
              </w:rPr>
              <w:t>4.递交方式：</w:t>
            </w:r>
          </w:p>
          <w:p w14:paraId="0AD93EFA">
            <w:pPr>
              <w:pStyle w:val="11"/>
              <w:spacing w:before="70" w:line="221" w:lineRule="auto"/>
              <w:ind w:left="110"/>
              <w:rPr>
                <w:color w:val="auto"/>
                <w:highlight w:val="none"/>
              </w:rPr>
            </w:pPr>
            <w:r>
              <w:rPr>
                <w:color w:val="auto"/>
                <w:spacing w:val="-2"/>
                <w:highlight w:val="none"/>
              </w:rPr>
              <w:t>4.1</w:t>
            </w:r>
            <w:r>
              <w:rPr>
                <w:color w:val="auto"/>
                <w:spacing w:val="-43"/>
                <w:highlight w:val="none"/>
              </w:rPr>
              <w:t xml:space="preserve"> </w:t>
            </w:r>
            <w:r>
              <w:rPr>
                <w:color w:val="auto"/>
                <w:spacing w:val="-2"/>
                <w:highlight w:val="none"/>
              </w:rPr>
              <w:t>现金</w:t>
            </w:r>
          </w:p>
          <w:p w14:paraId="554B25BA">
            <w:pPr>
              <w:pStyle w:val="11"/>
              <w:spacing w:before="64" w:line="221" w:lineRule="auto"/>
              <w:ind w:left="540"/>
              <w:rPr>
                <w:color w:val="auto"/>
                <w:highlight w:val="none"/>
              </w:rPr>
            </w:pPr>
            <w:r>
              <w:rPr>
                <w:color w:val="auto"/>
                <w:spacing w:val="-4"/>
                <w:highlight w:val="none"/>
              </w:rPr>
              <w:t>（1）收款信息</w:t>
            </w:r>
          </w:p>
          <w:p w14:paraId="48202787">
            <w:pPr>
              <w:widowControl/>
              <w:ind w:firstLine="420" w:firstLineChars="200"/>
              <w:rPr>
                <w:rFonts w:hint="eastAsia" w:ascii="仿宋_GB2312" w:hAnsi="Arial" w:eastAsia="仿宋_GB2312" w:cs="Arial"/>
                <w:color w:val="auto"/>
                <w:kern w:val="0"/>
                <w:szCs w:val="21"/>
                <w:highlight w:val="none"/>
                <w:lang w:eastAsia="zh-CN"/>
              </w:rPr>
            </w:pPr>
            <w:r>
              <w:rPr>
                <w:rFonts w:hint="eastAsia" w:ascii="仿宋_GB2312" w:hAnsi="Arial" w:eastAsia="仿宋_GB2312" w:cs="Arial"/>
                <w:color w:val="auto"/>
                <w:kern w:val="0"/>
                <w:szCs w:val="21"/>
                <w:highlight w:val="none"/>
              </w:rPr>
              <w:t>收款单位：</w:t>
            </w:r>
            <w:r>
              <w:rPr>
                <w:rFonts w:hint="eastAsia" w:ascii="仿宋_GB2312" w:eastAsia="仿宋_GB2312" w:cs="Arial"/>
                <w:color w:val="auto"/>
                <w:kern w:val="0"/>
                <w:szCs w:val="21"/>
                <w:highlight w:val="none"/>
                <w:lang w:eastAsia="zh-CN"/>
              </w:rPr>
              <w:t>沈阳招标中心有限公司</w:t>
            </w:r>
          </w:p>
          <w:p w14:paraId="198F1814">
            <w:pPr>
              <w:widowControl/>
              <w:ind w:firstLine="420" w:firstLineChars="200"/>
              <w:rPr>
                <w:rFonts w:hint="eastAsia" w:ascii="仿宋_GB2312" w:hAnsi="Arial" w:eastAsia="仿宋_GB2312" w:cs="Arial"/>
                <w:color w:val="auto"/>
                <w:kern w:val="0"/>
                <w:szCs w:val="21"/>
                <w:highlight w:val="none"/>
                <w:lang w:eastAsia="zh-CN"/>
              </w:rPr>
            </w:pPr>
            <w:r>
              <w:rPr>
                <w:rFonts w:hint="eastAsia" w:ascii="仿宋_GB2312" w:hAnsi="Arial" w:eastAsia="仿宋_GB2312" w:cs="Arial"/>
                <w:color w:val="auto"/>
                <w:kern w:val="0"/>
                <w:szCs w:val="21"/>
                <w:highlight w:val="none"/>
              </w:rPr>
              <w:t>开户银行：</w:t>
            </w:r>
            <w:r>
              <w:rPr>
                <w:rFonts w:hint="eastAsia" w:ascii="仿宋_GB2312" w:eastAsia="仿宋_GB2312" w:cs="Arial"/>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u w:val="single"/>
              </w:rPr>
              <w:t>中国建设银行浑南东路支行</w:t>
            </w:r>
          </w:p>
          <w:p w14:paraId="665253C5">
            <w:pPr>
              <w:widowControl/>
              <w:ind w:firstLine="420" w:firstLineChars="200"/>
              <w:rPr>
                <w:rFonts w:hint="eastAsia" w:ascii="仿宋_GB2312" w:hAnsi="Arial" w:eastAsia="仿宋_GB2312" w:cs="Arial"/>
                <w:color w:val="auto"/>
                <w:kern w:val="0"/>
                <w:szCs w:val="21"/>
                <w:highlight w:val="none"/>
                <w:lang w:eastAsia="zh-CN"/>
              </w:rPr>
            </w:pPr>
            <w:r>
              <w:rPr>
                <w:rFonts w:hint="eastAsia" w:ascii="仿宋_GB2312" w:hAnsi="Arial" w:eastAsia="仿宋_GB2312" w:cs="Arial"/>
                <w:color w:val="auto"/>
                <w:kern w:val="0"/>
                <w:szCs w:val="21"/>
                <w:highlight w:val="none"/>
              </w:rPr>
              <w:t>汇款账号：</w:t>
            </w:r>
            <w:r>
              <w:rPr>
                <w:rFonts w:hint="eastAsia" w:ascii="仿宋_GB2312" w:eastAsia="仿宋_GB2312" w:cs="Arial"/>
                <w:color w:val="auto"/>
                <w:kern w:val="0"/>
                <w:szCs w:val="21"/>
                <w:highlight w:val="none"/>
                <w:lang w:val="en-US" w:eastAsia="zh-CN"/>
              </w:rPr>
              <w:t xml:space="preserve"> </w:t>
            </w:r>
          </w:p>
          <w:p w14:paraId="4950E421">
            <w:pPr>
              <w:pStyle w:val="11"/>
              <w:tabs>
                <w:tab w:val="left" w:pos="4937"/>
              </w:tabs>
              <w:spacing w:before="71" w:line="266" w:lineRule="auto"/>
              <w:ind w:left="534" w:right="503" w:firstLine="6"/>
              <w:jc w:val="both"/>
              <w:rPr>
                <w:color w:val="auto"/>
                <w:highlight w:val="none"/>
              </w:rPr>
            </w:pPr>
            <w:r>
              <w:rPr>
                <w:color w:val="auto"/>
                <w:highlight w:val="none"/>
              </w:rPr>
              <w:t xml:space="preserve"> </w:t>
            </w:r>
            <w:r>
              <w:rPr>
                <w:color w:val="auto"/>
                <w:spacing w:val="-1"/>
                <w:highlight w:val="none"/>
              </w:rPr>
              <w:t>（2）收款说明</w:t>
            </w:r>
          </w:p>
          <w:p w14:paraId="20F77537">
            <w:pPr>
              <w:pStyle w:val="11"/>
              <w:spacing w:before="71" w:line="250" w:lineRule="auto"/>
              <w:ind w:left="113" w:right="294" w:firstLine="423"/>
              <w:rPr>
                <w:color w:val="auto"/>
                <w:highlight w:val="none"/>
              </w:rPr>
            </w:pPr>
            <w:r>
              <w:rPr>
                <w:color w:val="auto"/>
                <w:spacing w:val="-1"/>
                <w:highlight w:val="none"/>
              </w:rPr>
              <w:t>投标人应在投标截止时间前通过企业基本账户递交</w:t>
            </w:r>
            <w:r>
              <w:rPr>
                <w:color w:val="auto"/>
                <w:spacing w:val="12"/>
                <w:highlight w:val="none"/>
              </w:rPr>
              <w:t xml:space="preserve"> </w:t>
            </w:r>
            <w:r>
              <w:rPr>
                <w:color w:val="auto"/>
                <w:spacing w:val="-1"/>
                <w:highlight w:val="none"/>
              </w:rPr>
              <w:t>至</w:t>
            </w:r>
            <w:r>
              <w:rPr>
                <w:color w:val="auto"/>
                <w:spacing w:val="-45"/>
                <w:highlight w:val="none"/>
              </w:rPr>
              <w:t xml:space="preserve"> </w:t>
            </w:r>
            <w:r>
              <w:rPr>
                <w:color w:val="auto"/>
                <w:spacing w:val="-1"/>
                <w:highlight w:val="none"/>
              </w:rPr>
              <w:t>4.1（1）规定的账户，否则视为无效投标</w:t>
            </w:r>
            <w:r>
              <w:rPr>
                <w:color w:val="auto"/>
                <w:spacing w:val="-2"/>
                <w:highlight w:val="none"/>
              </w:rPr>
              <w:t>保证金。</w:t>
            </w:r>
          </w:p>
          <w:p w14:paraId="6DB8AD4E">
            <w:pPr>
              <w:pStyle w:val="11"/>
              <w:spacing w:before="70" w:line="221" w:lineRule="auto"/>
              <w:ind w:left="110"/>
              <w:rPr>
                <w:color w:val="auto"/>
                <w:highlight w:val="none"/>
              </w:rPr>
            </w:pPr>
            <w:r>
              <w:rPr>
                <w:color w:val="auto"/>
                <w:spacing w:val="-2"/>
                <w:highlight w:val="none"/>
              </w:rPr>
              <w:t>4.2</w:t>
            </w:r>
            <w:r>
              <w:rPr>
                <w:color w:val="auto"/>
                <w:spacing w:val="-40"/>
                <w:highlight w:val="none"/>
              </w:rPr>
              <w:t xml:space="preserve"> </w:t>
            </w:r>
            <w:r>
              <w:rPr>
                <w:color w:val="auto"/>
                <w:spacing w:val="-2"/>
                <w:highlight w:val="none"/>
              </w:rPr>
              <w:t>保函（保险）</w:t>
            </w:r>
          </w:p>
          <w:p w14:paraId="32466789">
            <w:pPr>
              <w:pStyle w:val="11"/>
              <w:spacing w:before="69" w:line="269" w:lineRule="auto"/>
              <w:ind w:left="110" w:right="188" w:firstLine="429"/>
              <w:rPr>
                <w:color w:val="auto"/>
                <w:highlight w:val="none"/>
              </w:rPr>
            </w:pPr>
            <w:r>
              <w:rPr>
                <w:color w:val="auto"/>
                <w:spacing w:val="-1"/>
                <w:highlight w:val="none"/>
              </w:rPr>
              <w:t>（1）投标人可通过辽宁省建设工程领域电子保函保</w:t>
            </w:r>
            <w:r>
              <w:rPr>
                <w:color w:val="auto"/>
                <w:spacing w:val="10"/>
                <w:highlight w:val="none"/>
              </w:rPr>
              <w:t xml:space="preserve"> </w:t>
            </w:r>
            <w:r>
              <w:rPr>
                <w:color w:val="auto"/>
                <w:spacing w:val="-1"/>
                <w:highlight w:val="none"/>
              </w:rPr>
              <w:t>险基础公共服务平台或辽宁省工程建设项目电子保函保</w:t>
            </w:r>
            <w:r>
              <w:rPr>
                <w:color w:val="auto"/>
                <w:spacing w:val="7"/>
                <w:highlight w:val="none"/>
              </w:rPr>
              <w:t xml:space="preserve">  </w:t>
            </w:r>
            <w:r>
              <w:rPr>
                <w:color w:val="auto"/>
                <w:spacing w:val="-1"/>
                <w:highlight w:val="none"/>
              </w:rPr>
              <w:t>险基础服务平台跨地区、跨行业自由服务试点的金融平</w:t>
            </w:r>
            <w:r>
              <w:rPr>
                <w:color w:val="auto"/>
                <w:spacing w:val="7"/>
                <w:highlight w:val="none"/>
              </w:rPr>
              <w:t xml:space="preserve">  </w:t>
            </w:r>
            <w:r>
              <w:rPr>
                <w:color w:val="auto"/>
                <w:spacing w:val="-1"/>
                <w:highlight w:val="none"/>
              </w:rPr>
              <w:t>台或金融机构任一渠道自主选择购买保函（保险</w:t>
            </w:r>
            <w:r>
              <w:rPr>
                <w:color w:val="auto"/>
                <w:spacing w:val="-34"/>
                <w:highlight w:val="none"/>
              </w:rPr>
              <w:t>），</w:t>
            </w:r>
            <w:r>
              <w:rPr>
                <w:color w:val="auto"/>
                <w:spacing w:val="-24"/>
                <w:highlight w:val="none"/>
              </w:rPr>
              <w:t xml:space="preserve"> </w:t>
            </w:r>
            <w:r>
              <w:rPr>
                <w:color w:val="auto"/>
                <w:spacing w:val="-1"/>
                <w:highlight w:val="none"/>
              </w:rPr>
              <w:t>鼓</w:t>
            </w:r>
            <w:r>
              <w:rPr>
                <w:color w:val="auto"/>
                <w:highlight w:val="none"/>
              </w:rPr>
              <w:t xml:space="preserve">  </w:t>
            </w:r>
            <w:r>
              <w:rPr>
                <w:color w:val="auto"/>
                <w:spacing w:val="-5"/>
                <w:highlight w:val="none"/>
              </w:rPr>
              <w:t>励企业使用电子保函（保险） 等形式提交保证金。</w:t>
            </w:r>
          </w:p>
          <w:p w14:paraId="169405AF">
            <w:pPr>
              <w:pStyle w:val="11"/>
              <w:spacing w:before="69" w:line="273" w:lineRule="auto"/>
              <w:ind w:left="109" w:right="219" w:firstLine="430"/>
              <w:rPr>
                <w:color w:val="auto"/>
                <w:highlight w:val="none"/>
              </w:rPr>
            </w:pPr>
            <w:r>
              <w:rPr>
                <w:color w:val="auto"/>
                <w:spacing w:val="-2"/>
                <w:highlight w:val="none"/>
              </w:rPr>
              <w:t>（2）投标人应在投标截止时间前购买完成并生效。</w:t>
            </w:r>
            <w:r>
              <w:rPr>
                <w:color w:val="auto"/>
                <w:spacing w:val="2"/>
                <w:highlight w:val="none"/>
              </w:rPr>
              <w:t xml:space="preserve"> </w:t>
            </w:r>
            <w:r>
              <w:rPr>
                <w:color w:val="auto"/>
                <w:spacing w:val="-1"/>
                <w:highlight w:val="none"/>
              </w:rPr>
              <w:t xml:space="preserve">购买保函（保险）的财务费用应当通过企业基本账户或 </w:t>
            </w:r>
            <w:r>
              <w:rPr>
                <w:color w:val="auto"/>
                <w:spacing w:val="-3"/>
                <w:highlight w:val="none"/>
              </w:rPr>
              <w:t>主体信息库登记的企业账户缴纳。纸质保函（保险）</w:t>
            </w:r>
            <w:r>
              <w:rPr>
                <w:color w:val="auto"/>
                <w:spacing w:val="-42"/>
                <w:highlight w:val="none"/>
              </w:rPr>
              <w:t xml:space="preserve"> </w:t>
            </w:r>
            <w:r>
              <w:rPr>
                <w:color w:val="auto"/>
                <w:spacing w:val="-4"/>
                <w:highlight w:val="none"/>
              </w:rPr>
              <w:t xml:space="preserve">和 </w:t>
            </w:r>
            <w:r>
              <w:rPr>
                <w:color w:val="auto"/>
                <w:spacing w:val="-1"/>
                <w:highlight w:val="none"/>
              </w:rPr>
              <w:t xml:space="preserve">电子保函（保险）能够满足出函机构官方媒介或其指定 </w:t>
            </w:r>
            <w:r>
              <w:rPr>
                <w:color w:val="auto"/>
                <w:spacing w:val="-6"/>
                <w:highlight w:val="none"/>
              </w:rPr>
              <w:t>的在线系统实时验真的条件。购买保函（保险）</w:t>
            </w:r>
            <w:r>
              <w:rPr>
                <w:color w:val="auto"/>
                <w:spacing w:val="35"/>
                <w:highlight w:val="none"/>
              </w:rPr>
              <w:t xml:space="preserve"> </w:t>
            </w:r>
            <w:r>
              <w:rPr>
                <w:color w:val="auto"/>
                <w:spacing w:val="-7"/>
                <w:highlight w:val="none"/>
              </w:rPr>
              <w:t xml:space="preserve">的财务 </w:t>
            </w:r>
            <w:r>
              <w:rPr>
                <w:color w:val="auto"/>
                <w:spacing w:val="-1"/>
                <w:highlight w:val="none"/>
              </w:rPr>
              <w:t xml:space="preserve">费用不是通过企业账户缴纳或无法在线验真的保函（保 </w:t>
            </w:r>
            <w:r>
              <w:rPr>
                <w:color w:val="auto"/>
                <w:spacing w:val="-3"/>
                <w:highlight w:val="none"/>
              </w:rPr>
              <w:t>险）视为无效保函（保险）。</w:t>
            </w:r>
          </w:p>
          <w:p w14:paraId="6E571F2B">
            <w:pPr>
              <w:pStyle w:val="11"/>
              <w:spacing w:before="70" w:line="221" w:lineRule="auto"/>
              <w:ind w:left="110"/>
              <w:rPr>
                <w:color w:val="auto"/>
                <w:highlight w:val="none"/>
              </w:rPr>
            </w:pPr>
            <w:r>
              <w:rPr>
                <w:color w:val="auto"/>
                <w:spacing w:val="-2"/>
                <w:highlight w:val="none"/>
              </w:rPr>
              <w:t>4.3</w:t>
            </w:r>
            <w:r>
              <w:rPr>
                <w:color w:val="auto"/>
                <w:spacing w:val="-44"/>
                <w:highlight w:val="none"/>
              </w:rPr>
              <w:t xml:space="preserve"> </w:t>
            </w:r>
            <w:r>
              <w:rPr>
                <w:color w:val="auto"/>
                <w:spacing w:val="-2"/>
                <w:highlight w:val="none"/>
              </w:rPr>
              <w:t>其他</w:t>
            </w:r>
          </w:p>
          <w:p w14:paraId="347698D6">
            <w:pPr>
              <w:pStyle w:val="11"/>
              <w:spacing w:before="63" w:line="258" w:lineRule="auto"/>
              <w:ind w:left="111" w:right="294" w:firstLine="421"/>
              <w:jc w:val="both"/>
              <w:rPr>
                <w:color w:val="auto"/>
                <w:highlight w:val="none"/>
              </w:rPr>
            </w:pPr>
            <w:r>
              <w:rPr>
                <w:color w:val="auto"/>
                <w:spacing w:val="-1"/>
                <w:highlight w:val="none"/>
              </w:rPr>
              <w:t>采用汇票等其他方式缴纳投标保证金的，也应参照</w:t>
            </w:r>
            <w:r>
              <w:rPr>
                <w:color w:val="auto"/>
                <w:spacing w:val="15"/>
                <w:highlight w:val="none"/>
              </w:rPr>
              <w:t xml:space="preserve"> </w:t>
            </w:r>
            <w:r>
              <w:rPr>
                <w:color w:val="auto"/>
                <w:spacing w:val="-1"/>
                <w:highlight w:val="none"/>
              </w:rPr>
              <w:t>现金方式缴纳要求执行。招标人要求可以不缴纳投标保</w:t>
            </w:r>
            <w:r>
              <w:rPr>
                <w:color w:val="auto"/>
                <w:spacing w:val="14"/>
                <w:highlight w:val="none"/>
              </w:rPr>
              <w:t xml:space="preserve"> </w:t>
            </w:r>
            <w:r>
              <w:rPr>
                <w:color w:val="auto"/>
                <w:spacing w:val="-1"/>
                <w:highlight w:val="none"/>
              </w:rPr>
              <w:t>证金的除外。</w:t>
            </w:r>
          </w:p>
        </w:tc>
      </w:tr>
      <w:tr w14:paraId="5D4F1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14:paraId="370DB5D8">
            <w:pPr>
              <w:spacing w:line="282" w:lineRule="auto"/>
              <w:rPr>
                <w:rFonts w:ascii="Arial"/>
                <w:color w:val="auto"/>
                <w:sz w:val="21"/>
                <w:highlight w:val="none"/>
              </w:rPr>
            </w:pPr>
          </w:p>
          <w:p w14:paraId="399996D7">
            <w:pPr>
              <w:spacing w:line="283" w:lineRule="auto"/>
              <w:rPr>
                <w:rFonts w:ascii="Arial"/>
                <w:color w:val="auto"/>
                <w:sz w:val="21"/>
                <w:highlight w:val="none"/>
              </w:rPr>
            </w:pPr>
          </w:p>
          <w:p w14:paraId="5AFE0BA5">
            <w:pPr>
              <w:spacing w:line="283" w:lineRule="auto"/>
              <w:rPr>
                <w:rFonts w:ascii="Arial"/>
                <w:color w:val="auto"/>
                <w:sz w:val="21"/>
                <w:highlight w:val="none"/>
              </w:rPr>
            </w:pPr>
          </w:p>
          <w:p w14:paraId="769012D6">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3.4.3</w:t>
            </w:r>
          </w:p>
        </w:tc>
        <w:tc>
          <w:tcPr>
            <w:tcW w:w="2121" w:type="dxa"/>
            <w:vAlign w:val="top"/>
          </w:tcPr>
          <w:p w14:paraId="26EC9579">
            <w:pPr>
              <w:spacing w:line="323" w:lineRule="auto"/>
              <w:rPr>
                <w:rFonts w:ascii="Arial"/>
                <w:color w:val="auto"/>
                <w:sz w:val="21"/>
                <w:highlight w:val="none"/>
              </w:rPr>
            </w:pPr>
          </w:p>
          <w:p w14:paraId="631ABA5B">
            <w:pPr>
              <w:spacing w:line="324" w:lineRule="auto"/>
              <w:rPr>
                <w:rFonts w:ascii="Arial"/>
                <w:color w:val="auto"/>
                <w:sz w:val="21"/>
                <w:highlight w:val="none"/>
              </w:rPr>
            </w:pPr>
          </w:p>
          <w:p w14:paraId="432D5FE4">
            <w:pPr>
              <w:pStyle w:val="11"/>
              <w:spacing w:before="68" w:line="253" w:lineRule="auto"/>
              <w:ind w:left="752" w:right="320" w:hanging="421"/>
              <w:rPr>
                <w:color w:val="auto"/>
                <w:highlight w:val="none"/>
              </w:rPr>
            </w:pPr>
            <w:r>
              <w:rPr>
                <w:color w:val="auto"/>
                <w:spacing w:val="-1"/>
                <w:highlight w:val="none"/>
              </w:rPr>
              <w:t>退还投标保证金</w:t>
            </w:r>
            <w:r>
              <w:rPr>
                <w:color w:val="auto"/>
                <w:highlight w:val="none"/>
              </w:rPr>
              <w:t xml:space="preserve"> </w:t>
            </w:r>
            <w:r>
              <w:rPr>
                <w:color w:val="auto"/>
                <w:spacing w:val="-1"/>
                <w:highlight w:val="none"/>
              </w:rPr>
              <w:t>及利息</w:t>
            </w:r>
          </w:p>
        </w:tc>
        <w:tc>
          <w:tcPr>
            <w:tcW w:w="5447" w:type="dxa"/>
            <w:vAlign w:val="top"/>
          </w:tcPr>
          <w:p w14:paraId="1D248204">
            <w:pPr>
              <w:pStyle w:val="11"/>
              <w:spacing w:before="80" w:line="221" w:lineRule="auto"/>
              <w:ind w:left="111"/>
              <w:rPr>
                <w:color w:val="auto"/>
                <w:highlight w:val="none"/>
              </w:rPr>
            </w:pPr>
            <w:r>
              <w:rPr>
                <w:color w:val="auto"/>
                <w:spacing w:val="-9"/>
                <w:highlight w:val="none"/>
              </w:rPr>
              <w:t>计息标准：</w:t>
            </w:r>
            <w:r>
              <w:rPr>
                <w:color w:val="auto"/>
                <w:spacing w:val="54"/>
                <w:highlight w:val="none"/>
              </w:rPr>
              <w:t xml:space="preserve"> </w:t>
            </w:r>
            <w:r>
              <w:rPr>
                <w:color w:val="auto"/>
                <w:spacing w:val="-9"/>
                <w:highlight w:val="none"/>
                <w:u w:val="single" w:color="auto"/>
              </w:rPr>
              <w:t>人民银行同期活期存款利率。</w:t>
            </w:r>
          </w:p>
          <w:p w14:paraId="631BB6B2">
            <w:pPr>
              <w:pStyle w:val="11"/>
              <w:spacing w:before="66" w:line="221" w:lineRule="auto"/>
              <w:ind w:left="111"/>
              <w:rPr>
                <w:color w:val="auto"/>
                <w:highlight w:val="none"/>
              </w:rPr>
            </w:pPr>
            <w:r>
              <w:rPr>
                <w:color w:val="auto"/>
                <w:spacing w:val="-8"/>
                <w:highlight w:val="none"/>
              </w:rPr>
              <w:t>计息时间：</w:t>
            </w:r>
            <w:r>
              <w:rPr>
                <w:color w:val="auto"/>
                <w:spacing w:val="67"/>
                <w:highlight w:val="none"/>
              </w:rPr>
              <w:t xml:space="preserve"> </w:t>
            </w:r>
            <w:r>
              <w:rPr>
                <w:color w:val="auto"/>
                <w:spacing w:val="-8"/>
                <w:highlight w:val="none"/>
                <w:u w:val="single" w:color="auto"/>
              </w:rPr>
              <w:t>投标保证金到账之日至退还的前一日。</w:t>
            </w:r>
          </w:p>
          <w:p w14:paraId="538D0CF1">
            <w:pPr>
              <w:pStyle w:val="11"/>
              <w:spacing w:before="67" w:line="263" w:lineRule="auto"/>
              <w:ind w:left="1163" w:right="105" w:hanging="1051"/>
              <w:rPr>
                <w:color w:val="auto"/>
                <w:highlight w:val="none"/>
              </w:rPr>
            </w:pPr>
            <w:r>
              <w:rPr>
                <w:color w:val="auto"/>
                <w:spacing w:val="-10"/>
                <w:highlight w:val="none"/>
              </w:rPr>
              <w:t>退还办法：</w:t>
            </w:r>
            <w:r>
              <w:rPr>
                <w:color w:val="auto"/>
                <w:spacing w:val="84"/>
                <w:highlight w:val="none"/>
              </w:rPr>
              <w:t xml:space="preserve"> </w:t>
            </w:r>
            <w:r>
              <w:rPr>
                <w:color w:val="auto"/>
                <w:spacing w:val="-10"/>
                <w:highlight w:val="none"/>
                <w:u w:val="single" w:color="auto"/>
              </w:rPr>
              <w:t>中标结果公示后</w:t>
            </w:r>
            <w:r>
              <w:rPr>
                <w:color w:val="auto"/>
                <w:spacing w:val="-54"/>
                <w:highlight w:val="none"/>
                <w:u w:val="single" w:color="auto"/>
              </w:rPr>
              <w:t xml:space="preserve"> </w:t>
            </w:r>
            <w:r>
              <w:rPr>
                <w:color w:val="auto"/>
                <w:spacing w:val="-10"/>
                <w:highlight w:val="none"/>
                <w:u w:val="single" w:color="auto"/>
              </w:rPr>
              <w:t>5</w:t>
            </w:r>
            <w:r>
              <w:rPr>
                <w:color w:val="auto"/>
                <w:spacing w:val="-22"/>
                <w:highlight w:val="none"/>
                <w:u w:val="single" w:color="auto"/>
              </w:rPr>
              <w:t xml:space="preserve"> </w:t>
            </w:r>
            <w:r>
              <w:rPr>
                <w:color w:val="auto"/>
                <w:spacing w:val="-10"/>
                <w:highlight w:val="none"/>
                <w:u w:val="single" w:color="auto"/>
              </w:rPr>
              <w:t>日内，未中标的投标人现金</w:t>
            </w:r>
            <w:r>
              <w:rPr>
                <w:color w:val="auto"/>
                <w:highlight w:val="none"/>
              </w:rPr>
              <w:t xml:space="preserve"> </w:t>
            </w:r>
            <w:r>
              <w:rPr>
                <w:color w:val="auto"/>
                <w:spacing w:val="1"/>
                <w:highlight w:val="none"/>
                <w:u w:val="single" w:color="auto"/>
              </w:rPr>
              <w:t>保证金按原路径自动退回；合同签订后 5</w:t>
            </w:r>
            <w:r>
              <w:rPr>
                <w:color w:val="auto"/>
                <w:spacing w:val="57"/>
                <w:highlight w:val="none"/>
                <w:u w:val="single" w:color="auto"/>
              </w:rPr>
              <w:t xml:space="preserve"> </w:t>
            </w:r>
            <w:r>
              <w:rPr>
                <w:color w:val="auto"/>
                <w:spacing w:val="1"/>
                <w:highlight w:val="none"/>
                <w:u w:val="single" w:color="auto"/>
              </w:rPr>
              <w:t>日</w:t>
            </w:r>
            <w:r>
              <w:rPr>
                <w:color w:val="auto"/>
                <w:highlight w:val="none"/>
              </w:rPr>
              <w:t xml:space="preserve"> </w:t>
            </w:r>
            <w:r>
              <w:rPr>
                <w:color w:val="auto"/>
                <w:spacing w:val="9"/>
                <w:highlight w:val="none"/>
                <w:u w:val="single" w:color="auto"/>
              </w:rPr>
              <w:t>内，中标人的现金投标保证金按原路径自动</w:t>
            </w:r>
            <w:r>
              <w:rPr>
                <w:color w:val="auto"/>
                <w:spacing w:val="7"/>
                <w:highlight w:val="none"/>
              </w:rPr>
              <w:t xml:space="preserve"> </w:t>
            </w:r>
            <w:r>
              <w:rPr>
                <w:color w:val="auto"/>
                <w:spacing w:val="-32"/>
                <w:highlight w:val="none"/>
                <w:u w:val="single" w:color="auto"/>
              </w:rPr>
              <w:t>退回。</w:t>
            </w:r>
            <w:r>
              <w:rPr>
                <w:color w:val="auto"/>
                <w:highlight w:val="none"/>
                <w:u w:val="single" w:color="auto"/>
              </w:rPr>
              <w:t xml:space="preserve"> </w:t>
            </w:r>
          </w:p>
        </w:tc>
      </w:tr>
      <w:tr w14:paraId="27675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42AFC03A">
            <w:pPr>
              <w:spacing w:before="277"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3.5.2</w:t>
            </w:r>
          </w:p>
        </w:tc>
        <w:tc>
          <w:tcPr>
            <w:tcW w:w="2121" w:type="dxa"/>
            <w:vAlign w:val="top"/>
          </w:tcPr>
          <w:p w14:paraId="0643B661">
            <w:pPr>
              <w:pStyle w:val="11"/>
              <w:spacing w:before="82" w:line="242" w:lineRule="auto"/>
              <w:ind w:left="647" w:right="108" w:hanging="525"/>
              <w:rPr>
                <w:color w:val="auto"/>
                <w:highlight w:val="none"/>
              </w:rPr>
            </w:pPr>
            <w:r>
              <w:rPr>
                <w:color w:val="auto"/>
                <w:spacing w:val="-1"/>
                <w:highlight w:val="none"/>
              </w:rPr>
              <w:t>企业近年财务状况的</w:t>
            </w:r>
            <w:r>
              <w:rPr>
                <w:color w:val="auto"/>
                <w:spacing w:val="2"/>
                <w:highlight w:val="none"/>
              </w:rPr>
              <w:t xml:space="preserve"> </w:t>
            </w:r>
            <w:r>
              <w:rPr>
                <w:color w:val="auto"/>
                <w:spacing w:val="-1"/>
                <w:highlight w:val="none"/>
              </w:rPr>
              <w:t>年份要求</w:t>
            </w:r>
          </w:p>
        </w:tc>
        <w:tc>
          <w:tcPr>
            <w:tcW w:w="5447" w:type="dxa"/>
            <w:vAlign w:val="top"/>
          </w:tcPr>
          <w:p w14:paraId="6A98C248">
            <w:pPr>
              <w:pStyle w:val="11"/>
              <w:spacing w:before="240" w:line="221" w:lineRule="auto"/>
              <w:ind w:left="110"/>
              <w:rPr>
                <w:color w:val="auto"/>
                <w:highlight w:val="none"/>
              </w:rPr>
            </w:pPr>
            <w:r>
              <w:rPr>
                <w:color w:val="auto"/>
                <w:spacing w:val="-4"/>
                <w:highlight w:val="none"/>
              </w:rPr>
              <w:t>近</w:t>
            </w:r>
            <w:r>
              <w:rPr>
                <w:color w:val="auto"/>
                <w:spacing w:val="22"/>
                <w:highlight w:val="none"/>
                <w:u w:val="single" w:color="auto"/>
              </w:rPr>
              <w:t xml:space="preserve">  </w:t>
            </w:r>
            <w:r>
              <w:rPr>
                <w:rFonts w:hint="eastAsia"/>
                <w:color w:val="auto"/>
                <w:spacing w:val="22"/>
                <w:highlight w:val="none"/>
                <w:u w:val="single" w:color="auto"/>
                <w:lang w:val="en-US" w:eastAsia="zh-CN"/>
              </w:rPr>
              <w:t>/</w:t>
            </w:r>
            <w:r>
              <w:rPr>
                <w:color w:val="auto"/>
                <w:spacing w:val="22"/>
                <w:highlight w:val="none"/>
                <w:u w:val="single" w:color="auto"/>
              </w:rPr>
              <w:t xml:space="preserve"> </w:t>
            </w:r>
            <w:r>
              <w:rPr>
                <w:color w:val="auto"/>
                <w:spacing w:val="-95"/>
                <w:highlight w:val="none"/>
              </w:rPr>
              <w:t xml:space="preserve"> </w:t>
            </w:r>
            <w:r>
              <w:rPr>
                <w:color w:val="auto"/>
                <w:spacing w:val="-4"/>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4"/>
                <w:highlight w:val="none"/>
              </w:rPr>
              <w:t>年度、</w:t>
            </w:r>
            <w:r>
              <w:rPr>
                <w:color w:val="auto"/>
                <w:spacing w:val="-4"/>
                <w:highlight w:val="none"/>
                <w:u w:val="single" w:color="auto"/>
              </w:rPr>
              <w:t xml:space="preserve">    </w:t>
            </w:r>
            <w:r>
              <w:rPr>
                <w:color w:val="auto"/>
                <w:spacing w:val="-95"/>
                <w:highlight w:val="none"/>
              </w:rPr>
              <w:t xml:space="preserve"> </w:t>
            </w:r>
            <w:r>
              <w:rPr>
                <w:color w:val="auto"/>
                <w:spacing w:val="-4"/>
                <w:highlight w:val="none"/>
              </w:rPr>
              <w:t>年度和</w:t>
            </w:r>
            <w:r>
              <w:rPr>
                <w:color w:val="auto"/>
                <w:spacing w:val="-105"/>
                <w:highlight w:val="none"/>
              </w:rPr>
              <w:t xml:space="preserve"> </w:t>
            </w:r>
            <w:r>
              <w:rPr>
                <w:color w:val="auto"/>
                <w:spacing w:val="16"/>
                <w:highlight w:val="none"/>
                <w:u w:val="single" w:color="auto"/>
              </w:rPr>
              <w:t xml:space="preserve">   </w:t>
            </w:r>
            <w:r>
              <w:rPr>
                <w:color w:val="auto"/>
                <w:spacing w:val="-94"/>
                <w:highlight w:val="none"/>
              </w:rPr>
              <w:t xml:space="preserve"> </w:t>
            </w:r>
            <w:r>
              <w:rPr>
                <w:color w:val="auto"/>
                <w:spacing w:val="-4"/>
                <w:highlight w:val="none"/>
              </w:rPr>
              <w:t>年度。</w:t>
            </w:r>
          </w:p>
        </w:tc>
      </w:tr>
      <w:tr w14:paraId="71307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4F480A47">
            <w:pPr>
              <w:spacing w:before="277"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3.5.3</w:t>
            </w:r>
          </w:p>
        </w:tc>
        <w:tc>
          <w:tcPr>
            <w:tcW w:w="2121" w:type="dxa"/>
            <w:vAlign w:val="top"/>
          </w:tcPr>
          <w:p w14:paraId="610771A0">
            <w:pPr>
              <w:pStyle w:val="11"/>
              <w:spacing w:before="82" w:line="244" w:lineRule="auto"/>
              <w:ind w:left="223" w:right="108" w:hanging="101"/>
              <w:rPr>
                <w:color w:val="auto"/>
                <w:highlight w:val="none"/>
              </w:rPr>
            </w:pPr>
            <w:r>
              <w:rPr>
                <w:color w:val="auto"/>
                <w:spacing w:val="-1"/>
                <w:highlight w:val="none"/>
              </w:rPr>
              <w:t>企业近年已完成的类</w:t>
            </w:r>
            <w:r>
              <w:rPr>
                <w:color w:val="auto"/>
                <w:spacing w:val="2"/>
                <w:highlight w:val="none"/>
              </w:rPr>
              <w:t xml:space="preserve"> </w:t>
            </w:r>
            <w:r>
              <w:rPr>
                <w:color w:val="auto"/>
                <w:spacing w:val="-1"/>
                <w:highlight w:val="none"/>
              </w:rPr>
              <w:t>似项目的年份要求</w:t>
            </w:r>
          </w:p>
        </w:tc>
        <w:tc>
          <w:tcPr>
            <w:tcW w:w="5447" w:type="dxa"/>
            <w:vAlign w:val="top"/>
          </w:tcPr>
          <w:p w14:paraId="3AE1D70B">
            <w:pPr>
              <w:pStyle w:val="11"/>
              <w:spacing w:before="240"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18"/>
                <w:highlight w:val="none"/>
                <w:u w:val="single" w:color="auto"/>
              </w:rPr>
              <w:t xml:space="preserve">  </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tc>
      </w:tr>
      <w:tr w14:paraId="74541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14:paraId="18B4D2EB">
            <w:pPr>
              <w:spacing w:line="346" w:lineRule="auto"/>
              <w:rPr>
                <w:rFonts w:ascii="Arial"/>
                <w:color w:val="auto"/>
                <w:sz w:val="21"/>
                <w:highlight w:val="none"/>
              </w:rPr>
            </w:pPr>
          </w:p>
          <w:p w14:paraId="1BAF5D77">
            <w:pPr>
              <w:spacing w:line="346" w:lineRule="auto"/>
              <w:rPr>
                <w:rFonts w:ascii="Arial"/>
                <w:color w:val="auto"/>
                <w:sz w:val="21"/>
                <w:highlight w:val="none"/>
              </w:rPr>
            </w:pPr>
          </w:p>
          <w:p w14:paraId="57B1E4D8">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3.5.5</w:t>
            </w:r>
          </w:p>
        </w:tc>
        <w:tc>
          <w:tcPr>
            <w:tcW w:w="2121" w:type="dxa"/>
            <w:vAlign w:val="top"/>
          </w:tcPr>
          <w:p w14:paraId="705A8A7F">
            <w:pPr>
              <w:spacing w:line="328" w:lineRule="auto"/>
              <w:rPr>
                <w:rFonts w:ascii="Arial"/>
                <w:color w:val="auto"/>
                <w:sz w:val="21"/>
                <w:highlight w:val="none"/>
              </w:rPr>
            </w:pPr>
          </w:p>
          <w:p w14:paraId="392FC384">
            <w:pPr>
              <w:pStyle w:val="11"/>
              <w:spacing w:before="68" w:line="221" w:lineRule="auto"/>
              <w:ind w:left="122"/>
              <w:rPr>
                <w:color w:val="auto"/>
                <w:highlight w:val="none"/>
              </w:rPr>
            </w:pPr>
            <w:r>
              <w:rPr>
                <w:color w:val="auto"/>
                <w:spacing w:val="-1"/>
                <w:highlight w:val="none"/>
              </w:rPr>
              <w:t>企业近年发生的诉讼</w:t>
            </w:r>
          </w:p>
          <w:p w14:paraId="27E79ADF">
            <w:pPr>
              <w:pStyle w:val="11"/>
              <w:spacing w:before="70" w:line="221" w:lineRule="auto"/>
              <w:ind w:left="118"/>
              <w:rPr>
                <w:color w:val="auto"/>
                <w:highlight w:val="none"/>
              </w:rPr>
            </w:pPr>
            <w:r>
              <w:rPr>
                <w:color w:val="auto"/>
                <w:spacing w:val="-1"/>
                <w:highlight w:val="none"/>
              </w:rPr>
              <w:t>及仲裁情况的年份要</w:t>
            </w:r>
          </w:p>
          <w:p w14:paraId="599C085C">
            <w:pPr>
              <w:pStyle w:val="11"/>
              <w:spacing w:before="65" w:line="222" w:lineRule="auto"/>
              <w:ind w:left="961"/>
              <w:rPr>
                <w:color w:val="auto"/>
                <w:highlight w:val="none"/>
              </w:rPr>
            </w:pPr>
            <w:r>
              <w:rPr>
                <w:color w:val="auto"/>
                <w:highlight w:val="none"/>
              </w:rPr>
              <w:t>求</w:t>
            </w:r>
          </w:p>
        </w:tc>
        <w:tc>
          <w:tcPr>
            <w:tcW w:w="5447" w:type="dxa"/>
            <w:vAlign w:val="top"/>
          </w:tcPr>
          <w:p w14:paraId="4F2CF8A9">
            <w:pPr>
              <w:pStyle w:val="11"/>
              <w:spacing w:before="77"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18"/>
                <w:highlight w:val="none"/>
                <w:u w:val="single" w:color="auto"/>
              </w:rPr>
              <w:t xml:space="preserve"> </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p w14:paraId="7415976F">
            <w:pPr>
              <w:pStyle w:val="11"/>
              <w:spacing w:before="72" w:line="263" w:lineRule="auto"/>
              <w:ind w:left="110" w:right="111"/>
              <w:rPr>
                <w:color w:val="auto"/>
                <w:highlight w:val="none"/>
              </w:rPr>
            </w:pPr>
            <w:r>
              <w:rPr>
                <w:color w:val="auto"/>
                <w:spacing w:val="7"/>
                <w:highlight w:val="none"/>
              </w:rPr>
              <w:t>特别说明：近年发生的诉讼和仲裁情况仅限于申请人败</w:t>
            </w:r>
            <w:r>
              <w:rPr>
                <w:color w:val="auto"/>
                <w:spacing w:val="6"/>
                <w:highlight w:val="none"/>
              </w:rPr>
              <w:t xml:space="preserve"> </w:t>
            </w:r>
            <w:r>
              <w:rPr>
                <w:color w:val="auto"/>
                <w:spacing w:val="7"/>
                <w:highlight w:val="none"/>
              </w:rPr>
              <w:t>诉的，且与签订或履行合同有关的案件，不包括调解结</w:t>
            </w:r>
            <w:r>
              <w:rPr>
                <w:color w:val="auto"/>
                <w:spacing w:val="5"/>
                <w:highlight w:val="none"/>
              </w:rPr>
              <w:t xml:space="preserve"> </w:t>
            </w:r>
            <w:r>
              <w:rPr>
                <w:color w:val="auto"/>
                <w:spacing w:val="7"/>
                <w:highlight w:val="none"/>
              </w:rPr>
              <w:t>案以及未终审判决的诉讼或未裁决的仲裁。投标人应如</w:t>
            </w:r>
            <w:r>
              <w:rPr>
                <w:color w:val="auto"/>
                <w:spacing w:val="11"/>
                <w:highlight w:val="none"/>
              </w:rPr>
              <w:t xml:space="preserve"> </w:t>
            </w:r>
            <w:r>
              <w:rPr>
                <w:color w:val="auto"/>
                <w:spacing w:val="7"/>
                <w:highlight w:val="none"/>
              </w:rPr>
              <w:t>实填写近年发生的诉讼及仲裁情况，否则视为不响应招</w:t>
            </w:r>
          </w:p>
        </w:tc>
      </w:tr>
    </w:tbl>
    <w:p w14:paraId="12BAC472">
      <w:pPr>
        <w:pStyle w:val="3"/>
        <w:rPr>
          <w:color w:val="auto"/>
          <w:highlight w:val="none"/>
        </w:rPr>
      </w:pPr>
    </w:p>
    <w:p w14:paraId="62ED96D6">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A8EB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3B5EE43E">
            <w:pPr>
              <w:rPr>
                <w:rFonts w:ascii="Arial"/>
                <w:color w:val="auto"/>
                <w:sz w:val="21"/>
                <w:highlight w:val="none"/>
              </w:rPr>
            </w:pPr>
          </w:p>
        </w:tc>
        <w:tc>
          <w:tcPr>
            <w:tcW w:w="2121" w:type="dxa"/>
            <w:vAlign w:val="top"/>
          </w:tcPr>
          <w:p w14:paraId="64490455">
            <w:pPr>
              <w:rPr>
                <w:rFonts w:ascii="Arial"/>
                <w:color w:val="auto"/>
                <w:sz w:val="21"/>
                <w:highlight w:val="none"/>
              </w:rPr>
            </w:pPr>
          </w:p>
        </w:tc>
        <w:tc>
          <w:tcPr>
            <w:tcW w:w="5447" w:type="dxa"/>
            <w:vAlign w:val="top"/>
          </w:tcPr>
          <w:p w14:paraId="25A1BF66">
            <w:pPr>
              <w:pStyle w:val="11"/>
              <w:spacing w:before="84" w:line="263" w:lineRule="auto"/>
              <w:ind w:left="109" w:right="116" w:firstLine="2"/>
              <w:rPr>
                <w:color w:val="auto"/>
                <w:highlight w:val="none"/>
              </w:rPr>
            </w:pPr>
            <w:bookmarkStart w:id="36" w:name="bookmark60"/>
            <w:bookmarkEnd w:id="36"/>
            <w:bookmarkStart w:id="37" w:name="bookmark59"/>
            <w:bookmarkEnd w:id="37"/>
            <w:r>
              <w:rPr>
                <w:color w:val="auto"/>
                <w:spacing w:val="7"/>
                <w:highlight w:val="none"/>
              </w:rPr>
              <w:t>标文件实质性要求，其投标文件将被否决。如投标人因</w:t>
            </w:r>
            <w:r>
              <w:rPr>
                <w:color w:val="auto"/>
                <w:spacing w:val="4"/>
                <w:highlight w:val="none"/>
              </w:rPr>
              <w:t xml:space="preserve"> </w:t>
            </w:r>
            <w:r>
              <w:rPr>
                <w:color w:val="auto"/>
                <w:spacing w:val="7"/>
                <w:highlight w:val="none"/>
              </w:rPr>
              <w:t>故意隐瞒且查证属实存在影响履约的诉讼及仲</w:t>
            </w:r>
            <w:r>
              <w:rPr>
                <w:color w:val="auto"/>
                <w:spacing w:val="6"/>
                <w:highlight w:val="none"/>
              </w:rPr>
              <w:t>裁情况，</w:t>
            </w:r>
            <w:r>
              <w:rPr>
                <w:color w:val="auto"/>
                <w:highlight w:val="none"/>
              </w:rPr>
              <w:t xml:space="preserve"> </w:t>
            </w:r>
            <w:r>
              <w:rPr>
                <w:color w:val="auto"/>
                <w:spacing w:val="7"/>
                <w:highlight w:val="none"/>
              </w:rPr>
              <w:t>将视为弄虚作假或以不正当手段骗取中标的行为，将依</w:t>
            </w:r>
            <w:r>
              <w:rPr>
                <w:color w:val="auto"/>
                <w:spacing w:val="6"/>
                <w:highlight w:val="none"/>
              </w:rPr>
              <w:t xml:space="preserve"> </w:t>
            </w:r>
            <w:r>
              <w:rPr>
                <w:color w:val="auto"/>
                <w:spacing w:val="-6"/>
                <w:highlight w:val="none"/>
              </w:rPr>
              <w:t>法依规予以处理。 时间为判决或仲裁决定时间。</w:t>
            </w:r>
          </w:p>
        </w:tc>
      </w:tr>
      <w:tr w14:paraId="72049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54" w:type="dxa"/>
            <w:vAlign w:val="top"/>
          </w:tcPr>
          <w:p w14:paraId="00C66FD7">
            <w:pPr>
              <w:spacing w:line="368" w:lineRule="auto"/>
              <w:rPr>
                <w:rFonts w:ascii="Arial"/>
                <w:color w:val="auto"/>
                <w:sz w:val="21"/>
                <w:highlight w:val="none"/>
              </w:rPr>
            </w:pPr>
          </w:p>
          <w:p w14:paraId="6920345C">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3.5.9</w:t>
            </w:r>
          </w:p>
        </w:tc>
        <w:tc>
          <w:tcPr>
            <w:tcW w:w="2121" w:type="dxa"/>
            <w:vAlign w:val="top"/>
          </w:tcPr>
          <w:p w14:paraId="54319C50">
            <w:pPr>
              <w:pStyle w:val="11"/>
              <w:spacing w:before="77" w:line="221" w:lineRule="auto"/>
              <w:ind w:left="122"/>
              <w:rPr>
                <w:color w:val="auto"/>
                <w:highlight w:val="none"/>
              </w:rPr>
            </w:pPr>
            <w:r>
              <w:rPr>
                <w:color w:val="auto"/>
                <w:spacing w:val="-1"/>
                <w:highlight w:val="none"/>
              </w:rPr>
              <w:t>项目经理近年已完成</w:t>
            </w:r>
          </w:p>
          <w:p w14:paraId="08A1B04D">
            <w:pPr>
              <w:pStyle w:val="11"/>
              <w:spacing w:before="65" w:line="221" w:lineRule="auto"/>
              <w:ind w:left="136"/>
              <w:rPr>
                <w:color w:val="auto"/>
                <w:highlight w:val="none"/>
              </w:rPr>
            </w:pPr>
            <w:r>
              <w:rPr>
                <w:color w:val="auto"/>
                <w:spacing w:val="-3"/>
                <w:highlight w:val="none"/>
              </w:rPr>
              <w:t>的类似项目的年份要</w:t>
            </w:r>
          </w:p>
          <w:p w14:paraId="5ABB8E29">
            <w:pPr>
              <w:pStyle w:val="11"/>
              <w:spacing w:before="70" w:line="209" w:lineRule="auto"/>
              <w:ind w:left="961"/>
              <w:rPr>
                <w:color w:val="auto"/>
                <w:highlight w:val="none"/>
              </w:rPr>
            </w:pPr>
            <w:r>
              <w:rPr>
                <w:color w:val="auto"/>
                <w:highlight w:val="none"/>
              </w:rPr>
              <w:t>求</w:t>
            </w:r>
          </w:p>
        </w:tc>
        <w:tc>
          <w:tcPr>
            <w:tcW w:w="5447" w:type="dxa"/>
            <w:vAlign w:val="top"/>
          </w:tcPr>
          <w:p w14:paraId="7FFABE7F">
            <w:pPr>
              <w:spacing w:line="324" w:lineRule="auto"/>
              <w:rPr>
                <w:rFonts w:ascii="Arial"/>
                <w:color w:val="auto"/>
                <w:sz w:val="21"/>
                <w:highlight w:val="none"/>
              </w:rPr>
            </w:pPr>
          </w:p>
          <w:p w14:paraId="0100795C">
            <w:pPr>
              <w:pStyle w:val="11"/>
              <w:spacing w:before="68"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tc>
      </w:tr>
      <w:tr w14:paraId="77496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75221D60">
            <w:pPr>
              <w:spacing w:before="273"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3.6</w:t>
            </w:r>
          </w:p>
        </w:tc>
        <w:tc>
          <w:tcPr>
            <w:tcW w:w="2121" w:type="dxa"/>
            <w:vAlign w:val="top"/>
          </w:tcPr>
          <w:p w14:paraId="2B8392BA">
            <w:pPr>
              <w:pStyle w:val="11"/>
              <w:spacing w:before="77" w:line="244" w:lineRule="auto"/>
              <w:ind w:left="753" w:right="108" w:hanging="631"/>
              <w:rPr>
                <w:color w:val="auto"/>
                <w:highlight w:val="none"/>
              </w:rPr>
            </w:pPr>
            <w:r>
              <w:rPr>
                <w:color w:val="auto"/>
                <w:spacing w:val="-1"/>
                <w:highlight w:val="none"/>
              </w:rPr>
              <w:t>是否允许递交备选投</w:t>
            </w:r>
            <w:r>
              <w:rPr>
                <w:color w:val="auto"/>
                <w:spacing w:val="2"/>
                <w:highlight w:val="none"/>
              </w:rPr>
              <w:t xml:space="preserve"> </w:t>
            </w:r>
            <w:r>
              <w:rPr>
                <w:color w:val="auto"/>
                <w:spacing w:val="-2"/>
                <w:highlight w:val="none"/>
              </w:rPr>
              <w:t>标方案</w:t>
            </w:r>
          </w:p>
        </w:tc>
        <w:tc>
          <w:tcPr>
            <w:tcW w:w="5447" w:type="dxa"/>
            <w:vAlign w:val="top"/>
          </w:tcPr>
          <w:p w14:paraId="4C3DFD45">
            <w:pPr>
              <w:pStyle w:val="11"/>
              <w:spacing w:before="37" w:line="202" w:lineRule="auto"/>
              <w:ind w:left="125"/>
              <w:rPr>
                <w:color w:val="auto"/>
                <w:highlight w:val="none"/>
              </w:rPr>
            </w:pPr>
            <w:r>
              <w:rPr>
                <w:rFonts w:ascii="Times New Roman" w:hAnsi="Times New Roman" w:eastAsia="Times New Roman" w:cs="Times New Roman"/>
                <w:color w:val="auto"/>
                <w:spacing w:val="-6"/>
                <w:sz w:val="32"/>
                <w:szCs w:val="32"/>
                <w:highlight w:val="none"/>
              </w:rPr>
              <w:sym w:font="Wingdings 2" w:char="0052"/>
            </w:r>
            <w:r>
              <w:rPr>
                <w:color w:val="auto"/>
                <w:spacing w:val="-6"/>
                <w:highlight w:val="none"/>
              </w:rPr>
              <w:t>不允许</w:t>
            </w:r>
          </w:p>
          <w:p w14:paraId="20E021C7">
            <w:pPr>
              <w:pStyle w:val="11"/>
              <w:spacing w:line="186" w:lineRule="auto"/>
              <w:ind w:left="125"/>
              <w:rPr>
                <w:color w:val="auto"/>
                <w:highlight w:val="none"/>
              </w:rPr>
            </w:pPr>
            <w:r>
              <w:rPr>
                <w:rFonts w:ascii="Times New Roman" w:hAnsi="Times New Roman" w:eastAsia="Times New Roman" w:cs="Times New Roman"/>
                <w:color w:val="auto"/>
                <w:spacing w:val="-8"/>
                <w:sz w:val="32"/>
                <w:szCs w:val="32"/>
                <w:highlight w:val="none"/>
              </w:rPr>
              <w:t>□</w:t>
            </w:r>
            <w:r>
              <w:rPr>
                <w:color w:val="auto"/>
                <w:spacing w:val="-8"/>
                <w:highlight w:val="none"/>
              </w:rPr>
              <w:t>允许</w:t>
            </w:r>
          </w:p>
        </w:tc>
      </w:tr>
      <w:tr w14:paraId="52B86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14:paraId="30846905">
            <w:pPr>
              <w:spacing w:line="245" w:lineRule="auto"/>
              <w:rPr>
                <w:rFonts w:ascii="Arial"/>
                <w:color w:val="auto"/>
                <w:sz w:val="21"/>
                <w:highlight w:val="none"/>
              </w:rPr>
            </w:pPr>
          </w:p>
          <w:p w14:paraId="3F07EDD5">
            <w:pPr>
              <w:spacing w:line="245" w:lineRule="auto"/>
              <w:rPr>
                <w:rFonts w:ascii="Arial"/>
                <w:color w:val="auto"/>
                <w:sz w:val="21"/>
                <w:highlight w:val="none"/>
              </w:rPr>
            </w:pPr>
          </w:p>
          <w:p w14:paraId="23D22E71">
            <w:pPr>
              <w:spacing w:line="245" w:lineRule="auto"/>
              <w:rPr>
                <w:rFonts w:ascii="Arial"/>
                <w:color w:val="auto"/>
                <w:sz w:val="21"/>
                <w:highlight w:val="none"/>
              </w:rPr>
            </w:pPr>
          </w:p>
          <w:p w14:paraId="529EAC60">
            <w:pPr>
              <w:spacing w:line="245" w:lineRule="auto"/>
              <w:rPr>
                <w:rFonts w:ascii="Arial"/>
                <w:color w:val="auto"/>
                <w:sz w:val="21"/>
                <w:highlight w:val="none"/>
              </w:rPr>
            </w:pPr>
          </w:p>
          <w:p w14:paraId="159B2A13">
            <w:pPr>
              <w:spacing w:line="245" w:lineRule="auto"/>
              <w:rPr>
                <w:rFonts w:ascii="Arial"/>
                <w:color w:val="auto"/>
                <w:sz w:val="21"/>
                <w:highlight w:val="none"/>
              </w:rPr>
            </w:pPr>
          </w:p>
          <w:p w14:paraId="65A73AC2">
            <w:pPr>
              <w:spacing w:line="246" w:lineRule="auto"/>
              <w:rPr>
                <w:rFonts w:ascii="Arial"/>
                <w:color w:val="auto"/>
                <w:sz w:val="21"/>
                <w:highlight w:val="none"/>
              </w:rPr>
            </w:pPr>
          </w:p>
          <w:p w14:paraId="7367C96D">
            <w:pPr>
              <w:spacing w:line="246" w:lineRule="auto"/>
              <w:rPr>
                <w:rFonts w:ascii="Arial"/>
                <w:color w:val="auto"/>
                <w:sz w:val="21"/>
                <w:highlight w:val="none"/>
              </w:rPr>
            </w:pPr>
          </w:p>
          <w:p w14:paraId="514AE657">
            <w:pPr>
              <w:spacing w:line="246" w:lineRule="auto"/>
              <w:rPr>
                <w:rFonts w:ascii="Arial"/>
                <w:color w:val="auto"/>
                <w:sz w:val="21"/>
                <w:highlight w:val="none"/>
              </w:rPr>
            </w:pPr>
          </w:p>
          <w:p w14:paraId="7F62BCB1">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3.7.3</w:t>
            </w:r>
          </w:p>
        </w:tc>
        <w:tc>
          <w:tcPr>
            <w:tcW w:w="2121" w:type="dxa"/>
            <w:vAlign w:val="top"/>
          </w:tcPr>
          <w:p w14:paraId="0ABE17F0">
            <w:pPr>
              <w:spacing w:line="251" w:lineRule="auto"/>
              <w:rPr>
                <w:rFonts w:ascii="Arial"/>
                <w:color w:val="auto"/>
                <w:sz w:val="21"/>
                <w:highlight w:val="none"/>
              </w:rPr>
            </w:pPr>
          </w:p>
          <w:p w14:paraId="083B00EC">
            <w:pPr>
              <w:spacing w:line="251" w:lineRule="auto"/>
              <w:rPr>
                <w:rFonts w:ascii="Arial"/>
                <w:color w:val="auto"/>
                <w:sz w:val="21"/>
                <w:highlight w:val="none"/>
              </w:rPr>
            </w:pPr>
          </w:p>
          <w:p w14:paraId="78326038">
            <w:pPr>
              <w:spacing w:line="252" w:lineRule="auto"/>
              <w:rPr>
                <w:rFonts w:ascii="Arial"/>
                <w:color w:val="auto"/>
                <w:sz w:val="21"/>
                <w:highlight w:val="none"/>
              </w:rPr>
            </w:pPr>
          </w:p>
          <w:p w14:paraId="6BDBE914">
            <w:pPr>
              <w:spacing w:line="252" w:lineRule="auto"/>
              <w:rPr>
                <w:rFonts w:ascii="Arial"/>
                <w:color w:val="auto"/>
                <w:sz w:val="21"/>
                <w:highlight w:val="none"/>
              </w:rPr>
            </w:pPr>
          </w:p>
          <w:p w14:paraId="3E5F0276">
            <w:pPr>
              <w:spacing w:line="252" w:lineRule="auto"/>
              <w:rPr>
                <w:rFonts w:ascii="Arial"/>
                <w:color w:val="auto"/>
                <w:sz w:val="21"/>
                <w:highlight w:val="none"/>
              </w:rPr>
            </w:pPr>
          </w:p>
          <w:p w14:paraId="044D8BA4">
            <w:pPr>
              <w:spacing w:line="252" w:lineRule="auto"/>
              <w:rPr>
                <w:rFonts w:ascii="Arial"/>
                <w:color w:val="auto"/>
                <w:sz w:val="21"/>
                <w:highlight w:val="none"/>
              </w:rPr>
            </w:pPr>
          </w:p>
          <w:p w14:paraId="5D70AF8D">
            <w:pPr>
              <w:spacing w:line="252" w:lineRule="auto"/>
              <w:rPr>
                <w:rFonts w:ascii="Arial"/>
                <w:color w:val="auto"/>
                <w:sz w:val="21"/>
                <w:highlight w:val="none"/>
              </w:rPr>
            </w:pPr>
          </w:p>
          <w:p w14:paraId="5618F156">
            <w:pPr>
              <w:pStyle w:val="11"/>
              <w:spacing w:before="68" w:line="249" w:lineRule="auto"/>
              <w:ind w:left="647" w:right="108" w:hanging="528"/>
              <w:rPr>
                <w:color w:val="auto"/>
                <w:highlight w:val="none"/>
              </w:rPr>
            </w:pPr>
            <w:r>
              <w:rPr>
                <w:color w:val="auto"/>
                <w:spacing w:val="-1"/>
                <w:highlight w:val="none"/>
              </w:rPr>
              <w:t>应用于评审的佐证或</w:t>
            </w:r>
            <w:r>
              <w:rPr>
                <w:color w:val="auto"/>
                <w:spacing w:val="5"/>
                <w:highlight w:val="none"/>
              </w:rPr>
              <w:t xml:space="preserve"> </w:t>
            </w:r>
            <w:r>
              <w:rPr>
                <w:color w:val="auto"/>
                <w:spacing w:val="-1"/>
                <w:highlight w:val="none"/>
              </w:rPr>
              <w:t>证明材料</w:t>
            </w:r>
          </w:p>
        </w:tc>
        <w:tc>
          <w:tcPr>
            <w:tcW w:w="5447" w:type="dxa"/>
            <w:vAlign w:val="top"/>
          </w:tcPr>
          <w:p w14:paraId="17AE09A1">
            <w:pPr>
              <w:pStyle w:val="11"/>
              <w:spacing w:before="79" w:line="220" w:lineRule="auto"/>
              <w:ind w:left="111"/>
              <w:rPr>
                <w:color w:val="auto"/>
                <w:highlight w:val="none"/>
              </w:rPr>
            </w:pPr>
            <w:r>
              <w:rPr>
                <w:color w:val="auto"/>
                <w:spacing w:val="-3"/>
                <w:highlight w:val="none"/>
              </w:rPr>
              <w:t>应用数字证照评审的节点和材料内容：</w:t>
            </w:r>
          </w:p>
          <w:p w14:paraId="7D941687">
            <w:pPr>
              <w:pStyle w:val="11"/>
              <w:spacing w:before="71" w:line="222" w:lineRule="auto"/>
              <w:ind w:left="120"/>
              <w:rPr>
                <w:color w:val="auto"/>
                <w:highlight w:val="none"/>
              </w:rPr>
            </w:pPr>
            <w:r>
              <w:rPr>
                <w:rFonts w:ascii="Segoe UI Symbol" w:hAnsi="Segoe UI Symbol" w:eastAsia="Segoe UI Symbol" w:cs="Segoe UI Symbol"/>
                <w:color w:val="auto"/>
                <w:spacing w:val="-3"/>
                <w:highlight w:val="none"/>
              </w:rPr>
              <w:t>☑</w:t>
            </w:r>
            <w:r>
              <w:rPr>
                <w:color w:val="auto"/>
                <w:spacing w:val="-3"/>
                <w:highlight w:val="none"/>
              </w:rPr>
              <w:t>企业业绩</w:t>
            </w:r>
          </w:p>
          <w:p w14:paraId="435A24BE">
            <w:pPr>
              <w:pStyle w:val="11"/>
              <w:spacing w:before="50" w:line="222" w:lineRule="auto"/>
              <w:ind w:left="120"/>
              <w:rPr>
                <w:color w:val="auto"/>
                <w:highlight w:val="none"/>
              </w:rPr>
            </w:pPr>
            <w:r>
              <w:rPr>
                <w:rFonts w:ascii="Segoe UI Symbol" w:hAnsi="Segoe UI Symbol" w:eastAsia="Segoe UI Symbol" w:cs="Segoe UI Symbol"/>
                <w:color w:val="auto"/>
                <w:spacing w:val="-3"/>
                <w:highlight w:val="none"/>
              </w:rPr>
              <w:t>☑</w:t>
            </w:r>
            <w:r>
              <w:rPr>
                <w:color w:val="auto"/>
                <w:spacing w:val="-3"/>
                <w:highlight w:val="none"/>
              </w:rPr>
              <w:t>人员业绩</w:t>
            </w:r>
          </w:p>
          <w:p w14:paraId="21B2DE21">
            <w:pPr>
              <w:pStyle w:val="11"/>
              <w:spacing w:before="54" w:line="220" w:lineRule="auto"/>
              <w:ind w:left="120"/>
              <w:rPr>
                <w:color w:val="auto"/>
                <w:highlight w:val="none"/>
              </w:rPr>
            </w:pPr>
            <w:r>
              <w:rPr>
                <w:rFonts w:ascii="Segoe UI Symbol" w:hAnsi="Segoe UI Symbol" w:eastAsia="Segoe UI Symbol" w:cs="Segoe UI Symbol"/>
                <w:color w:val="auto"/>
                <w:spacing w:val="-2"/>
                <w:highlight w:val="none"/>
              </w:rPr>
              <w:t>☑</w:t>
            </w:r>
            <w:r>
              <w:rPr>
                <w:color w:val="auto"/>
                <w:spacing w:val="-2"/>
                <w:highlight w:val="none"/>
              </w:rPr>
              <w:t>财务审计报告</w:t>
            </w:r>
          </w:p>
          <w:p w14:paraId="6E76AD3A">
            <w:pPr>
              <w:pStyle w:val="11"/>
              <w:spacing w:before="58" w:line="266" w:lineRule="auto"/>
              <w:ind w:left="110" w:right="116"/>
              <w:rPr>
                <w:color w:val="auto"/>
                <w:highlight w:val="none"/>
              </w:rPr>
            </w:pPr>
            <w:r>
              <w:rPr>
                <w:color w:val="auto"/>
                <w:spacing w:val="-8"/>
                <w:highlight w:val="none"/>
              </w:rPr>
              <w:t>特别说明：</w:t>
            </w:r>
            <w:r>
              <w:rPr>
                <w:color w:val="auto"/>
                <w:spacing w:val="76"/>
                <w:highlight w:val="none"/>
              </w:rPr>
              <w:t xml:space="preserve"> </w:t>
            </w:r>
            <w:r>
              <w:rPr>
                <w:rFonts w:ascii="Times New Roman" w:hAnsi="Times New Roman" w:eastAsia="Times New Roman" w:cs="Times New Roman"/>
                <w:color w:val="auto"/>
                <w:spacing w:val="-8"/>
                <w:highlight w:val="none"/>
              </w:rPr>
              <w:t>1.</w:t>
            </w:r>
            <w:r>
              <w:rPr>
                <w:color w:val="auto"/>
                <w:spacing w:val="-8"/>
                <w:highlight w:val="none"/>
              </w:rPr>
              <w:t>通过企业主体信息库生成的数字证照信息，</w:t>
            </w:r>
            <w:r>
              <w:rPr>
                <w:color w:val="auto"/>
                <w:highlight w:val="none"/>
              </w:rPr>
              <w:t xml:space="preserve"> </w:t>
            </w:r>
            <w:r>
              <w:rPr>
                <w:color w:val="auto"/>
                <w:spacing w:val="7"/>
                <w:highlight w:val="none"/>
              </w:rPr>
              <w:t>投标人应当自行校核和确认数字证照数据信息内容，一</w:t>
            </w:r>
            <w:r>
              <w:rPr>
                <w:color w:val="auto"/>
                <w:spacing w:val="5"/>
                <w:highlight w:val="none"/>
              </w:rPr>
              <w:t xml:space="preserve"> </w:t>
            </w:r>
            <w:r>
              <w:rPr>
                <w:color w:val="auto"/>
                <w:spacing w:val="7"/>
                <w:highlight w:val="none"/>
              </w:rPr>
              <w:t>般应当对投标文件中已生成的数字证照进行</w:t>
            </w:r>
            <w:r>
              <w:rPr>
                <w:color w:val="auto"/>
                <w:spacing w:val="6"/>
                <w:highlight w:val="none"/>
              </w:rPr>
              <w:t>电子签名，</w:t>
            </w:r>
            <w:r>
              <w:rPr>
                <w:color w:val="auto"/>
                <w:highlight w:val="none"/>
              </w:rPr>
              <w:t xml:space="preserve"> </w:t>
            </w:r>
            <w:r>
              <w:rPr>
                <w:color w:val="auto"/>
                <w:spacing w:val="-2"/>
                <w:highlight w:val="none"/>
              </w:rPr>
              <w:t>否则视为已确认和认可数据信息内容。</w:t>
            </w:r>
          </w:p>
          <w:p w14:paraId="397ECFCE">
            <w:pPr>
              <w:pStyle w:val="11"/>
              <w:spacing w:before="65" w:line="267" w:lineRule="auto"/>
              <w:ind w:left="110" w:right="111" w:hanging="3"/>
              <w:jc w:val="both"/>
              <w:rPr>
                <w:color w:val="auto"/>
                <w:highlight w:val="none"/>
              </w:rPr>
            </w:pPr>
            <w:r>
              <w:rPr>
                <w:rFonts w:ascii="Times New Roman" w:hAnsi="Times New Roman" w:eastAsia="Times New Roman" w:cs="Times New Roman"/>
                <w:color w:val="auto"/>
                <w:spacing w:val="1"/>
                <w:highlight w:val="none"/>
              </w:rPr>
              <w:t>2.</w:t>
            </w:r>
            <w:r>
              <w:rPr>
                <w:color w:val="auto"/>
                <w:spacing w:val="1"/>
                <w:highlight w:val="none"/>
              </w:rPr>
              <w:t>投标人制作投标文件时按上述实际明确的材料生成</w:t>
            </w:r>
            <w:r>
              <w:rPr>
                <w:color w:val="auto"/>
                <w:highlight w:val="none"/>
              </w:rPr>
              <w:t xml:space="preserve">数字 </w:t>
            </w:r>
            <w:r>
              <w:rPr>
                <w:color w:val="auto"/>
                <w:spacing w:val="7"/>
                <w:highlight w:val="none"/>
              </w:rPr>
              <w:t>证照应用于项目评审，否则相关证明佐证材料以企业主</w:t>
            </w:r>
            <w:r>
              <w:rPr>
                <w:color w:val="auto"/>
                <w:spacing w:val="4"/>
                <w:highlight w:val="none"/>
              </w:rPr>
              <w:t xml:space="preserve"> </w:t>
            </w:r>
            <w:r>
              <w:rPr>
                <w:color w:val="auto"/>
                <w:spacing w:val="7"/>
                <w:highlight w:val="none"/>
              </w:rPr>
              <w:t>体信息库获取的材料影印件应用于项目评审，投标人对</w:t>
            </w:r>
            <w:r>
              <w:rPr>
                <w:color w:val="auto"/>
                <w:spacing w:val="4"/>
                <w:highlight w:val="none"/>
              </w:rPr>
              <w:t xml:space="preserve"> </w:t>
            </w:r>
            <w:r>
              <w:rPr>
                <w:color w:val="auto"/>
                <w:spacing w:val="7"/>
                <w:highlight w:val="none"/>
              </w:rPr>
              <w:t>数字证照和材料影印件内容的准确性、完整性和真实性</w:t>
            </w:r>
            <w:r>
              <w:rPr>
                <w:color w:val="auto"/>
                <w:spacing w:val="4"/>
                <w:highlight w:val="none"/>
              </w:rPr>
              <w:t xml:space="preserve"> </w:t>
            </w:r>
            <w:r>
              <w:rPr>
                <w:color w:val="auto"/>
                <w:spacing w:val="-8"/>
                <w:highlight w:val="none"/>
              </w:rPr>
              <w:t>负责。</w:t>
            </w:r>
          </w:p>
        </w:tc>
      </w:tr>
      <w:tr w14:paraId="25607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475943EE">
            <w:pPr>
              <w:spacing w:before="184"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3.7.4</w:t>
            </w:r>
          </w:p>
        </w:tc>
        <w:tc>
          <w:tcPr>
            <w:tcW w:w="2121" w:type="dxa"/>
            <w:vAlign w:val="top"/>
          </w:tcPr>
          <w:p w14:paraId="192A1E2B">
            <w:pPr>
              <w:pStyle w:val="11"/>
              <w:spacing w:before="147" w:line="220" w:lineRule="auto"/>
              <w:ind w:left="120"/>
              <w:rPr>
                <w:color w:val="auto"/>
                <w:highlight w:val="none"/>
              </w:rPr>
            </w:pPr>
            <w:r>
              <w:rPr>
                <w:color w:val="auto"/>
                <w:spacing w:val="-1"/>
                <w:highlight w:val="none"/>
              </w:rPr>
              <w:t>技术标是否采用暗标</w:t>
            </w:r>
          </w:p>
        </w:tc>
        <w:tc>
          <w:tcPr>
            <w:tcW w:w="5447" w:type="dxa"/>
            <w:vAlign w:val="top"/>
          </w:tcPr>
          <w:p w14:paraId="1C338BDF">
            <w:pPr>
              <w:pStyle w:val="11"/>
              <w:spacing w:before="147" w:line="220" w:lineRule="auto"/>
              <w:ind w:left="110"/>
              <w:rPr>
                <w:color w:val="auto"/>
                <w:highlight w:val="none"/>
              </w:rPr>
            </w:pPr>
            <w:r>
              <w:rPr>
                <w:color w:val="auto"/>
                <w:spacing w:val="-1"/>
                <w:highlight w:val="none"/>
              </w:rPr>
              <w:t>采用模块化暗标评审</w:t>
            </w:r>
          </w:p>
        </w:tc>
      </w:tr>
      <w:tr w14:paraId="41DF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14:paraId="0EFCDC77">
            <w:pPr>
              <w:spacing w:before="285" w:line="189" w:lineRule="auto"/>
              <w:ind w:left="21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4.2.1</w:t>
            </w:r>
          </w:p>
        </w:tc>
        <w:tc>
          <w:tcPr>
            <w:tcW w:w="2121" w:type="dxa"/>
            <w:vAlign w:val="top"/>
          </w:tcPr>
          <w:p w14:paraId="733E3761">
            <w:pPr>
              <w:pStyle w:val="11"/>
              <w:spacing w:before="249" w:line="221" w:lineRule="auto"/>
              <w:ind w:left="438"/>
              <w:rPr>
                <w:color w:val="auto"/>
                <w:highlight w:val="none"/>
              </w:rPr>
            </w:pPr>
            <w:r>
              <w:rPr>
                <w:color w:val="auto"/>
                <w:spacing w:val="-1"/>
                <w:highlight w:val="none"/>
              </w:rPr>
              <w:t>投标截止时间</w:t>
            </w:r>
          </w:p>
        </w:tc>
        <w:tc>
          <w:tcPr>
            <w:tcW w:w="5447" w:type="dxa"/>
            <w:vAlign w:val="top"/>
          </w:tcPr>
          <w:p w14:paraId="030ED5D4">
            <w:pPr>
              <w:pStyle w:val="11"/>
              <w:tabs>
                <w:tab w:val="left" w:pos="735"/>
              </w:tabs>
              <w:spacing w:before="248" w:line="221" w:lineRule="auto"/>
              <w:ind w:left="103"/>
              <w:rPr>
                <w:color w:val="auto"/>
                <w:highlight w:val="none"/>
              </w:rPr>
            </w:pPr>
            <w:r>
              <w:rPr>
                <w:rFonts w:hint="eastAsia"/>
                <w:color w:val="auto"/>
                <w:highlight w:val="none"/>
                <w:u w:val="single" w:color="auto"/>
                <w:lang w:val="en-US" w:eastAsia="zh-CN"/>
              </w:rPr>
              <w:t>2026</w:t>
            </w:r>
            <w:r>
              <w:rPr>
                <w:color w:val="auto"/>
                <w:spacing w:val="-18"/>
                <w:highlight w:val="none"/>
              </w:rPr>
              <w:t>年</w:t>
            </w:r>
            <w:r>
              <w:rPr>
                <w:color w:val="auto"/>
                <w:spacing w:val="-105"/>
                <w:highlight w:val="none"/>
              </w:rPr>
              <w:t xml:space="preserve"> </w:t>
            </w:r>
            <w:r>
              <w:rPr>
                <w:rFonts w:hint="eastAsia"/>
                <w:color w:val="auto"/>
                <w:spacing w:val="25"/>
                <w:highlight w:val="none"/>
                <w:u w:val="single" w:color="auto"/>
                <w:lang w:val="en-US" w:eastAsia="zh-CN"/>
              </w:rPr>
              <w:t>4</w:t>
            </w:r>
            <w:r>
              <w:rPr>
                <w:color w:val="auto"/>
                <w:spacing w:val="-18"/>
                <w:highlight w:val="none"/>
              </w:rPr>
              <w:t>月</w:t>
            </w:r>
            <w:r>
              <w:rPr>
                <w:rFonts w:hint="eastAsia"/>
                <w:color w:val="auto"/>
                <w:spacing w:val="12"/>
                <w:highlight w:val="none"/>
                <w:u w:val="single" w:color="auto"/>
                <w:lang w:val="en-US" w:eastAsia="zh-CN"/>
              </w:rPr>
              <w:t>15</w:t>
            </w:r>
            <w:r>
              <w:rPr>
                <w:color w:val="auto"/>
                <w:spacing w:val="-18"/>
                <w:highlight w:val="none"/>
              </w:rPr>
              <w:t>日</w:t>
            </w:r>
            <w:r>
              <w:rPr>
                <w:color w:val="auto"/>
                <w:spacing w:val="12"/>
                <w:highlight w:val="none"/>
                <w:u w:val="single" w:color="auto"/>
              </w:rPr>
              <w:t xml:space="preserve"> </w:t>
            </w:r>
            <w:r>
              <w:rPr>
                <w:rFonts w:hint="eastAsia"/>
                <w:color w:val="auto"/>
                <w:spacing w:val="12"/>
                <w:highlight w:val="none"/>
                <w:u w:val="single" w:color="auto"/>
                <w:lang w:val="en-US" w:eastAsia="zh-CN"/>
              </w:rPr>
              <w:t>9</w:t>
            </w:r>
            <w:r>
              <w:rPr>
                <w:color w:val="auto"/>
                <w:spacing w:val="-84"/>
                <w:highlight w:val="none"/>
              </w:rPr>
              <w:t xml:space="preserve"> </w:t>
            </w:r>
            <w:r>
              <w:rPr>
                <w:color w:val="auto"/>
                <w:spacing w:val="-18"/>
                <w:highlight w:val="none"/>
              </w:rPr>
              <w:t>时</w:t>
            </w:r>
            <w:r>
              <w:rPr>
                <w:rFonts w:hint="eastAsia"/>
                <w:color w:val="auto"/>
                <w:highlight w:val="none"/>
                <w:u w:val="single" w:color="auto"/>
                <w:lang w:val="en-US" w:eastAsia="zh-CN"/>
              </w:rPr>
              <w:t>30</w:t>
            </w:r>
            <w:r>
              <w:rPr>
                <w:color w:val="auto"/>
                <w:highlight w:val="none"/>
                <w:u w:val="single" w:color="auto"/>
              </w:rPr>
              <w:t xml:space="preserve"> </w:t>
            </w:r>
            <w:r>
              <w:rPr>
                <w:color w:val="auto"/>
                <w:spacing w:val="-91"/>
                <w:highlight w:val="none"/>
              </w:rPr>
              <w:t xml:space="preserve"> </w:t>
            </w:r>
            <w:r>
              <w:rPr>
                <w:color w:val="auto"/>
                <w:spacing w:val="-18"/>
                <w:highlight w:val="none"/>
              </w:rPr>
              <w:t>分。</w:t>
            </w:r>
          </w:p>
        </w:tc>
      </w:tr>
      <w:tr w14:paraId="64FD4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14:paraId="1734E9F3">
            <w:pPr>
              <w:spacing w:line="257" w:lineRule="auto"/>
              <w:rPr>
                <w:rFonts w:ascii="Arial"/>
                <w:color w:val="auto"/>
                <w:sz w:val="21"/>
                <w:highlight w:val="none"/>
              </w:rPr>
            </w:pPr>
          </w:p>
          <w:p w14:paraId="79493060">
            <w:pPr>
              <w:spacing w:before="61" w:line="189" w:lineRule="auto"/>
              <w:ind w:left="21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4.2.3</w:t>
            </w:r>
          </w:p>
        </w:tc>
        <w:tc>
          <w:tcPr>
            <w:tcW w:w="2121" w:type="dxa"/>
            <w:vAlign w:val="top"/>
          </w:tcPr>
          <w:p w14:paraId="623F81EC">
            <w:pPr>
              <w:pStyle w:val="11"/>
              <w:spacing w:before="282" w:line="221" w:lineRule="auto"/>
              <w:ind w:left="228"/>
              <w:rPr>
                <w:color w:val="auto"/>
                <w:highlight w:val="none"/>
              </w:rPr>
            </w:pPr>
            <w:r>
              <w:rPr>
                <w:color w:val="auto"/>
                <w:spacing w:val="-1"/>
                <w:highlight w:val="none"/>
              </w:rPr>
              <w:t>是否退还投标文件</w:t>
            </w:r>
          </w:p>
        </w:tc>
        <w:tc>
          <w:tcPr>
            <w:tcW w:w="5447" w:type="dxa"/>
            <w:vAlign w:val="top"/>
          </w:tcPr>
          <w:p w14:paraId="3E94CA88">
            <w:pPr>
              <w:pStyle w:val="11"/>
              <w:spacing w:before="125" w:line="221" w:lineRule="auto"/>
              <w:ind w:left="132"/>
              <w:rPr>
                <w:color w:val="auto"/>
                <w:highlight w:val="none"/>
              </w:rPr>
            </w:pPr>
            <w:r>
              <w:rPr>
                <w:color w:val="auto"/>
                <w:spacing w:val="-7"/>
                <w:highlight w:val="none"/>
              </w:rPr>
              <w:sym w:font="Wingdings 2" w:char="0052"/>
            </w:r>
            <w:r>
              <w:rPr>
                <w:color w:val="auto"/>
                <w:spacing w:val="-7"/>
                <w:highlight w:val="none"/>
              </w:rPr>
              <w:t>否</w:t>
            </w:r>
          </w:p>
          <w:p w14:paraId="2D20FDCE">
            <w:pPr>
              <w:pStyle w:val="11"/>
              <w:spacing w:before="65" w:line="222" w:lineRule="auto"/>
              <w:ind w:left="132"/>
              <w:rPr>
                <w:color w:val="auto"/>
                <w:highlight w:val="none"/>
              </w:rPr>
            </w:pPr>
            <w:r>
              <w:rPr>
                <w:color w:val="auto"/>
                <w:spacing w:val="-3"/>
                <w:highlight w:val="none"/>
              </w:rPr>
              <w:t>□是，退还具体安排：</w:t>
            </w:r>
          </w:p>
        </w:tc>
      </w:tr>
      <w:tr w14:paraId="18356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14:paraId="03766117">
            <w:pPr>
              <w:spacing w:line="284" w:lineRule="auto"/>
              <w:rPr>
                <w:rFonts w:ascii="Arial"/>
                <w:color w:val="auto"/>
                <w:sz w:val="21"/>
                <w:highlight w:val="none"/>
              </w:rPr>
            </w:pPr>
          </w:p>
          <w:p w14:paraId="55351A50">
            <w:pPr>
              <w:spacing w:line="284" w:lineRule="auto"/>
              <w:rPr>
                <w:rFonts w:ascii="Arial"/>
                <w:color w:val="auto"/>
                <w:sz w:val="21"/>
                <w:highlight w:val="none"/>
              </w:rPr>
            </w:pPr>
          </w:p>
          <w:p w14:paraId="4B17FA65">
            <w:pPr>
              <w:spacing w:line="285" w:lineRule="auto"/>
              <w:rPr>
                <w:rFonts w:ascii="Arial"/>
                <w:color w:val="auto"/>
                <w:sz w:val="21"/>
                <w:highlight w:val="none"/>
              </w:rPr>
            </w:pPr>
          </w:p>
          <w:p w14:paraId="5AA2228D">
            <w:pPr>
              <w:spacing w:before="60" w:line="189" w:lineRule="auto"/>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5.1.1</w:t>
            </w:r>
          </w:p>
        </w:tc>
        <w:tc>
          <w:tcPr>
            <w:tcW w:w="2121" w:type="dxa"/>
            <w:vAlign w:val="top"/>
          </w:tcPr>
          <w:p w14:paraId="6A008D55">
            <w:pPr>
              <w:spacing w:line="269" w:lineRule="auto"/>
              <w:rPr>
                <w:rFonts w:ascii="Arial"/>
                <w:color w:val="auto"/>
                <w:sz w:val="21"/>
                <w:highlight w:val="none"/>
              </w:rPr>
            </w:pPr>
          </w:p>
          <w:p w14:paraId="0202B084">
            <w:pPr>
              <w:spacing w:line="270" w:lineRule="auto"/>
              <w:rPr>
                <w:rFonts w:ascii="Arial"/>
                <w:color w:val="auto"/>
                <w:sz w:val="21"/>
                <w:highlight w:val="none"/>
              </w:rPr>
            </w:pPr>
          </w:p>
          <w:p w14:paraId="226F47AB">
            <w:pPr>
              <w:spacing w:line="270" w:lineRule="auto"/>
              <w:rPr>
                <w:rFonts w:ascii="Arial"/>
                <w:color w:val="auto"/>
                <w:sz w:val="21"/>
                <w:highlight w:val="none"/>
              </w:rPr>
            </w:pPr>
          </w:p>
          <w:p w14:paraId="7E51930F">
            <w:pPr>
              <w:pStyle w:val="11"/>
              <w:spacing w:before="68" w:line="221" w:lineRule="auto"/>
              <w:ind w:left="437"/>
              <w:rPr>
                <w:color w:val="auto"/>
                <w:highlight w:val="none"/>
              </w:rPr>
            </w:pPr>
            <w:r>
              <w:rPr>
                <w:color w:val="auto"/>
                <w:spacing w:val="-1"/>
                <w:highlight w:val="none"/>
              </w:rPr>
              <w:t>开标组织方式</w:t>
            </w:r>
          </w:p>
        </w:tc>
        <w:tc>
          <w:tcPr>
            <w:tcW w:w="5447" w:type="dxa"/>
            <w:vAlign w:val="top"/>
          </w:tcPr>
          <w:p w14:paraId="73195AA3">
            <w:pPr>
              <w:pStyle w:val="11"/>
              <w:spacing w:before="80" w:line="221" w:lineRule="auto"/>
              <w:ind w:left="132"/>
              <w:rPr>
                <w:color w:val="auto"/>
                <w:highlight w:val="none"/>
              </w:rPr>
            </w:pPr>
            <w:r>
              <w:rPr>
                <w:color w:val="auto"/>
                <w:spacing w:val="-4"/>
                <w:highlight w:val="none"/>
              </w:rPr>
              <w:t>□现场集中开标</w:t>
            </w:r>
          </w:p>
          <w:p w14:paraId="2B43F603">
            <w:pPr>
              <w:pStyle w:val="11"/>
              <w:spacing w:before="70" w:line="221" w:lineRule="auto"/>
              <w:ind w:left="132"/>
              <w:rPr>
                <w:color w:val="auto"/>
                <w:highlight w:val="none"/>
              </w:rPr>
            </w:pPr>
            <w:r>
              <w:rPr>
                <w:color w:val="auto"/>
                <w:spacing w:val="-4"/>
                <w:highlight w:val="none"/>
              </w:rPr>
              <w:sym w:font="Wingdings 2" w:char="0052"/>
            </w:r>
            <w:r>
              <w:rPr>
                <w:color w:val="auto"/>
                <w:spacing w:val="-4"/>
                <w:highlight w:val="none"/>
              </w:rPr>
              <w:t>远程不见面开标</w:t>
            </w:r>
          </w:p>
          <w:p w14:paraId="31CCE484">
            <w:pPr>
              <w:pStyle w:val="11"/>
              <w:spacing w:before="66" w:line="252" w:lineRule="auto"/>
              <w:ind w:left="113" w:right="116" w:firstLine="19"/>
              <w:rPr>
                <w:color w:val="auto"/>
                <w:highlight w:val="none"/>
              </w:rPr>
            </w:pPr>
            <w:r>
              <w:rPr>
                <w:color w:val="auto"/>
                <w:spacing w:val="6"/>
                <w:highlight w:val="none"/>
              </w:rPr>
              <w:t>□现场集中和远程不见面开标同时进行。投标人自行选</w:t>
            </w:r>
            <w:r>
              <w:rPr>
                <w:color w:val="auto"/>
                <w:spacing w:val="7"/>
                <w:highlight w:val="none"/>
              </w:rPr>
              <w:t xml:space="preserve"> </w:t>
            </w:r>
            <w:r>
              <w:rPr>
                <w:color w:val="auto"/>
                <w:spacing w:val="-4"/>
                <w:highlight w:val="none"/>
              </w:rPr>
              <w:t>择参与开标的方式。</w:t>
            </w:r>
          </w:p>
          <w:p w14:paraId="115917B1">
            <w:pPr>
              <w:pStyle w:val="11"/>
              <w:tabs>
                <w:tab w:val="left" w:pos="222"/>
              </w:tabs>
              <w:spacing w:before="68" w:line="243" w:lineRule="auto"/>
              <w:ind w:left="103" w:right="109" w:firstLine="9"/>
              <w:rPr>
                <w:color w:val="auto"/>
                <w:highlight w:val="none"/>
              </w:rPr>
            </w:pPr>
            <w:r>
              <w:rPr>
                <w:color w:val="auto"/>
                <w:spacing w:val="14"/>
                <w:highlight w:val="none"/>
              </w:rPr>
              <w:t>开标系统：</w:t>
            </w:r>
            <w:r>
              <w:rPr>
                <w:color w:val="auto"/>
                <w:spacing w:val="-39"/>
                <w:highlight w:val="none"/>
              </w:rPr>
              <w:t xml:space="preserve"> </w:t>
            </w:r>
            <w:r>
              <w:rPr>
                <w:color w:val="auto"/>
                <w:spacing w:val="14"/>
                <w:highlight w:val="none"/>
                <w:u w:val="single" w:color="auto"/>
              </w:rPr>
              <w:t>辽宁省工程建设项目数字化开标评标系统</w:t>
            </w:r>
            <w:r>
              <w:rPr>
                <w:color w:val="auto"/>
                <w:highlight w:val="none"/>
              </w:rPr>
              <w:t xml:space="preserve"> </w:t>
            </w:r>
            <w:r>
              <w:rPr>
                <w:color w:val="auto"/>
                <w:highlight w:val="none"/>
                <w:u w:val="single" w:color="auto"/>
              </w:rPr>
              <w:tab/>
            </w:r>
            <w:r>
              <w:rPr>
                <w:color w:val="auto"/>
                <w:spacing w:val="-5"/>
                <w:highlight w:val="none"/>
                <w:u w:val="single" w:color="auto"/>
              </w:rPr>
              <w:t>（</w:t>
            </w:r>
            <w:r>
              <w:rPr>
                <w:color w:val="auto"/>
                <w:highlight w:val="none"/>
              </w:rPr>
              <w:fldChar w:fldCharType="begin"/>
            </w:r>
            <w:r>
              <w:rPr>
                <w:color w:val="auto"/>
                <w:highlight w:val="none"/>
              </w:rPr>
              <w:instrText xml:space="preserve"> HYPERLINK "https://dts.lnzb.com:8888/zjt" </w:instrText>
            </w:r>
            <w:r>
              <w:rPr>
                <w:color w:val="auto"/>
                <w:highlight w:val="none"/>
              </w:rPr>
              <w:fldChar w:fldCharType="separate"/>
            </w:r>
            <w:r>
              <w:rPr>
                <w:rFonts w:ascii="Times New Roman" w:hAnsi="Times New Roman" w:eastAsia="Times New Roman" w:cs="Times New Roman"/>
                <w:color w:val="auto"/>
                <w:spacing w:val="-5"/>
                <w:highlight w:val="none"/>
                <w:u w:val="single" w:color="auto"/>
              </w:rPr>
              <w:t>https://dts.lnzb.com:8888/zjt</w:t>
            </w:r>
            <w:r>
              <w:rPr>
                <w:rFonts w:ascii="Times New Roman" w:hAnsi="Times New Roman" w:eastAsia="Times New Roman" w:cs="Times New Roman"/>
                <w:color w:val="auto"/>
                <w:spacing w:val="-5"/>
                <w:highlight w:val="none"/>
                <w:u w:val="single" w:color="auto"/>
              </w:rPr>
              <w:fldChar w:fldCharType="end"/>
            </w:r>
            <w:r>
              <w:rPr>
                <w:rFonts w:ascii="Times New Roman" w:hAnsi="Times New Roman" w:eastAsia="Times New Roman" w:cs="Times New Roman"/>
                <w:color w:val="auto"/>
                <w:spacing w:val="-5"/>
                <w:highlight w:val="none"/>
                <w:u w:val="single" w:color="auto"/>
              </w:rPr>
              <w:t>-b</w:t>
            </w:r>
            <w:r>
              <w:rPr>
                <w:rFonts w:ascii="Times New Roman" w:hAnsi="Times New Roman" w:eastAsia="Times New Roman" w:cs="Times New Roman"/>
                <w:color w:val="auto"/>
                <w:spacing w:val="-6"/>
                <w:highlight w:val="none"/>
                <w:u w:val="single" w:color="auto"/>
              </w:rPr>
              <w:t>id/</w:t>
            </w:r>
            <w:r>
              <w:rPr>
                <w:color w:val="auto"/>
                <w:spacing w:val="-6"/>
                <w:highlight w:val="none"/>
                <w:u w:val="single" w:color="auto"/>
              </w:rPr>
              <w:t>）。</w:t>
            </w:r>
          </w:p>
        </w:tc>
      </w:tr>
      <w:tr w14:paraId="0ED8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54" w:type="dxa"/>
            <w:vAlign w:val="top"/>
          </w:tcPr>
          <w:p w14:paraId="6C1C1724">
            <w:pPr>
              <w:spacing w:before="237" w:line="189" w:lineRule="auto"/>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5.1.2</w:t>
            </w:r>
          </w:p>
        </w:tc>
        <w:tc>
          <w:tcPr>
            <w:tcW w:w="2121" w:type="dxa"/>
            <w:vAlign w:val="top"/>
          </w:tcPr>
          <w:p w14:paraId="69E1DF41">
            <w:pPr>
              <w:pStyle w:val="11"/>
              <w:spacing w:before="201" w:line="221" w:lineRule="auto"/>
              <w:ind w:left="648"/>
              <w:rPr>
                <w:color w:val="auto"/>
                <w:highlight w:val="none"/>
              </w:rPr>
            </w:pPr>
            <w:r>
              <w:rPr>
                <w:color w:val="auto"/>
                <w:spacing w:val="-1"/>
                <w:highlight w:val="none"/>
              </w:rPr>
              <w:t>开标地点</w:t>
            </w:r>
          </w:p>
        </w:tc>
        <w:tc>
          <w:tcPr>
            <w:tcW w:w="5447" w:type="dxa"/>
            <w:vAlign w:val="top"/>
          </w:tcPr>
          <w:p w14:paraId="2C62192B">
            <w:pPr>
              <w:rPr>
                <w:rFonts w:ascii="Arial"/>
                <w:color w:val="auto"/>
                <w:sz w:val="21"/>
                <w:highlight w:val="none"/>
              </w:rPr>
            </w:pPr>
            <w:r>
              <w:rPr>
                <w:rFonts w:hint="eastAsia"/>
                <w:color w:val="auto"/>
                <w:highlight w:val="none"/>
                <w:lang w:eastAsia="zh-CN"/>
              </w:rPr>
              <w:t>开标地点： 远程不见面(请按招标文件规定时间登录“辽宁省工程建设项目数字化开标评标系统(https://dts.lnzb.com:8888/zjt-bid/)” 进行解密)。</w:t>
            </w:r>
          </w:p>
        </w:tc>
      </w:tr>
      <w:tr w14:paraId="79141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54" w:type="dxa"/>
            <w:vAlign w:val="top"/>
          </w:tcPr>
          <w:p w14:paraId="40C1B7E2">
            <w:pPr>
              <w:spacing w:before="204" w:line="285" w:lineRule="exact"/>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position w:val="9"/>
                <w:sz w:val="21"/>
                <w:szCs w:val="21"/>
                <w:highlight w:val="none"/>
              </w:rPr>
              <w:t>5.2.1</w:t>
            </w:r>
          </w:p>
          <w:p w14:paraId="1FCBE78E">
            <w:pPr>
              <w:pStyle w:val="11"/>
              <w:spacing w:line="232" w:lineRule="auto"/>
              <w:ind w:left="173"/>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5</w:t>
            </w:r>
            <w:r>
              <w:rPr>
                <w:color w:val="auto"/>
                <w:spacing w:val="-5"/>
                <w:highlight w:val="none"/>
              </w:rPr>
              <w:t>）</w:t>
            </w:r>
          </w:p>
        </w:tc>
        <w:tc>
          <w:tcPr>
            <w:tcW w:w="2121" w:type="dxa"/>
            <w:vAlign w:val="top"/>
          </w:tcPr>
          <w:p w14:paraId="03D1F726">
            <w:pPr>
              <w:spacing w:line="261" w:lineRule="auto"/>
              <w:rPr>
                <w:rFonts w:ascii="Arial"/>
                <w:color w:val="auto"/>
                <w:sz w:val="21"/>
                <w:highlight w:val="none"/>
              </w:rPr>
            </w:pPr>
          </w:p>
          <w:p w14:paraId="38E7E626">
            <w:pPr>
              <w:pStyle w:val="11"/>
              <w:spacing w:before="69" w:line="221" w:lineRule="auto"/>
              <w:ind w:left="646"/>
              <w:rPr>
                <w:color w:val="auto"/>
                <w:highlight w:val="none"/>
              </w:rPr>
            </w:pPr>
            <w:r>
              <w:rPr>
                <w:color w:val="auto"/>
                <w:spacing w:val="-1"/>
                <w:highlight w:val="none"/>
              </w:rPr>
              <w:t>解密时间</w:t>
            </w:r>
          </w:p>
        </w:tc>
        <w:tc>
          <w:tcPr>
            <w:tcW w:w="5447" w:type="dxa"/>
            <w:vAlign w:val="top"/>
          </w:tcPr>
          <w:p w14:paraId="1A69FC3E">
            <w:pPr>
              <w:pStyle w:val="11"/>
              <w:spacing w:before="33" w:line="229" w:lineRule="auto"/>
              <w:ind w:left="112" w:right="111"/>
              <w:jc w:val="both"/>
              <w:rPr>
                <w:color w:val="auto"/>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2BC82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54" w:type="dxa"/>
            <w:vAlign w:val="top"/>
          </w:tcPr>
          <w:p w14:paraId="32858E14">
            <w:pPr>
              <w:spacing w:line="317" w:lineRule="auto"/>
              <w:rPr>
                <w:rFonts w:ascii="Arial"/>
                <w:color w:val="auto"/>
                <w:sz w:val="21"/>
                <w:highlight w:val="none"/>
              </w:rPr>
            </w:pPr>
          </w:p>
          <w:p w14:paraId="7BBE95C0">
            <w:pPr>
              <w:spacing w:line="318" w:lineRule="auto"/>
              <w:rPr>
                <w:rFonts w:ascii="Arial"/>
                <w:color w:val="auto"/>
                <w:sz w:val="21"/>
                <w:highlight w:val="none"/>
              </w:rPr>
            </w:pPr>
          </w:p>
          <w:p w14:paraId="432D6F45">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6.1.1</w:t>
            </w:r>
          </w:p>
        </w:tc>
        <w:tc>
          <w:tcPr>
            <w:tcW w:w="2121" w:type="dxa"/>
            <w:vAlign w:val="top"/>
          </w:tcPr>
          <w:p w14:paraId="7876FD66">
            <w:pPr>
              <w:spacing w:line="295" w:lineRule="auto"/>
              <w:rPr>
                <w:rFonts w:ascii="Arial"/>
                <w:color w:val="auto"/>
                <w:sz w:val="21"/>
                <w:highlight w:val="none"/>
              </w:rPr>
            </w:pPr>
          </w:p>
          <w:p w14:paraId="368EBC71">
            <w:pPr>
              <w:spacing w:line="295" w:lineRule="auto"/>
              <w:rPr>
                <w:rFonts w:ascii="Arial"/>
                <w:color w:val="auto"/>
                <w:sz w:val="21"/>
                <w:highlight w:val="none"/>
              </w:rPr>
            </w:pPr>
          </w:p>
          <w:p w14:paraId="3A1DE2FA">
            <w:pPr>
              <w:pStyle w:val="11"/>
              <w:spacing w:before="69" w:line="220" w:lineRule="auto"/>
              <w:ind w:left="224"/>
              <w:rPr>
                <w:color w:val="auto"/>
                <w:highlight w:val="none"/>
              </w:rPr>
            </w:pPr>
            <w:r>
              <w:rPr>
                <w:color w:val="auto"/>
                <w:spacing w:val="-1"/>
                <w:highlight w:val="none"/>
              </w:rPr>
              <w:t>评标委员会的组建</w:t>
            </w:r>
          </w:p>
        </w:tc>
        <w:tc>
          <w:tcPr>
            <w:tcW w:w="5447" w:type="dxa"/>
            <w:vAlign w:val="top"/>
          </w:tcPr>
          <w:p w14:paraId="09E7FFF6">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eastAsia="zh-CN"/>
              </w:rPr>
              <w:t>本次评标委员会由5人组成，其中：经济专家2人、技术专家3人</w:t>
            </w:r>
            <w:r>
              <w:rPr>
                <w:rFonts w:hint="eastAsia" w:ascii="仿宋_GB2312" w:eastAsia="仿宋_GB2312"/>
                <w:color w:val="auto"/>
                <w:sz w:val="24"/>
                <w:szCs w:val="24"/>
                <w:highlight w:val="none"/>
              </w:rPr>
              <w:t>。</w:t>
            </w:r>
          </w:p>
          <w:p w14:paraId="3A7B8221">
            <w:pPr>
              <w:pStyle w:val="11"/>
              <w:spacing w:before="64" w:line="251" w:lineRule="auto"/>
              <w:ind w:left="130" w:right="113" w:hanging="20"/>
              <w:rPr>
                <w:color w:val="auto"/>
                <w:highlight w:val="none"/>
              </w:rPr>
            </w:pPr>
            <w:r>
              <w:rPr>
                <w:rFonts w:hint="eastAsia" w:ascii="仿宋_GB2312" w:eastAsia="仿宋_GB2312"/>
                <w:color w:val="auto"/>
                <w:sz w:val="24"/>
                <w:szCs w:val="24"/>
                <w:highlight w:val="none"/>
              </w:rPr>
              <w:t>评标专家确定方式：</w:t>
            </w:r>
            <w:bookmarkStart w:id="38" w:name="EBa1d104d5209f48c1b3f257aeb910318a"/>
            <w:r>
              <w:rPr>
                <w:rFonts w:hint="eastAsia" w:ascii="仿宋_GB2312" w:eastAsia="仿宋_GB2312"/>
                <w:color w:val="auto"/>
                <w:sz w:val="24"/>
                <w:szCs w:val="24"/>
                <w:highlight w:val="none"/>
              </w:rPr>
              <w:t>在辽宁省综合专家库中随机抽取</w:t>
            </w:r>
            <w:bookmarkEnd w:id="38"/>
          </w:p>
        </w:tc>
      </w:tr>
    </w:tbl>
    <w:p w14:paraId="2870EE3A">
      <w:pPr>
        <w:pStyle w:val="3"/>
        <w:rPr>
          <w:color w:val="auto"/>
          <w:highlight w:val="none"/>
        </w:rPr>
      </w:pPr>
    </w:p>
    <w:p w14:paraId="1C84631F">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5259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1FD5BB4A">
            <w:pPr>
              <w:spacing w:before="277" w:line="189" w:lineRule="auto"/>
              <w:ind w:left="297"/>
              <w:rPr>
                <w:rFonts w:ascii="Times New Roman" w:hAnsi="Times New Roman" w:eastAsia="Times New Roman" w:cs="Times New Roman"/>
                <w:color w:val="auto"/>
                <w:sz w:val="21"/>
                <w:szCs w:val="21"/>
                <w:highlight w:val="none"/>
              </w:rPr>
            </w:pPr>
            <w:bookmarkStart w:id="39" w:name="bookmark61"/>
            <w:bookmarkEnd w:id="39"/>
            <w:bookmarkStart w:id="40" w:name="bookmark65"/>
            <w:bookmarkEnd w:id="40"/>
            <w:bookmarkStart w:id="41" w:name="bookmark68"/>
            <w:bookmarkEnd w:id="41"/>
            <w:bookmarkStart w:id="42" w:name="bookmark67"/>
            <w:bookmarkEnd w:id="42"/>
            <w:bookmarkStart w:id="43" w:name="bookmark66"/>
            <w:bookmarkEnd w:id="43"/>
            <w:bookmarkStart w:id="44" w:name="bookmark62"/>
            <w:bookmarkEnd w:id="44"/>
            <w:bookmarkStart w:id="45" w:name="bookmark64"/>
            <w:bookmarkEnd w:id="45"/>
            <w:bookmarkStart w:id="46" w:name="bookmark63"/>
            <w:bookmarkEnd w:id="46"/>
            <w:r>
              <w:rPr>
                <w:rFonts w:ascii="Times New Roman" w:hAnsi="Times New Roman" w:eastAsia="Times New Roman" w:cs="Times New Roman"/>
                <w:color w:val="auto"/>
                <w:spacing w:val="-3"/>
                <w:sz w:val="21"/>
                <w:szCs w:val="21"/>
                <w:highlight w:val="none"/>
              </w:rPr>
              <w:t>6.3</w:t>
            </w:r>
          </w:p>
        </w:tc>
        <w:tc>
          <w:tcPr>
            <w:tcW w:w="2121" w:type="dxa"/>
            <w:vAlign w:val="top"/>
          </w:tcPr>
          <w:p w14:paraId="66D23646">
            <w:pPr>
              <w:pStyle w:val="11"/>
              <w:spacing w:before="240" w:line="220" w:lineRule="auto"/>
              <w:ind w:left="435"/>
              <w:rPr>
                <w:color w:val="auto"/>
                <w:highlight w:val="none"/>
              </w:rPr>
            </w:pPr>
            <w:r>
              <w:rPr>
                <w:color w:val="auto"/>
                <w:spacing w:val="-1"/>
                <w:highlight w:val="none"/>
              </w:rPr>
              <w:t>评标采用方式</w:t>
            </w:r>
          </w:p>
        </w:tc>
        <w:tc>
          <w:tcPr>
            <w:tcW w:w="5447" w:type="dxa"/>
            <w:vAlign w:val="top"/>
          </w:tcPr>
          <w:p w14:paraId="38013E31">
            <w:pPr>
              <w:pStyle w:val="11"/>
              <w:spacing w:before="82" w:line="220" w:lineRule="auto"/>
              <w:ind w:left="132"/>
              <w:rPr>
                <w:color w:val="auto"/>
                <w:highlight w:val="none"/>
              </w:rPr>
            </w:pPr>
            <w:r>
              <w:rPr>
                <w:color w:val="auto"/>
                <w:spacing w:val="-3"/>
                <w:highlight w:val="none"/>
              </w:rPr>
              <w:sym w:font="Wingdings 2" w:char="0052"/>
            </w:r>
            <w:r>
              <w:rPr>
                <w:color w:val="auto"/>
                <w:spacing w:val="-3"/>
                <w:highlight w:val="none"/>
              </w:rPr>
              <w:t>本地集中评标方式</w:t>
            </w:r>
          </w:p>
          <w:p w14:paraId="07581E48">
            <w:pPr>
              <w:pStyle w:val="11"/>
              <w:spacing w:before="66" w:line="210" w:lineRule="auto"/>
              <w:ind w:left="132"/>
              <w:rPr>
                <w:color w:val="auto"/>
                <w:spacing w:val="-3"/>
                <w:highlight w:val="none"/>
              </w:rPr>
            </w:pPr>
            <w:r>
              <w:rPr>
                <w:color w:val="auto"/>
                <w:spacing w:val="-3"/>
                <w:highlight w:val="none"/>
              </w:rPr>
              <w:t>□远程异地评标方式</w:t>
            </w:r>
          </w:p>
          <w:p w14:paraId="1000281C">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14:paraId="391BBA7D">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14:paraId="188B0A57">
            <w:pPr>
              <w:pStyle w:val="11"/>
              <w:spacing w:before="66" w:line="210" w:lineRule="auto"/>
              <w:ind w:left="132"/>
              <w:rPr>
                <w:color w:val="auto"/>
                <w:spacing w:val="-3"/>
                <w:highlight w:val="none"/>
              </w:rPr>
            </w:pPr>
            <w:r>
              <w:rPr>
                <w:rFonts w:hint="eastAsia"/>
                <w:color w:val="auto"/>
                <w:highlight w:val="none"/>
                <w:lang w:eastAsia="zh-CN"/>
              </w:rPr>
              <w:t>☑否</w:t>
            </w:r>
          </w:p>
        </w:tc>
      </w:tr>
      <w:tr w14:paraId="51842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854" w:type="dxa"/>
            <w:vAlign w:val="top"/>
          </w:tcPr>
          <w:p w14:paraId="13D83225">
            <w:pPr>
              <w:spacing w:line="392" w:lineRule="auto"/>
              <w:rPr>
                <w:rFonts w:ascii="Arial"/>
                <w:color w:val="auto"/>
                <w:sz w:val="21"/>
                <w:highlight w:val="none"/>
              </w:rPr>
            </w:pPr>
          </w:p>
          <w:p w14:paraId="77AE6ED1">
            <w:pPr>
              <w:spacing w:before="60" w:line="189" w:lineRule="auto"/>
              <w:ind w:left="29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6.4</w:t>
            </w:r>
          </w:p>
        </w:tc>
        <w:tc>
          <w:tcPr>
            <w:tcW w:w="2121" w:type="dxa"/>
            <w:vAlign w:val="top"/>
          </w:tcPr>
          <w:p w14:paraId="6C857AAA">
            <w:pPr>
              <w:spacing w:line="348" w:lineRule="auto"/>
              <w:rPr>
                <w:rFonts w:ascii="Arial"/>
                <w:color w:val="auto"/>
                <w:sz w:val="21"/>
                <w:highlight w:val="none"/>
              </w:rPr>
            </w:pPr>
          </w:p>
          <w:p w14:paraId="6FC20695">
            <w:pPr>
              <w:pStyle w:val="11"/>
              <w:spacing w:before="68" w:line="220" w:lineRule="auto"/>
              <w:ind w:left="224"/>
              <w:rPr>
                <w:color w:val="auto"/>
                <w:highlight w:val="none"/>
              </w:rPr>
            </w:pPr>
            <w:r>
              <w:rPr>
                <w:color w:val="auto"/>
                <w:spacing w:val="-1"/>
                <w:highlight w:val="none"/>
              </w:rPr>
              <w:t>评标结果公示媒介</w:t>
            </w:r>
          </w:p>
        </w:tc>
        <w:tc>
          <w:tcPr>
            <w:tcW w:w="5447" w:type="dxa"/>
            <w:vAlign w:val="top"/>
          </w:tcPr>
          <w:p w14:paraId="148BCA9B">
            <w:pPr>
              <w:pStyle w:val="11"/>
              <w:spacing w:before="66" w:line="226" w:lineRule="auto"/>
              <w:ind w:left="132"/>
              <w:rPr>
                <w:color w:val="auto"/>
                <w:highlight w:val="none"/>
              </w:rPr>
            </w:pPr>
            <w:r>
              <w:rPr>
                <w:rFonts w:hint="eastAsia"/>
                <w:color w:val="auto"/>
                <w:highlight w:val="none"/>
                <w:lang w:eastAsia="zh-CN"/>
              </w:rPr>
              <w:t>辽宁建设工程信息网、辽宁省招标投标监管网、中国招标投标公共服务平台</w:t>
            </w:r>
          </w:p>
        </w:tc>
      </w:tr>
      <w:tr w14:paraId="45930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top"/>
          </w:tcPr>
          <w:p w14:paraId="497F6000">
            <w:pPr>
              <w:spacing w:line="247" w:lineRule="auto"/>
              <w:rPr>
                <w:rFonts w:ascii="Arial"/>
                <w:color w:val="auto"/>
                <w:sz w:val="21"/>
                <w:highlight w:val="none"/>
              </w:rPr>
            </w:pPr>
          </w:p>
          <w:p w14:paraId="1779CCFE">
            <w:pPr>
              <w:spacing w:line="247" w:lineRule="auto"/>
              <w:rPr>
                <w:rFonts w:ascii="Arial"/>
                <w:color w:val="auto"/>
                <w:sz w:val="21"/>
                <w:highlight w:val="none"/>
              </w:rPr>
            </w:pPr>
          </w:p>
          <w:p w14:paraId="582F43AC">
            <w:pPr>
              <w:spacing w:line="247" w:lineRule="auto"/>
              <w:rPr>
                <w:rFonts w:ascii="Arial"/>
                <w:color w:val="auto"/>
                <w:sz w:val="21"/>
                <w:highlight w:val="none"/>
              </w:rPr>
            </w:pPr>
          </w:p>
          <w:p w14:paraId="102D25D3">
            <w:pPr>
              <w:spacing w:line="248" w:lineRule="auto"/>
              <w:rPr>
                <w:rFonts w:ascii="Arial"/>
                <w:color w:val="auto"/>
                <w:sz w:val="21"/>
                <w:highlight w:val="none"/>
              </w:rPr>
            </w:pPr>
          </w:p>
          <w:p w14:paraId="58493C2A">
            <w:pPr>
              <w:spacing w:line="248" w:lineRule="auto"/>
              <w:rPr>
                <w:rFonts w:ascii="Arial"/>
                <w:color w:val="auto"/>
                <w:sz w:val="21"/>
                <w:highlight w:val="none"/>
              </w:rPr>
            </w:pPr>
          </w:p>
          <w:p w14:paraId="3C998B3F">
            <w:pPr>
              <w:spacing w:line="248" w:lineRule="auto"/>
              <w:rPr>
                <w:rFonts w:ascii="Arial"/>
                <w:color w:val="auto"/>
                <w:sz w:val="21"/>
                <w:highlight w:val="none"/>
              </w:rPr>
            </w:pPr>
          </w:p>
          <w:p w14:paraId="618BEE8E">
            <w:pPr>
              <w:spacing w:before="60"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7.1</w:t>
            </w:r>
          </w:p>
        </w:tc>
        <w:tc>
          <w:tcPr>
            <w:tcW w:w="2121" w:type="dxa"/>
            <w:vAlign w:val="top"/>
          </w:tcPr>
          <w:p w14:paraId="036130A9">
            <w:pPr>
              <w:rPr>
                <w:rFonts w:ascii="Arial"/>
                <w:color w:val="auto"/>
                <w:sz w:val="21"/>
                <w:highlight w:val="none"/>
              </w:rPr>
            </w:pPr>
          </w:p>
          <w:p w14:paraId="137C2E3E">
            <w:pPr>
              <w:rPr>
                <w:rFonts w:ascii="Arial"/>
                <w:color w:val="auto"/>
                <w:sz w:val="21"/>
                <w:highlight w:val="none"/>
              </w:rPr>
            </w:pPr>
          </w:p>
          <w:p w14:paraId="2AB399AA">
            <w:pPr>
              <w:rPr>
                <w:rFonts w:ascii="Arial"/>
                <w:color w:val="auto"/>
                <w:sz w:val="21"/>
                <w:highlight w:val="none"/>
              </w:rPr>
            </w:pPr>
          </w:p>
          <w:p w14:paraId="35DAA550">
            <w:pPr>
              <w:rPr>
                <w:rFonts w:ascii="Arial"/>
                <w:color w:val="auto"/>
                <w:sz w:val="21"/>
                <w:highlight w:val="none"/>
              </w:rPr>
            </w:pPr>
          </w:p>
          <w:p w14:paraId="4BC60423">
            <w:pPr>
              <w:rPr>
                <w:rFonts w:ascii="Arial"/>
                <w:color w:val="auto"/>
                <w:sz w:val="21"/>
                <w:highlight w:val="none"/>
              </w:rPr>
            </w:pPr>
          </w:p>
          <w:p w14:paraId="47CC27FE">
            <w:pPr>
              <w:spacing w:line="241" w:lineRule="auto"/>
              <w:rPr>
                <w:rFonts w:ascii="Arial"/>
                <w:color w:val="auto"/>
                <w:sz w:val="21"/>
                <w:highlight w:val="none"/>
              </w:rPr>
            </w:pPr>
          </w:p>
          <w:p w14:paraId="0CA6415A">
            <w:pPr>
              <w:pStyle w:val="11"/>
              <w:spacing w:before="68" w:line="221" w:lineRule="auto"/>
              <w:ind w:left="652"/>
              <w:rPr>
                <w:color w:val="auto"/>
                <w:highlight w:val="none"/>
              </w:rPr>
            </w:pPr>
            <w:r>
              <w:rPr>
                <w:color w:val="auto"/>
                <w:spacing w:val="-2"/>
                <w:highlight w:val="none"/>
              </w:rPr>
              <w:t>定标方式</w:t>
            </w:r>
          </w:p>
        </w:tc>
        <w:tc>
          <w:tcPr>
            <w:tcW w:w="5447" w:type="dxa"/>
            <w:vAlign w:val="top"/>
          </w:tcPr>
          <w:p w14:paraId="7BAD399F">
            <w:pPr>
              <w:pStyle w:val="11"/>
              <w:spacing w:before="77" w:line="220" w:lineRule="auto"/>
              <w:ind w:left="111"/>
              <w:rPr>
                <w:color w:val="auto"/>
                <w:highlight w:val="none"/>
              </w:rPr>
            </w:pPr>
            <w:r>
              <w:rPr>
                <w:color w:val="auto"/>
                <w:spacing w:val="-1"/>
                <w:highlight w:val="none"/>
              </w:rPr>
              <w:t>推荐的中标候选人数：不超过</w:t>
            </w:r>
            <w:r>
              <w:rPr>
                <w:color w:val="auto"/>
                <w:spacing w:val="-94"/>
                <w:highlight w:val="none"/>
              </w:rPr>
              <w:t xml:space="preserve"> </w:t>
            </w:r>
            <w:r>
              <w:rPr>
                <w:rFonts w:hint="eastAsia"/>
                <w:color w:val="auto"/>
                <w:spacing w:val="34"/>
                <w:highlight w:val="none"/>
                <w:u w:val="single" w:color="auto"/>
                <w:lang w:val="en-US" w:eastAsia="zh-CN"/>
              </w:rPr>
              <w:t>3</w:t>
            </w:r>
            <w:r>
              <w:rPr>
                <w:color w:val="auto"/>
                <w:spacing w:val="-1"/>
                <w:highlight w:val="none"/>
              </w:rPr>
              <w:t>名</w:t>
            </w:r>
          </w:p>
          <w:p w14:paraId="29E5CA42">
            <w:pPr>
              <w:pStyle w:val="11"/>
              <w:spacing w:before="71" w:line="220" w:lineRule="auto"/>
              <w:ind w:left="132"/>
              <w:rPr>
                <w:color w:val="auto"/>
                <w:highlight w:val="none"/>
              </w:rPr>
            </w:pPr>
            <w:r>
              <w:rPr>
                <w:rFonts w:hint="eastAsia"/>
                <w:color w:val="auto"/>
                <w:spacing w:val="-2"/>
                <w:highlight w:val="none"/>
                <w:lang w:eastAsia="zh-CN"/>
              </w:rPr>
              <w:t>☑</w:t>
            </w:r>
            <w:r>
              <w:rPr>
                <w:color w:val="auto"/>
                <w:spacing w:val="-2"/>
                <w:highlight w:val="none"/>
              </w:rPr>
              <w:t>招标人授权评标委员会直接确定中标人</w:t>
            </w:r>
          </w:p>
          <w:p w14:paraId="6FDF3A7D">
            <w:pPr>
              <w:pStyle w:val="11"/>
              <w:spacing w:before="66" w:line="220" w:lineRule="auto"/>
              <w:ind w:left="132"/>
              <w:rPr>
                <w:color w:val="auto"/>
                <w:highlight w:val="none"/>
              </w:rPr>
            </w:pPr>
            <w:r>
              <w:rPr>
                <w:color w:val="auto"/>
                <w:spacing w:val="-1"/>
                <w:highlight w:val="none"/>
              </w:rPr>
              <w:sym w:font="Wingdings 2" w:char="00A3"/>
            </w:r>
            <w:r>
              <w:rPr>
                <w:color w:val="auto"/>
                <w:spacing w:val="-1"/>
                <w:highlight w:val="none"/>
              </w:rPr>
              <w:t>招标人依据评标委员会推荐的中标候选人确</w:t>
            </w:r>
            <w:r>
              <w:rPr>
                <w:color w:val="auto"/>
                <w:spacing w:val="-2"/>
                <w:highlight w:val="none"/>
              </w:rPr>
              <w:t>定中标人</w:t>
            </w:r>
          </w:p>
          <w:p w14:paraId="65D00269">
            <w:pPr>
              <w:pStyle w:val="11"/>
              <w:spacing w:before="72" w:line="251" w:lineRule="auto"/>
              <w:ind w:left="121" w:right="116" w:firstLine="11"/>
              <w:rPr>
                <w:color w:val="auto"/>
                <w:highlight w:val="none"/>
              </w:rPr>
            </w:pPr>
            <w:r>
              <w:rPr>
                <w:color w:val="auto"/>
                <w:spacing w:val="6"/>
                <w:highlight w:val="none"/>
              </w:rPr>
              <w:sym w:font="Wingdings 2" w:char="00A3"/>
            </w:r>
            <w:r>
              <w:rPr>
                <w:color w:val="auto"/>
                <w:spacing w:val="6"/>
                <w:highlight w:val="none"/>
              </w:rPr>
              <w:t>招标人从评标委员会推荐的中标候选人范围内自主研</w:t>
            </w:r>
            <w:r>
              <w:rPr>
                <w:color w:val="auto"/>
                <w:spacing w:val="7"/>
                <w:highlight w:val="none"/>
              </w:rPr>
              <w:t xml:space="preserve"> </w:t>
            </w:r>
            <w:r>
              <w:rPr>
                <w:color w:val="auto"/>
                <w:spacing w:val="-3"/>
                <w:highlight w:val="none"/>
              </w:rPr>
              <w:t>究确定中标人</w:t>
            </w:r>
          </w:p>
          <w:p w14:paraId="0E829F77">
            <w:pPr>
              <w:pStyle w:val="11"/>
              <w:spacing w:before="66" w:line="252" w:lineRule="auto"/>
              <w:ind w:left="112" w:right="205" w:hanging="1"/>
              <w:rPr>
                <w:color w:val="auto"/>
                <w:highlight w:val="none"/>
              </w:rPr>
            </w:pPr>
            <w:r>
              <w:rPr>
                <w:color w:val="auto"/>
                <w:spacing w:val="-1"/>
                <w:highlight w:val="none"/>
              </w:rPr>
              <w:t>通过初步评审投标人的数量少于或等于</w:t>
            </w:r>
            <w:r>
              <w:rPr>
                <w:color w:val="auto"/>
                <w:spacing w:val="-46"/>
                <w:highlight w:val="none"/>
              </w:rPr>
              <w:t xml:space="preserve"> </w:t>
            </w:r>
            <w:r>
              <w:rPr>
                <w:rFonts w:ascii="Times New Roman" w:hAnsi="Times New Roman" w:eastAsia="Times New Roman" w:cs="Times New Roman"/>
                <w:color w:val="auto"/>
                <w:spacing w:val="-1"/>
                <w:highlight w:val="none"/>
              </w:rPr>
              <w:t xml:space="preserve">20 </w:t>
            </w:r>
            <w:r>
              <w:rPr>
                <w:color w:val="auto"/>
                <w:spacing w:val="-1"/>
                <w:highlight w:val="none"/>
              </w:rPr>
              <w:t>家时，推荐</w:t>
            </w:r>
            <w:r>
              <w:rPr>
                <w:color w:val="auto"/>
                <w:spacing w:val="102"/>
                <w:highlight w:val="none"/>
                <w:u w:val="single" w:color="auto"/>
              </w:rPr>
              <w:t xml:space="preserve"> </w:t>
            </w:r>
            <w:r>
              <w:rPr>
                <w:color w:val="auto"/>
                <w:highlight w:val="none"/>
              </w:rPr>
              <w:t xml:space="preserve"> </w:t>
            </w:r>
            <w:r>
              <w:rPr>
                <w:color w:val="auto"/>
                <w:spacing w:val="-1"/>
                <w:highlight w:val="none"/>
              </w:rPr>
              <w:t>家中标候选人；通过初步评审投标人的数量大于</w:t>
            </w:r>
            <w:r>
              <w:rPr>
                <w:color w:val="auto"/>
                <w:spacing w:val="-39"/>
                <w:highlight w:val="none"/>
              </w:rPr>
              <w:t xml:space="preserve"> </w:t>
            </w:r>
            <w:r>
              <w:rPr>
                <w:rFonts w:ascii="Times New Roman" w:hAnsi="Times New Roman" w:eastAsia="Times New Roman" w:cs="Times New Roman"/>
                <w:color w:val="auto"/>
                <w:spacing w:val="-1"/>
                <w:highlight w:val="none"/>
              </w:rPr>
              <w:t xml:space="preserve">20 </w:t>
            </w:r>
            <w:r>
              <w:rPr>
                <w:color w:val="auto"/>
                <w:spacing w:val="-1"/>
                <w:highlight w:val="none"/>
              </w:rPr>
              <w:t>家</w:t>
            </w:r>
          </w:p>
          <w:p w14:paraId="006FDB8C">
            <w:pPr>
              <w:pStyle w:val="11"/>
              <w:spacing w:before="70" w:line="220" w:lineRule="auto"/>
              <w:ind w:left="121"/>
              <w:rPr>
                <w:color w:val="auto"/>
                <w:highlight w:val="none"/>
              </w:rPr>
            </w:pPr>
            <w:r>
              <w:rPr>
                <w:color w:val="auto"/>
                <w:spacing w:val="-4"/>
                <w:highlight w:val="none"/>
              </w:rPr>
              <w:t>时，推荐</w:t>
            </w:r>
            <w:r>
              <w:rPr>
                <w:color w:val="auto"/>
                <w:spacing w:val="-102"/>
                <w:highlight w:val="none"/>
              </w:rPr>
              <w:t xml:space="preserve"> </w:t>
            </w:r>
            <w:r>
              <w:rPr>
                <w:color w:val="auto"/>
                <w:spacing w:val="51"/>
                <w:highlight w:val="none"/>
                <w:u w:val="single" w:color="auto"/>
              </w:rPr>
              <w:t xml:space="preserve">  </w:t>
            </w:r>
            <w:r>
              <w:rPr>
                <w:color w:val="auto"/>
                <w:spacing w:val="-95"/>
                <w:highlight w:val="none"/>
              </w:rPr>
              <w:t xml:space="preserve"> </w:t>
            </w:r>
            <w:r>
              <w:rPr>
                <w:color w:val="auto"/>
                <w:spacing w:val="-4"/>
                <w:highlight w:val="none"/>
              </w:rPr>
              <w:t>家中标候选人。</w:t>
            </w:r>
          </w:p>
          <w:p w14:paraId="5D10841B">
            <w:pPr>
              <w:pStyle w:val="11"/>
              <w:spacing w:before="67" w:line="246" w:lineRule="auto"/>
              <w:ind w:left="114" w:right="112" w:firstLine="419"/>
              <w:rPr>
                <w:color w:val="auto"/>
                <w:highlight w:val="none"/>
              </w:rPr>
            </w:pPr>
            <w:r>
              <w:rPr>
                <w:color w:val="auto"/>
                <w:spacing w:val="8"/>
                <w:highlight w:val="none"/>
              </w:rPr>
              <w:t>招标人组建定标委员会按照定标办法要求进行</w:t>
            </w:r>
            <w:r>
              <w:rPr>
                <w:color w:val="auto"/>
                <w:spacing w:val="7"/>
                <w:highlight w:val="none"/>
              </w:rPr>
              <w:t>，关</w:t>
            </w:r>
            <w:r>
              <w:rPr>
                <w:color w:val="auto"/>
                <w:highlight w:val="none"/>
              </w:rPr>
              <w:t xml:space="preserve"> </w:t>
            </w:r>
            <w:r>
              <w:rPr>
                <w:color w:val="auto"/>
                <w:spacing w:val="-1"/>
                <w:highlight w:val="none"/>
              </w:rPr>
              <w:t>于定标办法和规则的详细说明见第三章“定标办法”。</w:t>
            </w:r>
          </w:p>
        </w:tc>
      </w:tr>
      <w:tr w14:paraId="6DD82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14:paraId="6DDE6AAC">
            <w:pPr>
              <w:spacing w:line="294" w:lineRule="auto"/>
              <w:rPr>
                <w:rFonts w:ascii="Arial"/>
                <w:color w:val="auto"/>
                <w:sz w:val="21"/>
                <w:highlight w:val="none"/>
              </w:rPr>
            </w:pPr>
          </w:p>
          <w:p w14:paraId="3EE1D35D">
            <w:pPr>
              <w:spacing w:line="295" w:lineRule="auto"/>
              <w:rPr>
                <w:rFonts w:ascii="Arial"/>
                <w:color w:val="auto"/>
                <w:sz w:val="21"/>
                <w:highlight w:val="none"/>
              </w:rPr>
            </w:pPr>
          </w:p>
          <w:p w14:paraId="29667F8C">
            <w:pPr>
              <w:spacing w:before="60" w:line="189" w:lineRule="auto"/>
              <w:ind w:left="21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7.3.1</w:t>
            </w:r>
          </w:p>
        </w:tc>
        <w:tc>
          <w:tcPr>
            <w:tcW w:w="2121" w:type="dxa"/>
            <w:vAlign w:val="top"/>
          </w:tcPr>
          <w:p w14:paraId="7A9FF52C">
            <w:pPr>
              <w:spacing w:line="272" w:lineRule="auto"/>
              <w:rPr>
                <w:rFonts w:ascii="Arial"/>
                <w:color w:val="auto"/>
                <w:sz w:val="21"/>
                <w:highlight w:val="none"/>
              </w:rPr>
            </w:pPr>
          </w:p>
          <w:p w14:paraId="2927472F">
            <w:pPr>
              <w:spacing w:line="273" w:lineRule="auto"/>
              <w:rPr>
                <w:rFonts w:ascii="Arial"/>
                <w:color w:val="auto"/>
                <w:sz w:val="21"/>
                <w:highlight w:val="none"/>
              </w:rPr>
            </w:pPr>
          </w:p>
          <w:p w14:paraId="5212B22A">
            <w:pPr>
              <w:pStyle w:val="11"/>
              <w:spacing w:before="68" w:line="221" w:lineRule="auto"/>
              <w:ind w:left="545"/>
              <w:rPr>
                <w:color w:val="auto"/>
                <w:highlight w:val="none"/>
              </w:rPr>
            </w:pPr>
            <w:r>
              <w:rPr>
                <w:color w:val="auto"/>
                <w:spacing w:val="-2"/>
                <w:highlight w:val="none"/>
              </w:rPr>
              <w:t>履约保证金</w:t>
            </w:r>
          </w:p>
        </w:tc>
        <w:tc>
          <w:tcPr>
            <w:tcW w:w="5447" w:type="dxa"/>
            <w:vAlign w:val="top"/>
          </w:tcPr>
          <w:p w14:paraId="2BB0290A">
            <w:pPr>
              <w:pStyle w:val="11"/>
              <w:spacing w:before="137" w:line="221" w:lineRule="auto"/>
              <w:ind w:left="132"/>
              <w:rPr>
                <w:color w:val="auto"/>
                <w:highlight w:val="none"/>
              </w:rPr>
            </w:pPr>
            <w:r>
              <w:rPr>
                <w:color w:val="auto"/>
                <w:spacing w:val="-5"/>
                <w:highlight w:val="none"/>
              </w:rPr>
              <w:sym w:font="Wingdings 2" w:char="0052"/>
            </w:r>
            <w:r>
              <w:rPr>
                <w:color w:val="auto"/>
                <w:spacing w:val="-5"/>
                <w:highlight w:val="none"/>
              </w:rPr>
              <w:t>不提交</w:t>
            </w:r>
          </w:p>
          <w:p w14:paraId="7CB1CC56">
            <w:pPr>
              <w:pStyle w:val="11"/>
              <w:spacing w:before="65" w:line="221" w:lineRule="auto"/>
              <w:ind w:left="132"/>
              <w:rPr>
                <w:color w:val="auto"/>
                <w:highlight w:val="none"/>
              </w:rPr>
            </w:pPr>
            <w:r>
              <w:rPr>
                <w:color w:val="auto"/>
                <w:spacing w:val="-5"/>
                <w:highlight w:val="none"/>
              </w:rPr>
              <w:t>□提交，履约保证金的形式：</w:t>
            </w:r>
          </w:p>
          <w:p w14:paraId="5E95BA5C">
            <w:pPr>
              <w:pStyle w:val="11"/>
              <w:spacing w:before="69" w:line="258" w:lineRule="auto"/>
              <w:ind w:left="114" w:right="109" w:firstLine="858"/>
              <w:rPr>
                <w:rFonts w:ascii="Times New Roman" w:hAnsi="Times New Roman" w:eastAsia="Times New Roman" w:cs="Times New Roman"/>
                <w:color w:val="auto"/>
                <w:highlight w:val="none"/>
              </w:rPr>
            </w:pPr>
            <w:r>
              <w:rPr>
                <w:color w:val="auto"/>
                <w:spacing w:val="-10"/>
                <w:highlight w:val="none"/>
              </w:rPr>
              <w:t>□现金</w:t>
            </w:r>
            <w:r>
              <w:rPr>
                <w:color w:val="auto"/>
                <w:spacing w:val="12"/>
                <w:highlight w:val="none"/>
              </w:rPr>
              <w:t xml:space="preserve">   </w:t>
            </w:r>
            <w:r>
              <w:rPr>
                <w:color w:val="auto"/>
                <w:spacing w:val="-10"/>
                <w:highlight w:val="none"/>
              </w:rPr>
              <w:t>□保函（保险）</w:t>
            </w:r>
            <w:r>
              <w:rPr>
                <w:color w:val="auto"/>
                <w:spacing w:val="37"/>
                <w:highlight w:val="none"/>
              </w:rPr>
              <w:t xml:space="preserve"> </w:t>
            </w:r>
            <w:r>
              <w:rPr>
                <w:color w:val="auto"/>
                <w:spacing w:val="-10"/>
                <w:highlight w:val="none"/>
              </w:rPr>
              <w:t>□其他形式</w:t>
            </w:r>
            <w:r>
              <w:rPr>
                <w:color w:val="auto"/>
                <w:spacing w:val="-52"/>
                <w:highlight w:val="none"/>
              </w:rPr>
              <w:t xml:space="preserve"> </w:t>
            </w:r>
            <w:r>
              <w:rPr>
                <w:color w:val="auto"/>
                <w:spacing w:val="10"/>
                <w:highlight w:val="none"/>
                <w:u w:val="single" w:color="auto"/>
              </w:rPr>
              <w:t xml:space="preserve">       </w:t>
            </w:r>
            <w:r>
              <w:rPr>
                <w:color w:val="auto"/>
                <w:spacing w:val="6"/>
                <w:highlight w:val="none"/>
              </w:rPr>
              <w:t xml:space="preserve"> </w:t>
            </w:r>
            <w:r>
              <w:rPr>
                <w:color w:val="auto"/>
                <w:spacing w:val="-8"/>
                <w:highlight w:val="none"/>
              </w:rPr>
              <w:t>履约保证金的金额： 合同总价的</w:t>
            </w:r>
            <w:r>
              <w:rPr>
                <w:color w:val="auto"/>
                <w:spacing w:val="-92"/>
                <w:highlight w:val="none"/>
              </w:rPr>
              <w:t xml:space="preserve"> </w:t>
            </w:r>
            <w:r>
              <w:rPr>
                <w:color w:val="auto"/>
                <w:highlight w:val="none"/>
                <w:u w:val="single" w:color="auto"/>
              </w:rPr>
              <w:t xml:space="preserve">     </w:t>
            </w:r>
            <w:r>
              <w:rPr>
                <w:color w:val="auto"/>
                <w:spacing w:val="-46"/>
                <w:highlight w:val="none"/>
              </w:rPr>
              <w:t xml:space="preserve"> </w:t>
            </w:r>
            <w:r>
              <w:rPr>
                <w:rFonts w:ascii="Times New Roman" w:hAnsi="Times New Roman" w:eastAsia="Times New Roman" w:cs="Times New Roman"/>
                <w:color w:val="auto"/>
                <w:spacing w:val="-8"/>
                <w:highlight w:val="none"/>
              </w:rPr>
              <w:t>%</w:t>
            </w:r>
          </w:p>
        </w:tc>
      </w:tr>
      <w:tr w14:paraId="6D775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14AB490F">
            <w:pPr>
              <w:spacing w:line="251" w:lineRule="auto"/>
              <w:rPr>
                <w:rFonts w:ascii="Arial"/>
                <w:color w:val="auto"/>
                <w:sz w:val="21"/>
                <w:highlight w:val="none"/>
              </w:rPr>
            </w:pPr>
          </w:p>
          <w:p w14:paraId="0B8D1105">
            <w:pPr>
              <w:spacing w:line="251" w:lineRule="auto"/>
              <w:rPr>
                <w:rFonts w:ascii="Arial"/>
                <w:color w:val="auto"/>
                <w:sz w:val="21"/>
                <w:highlight w:val="none"/>
              </w:rPr>
            </w:pPr>
          </w:p>
          <w:p w14:paraId="20B2058E">
            <w:pPr>
              <w:spacing w:line="251" w:lineRule="auto"/>
              <w:rPr>
                <w:rFonts w:ascii="Arial"/>
                <w:color w:val="auto"/>
                <w:sz w:val="21"/>
                <w:highlight w:val="none"/>
              </w:rPr>
            </w:pPr>
          </w:p>
          <w:p w14:paraId="0BA88A2A">
            <w:pPr>
              <w:spacing w:line="252" w:lineRule="auto"/>
              <w:rPr>
                <w:rFonts w:ascii="Arial"/>
                <w:color w:val="auto"/>
                <w:sz w:val="21"/>
                <w:highlight w:val="none"/>
              </w:rPr>
            </w:pPr>
          </w:p>
          <w:p w14:paraId="5477AF91">
            <w:pPr>
              <w:spacing w:before="60"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9.5</w:t>
            </w:r>
          </w:p>
        </w:tc>
        <w:tc>
          <w:tcPr>
            <w:tcW w:w="2121" w:type="dxa"/>
            <w:vAlign w:val="top"/>
          </w:tcPr>
          <w:p w14:paraId="3C8A7AE1">
            <w:pPr>
              <w:rPr>
                <w:rFonts w:ascii="Arial"/>
                <w:color w:val="auto"/>
                <w:sz w:val="21"/>
                <w:highlight w:val="none"/>
              </w:rPr>
            </w:pPr>
          </w:p>
          <w:p w14:paraId="7A013DFC">
            <w:pPr>
              <w:rPr>
                <w:rFonts w:ascii="Arial"/>
                <w:color w:val="auto"/>
                <w:sz w:val="21"/>
                <w:highlight w:val="none"/>
              </w:rPr>
            </w:pPr>
          </w:p>
          <w:p w14:paraId="39CB3549">
            <w:pPr>
              <w:rPr>
                <w:rFonts w:ascii="Arial"/>
                <w:color w:val="auto"/>
                <w:sz w:val="21"/>
                <w:highlight w:val="none"/>
              </w:rPr>
            </w:pPr>
          </w:p>
          <w:p w14:paraId="1C539451">
            <w:pPr>
              <w:rPr>
                <w:rFonts w:ascii="Arial"/>
                <w:color w:val="auto"/>
                <w:sz w:val="21"/>
                <w:highlight w:val="none"/>
              </w:rPr>
            </w:pPr>
          </w:p>
          <w:p w14:paraId="6214E4FD">
            <w:pPr>
              <w:pStyle w:val="11"/>
              <w:spacing w:before="68" w:line="221" w:lineRule="auto"/>
              <w:ind w:left="439"/>
              <w:rPr>
                <w:color w:val="auto"/>
                <w:highlight w:val="none"/>
              </w:rPr>
            </w:pPr>
            <w:r>
              <w:rPr>
                <w:color w:val="auto"/>
                <w:spacing w:val="-1"/>
                <w:highlight w:val="none"/>
              </w:rPr>
              <w:t>行政监督部门</w:t>
            </w:r>
          </w:p>
        </w:tc>
        <w:tc>
          <w:tcPr>
            <w:tcW w:w="5447" w:type="dxa"/>
            <w:vAlign w:val="top"/>
          </w:tcPr>
          <w:p w14:paraId="22D90258">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名    称： 营口市城乡建设与公用事业中心 </w:t>
            </w:r>
          </w:p>
          <w:p w14:paraId="7BF423AD">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地    址： 辽宁省营口市          </w:t>
            </w:r>
          </w:p>
          <w:p w14:paraId="362E7F88">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电    话： 0417-2657306          </w:t>
            </w:r>
          </w:p>
          <w:p w14:paraId="07384DEB">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传    真：           </w:t>
            </w:r>
          </w:p>
          <w:p w14:paraId="4CFDA745">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邮政编码：           </w:t>
            </w:r>
          </w:p>
          <w:p w14:paraId="36583766">
            <w:pPr>
              <w:pStyle w:val="11"/>
              <w:spacing w:before="71" w:line="243" w:lineRule="auto"/>
              <w:ind w:left="114" w:right="116" w:hanging="1"/>
              <w:rPr>
                <w:color w:val="auto"/>
                <w:highlight w:val="none"/>
              </w:rPr>
            </w:pPr>
            <w:r>
              <w:rPr>
                <w:color w:val="auto"/>
                <w:spacing w:val="7"/>
                <w:highlight w:val="none"/>
              </w:rPr>
              <w:t>异议投诉渠道：辽宁省工程建设项目招标投标异议投诉</w:t>
            </w:r>
            <w:r>
              <w:rPr>
                <w:color w:val="auto"/>
                <w:spacing w:val="2"/>
                <w:highlight w:val="none"/>
              </w:rPr>
              <w:t xml:space="preserve"> </w:t>
            </w:r>
            <w:r>
              <w:rPr>
                <w:color w:val="auto"/>
                <w:spacing w:val="-2"/>
                <w:highlight w:val="none"/>
              </w:rPr>
              <w:t>处理系统</w:t>
            </w:r>
          </w:p>
        </w:tc>
      </w:tr>
      <w:tr w14:paraId="661DE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14:paraId="2B173075">
            <w:pPr>
              <w:spacing w:before="270" w:line="189" w:lineRule="auto"/>
              <w:ind w:left="34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sz w:val="21"/>
                <w:szCs w:val="21"/>
                <w:highlight w:val="none"/>
              </w:rPr>
              <w:t>10</w:t>
            </w:r>
          </w:p>
        </w:tc>
        <w:tc>
          <w:tcPr>
            <w:tcW w:w="7568" w:type="dxa"/>
            <w:gridSpan w:val="2"/>
            <w:vAlign w:val="top"/>
          </w:tcPr>
          <w:p w14:paraId="51AE22BF">
            <w:pPr>
              <w:pStyle w:val="11"/>
              <w:spacing w:before="233" w:line="221" w:lineRule="auto"/>
              <w:ind w:left="126"/>
              <w:rPr>
                <w:color w:val="auto"/>
                <w:highlight w:val="none"/>
              </w:rPr>
            </w:pPr>
            <w:r>
              <w:rPr>
                <w:color w:val="auto"/>
                <w:spacing w:val="-1"/>
                <w:highlight w:val="none"/>
                <w14:textOutline w14:w="3831" w14:cap="flat" w14:cmpd="sng">
                  <w14:solidFill>
                    <w14:srgbClr w14:val="000000"/>
                  </w14:solidFill>
                  <w14:prstDash w14:val="solid"/>
                  <w14:miter w14:val="0"/>
                </w14:textOutline>
              </w:rPr>
              <w:t>需要补充的其他内容</w:t>
            </w:r>
          </w:p>
        </w:tc>
      </w:tr>
      <w:tr w14:paraId="46276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14:paraId="5D9E8E3F">
            <w:pPr>
              <w:spacing w:before="117"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10.1</w:t>
            </w:r>
          </w:p>
        </w:tc>
        <w:tc>
          <w:tcPr>
            <w:tcW w:w="7568" w:type="dxa"/>
            <w:gridSpan w:val="2"/>
            <w:vAlign w:val="top"/>
          </w:tcPr>
          <w:p w14:paraId="265B9D24">
            <w:pPr>
              <w:pStyle w:val="11"/>
              <w:spacing w:before="81" w:line="206" w:lineRule="auto"/>
              <w:ind w:left="116"/>
              <w:rPr>
                <w:color w:val="auto"/>
                <w:highlight w:val="none"/>
              </w:rPr>
            </w:pPr>
            <w:r>
              <w:rPr>
                <w:color w:val="auto"/>
                <w:spacing w:val="-1"/>
                <w:highlight w:val="none"/>
                <w14:textOutline w14:w="3831" w14:cap="flat" w14:cmpd="sng">
                  <w14:solidFill>
                    <w14:srgbClr w14:val="000000"/>
                  </w14:solidFill>
                  <w14:prstDash w14:val="solid"/>
                  <w14:miter w14:val="0"/>
                </w14:textOutline>
              </w:rPr>
              <w:t>词语定义</w:t>
            </w:r>
          </w:p>
        </w:tc>
      </w:tr>
      <w:tr w14:paraId="3F80F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14:paraId="6CF13C5D">
            <w:pPr>
              <w:spacing w:line="265" w:lineRule="auto"/>
              <w:rPr>
                <w:rFonts w:ascii="Arial"/>
                <w:color w:val="auto"/>
                <w:sz w:val="21"/>
                <w:highlight w:val="none"/>
              </w:rPr>
            </w:pPr>
          </w:p>
          <w:p w14:paraId="64F36A28">
            <w:pPr>
              <w:spacing w:line="265" w:lineRule="auto"/>
              <w:rPr>
                <w:rFonts w:ascii="Arial"/>
                <w:color w:val="auto"/>
                <w:sz w:val="21"/>
                <w:highlight w:val="none"/>
              </w:rPr>
            </w:pPr>
          </w:p>
          <w:p w14:paraId="679064B6">
            <w:pPr>
              <w:spacing w:line="265" w:lineRule="auto"/>
              <w:rPr>
                <w:rFonts w:ascii="Arial"/>
                <w:color w:val="auto"/>
                <w:sz w:val="21"/>
                <w:highlight w:val="none"/>
              </w:rPr>
            </w:pPr>
          </w:p>
          <w:p w14:paraId="18777C7E">
            <w:pPr>
              <w:spacing w:line="265" w:lineRule="auto"/>
              <w:rPr>
                <w:rFonts w:ascii="Arial"/>
                <w:color w:val="auto"/>
                <w:sz w:val="21"/>
                <w:highlight w:val="none"/>
              </w:rPr>
            </w:pPr>
          </w:p>
          <w:p w14:paraId="170CCCD2">
            <w:pPr>
              <w:spacing w:line="266" w:lineRule="auto"/>
              <w:rPr>
                <w:rFonts w:ascii="Arial"/>
                <w:color w:val="auto"/>
                <w:sz w:val="21"/>
                <w:highlight w:val="none"/>
              </w:rPr>
            </w:pPr>
          </w:p>
          <w:p w14:paraId="5099AF49">
            <w:pPr>
              <w:spacing w:before="61"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10.1.1</w:t>
            </w:r>
          </w:p>
        </w:tc>
        <w:tc>
          <w:tcPr>
            <w:tcW w:w="2121" w:type="dxa"/>
            <w:vAlign w:val="top"/>
          </w:tcPr>
          <w:p w14:paraId="14417640">
            <w:pPr>
              <w:spacing w:line="256" w:lineRule="auto"/>
              <w:rPr>
                <w:rFonts w:ascii="Arial"/>
                <w:color w:val="auto"/>
                <w:sz w:val="21"/>
                <w:highlight w:val="none"/>
              </w:rPr>
            </w:pPr>
          </w:p>
          <w:p w14:paraId="73DA5CF8">
            <w:pPr>
              <w:spacing w:line="256" w:lineRule="auto"/>
              <w:rPr>
                <w:rFonts w:ascii="Arial"/>
                <w:color w:val="auto"/>
                <w:sz w:val="21"/>
                <w:highlight w:val="none"/>
              </w:rPr>
            </w:pPr>
          </w:p>
          <w:p w14:paraId="553C30B1">
            <w:pPr>
              <w:spacing w:line="256" w:lineRule="auto"/>
              <w:rPr>
                <w:rFonts w:ascii="Arial"/>
                <w:color w:val="auto"/>
                <w:sz w:val="21"/>
                <w:highlight w:val="none"/>
              </w:rPr>
            </w:pPr>
          </w:p>
          <w:p w14:paraId="0DB59369">
            <w:pPr>
              <w:spacing w:line="257" w:lineRule="auto"/>
              <w:rPr>
                <w:rFonts w:ascii="Arial"/>
                <w:color w:val="auto"/>
                <w:sz w:val="21"/>
                <w:highlight w:val="none"/>
              </w:rPr>
            </w:pPr>
          </w:p>
          <w:p w14:paraId="7009A212">
            <w:pPr>
              <w:spacing w:line="257" w:lineRule="auto"/>
              <w:rPr>
                <w:rFonts w:ascii="Arial"/>
                <w:color w:val="auto"/>
                <w:sz w:val="21"/>
                <w:highlight w:val="none"/>
              </w:rPr>
            </w:pPr>
          </w:p>
          <w:p w14:paraId="6417489F">
            <w:pPr>
              <w:pStyle w:val="11"/>
              <w:spacing w:before="68" w:line="221" w:lineRule="auto"/>
              <w:ind w:left="647"/>
              <w:rPr>
                <w:color w:val="auto"/>
                <w:highlight w:val="none"/>
              </w:rPr>
            </w:pPr>
            <w:r>
              <w:rPr>
                <w:color w:val="auto"/>
                <w:spacing w:val="-1"/>
                <w:highlight w:val="none"/>
              </w:rPr>
              <w:t>类似项目</w:t>
            </w:r>
          </w:p>
        </w:tc>
        <w:tc>
          <w:tcPr>
            <w:tcW w:w="5447" w:type="dxa"/>
            <w:vAlign w:val="top"/>
          </w:tcPr>
          <w:p w14:paraId="2747AEE8">
            <w:pPr>
              <w:pStyle w:val="11"/>
              <w:spacing w:before="75" w:line="252" w:lineRule="auto"/>
              <w:ind w:left="114" w:right="110" w:firstLine="2"/>
              <w:rPr>
                <w:color w:val="auto"/>
                <w:highlight w:val="none"/>
              </w:rPr>
            </w:pPr>
            <w:r>
              <w:rPr>
                <w:color w:val="auto"/>
                <w:spacing w:val="-2"/>
                <w:highlight w:val="none"/>
              </w:rPr>
              <w:t>（</w:t>
            </w:r>
            <w:r>
              <w:rPr>
                <w:rFonts w:ascii="Times New Roman" w:hAnsi="Times New Roman" w:eastAsia="Times New Roman" w:cs="Times New Roman"/>
                <w:color w:val="auto"/>
                <w:spacing w:val="-2"/>
                <w:highlight w:val="none"/>
              </w:rPr>
              <w:t>1</w:t>
            </w:r>
            <w:r>
              <w:rPr>
                <w:color w:val="auto"/>
                <w:spacing w:val="-2"/>
                <w:highlight w:val="none"/>
              </w:rPr>
              <w:t>）类似项目指</w:t>
            </w:r>
            <w:r>
              <w:rPr>
                <w:rFonts w:hint="eastAsia"/>
                <w:color w:val="auto"/>
                <w:spacing w:val="2"/>
                <w:highlight w:val="none"/>
                <w:u w:val="single" w:color="auto"/>
                <w:lang w:val="en-US" w:eastAsia="zh-CN"/>
              </w:rPr>
              <w:t>装饰装修</w:t>
            </w:r>
            <w:r>
              <w:rPr>
                <w:color w:val="auto"/>
                <w:spacing w:val="-2"/>
                <w:highlight w:val="none"/>
              </w:rPr>
              <w:t>工程，且</w:t>
            </w:r>
            <w:r>
              <w:rPr>
                <w:color w:val="auto"/>
                <w:spacing w:val="-3"/>
                <w:highlight w:val="none"/>
              </w:rPr>
              <w:t>项目已完成工程竣工验收。</w:t>
            </w:r>
          </w:p>
          <w:p w14:paraId="4393E42D">
            <w:pPr>
              <w:pStyle w:val="11"/>
              <w:spacing w:before="70" w:line="221" w:lineRule="auto"/>
              <w:ind w:left="117"/>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2</w:t>
            </w:r>
            <w:r>
              <w:rPr>
                <w:color w:val="auto"/>
                <w:spacing w:val="-5"/>
                <w:highlight w:val="none"/>
              </w:rPr>
              <w:t>）类似项目时间：</w:t>
            </w:r>
          </w:p>
          <w:p w14:paraId="5D394571">
            <w:pPr>
              <w:pStyle w:val="11"/>
              <w:spacing w:before="24" w:line="210" w:lineRule="auto"/>
              <w:ind w:left="764"/>
              <w:rPr>
                <w:color w:val="auto"/>
                <w:highlight w:val="none"/>
              </w:rPr>
            </w:pPr>
            <w:r>
              <w:rPr>
                <w:rFonts w:ascii="Times New Roman" w:hAnsi="Times New Roman" w:eastAsia="Times New Roman" w:cs="Times New Roman"/>
                <w:color w:val="auto"/>
                <w:spacing w:val="-2"/>
                <w:sz w:val="32"/>
                <w:szCs w:val="32"/>
                <w:highlight w:val="none"/>
              </w:rPr>
              <w:t>□</w:t>
            </w:r>
            <w:r>
              <w:rPr>
                <w:color w:val="auto"/>
                <w:spacing w:val="-2"/>
                <w:highlight w:val="none"/>
              </w:rPr>
              <w:t>合同签订时间为准</w:t>
            </w:r>
          </w:p>
          <w:p w14:paraId="14E9BF41">
            <w:pPr>
              <w:pStyle w:val="11"/>
              <w:spacing w:before="1" w:line="221" w:lineRule="auto"/>
              <w:ind w:left="764"/>
              <w:rPr>
                <w:color w:val="auto"/>
                <w:highlight w:val="none"/>
              </w:rPr>
            </w:pPr>
            <w:r>
              <w:rPr>
                <w:rFonts w:ascii="Times New Roman" w:hAnsi="Times New Roman" w:eastAsia="Times New Roman" w:cs="Times New Roman"/>
                <w:color w:val="auto"/>
                <w:spacing w:val="-2"/>
                <w:sz w:val="32"/>
                <w:szCs w:val="32"/>
                <w:highlight w:val="none"/>
              </w:rPr>
              <w:sym w:font="Wingdings 2" w:char="0052"/>
            </w:r>
            <w:r>
              <w:rPr>
                <w:color w:val="auto"/>
                <w:spacing w:val="-2"/>
                <w:highlight w:val="none"/>
              </w:rPr>
              <w:t>竣工验收时间为准</w:t>
            </w:r>
          </w:p>
          <w:p w14:paraId="2F1443AD">
            <w:pPr>
              <w:pStyle w:val="11"/>
              <w:spacing w:before="22" w:line="242" w:lineRule="auto"/>
              <w:ind w:left="117"/>
              <w:rPr>
                <w:color w:val="auto"/>
                <w:highlight w:val="none"/>
              </w:rPr>
            </w:pPr>
            <w:r>
              <w:rPr>
                <w:color w:val="auto"/>
                <w:spacing w:val="-3"/>
                <w:highlight w:val="none"/>
              </w:rPr>
              <w:t>（</w:t>
            </w:r>
            <w:r>
              <w:rPr>
                <w:rFonts w:ascii="Times New Roman" w:hAnsi="Times New Roman" w:eastAsia="Times New Roman" w:cs="Times New Roman"/>
                <w:color w:val="auto"/>
                <w:spacing w:val="-3"/>
                <w:highlight w:val="none"/>
              </w:rPr>
              <w:t>3</w:t>
            </w:r>
            <w:r>
              <w:rPr>
                <w:color w:val="auto"/>
                <w:spacing w:val="-3"/>
                <w:highlight w:val="none"/>
              </w:rPr>
              <w:t>）类似项目类型</w:t>
            </w:r>
          </w:p>
          <w:p w14:paraId="3CB3DE9E">
            <w:pPr>
              <w:pStyle w:val="11"/>
              <w:spacing w:line="210" w:lineRule="auto"/>
              <w:ind w:left="764"/>
              <w:rPr>
                <w:color w:val="auto"/>
                <w:highlight w:val="none"/>
              </w:rPr>
            </w:pPr>
            <w:r>
              <w:rPr>
                <w:rFonts w:ascii="Times New Roman" w:hAnsi="Times New Roman" w:eastAsia="Times New Roman" w:cs="Times New Roman"/>
                <w:color w:val="auto"/>
                <w:spacing w:val="-22"/>
                <w:sz w:val="32"/>
                <w:szCs w:val="32"/>
                <w:highlight w:val="none"/>
              </w:rPr>
              <w:sym w:font="Wingdings 2" w:char="0052"/>
            </w:r>
            <w:r>
              <w:rPr>
                <w:rFonts w:ascii="Times New Roman" w:hAnsi="Times New Roman" w:eastAsia="Times New Roman" w:cs="Times New Roman"/>
                <w:color w:val="auto"/>
                <w:spacing w:val="-1"/>
                <w:highlight w:val="none"/>
              </w:rPr>
              <w:t xml:space="preserve">A </w:t>
            </w:r>
            <w:r>
              <w:rPr>
                <w:color w:val="auto"/>
                <w:spacing w:val="-1"/>
                <w:highlight w:val="none"/>
              </w:rPr>
              <w:t>类</w:t>
            </w:r>
          </w:p>
          <w:p w14:paraId="072B4966">
            <w:pPr>
              <w:pStyle w:val="11"/>
              <w:spacing w:before="2" w:line="221" w:lineRule="auto"/>
              <w:ind w:left="764"/>
              <w:rPr>
                <w:color w:val="auto"/>
                <w:highlight w:val="none"/>
              </w:rPr>
            </w:pPr>
            <w:r>
              <w:rPr>
                <w:rFonts w:hint="eastAsia" w:ascii="Times New Roman" w:hAnsi="Times New Roman" w:cs="Times New Roman"/>
                <w:color w:val="auto"/>
                <w:spacing w:val="-4"/>
                <w:sz w:val="32"/>
                <w:szCs w:val="32"/>
                <w:highlight w:val="none"/>
                <w:lang w:eastAsia="zh-CN"/>
              </w:rPr>
              <w:t>□</w:t>
            </w:r>
            <w:r>
              <w:rPr>
                <w:rFonts w:ascii="Times New Roman" w:hAnsi="Times New Roman" w:eastAsia="Times New Roman" w:cs="Times New Roman"/>
                <w:color w:val="auto"/>
                <w:spacing w:val="-4"/>
                <w:highlight w:val="none"/>
              </w:rPr>
              <w:t xml:space="preserve">A+B </w:t>
            </w:r>
            <w:r>
              <w:rPr>
                <w:color w:val="auto"/>
                <w:spacing w:val="-4"/>
                <w:highlight w:val="none"/>
              </w:rPr>
              <w:t>类</w:t>
            </w:r>
          </w:p>
          <w:p w14:paraId="6E543496">
            <w:pPr>
              <w:pStyle w:val="11"/>
              <w:spacing w:before="23" w:line="205" w:lineRule="auto"/>
              <w:ind w:left="117"/>
              <w:rPr>
                <w:color w:val="auto"/>
                <w:highlight w:val="none"/>
              </w:rPr>
            </w:pPr>
            <w:r>
              <w:rPr>
                <w:color w:val="auto"/>
                <w:spacing w:val="-21"/>
                <w:highlight w:val="none"/>
              </w:rPr>
              <w:t>（</w:t>
            </w:r>
            <w:r>
              <w:rPr>
                <w:rFonts w:ascii="Times New Roman" w:hAnsi="Times New Roman" w:eastAsia="Times New Roman" w:cs="Times New Roman"/>
                <w:color w:val="auto"/>
                <w:spacing w:val="-21"/>
                <w:highlight w:val="none"/>
              </w:rPr>
              <w:t>4</w:t>
            </w:r>
            <w:r>
              <w:rPr>
                <w:color w:val="auto"/>
                <w:spacing w:val="-21"/>
                <w:highlight w:val="none"/>
              </w:rPr>
              <w:t>）其他：</w:t>
            </w:r>
            <w:r>
              <w:rPr>
                <w:color w:val="auto"/>
                <w:spacing w:val="12"/>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tc>
      </w:tr>
      <w:tr w14:paraId="4BF75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3D24B354">
            <w:pPr>
              <w:spacing w:line="265" w:lineRule="auto"/>
              <w:rPr>
                <w:rFonts w:ascii="Arial"/>
                <w:color w:val="auto"/>
                <w:sz w:val="21"/>
                <w:highlight w:val="none"/>
              </w:rPr>
            </w:pPr>
          </w:p>
          <w:p w14:paraId="22B35809">
            <w:pPr>
              <w:spacing w:line="266" w:lineRule="auto"/>
              <w:rPr>
                <w:rFonts w:ascii="Arial"/>
                <w:color w:val="auto"/>
                <w:sz w:val="21"/>
                <w:highlight w:val="none"/>
              </w:rPr>
            </w:pPr>
          </w:p>
          <w:p w14:paraId="64B02571">
            <w:pPr>
              <w:spacing w:before="6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10.1.2</w:t>
            </w:r>
          </w:p>
        </w:tc>
        <w:tc>
          <w:tcPr>
            <w:tcW w:w="2121" w:type="dxa"/>
            <w:vAlign w:val="top"/>
          </w:tcPr>
          <w:p w14:paraId="39542666">
            <w:pPr>
              <w:spacing w:line="243" w:lineRule="auto"/>
              <w:rPr>
                <w:rFonts w:ascii="Arial"/>
                <w:color w:val="auto"/>
                <w:sz w:val="21"/>
                <w:highlight w:val="none"/>
              </w:rPr>
            </w:pPr>
          </w:p>
          <w:p w14:paraId="625D64BD">
            <w:pPr>
              <w:spacing w:line="243" w:lineRule="auto"/>
              <w:rPr>
                <w:rFonts w:ascii="Arial"/>
                <w:color w:val="auto"/>
                <w:sz w:val="21"/>
                <w:highlight w:val="none"/>
              </w:rPr>
            </w:pPr>
          </w:p>
          <w:p w14:paraId="23D67D69">
            <w:pPr>
              <w:pStyle w:val="11"/>
              <w:spacing w:before="69" w:line="220" w:lineRule="auto"/>
              <w:ind w:left="859"/>
              <w:rPr>
                <w:color w:val="auto"/>
                <w:highlight w:val="none"/>
              </w:rPr>
            </w:pPr>
            <w:r>
              <w:rPr>
                <w:color w:val="auto"/>
                <w:spacing w:val="-2"/>
                <w:highlight w:val="none"/>
              </w:rPr>
              <w:t>盖章</w:t>
            </w:r>
          </w:p>
        </w:tc>
        <w:tc>
          <w:tcPr>
            <w:tcW w:w="5447" w:type="dxa"/>
            <w:vAlign w:val="top"/>
          </w:tcPr>
          <w:p w14:paraId="6B408FA2">
            <w:pPr>
              <w:pStyle w:val="11"/>
              <w:spacing w:before="79" w:line="264" w:lineRule="auto"/>
              <w:ind w:left="111" w:right="116"/>
              <w:jc w:val="both"/>
              <w:rPr>
                <w:color w:val="auto"/>
                <w:highlight w:val="none"/>
              </w:rPr>
            </w:pPr>
            <w:r>
              <w:rPr>
                <w:color w:val="auto"/>
                <w:spacing w:val="7"/>
                <w:highlight w:val="none"/>
              </w:rPr>
              <w:t>盖单位章及签章（个人）均为电子签名法所指的电子签</w:t>
            </w:r>
            <w:r>
              <w:rPr>
                <w:color w:val="auto"/>
                <w:spacing w:val="4"/>
                <w:highlight w:val="none"/>
              </w:rPr>
              <w:t xml:space="preserve"> </w:t>
            </w:r>
            <w:r>
              <w:rPr>
                <w:color w:val="auto"/>
                <w:spacing w:val="7"/>
                <w:highlight w:val="none"/>
              </w:rPr>
              <w:t>名，即表示数据电文中以电子形式所含、所附用于识别</w:t>
            </w:r>
            <w:r>
              <w:rPr>
                <w:color w:val="auto"/>
                <w:spacing w:val="4"/>
                <w:highlight w:val="none"/>
              </w:rPr>
              <w:t xml:space="preserve"> </w:t>
            </w:r>
            <w:r>
              <w:rPr>
                <w:color w:val="auto"/>
                <w:spacing w:val="7"/>
                <w:highlight w:val="none"/>
              </w:rPr>
              <w:t>签名单位和签名人身份并表明签名单位和签名人认可其</w:t>
            </w:r>
            <w:r>
              <w:rPr>
                <w:color w:val="auto"/>
                <w:spacing w:val="4"/>
                <w:highlight w:val="none"/>
              </w:rPr>
              <w:t xml:space="preserve"> </w:t>
            </w:r>
            <w:r>
              <w:rPr>
                <w:color w:val="auto"/>
                <w:spacing w:val="-3"/>
                <w:highlight w:val="none"/>
              </w:rPr>
              <w:t>中内容的数据。</w:t>
            </w:r>
          </w:p>
        </w:tc>
      </w:tr>
    </w:tbl>
    <w:p w14:paraId="0D035FE1">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0E1D1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854" w:type="dxa"/>
            <w:vAlign w:val="top"/>
          </w:tcPr>
          <w:p w14:paraId="65B64C62">
            <w:pPr>
              <w:spacing w:before="186" w:line="189" w:lineRule="auto"/>
              <w:ind w:left="183"/>
              <w:rPr>
                <w:rFonts w:ascii="Times New Roman" w:hAnsi="Times New Roman" w:eastAsia="Times New Roman" w:cs="Times New Roman"/>
                <w:color w:val="auto"/>
                <w:sz w:val="21"/>
                <w:szCs w:val="21"/>
                <w:highlight w:val="none"/>
              </w:rPr>
            </w:pPr>
            <w:bookmarkStart w:id="47" w:name="bookmark69"/>
            <w:bookmarkEnd w:id="47"/>
            <w:bookmarkStart w:id="48" w:name="bookmark70"/>
            <w:bookmarkEnd w:id="48"/>
            <w:bookmarkStart w:id="49" w:name="bookmark73"/>
            <w:bookmarkEnd w:id="49"/>
            <w:bookmarkStart w:id="50" w:name="bookmark72"/>
            <w:bookmarkEnd w:id="50"/>
            <w:bookmarkStart w:id="51" w:name="bookmark71"/>
            <w:bookmarkEnd w:id="51"/>
            <w:r>
              <w:rPr>
                <w:rFonts w:ascii="Times New Roman" w:hAnsi="Times New Roman" w:eastAsia="Times New Roman" w:cs="Times New Roman"/>
                <w:color w:val="auto"/>
                <w:spacing w:val="-4"/>
                <w:sz w:val="21"/>
                <w:szCs w:val="21"/>
                <w:highlight w:val="none"/>
              </w:rPr>
              <w:t>10.1.3</w:t>
            </w:r>
          </w:p>
        </w:tc>
        <w:tc>
          <w:tcPr>
            <w:tcW w:w="2121" w:type="dxa"/>
            <w:vAlign w:val="top"/>
          </w:tcPr>
          <w:p w14:paraId="5F40EBF5">
            <w:pPr>
              <w:pStyle w:val="11"/>
              <w:spacing w:before="149" w:line="221" w:lineRule="auto"/>
              <w:ind w:left="439"/>
              <w:rPr>
                <w:color w:val="auto"/>
                <w:highlight w:val="none"/>
              </w:rPr>
            </w:pPr>
            <w:r>
              <w:rPr>
                <w:color w:val="auto"/>
                <w:spacing w:val="-1"/>
                <w:highlight w:val="none"/>
              </w:rPr>
              <w:t>获奖表彰时间</w:t>
            </w:r>
          </w:p>
        </w:tc>
        <w:tc>
          <w:tcPr>
            <w:tcW w:w="5447" w:type="dxa"/>
            <w:vAlign w:val="top"/>
          </w:tcPr>
          <w:p w14:paraId="0E5CE7C6">
            <w:pPr>
              <w:pStyle w:val="11"/>
              <w:spacing w:before="149" w:line="220" w:lineRule="auto"/>
              <w:ind w:left="135"/>
              <w:rPr>
                <w:color w:val="auto"/>
                <w:highlight w:val="none"/>
              </w:rPr>
            </w:pPr>
            <w:r>
              <w:rPr>
                <w:color w:val="auto"/>
                <w:spacing w:val="-2"/>
                <w:highlight w:val="none"/>
              </w:rPr>
              <w:t>以表彰文件、获奖证书的颁发时间为准。</w:t>
            </w:r>
          </w:p>
        </w:tc>
      </w:tr>
      <w:tr w14:paraId="2EC93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14:paraId="3ADC3813">
            <w:pPr>
              <w:spacing w:line="291" w:lineRule="auto"/>
              <w:rPr>
                <w:rFonts w:ascii="Arial"/>
                <w:color w:val="auto"/>
                <w:sz w:val="21"/>
                <w:highlight w:val="none"/>
              </w:rPr>
            </w:pPr>
          </w:p>
          <w:p w14:paraId="582062C0">
            <w:pPr>
              <w:spacing w:line="291" w:lineRule="auto"/>
              <w:rPr>
                <w:rFonts w:ascii="Arial"/>
                <w:color w:val="auto"/>
                <w:sz w:val="21"/>
                <w:highlight w:val="none"/>
              </w:rPr>
            </w:pPr>
          </w:p>
          <w:p w14:paraId="1F2AE4F8">
            <w:pPr>
              <w:spacing w:line="291" w:lineRule="auto"/>
              <w:rPr>
                <w:rFonts w:ascii="Arial"/>
                <w:color w:val="auto"/>
                <w:sz w:val="21"/>
                <w:highlight w:val="none"/>
              </w:rPr>
            </w:pPr>
          </w:p>
          <w:p w14:paraId="6A6848FC">
            <w:pPr>
              <w:spacing w:line="292" w:lineRule="auto"/>
              <w:rPr>
                <w:rFonts w:ascii="Arial"/>
                <w:color w:val="auto"/>
                <w:sz w:val="21"/>
                <w:highlight w:val="none"/>
              </w:rPr>
            </w:pPr>
          </w:p>
          <w:p w14:paraId="40CA8419">
            <w:pPr>
              <w:spacing w:before="61"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10.1.4</w:t>
            </w:r>
          </w:p>
        </w:tc>
        <w:tc>
          <w:tcPr>
            <w:tcW w:w="2121" w:type="dxa"/>
            <w:vAlign w:val="top"/>
          </w:tcPr>
          <w:p w14:paraId="1C82F9FE">
            <w:pPr>
              <w:spacing w:line="280" w:lineRule="auto"/>
              <w:rPr>
                <w:rFonts w:ascii="Arial"/>
                <w:color w:val="auto"/>
                <w:sz w:val="21"/>
                <w:highlight w:val="none"/>
              </w:rPr>
            </w:pPr>
          </w:p>
          <w:p w14:paraId="406C26C0">
            <w:pPr>
              <w:spacing w:line="280" w:lineRule="auto"/>
              <w:rPr>
                <w:rFonts w:ascii="Arial"/>
                <w:color w:val="auto"/>
                <w:sz w:val="21"/>
                <w:highlight w:val="none"/>
              </w:rPr>
            </w:pPr>
          </w:p>
          <w:p w14:paraId="361BF345">
            <w:pPr>
              <w:spacing w:line="280" w:lineRule="auto"/>
              <w:rPr>
                <w:rFonts w:ascii="Arial"/>
                <w:color w:val="auto"/>
                <w:sz w:val="21"/>
                <w:highlight w:val="none"/>
              </w:rPr>
            </w:pPr>
          </w:p>
          <w:p w14:paraId="402DF606">
            <w:pPr>
              <w:spacing w:line="281" w:lineRule="auto"/>
              <w:rPr>
                <w:rFonts w:ascii="Arial"/>
                <w:color w:val="auto"/>
                <w:sz w:val="21"/>
                <w:highlight w:val="none"/>
              </w:rPr>
            </w:pPr>
          </w:p>
          <w:p w14:paraId="18F424CC">
            <w:pPr>
              <w:pStyle w:val="11"/>
              <w:spacing w:before="69" w:line="221" w:lineRule="auto"/>
              <w:ind w:left="651"/>
              <w:rPr>
                <w:color w:val="auto"/>
                <w:highlight w:val="none"/>
              </w:rPr>
            </w:pPr>
            <w:r>
              <w:rPr>
                <w:color w:val="auto"/>
                <w:spacing w:val="-2"/>
                <w:highlight w:val="none"/>
              </w:rPr>
              <w:t>不良行为</w:t>
            </w:r>
          </w:p>
        </w:tc>
        <w:tc>
          <w:tcPr>
            <w:tcW w:w="5447" w:type="dxa"/>
            <w:vAlign w:val="top"/>
          </w:tcPr>
          <w:p w14:paraId="54B66F2A">
            <w:pPr>
              <w:pStyle w:val="11"/>
              <w:spacing w:before="72" w:line="253" w:lineRule="auto"/>
              <w:ind w:left="113" w:right="139" w:firstLine="3"/>
              <w:rPr>
                <w:color w:val="auto"/>
                <w:highlight w:val="none"/>
              </w:rPr>
            </w:pPr>
            <w:r>
              <w:rPr>
                <w:color w:val="auto"/>
                <w:spacing w:val="-1"/>
                <w:highlight w:val="none"/>
              </w:rPr>
              <w:t>（</w:t>
            </w:r>
            <w:r>
              <w:rPr>
                <w:rFonts w:ascii="Times New Roman" w:hAnsi="Times New Roman" w:eastAsia="Times New Roman" w:cs="Times New Roman"/>
                <w:color w:val="auto"/>
                <w:spacing w:val="-1"/>
                <w:highlight w:val="none"/>
              </w:rPr>
              <w:t>1</w:t>
            </w:r>
            <w:r>
              <w:rPr>
                <w:color w:val="auto"/>
                <w:spacing w:val="-1"/>
                <w:highlight w:val="none"/>
              </w:rPr>
              <w:t>）指投标人须知第</w:t>
            </w:r>
            <w:r>
              <w:rPr>
                <w:color w:val="auto"/>
                <w:spacing w:val="-26"/>
                <w:highlight w:val="none"/>
              </w:rPr>
              <w:t xml:space="preserve"> </w:t>
            </w:r>
            <w:r>
              <w:rPr>
                <w:rFonts w:ascii="Times New Roman" w:hAnsi="Times New Roman" w:eastAsia="Times New Roman" w:cs="Times New Roman"/>
                <w:color w:val="auto"/>
                <w:spacing w:val="-1"/>
                <w:highlight w:val="none"/>
              </w:rPr>
              <w:t>1.4.3</w:t>
            </w:r>
            <w:r>
              <w:rPr>
                <w:color w:val="auto"/>
                <w:spacing w:val="-1"/>
                <w:highlight w:val="none"/>
              </w:rPr>
              <w:t>（</w:t>
            </w:r>
            <w:r>
              <w:rPr>
                <w:rFonts w:ascii="Times New Roman" w:hAnsi="Times New Roman" w:eastAsia="Times New Roman" w:cs="Times New Roman"/>
                <w:color w:val="auto"/>
                <w:spacing w:val="-1"/>
                <w:highlight w:val="none"/>
              </w:rPr>
              <w:t>10</w:t>
            </w:r>
            <w:r>
              <w:rPr>
                <w:color w:val="auto"/>
                <w:spacing w:val="-1"/>
                <w:highlight w:val="none"/>
              </w:rPr>
              <w:t>）至</w:t>
            </w:r>
            <w:r>
              <w:rPr>
                <w:color w:val="auto"/>
                <w:spacing w:val="-2"/>
                <w:highlight w:val="none"/>
              </w:rPr>
              <w:t>（</w:t>
            </w:r>
            <w:r>
              <w:rPr>
                <w:rFonts w:ascii="Times New Roman" w:hAnsi="Times New Roman" w:eastAsia="Times New Roman" w:cs="Times New Roman"/>
                <w:color w:val="auto"/>
                <w:spacing w:val="-2"/>
                <w:highlight w:val="none"/>
              </w:rPr>
              <w:t>17</w:t>
            </w:r>
            <w:r>
              <w:rPr>
                <w:color w:val="auto"/>
                <w:spacing w:val="-2"/>
                <w:highlight w:val="none"/>
              </w:rPr>
              <w:t>）条目规定的情</w:t>
            </w:r>
            <w:r>
              <w:rPr>
                <w:color w:val="auto"/>
                <w:highlight w:val="none"/>
              </w:rPr>
              <w:t xml:space="preserve"> </w:t>
            </w:r>
            <w:r>
              <w:rPr>
                <w:color w:val="auto"/>
                <w:spacing w:val="-10"/>
                <w:highlight w:val="none"/>
              </w:rPr>
              <w:t>形。</w:t>
            </w:r>
          </w:p>
          <w:p w14:paraId="4FD7F5D1">
            <w:pPr>
              <w:pStyle w:val="11"/>
              <w:spacing w:before="68" w:line="266" w:lineRule="auto"/>
              <w:ind w:left="111" w:right="139" w:firstLine="6"/>
              <w:rPr>
                <w:color w:val="auto"/>
                <w:highlight w:val="none"/>
              </w:rPr>
            </w:pPr>
            <w:r>
              <w:rPr>
                <w:color w:val="auto"/>
                <w:spacing w:val="-2"/>
                <w:highlight w:val="none"/>
              </w:rPr>
              <w:t>（</w:t>
            </w:r>
            <w:r>
              <w:rPr>
                <w:rFonts w:ascii="Times New Roman" w:hAnsi="Times New Roman" w:eastAsia="Times New Roman" w:cs="Times New Roman"/>
                <w:color w:val="auto"/>
                <w:spacing w:val="-2"/>
                <w:highlight w:val="none"/>
              </w:rPr>
              <w:t>2</w:t>
            </w:r>
            <w:r>
              <w:rPr>
                <w:color w:val="auto"/>
                <w:spacing w:val="-2"/>
                <w:highlight w:val="none"/>
              </w:rPr>
              <w:t>）投标人须知第</w:t>
            </w:r>
            <w:r>
              <w:rPr>
                <w:color w:val="auto"/>
                <w:spacing w:val="-9"/>
                <w:highlight w:val="none"/>
              </w:rPr>
              <w:t xml:space="preserve"> </w:t>
            </w:r>
            <w:r>
              <w:rPr>
                <w:rFonts w:ascii="Times New Roman" w:hAnsi="Times New Roman" w:eastAsia="Times New Roman" w:cs="Times New Roman"/>
                <w:color w:val="auto"/>
                <w:spacing w:val="-2"/>
                <w:highlight w:val="none"/>
              </w:rPr>
              <w:t>1.4.3</w:t>
            </w:r>
            <w:r>
              <w:rPr>
                <w:color w:val="auto"/>
                <w:spacing w:val="-2"/>
                <w:highlight w:val="none"/>
              </w:rPr>
              <w:t>（</w:t>
            </w:r>
            <w:r>
              <w:rPr>
                <w:rFonts w:ascii="Times New Roman" w:hAnsi="Times New Roman" w:eastAsia="Times New Roman" w:cs="Times New Roman"/>
                <w:color w:val="auto"/>
                <w:spacing w:val="-2"/>
                <w:highlight w:val="none"/>
              </w:rPr>
              <w:t>13</w:t>
            </w:r>
            <w:r>
              <w:rPr>
                <w:color w:val="auto"/>
                <w:spacing w:val="-2"/>
                <w:highlight w:val="none"/>
              </w:rPr>
              <w:t>）条目规定的在最近三年内</w:t>
            </w:r>
            <w:r>
              <w:rPr>
                <w:color w:val="auto"/>
                <w:highlight w:val="none"/>
              </w:rPr>
              <w:t xml:space="preserve"> </w:t>
            </w:r>
            <w:r>
              <w:rPr>
                <w:color w:val="auto"/>
                <w:spacing w:val="-2"/>
                <w:highlight w:val="none"/>
              </w:rPr>
              <w:t xml:space="preserve">有骗取中标或严重违约或重大工程质量问题的时间以相  关行业主管部门行政处罚决定时间或司法机关出具的法  </w:t>
            </w:r>
            <w:r>
              <w:rPr>
                <w:color w:val="auto"/>
                <w:spacing w:val="-3"/>
                <w:highlight w:val="none"/>
              </w:rPr>
              <w:t>律文书时间为准。</w:t>
            </w:r>
          </w:p>
          <w:p w14:paraId="7A97B40B">
            <w:pPr>
              <w:pStyle w:val="11"/>
              <w:spacing w:before="67" w:line="245" w:lineRule="auto"/>
              <w:ind w:left="120" w:right="299" w:hanging="9"/>
              <w:rPr>
                <w:color w:val="auto"/>
                <w:highlight w:val="none"/>
              </w:rPr>
            </w:pPr>
            <w:r>
              <w:rPr>
                <w:color w:val="auto"/>
                <w:spacing w:val="-5"/>
                <w:highlight w:val="none"/>
              </w:rPr>
              <w:t>特别说明： 同一标段项目出现两个（含）以上不同处罚</w:t>
            </w:r>
            <w:r>
              <w:rPr>
                <w:color w:val="auto"/>
                <w:spacing w:val="10"/>
                <w:highlight w:val="none"/>
              </w:rPr>
              <w:t xml:space="preserve"> </w:t>
            </w:r>
            <w:r>
              <w:rPr>
                <w:color w:val="auto"/>
                <w:spacing w:val="-2"/>
                <w:highlight w:val="none"/>
              </w:rPr>
              <w:t>时间（或法律文书时间）均应满足时间要求。</w:t>
            </w:r>
          </w:p>
        </w:tc>
      </w:tr>
      <w:tr w14:paraId="7F5C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14:paraId="0B3A0927">
            <w:pPr>
              <w:spacing w:before="274"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10.1.5</w:t>
            </w:r>
          </w:p>
        </w:tc>
        <w:tc>
          <w:tcPr>
            <w:tcW w:w="2121" w:type="dxa"/>
            <w:vAlign w:val="top"/>
          </w:tcPr>
          <w:p w14:paraId="56911191">
            <w:pPr>
              <w:pStyle w:val="11"/>
              <w:spacing w:before="238" w:line="221" w:lineRule="auto"/>
              <w:ind w:left="860"/>
              <w:rPr>
                <w:color w:val="auto"/>
                <w:highlight w:val="none"/>
              </w:rPr>
            </w:pPr>
            <w:r>
              <w:rPr>
                <w:color w:val="auto"/>
                <w:spacing w:val="-2"/>
                <w:highlight w:val="none"/>
              </w:rPr>
              <w:t>现金</w:t>
            </w:r>
          </w:p>
        </w:tc>
        <w:tc>
          <w:tcPr>
            <w:tcW w:w="5447" w:type="dxa"/>
            <w:vAlign w:val="top"/>
          </w:tcPr>
          <w:p w14:paraId="5660137C">
            <w:pPr>
              <w:pStyle w:val="11"/>
              <w:spacing w:before="79" w:line="245" w:lineRule="auto"/>
              <w:ind w:left="113" w:right="298"/>
              <w:rPr>
                <w:color w:val="auto"/>
                <w:highlight w:val="none"/>
              </w:rPr>
            </w:pPr>
            <w:r>
              <w:rPr>
                <w:color w:val="auto"/>
                <w:spacing w:val="-1"/>
                <w:highlight w:val="none"/>
              </w:rPr>
              <w:t>投标保证金、履约保证金现金缴纳方式指通过电汇、支</w:t>
            </w:r>
            <w:r>
              <w:rPr>
                <w:color w:val="auto"/>
                <w:spacing w:val="12"/>
                <w:highlight w:val="none"/>
              </w:rPr>
              <w:t xml:space="preserve"> </w:t>
            </w:r>
            <w:r>
              <w:rPr>
                <w:color w:val="auto"/>
                <w:spacing w:val="-2"/>
                <w:highlight w:val="none"/>
              </w:rPr>
              <w:t>票等广义现金方式缴纳而非现金钞票。</w:t>
            </w:r>
          </w:p>
        </w:tc>
      </w:tr>
      <w:tr w14:paraId="1A30D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14:paraId="05B07480">
            <w:pPr>
              <w:spacing w:line="414" w:lineRule="auto"/>
              <w:rPr>
                <w:rFonts w:ascii="Arial"/>
                <w:color w:val="auto"/>
                <w:sz w:val="21"/>
                <w:highlight w:val="none"/>
              </w:rPr>
            </w:pPr>
          </w:p>
          <w:p w14:paraId="3F7D2C35">
            <w:pPr>
              <w:spacing w:before="60"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10.2</w:t>
            </w:r>
          </w:p>
        </w:tc>
        <w:tc>
          <w:tcPr>
            <w:tcW w:w="2121" w:type="dxa"/>
            <w:vAlign w:val="top"/>
          </w:tcPr>
          <w:p w14:paraId="3AE74EA0">
            <w:pPr>
              <w:pStyle w:val="11"/>
              <w:spacing w:before="281" w:line="252" w:lineRule="auto"/>
              <w:ind w:left="437" w:right="320" w:hanging="87"/>
              <w:rPr>
                <w:color w:val="auto"/>
                <w:highlight w:val="none"/>
              </w:rPr>
            </w:pPr>
            <w:r>
              <w:rPr>
                <w:color w:val="auto"/>
                <w:spacing w:val="-4"/>
                <w:highlight w:val="none"/>
              </w:rPr>
              <w:t>中标后须提交的</w:t>
            </w:r>
            <w:r>
              <w:rPr>
                <w:color w:val="auto"/>
                <w:spacing w:val="2"/>
                <w:highlight w:val="none"/>
              </w:rPr>
              <w:t xml:space="preserve"> </w:t>
            </w:r>
            <w:r>
              <w:rPr>
                <w:color w:val="auto"/>
                <w:spacing w:val="-2"/>
                <w:highlight w:val="none"/>
              </w:rPr>
              <w:t>纸质投标文件</w:t>
            </w:r>
          </w:p>
        </w:tc>
        <w:tc>
          <w:tcPr>
            <w:tcW w:w="5447" w:type="dxa"/>
            <w:vAlign w:val="top"/>
          </w:tcPr>
          <w:p w14:paraId="28AE553D">
            <w:pPr>
              <w:pStyle w:val="11"/>
              <w:spacing w:before="281" w:line="252" w:lineRule="auto"/>
              <w:ind w:left="111" w:right="298"/>
              <w:rPr>
                <w:color w:val="auto"/>
                <w:highlight w:val="none"/>
              </w:rPr>
            </w:pPr>
            <w:r>
              <w:rPr>
                <w:color w:val="auto"/>
                <w:spacing w:val="-5"/>
                <w:highlight w:val="none"/>
              </w:rPr>
              <w:t xml:space="preserve">份数： </w:t>
            </w:r>
            <w:r>
              <w:rPr>
                <w:rFonts w:hint="eastAsia"/>
                <w:color w:val="auto"/>
                <w:spacing w:val="-5"/>
                <w:highlight w:val="none"/>
                <w:u w:val="single" w:color="auto"/>
                <w:lang w:val="en-US" w:eastAsia="zh-CN"/>
              </w:rPr>
              <w:t>3</w:t>
            </w:r>
            <w:r>
              <w:rPr>
                <w:color w:val="auto"/>
                <w:spacing w:val="-5"/>
                <w:highlight w:val="none"/>
                <w:u w:val="single" w:color="auto"/>
              </w:rPr>
              <w:t xml:space="preserve"> </w:t>
            </w:r>
            <w:r>
              <w:rPr>
                <w:color w:val="auto"/>
                <w:spacing w:val="-80"/>
                <w:highlight w:val="none"/>
              </w:rPr>
              <w:t xml:space="preserve"> </w:t>
            </w:r>
            <w:r>
              <w:rPr>
                <w:color w:val="auto"/>
                <w:spacing w:val="-5"/>
                <w:highlight w:val="none"/>
              </w:rPr>
              <w:t>份，中标人提交的纸质投标文件应当与投</w:t>
            </w:r>
            <w:r>
              <w:rPr>
                <w:color w:val="auto"/>
                <w:highlight w:val="none"/>
              </w:rPr>
              <w:t xml:space="preserve"> </w:t>
            </w:r>
            <w:r>
              <w:rPr>
                <w:color w:val="auto"/>
                <w:spacing w:val="-1"/>
                <w:highlight w:val="none"/>
              </w:rPr>
              <w:t>标时的电子投标文件内容一致。</w:t>
            </w:r>
          </w:p>
        </w:tc>
      </w:tr>
      <w:tr w14:paraId="76351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06F38D4A">
            <w:pPr>
              <w:spacing w:before="277"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10.6</w:t>
            </w:r>
          </w:p>
        </w:tc>
        <w:tc>
          <w:tcPr>
            <w:tcW w:w="2121" w:type="dxa"/>
            <w:vAlign w:val="top"/>
          </w:tcPr>
          <w:p w14:paraId="5960EA0E">
            <w:pPr>
              <w:pStyle w:val="11"/>
              <w:spacing w:before="82" w:line="246" w:lineRule="auto"/>
              <w:ind w:left="883" w:right="214" w:hanging="658"/>
              <w:rPr>
                <w:color w:val="auto"/>
                <w:highlight w:val="none"/>
              </w:rPr>
            </w:pPr>
            <w:r>
              <w:rPr>
                <w:color w:val="auto"/>
                <w:spacing w:val="-1"/>
                <w:highlight w:val="none"/>
              </w:rPr>
              <w:t>招标人补充的其他</w:t>
            </w:r>
            <w:r>
              <w:rPr>
                <w:color w:val="auto"/>
                <w:spacing w:val="2"/>
                <w:highlight w:val="none"/>
              </w:rPr>
              <w:t xml:space="preserve"> </w:t>
            </w:r>
            <w:r>
              <w:rPr>
                <w:color w:val="auto"/>
                <w:spacing w:val="-8"/>
                <w:highlight w:val="none"/>
              </w:rPr>
              <w:t>内容</w:t>
            </w:r>
          </w:p>
        </w:tc>
        <w:tc>
          <w:tcPr>
            <w:tcW w:w="5447" w:type="dxa"/>
            <w:vAlign w:val="top"/>
          </w:tcPr>
          <w:p w14:paraId="1D5FFEAA">
            <w:pPr>
              <w:spacing w:line="400" w:lineRule="exact"/>
              <w:rPr>
                <w:rFonts w:ascii="仿宋_GB2312" w:eastAsia="仿宋_GB2312"/>
                <w:color w:val="auto"/>
                <w:sz w:val="24"/>
                <w:szCs w:val="24"/>
                <w:highlight w:val="none"/>
              </w:rPr>
            </w:pPr>
            <w:bookmarkStart w:id="52" w:name="EBf460ad02438e49be941e01ee0eb064fb"/>
            <w:r>
              <w:rPr>
                <w:rFonts w:hint="eastAsia" w:ascii="仿宋_GB2312" w:eastAsia="仿宋_GB2312"/>
                <w:color w:val="auto"/>
                <w:sz w:val="24"/>
                <w:szCs w:val="24"/>
                <w:highlight w:val="none"/>
                <w:lang w:val="en-US" w:eastAsia="zh-CN"/>
              </w:rPr>
              <w:t>10.6.1</w:t>
            </w:r>
            <w:r>
              <w:rPr>
                <w:rFonts w:hint="eastAsia" w:ascii="仿宋_GB2312" w:eastAsia="仿宋_GB2312"/>
                <w:color w:val="auto"/>
                <w:sz w:val="24"/>
                <w:szCs w:val="24"/>
                <w:highlight w:val="none"/>
              </w:rPr>
              <w:t xml:space="preserve">在招投标过程中，发现下列情形之一的，招投标监管机构和评标委员会将认定为围标串标行为，投标按作废标处理，并按相关规定予以处罚：              </w:t>
            </w:r>
          </w:p>
          <w:p w14:paraId="72D9EE7B">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1、投标人同属于一个母公司或者一个母公司和他所属的子公司同时参加投标；              </w:t>
            </w:r>
          </w:p>
          <w:p w14:paraId="6699B583">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2、投标人以两家及以上企业的名义参与投标报名的；              </w:t>
            </w:r>
          </w:p>
          <w:p w14:paraId="7316D6D1">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3、投标人的投标文件相互混装的；              </w:t>
            </w:r>
          </w:p>
          <w:p w14:paraId="06BC6104">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4、投标人的投标文件错、漏之处一致的；              </w:t>
            </w:r>
          </w:p>
          <w:p w14:paraId="3A486064">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5、投标人的投标报价或报价组成异常一致或呈规律性变化的；              </w:t>
            </w:r>
          </w:p>
          <w:p w14:paraId="6F5ACFD6">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6、投标人的投标文件由同一单位或同一个人编制的；              </w:t>
            </w:r>
          </w:p>
          <w:p w14:paraId="241680B6">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7、投标人的投标文件授权代表人为同一人或同一单位人员的；              </w:t>
            </w:r>
          </w:p>
          <w:p w14:paraId="3394909E">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8、投标人的相关人员有在同一个单位缴纳社会保险的；              </w:t>
            </w:r>
          </w:p>
          <w:p w14:paraId="3D0E75ED">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9、投标人的投标保证金由同一企业或同一账户资金缴纳的；              </w:t>
            </w:r>
          </w:p>
          <w:p w14:paraId="13F5340E">
            <w:pPr>
              <w:pStyle w:val="11"/>
              <w:spacing w:before="240" w:line="332" w:lineRule="exact"/>
              <w:ind w:left="124"/>
              <w:rPr>
                <w:color w:val="auto"/>
                <w:highlight w:val="none"/>
              </w:rPr>
            </w:pPr>
            <w:r>
              <w:rPr>
                <w:rFonts w:hint="eastAsia" w:ascii="仿宋_GB2312" w:eastAsia="仿宋_GB2312"/>
                <w:color w:val="auto"/>
                <w:sz w:val="24"/>
                <w:szCs w:val="24"/>
                <w:highlight w:val="none"/>
              </w:rPr>
              <w:t>10、证明投标人与招标人、招标代理机构或其他投标人串通的其他情形及其他不符合法律、法规规定情形的。</w:t>
            </w:r>
            <w:bookmarkEnd w:id="52"/>
          </w:p>
        </w:tc>
      </w:tr>
      <w:tr w14:paraId="1EB78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0C14FD4C">
            <w:pPr>
              <w:spacing w:before="277" w:line="189" w:lineRule="auto"/>
              <w:ind w:left="260"/>
              <w:rPr>
                <w:rFonts w:ascii="Times New Roman" w:hAnsi="Times New Roman" w:eastAsia="Times New Roman" w:cs="Times New Roman"/>
                <w:color w:val="auto"/>
                <w:spacing w:val="-5"/>
                <w:sz w:val="21"/>
                <w:szCs w:val="21"/>
                <w:highlight w:val="none"/>
              </w:rPr>
            </w:pPr>
          </w:p>
        </w:tc>
        <w:tc>
          <w:tcPr>
            <w:tcW w:w="2121" w:type="dxa"/>
            <w:vAlign w:val="top"/>
          </w:tcPr>
          <w:p w14:paraId="6A737350">
            <w:pPr>
              <w:pStyle w:val="11"/>
              <w:spacing w:before="82" w:line="246" w:lineRule="auto"/>
              <w:ind w:left="883" w:right="214" w:hanging="658"/>
              <w:rPr>
                <w:color w:val="auto"/>
                <w:spacing w:val="-1"/>
                <w:highlight w:val="none"/>
              </w:rPr>
            </w:pPr>
          </w:p>
        </w:tc>
        <w:tc>
          <w:tcPr>
            <w:tcW w:w="5447" w:type="dxa"/>
            <w:vAlign w:val="top"/>
          </w:tcPr>
          <w:p w14:paraId="1D4C15B9">
            <w:pPr>
              <w:rPr>
                <w:rFonts w:ascii="仿宋_GB2312" w:eastAsia="仿宋_GB2312"/>
                <w:color w:val="auto"/>
                <w:sz w:val="24"/>
                <w:szCs w:val="24"/>
                <w:highlight w:val="none"/>
              </w:rPr>
            </w:pPr>
            <w:r>
              <w:rPr>
                <w:rFonts w:ascii="仿宋_GB2312" w:eastAsia="仿宋_GB2312"/>
                <w:color w:val="auto"/>
                <w:sz w:val="24"/>
                <w:szCs w:val="24"/>
                <w:highlight w:val="none"/>
              </w:rPr>
              <w:t>10.</w:t>
            </w:r>
            <w:r>
              <w:rPr>
                <w:rFonts w:hint="eastAsia" w:ascii="仿宋_GB2312" w:eastAsia="仿宋_GB2312"/>
                <w:color w:val="auto"/>
                <w:sz w:val="24"/>
                <w:szCs w:val="24"/>
                <w:highlight w:val="none"/>
                <w:lang w:val="en-US" w:eastAsia="zh-CN"/>
              </w:rPr>
              <w:t>6.2</w:t>
            </w:r>
            <w:r>
              <w:rPr>
                <w:rFonts w:ascii="仿宋_GB2312" w:eastAsia="仿宋_GB2312"/>
                <w:color w:val="auto"/>
                <w:sz w:val="24"/>
                <w:szCs w:val="24"/>
                <w:highlight w:val="none"/>
              </w:rPr>
              <w:t xml:space="preserve"> 招标人认为需要补充的其他内容</w:t>
            </w:r>
          </w:p>
          <w:p w14:paraId="6224FBDD">
            <w:pPr>
              <w:rPr>
                <w:rFonts w:hint="eastAsia" w:ascii="仿宋_GB2312" w:eastAsia="仿宋_GB2312"/>
                <w:color w:val="auto"/>
                <w:sz w:val="24"/>
                <w:szCs w:val="24"/>
                <w:highlight w:val="none"/>
              </w:rPr>
            </w:pPr>
            <w:bookmarkStart w:id="53" w:name="EBf22f82123e6e4bd699547b1001c550b1"/>
            <w:r>
              <w:rPr>
                <w:rFonts w:hint="eastAsia" w:ascii="仿宋_GB2312" w:eastAsia="仿宋_GB2312"/>
                <w:color w:val="auto"/>
                <w:sz w:val="24"/>
                <w:szCs w:val="24"/>
                <w:highlight w:val="none"/>
              </w:rPr>
              <w:t xml:space="preserve">1、投标报价要求：     </w:t>
            </w:r>
          </w:p>
          <w:p w14:paraId="59A71CB5">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（1）本工程采用工程量清单报价，“执行《工程量清单计价规范（GB/T50500-2024）》 和 20</w:t>
            </w:r>
            <w:r>
              <w:rPr>
                <w:rFonts w:hint="eastAsia" w:ascii="仿宋_GB2312" w:eastAsia="仿宋_GB2312"/>
                <w:color w:val="auto"/>
                <w:sz w:val="24"/>
                <w:szCs w:val="24"/>
                <w:highlight w:val="none"/>
                <w:lang w:val="en-US" w:eastAsia="zh-CN"/>
              </w:rPr>
              <w:t>24</w:t>
            </w:r>
            <w:r>
              <w:rPr>
                <w:rFonts w:hint="eastAsia" w:ascii="仿宋_GB2312" w:eastAsia="仿宋_GB2312"/>
                <w:color w:val="auto"/>
                <w:sz w:val="24"/>
                <w:szCs w:val="24"/>
                <w:highlight w:val="none"/>
              </w:rPr>
              <w:t xml:space="preserve">年《辽宁省建设工程计价依据》，各投标人应结合企业自身实力自主报价。     </w:t>
            </w:r>
          </w:p>
          <w:p w14:paraId="4678C460">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（2）合同方式：采用固定综合单价方式。     </w:t>
            </w:r>
          </w:p>
          <w:p w14:paraId="05C190A3">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14:paraId="1C96119C">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投标人加盖公章后扫描件以 WORD形式发至招标代理机构邮箱 </w:t>
            </w:r>
            <w:r>
              <w:rPr>
                <w:rFonts w:hint="eastAsia" w:ascii="仿宋_GB2312" w:eastAsia="仿宋_GB2312"/>
                <w:color w:val="auto"/>
                <w:sz w:val="24"/>
                <w:szCs w:val="24"/>
                <w:highlight w:val="none"/>
                <w:lang w:eastAsia="zh-CN"/>
              </w:rPr>
              <w:t>syzbsc@163.com</w:t>
            </w:r>
            <w:r>
              <w:rPr>
                <w:rFonts w:hint="eastAsia" w:ascii="仿宋_GB2312" w:eastAsia="仿宋_GB2312"/>
                <w:color w:val="auto"/>
                <w:sz w:val="24"/>
                <w:szCs w:val="24"/>
                <w:highlight w:val="none"/>
              </w:rPr>
              <w:t xml:space="preserve"> 后，请务必立即电话告知投标人须知中载明的招标代理机构联系人），招标代理机构将收到的问题汇总后提交给招标人，经招标人复核后如确实存在招标清单计算错误，则做出相应调整；     </w:t>
            </w:r>
          </w:p>
          <w:p w14:paraId="537B2E02">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按照招标人有关要求，所使用材料均符合国家有关标准要求。中标人对进场的材料必须进行检验测试，合格的方可使用。招标人将对进场材料进行随机抽样，中标人应无条件进行检验测试，费用由中标人承担。     </w:t>
            </w:r>
          </w:p>
          <w:p w14:paraId="4425E9CE">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3、实名认证：     </w:t>
            </w:r>
          </w:p>
          <w:p w14:paraId="7716F327">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14:paraId="5D226A6A">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3.1.1 实名认证可采用身份证阅读机器进行身份证实体刷卡认证（PC 端），也可采用移动端 APP软件进行远程实名认证（APP 端 ）。     </w:t>
            </w:r>
          </w:p>
          <w:p w14:paraId="1F2AF193">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3.1.2 授权委托人实名认证：     </w:t>
            </w:r>
          </w:p>
          <w:p w14:paraId="52DB8B58">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（1）在“项目委托人授权”步骤可以点选或跳过此步骤直接进入“招标文件领取”步骤，     </w:t>
            </w:r>
          </w:p>
          <w:p w14:paraId="4B8814F9">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但在上传投标文件前（电子开标项目）/中标候选人公示前（纸质开标项目），【授权委托人】必须进行实名认证，否则无法上传投标文件（电子开标项目）/无法在候选人公示选取到单位信息（纸质开标项目）。     </w:t>
            </w:r>
          </w:p>
          <w:p w14:paraId="3E61D0B8">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（2）在“项目委托人授权”步骤直接刷其身份证带出【授权委托人】信息，视为【授权委     </w:t>
            </w:r>
          </w:p>
          <w:p w14:paraId="158CF0DD">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托人】已做实名认证。     </w:t>
            </w:r>
          </w:p>
          <w:p w14:paraId="10AC06A1">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3.1.3 项目负责人实名认证：     </w:t>
            </w:r>
          </w:p>
          <w:p w14:paraId="55470369">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14:paraId="25E172C0">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（2）【授权委托人】未进行实名认证的：在“招标文件领取”步骤，仅可刷【项目负责人】     </w:t>
            </w:r>
          </w:p>
          <w:p w14:paraId="7ECC07FD">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IC 卡或其身份证领取招标文件，刷【项目负责人】IC 卡领取文件的需要在“项目负责人实名认证”步骤或在二次刷卡时刷其身份证进行实名认证。     </w:t>
            </w:r>
          </w:p>
          <w:p w14:paraId="64975C25">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3.1.4 二次刷卡     </w:t>
            </w:r>
          </w:p>
          <w:p w14:paraId="6A5D6281">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（1）【项目负责人】已进行实名认证的，二次刷卡可以刷【项目负责人】或【授权委托人】身份证带出【项目负责人】“在建项目信息”及“不良行为信息”。     </w:t>
            </w:r>
          </w:p>
          <w:p w14:paraId="63A9C809">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（2）【项目负责人】未进行实名认证的，二次刷卡只能刷其本人身份证带出【项目负责人】“在建项目信息”及“不良行为信息”。     </w:t>
            </w:r>
          </w:p>
          <w:p w14:paraId="3947F5B9">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3.1.5 当【授权委托人】与【项目负责人】为同一人时，在以上任一环节进行过实名认证的，其另一身份也视为已实名认证。     </w:t>
            </w:r>
          </w:p>
          <w:p w14:paraId="5E43ABB6">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3.1.6【授权委托人】及【项目负责人】未进行实名认证或认证人员与投标文件中人员不一致的做废标处理。     </w:t>
            </w:r>
          </w:p>
          <w:p w14:paraId="74E2F597">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14:paraId="0CCFDD40">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14:paraId="7D1EE6BA">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（2）投标人开标结束后需要在规定时间内完成对开标记录表的电子签章操作，否则视为认同开标情况，后续不予受理对开标情况的投诉。     </w:t>
            </w:r>
          </w:p>
          <w:p w14:paraId="49E7EB7A">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5、 费用承担方式（按要求含在投标报价中，注:如果项目允许联合体投标，则其费用由牵头人递交）：     </w:t>
            </w:r>
          </w:p>
          <w:p w14:paraId="66C5A36D">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（1）投标人准备和参加投标活动所发生的费用自理。     </w:t>
            </w:r>
          </w:p>
          <w:p w14:paraId="7DF4A3E8">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（2）招标人不提供任何临时设施（包括施工人员的食宿、办公地点等）。投标人如需要     </w:t>
            </w:r>
          </w:p>
          <w:p w14:paraId="28B17A24">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搭建或租用临时设施的费用含在报价中，地点的选择应在招标人指定的范围内。投标人不得将费用转嫁给与本项目相关的施工单位和材料供应单位。     </w:t>
            </w:r>
          </w:p>
          <w:p w14:paraId="56449251">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 6、外埠（外省）企业投标备案     </w:t>
            </w:r>
          </w:p>
          <w:p w14:paraId="18EF502C">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外埠（外省）企业投标时应按照辽宁省建设厅《关于加强省外施工企业入辽承揽业务监管工作的通知》（辽住建【2016】1号）文件执行。     </w:t>
            </w:r>
          </w:p>
          <w:p w14:paraId="61B4BC04">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7、电子化招投标要求：     </w:t>
            </w:r>
          </w:p>
          <w:p w14:paraId="4D7D1B57">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14:paraId="09DB9934">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（2）电子化招投标以信息库中投标人信息为准。     </w:t>
            </w:r>
          </w:p>
          <w:p w14:paraId="72D96CE6">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8、如果有2个或2个以上投标人的最终评审得分相同，以投标报价低的优先排在前面，如果投标报价也相同，以施工组织设计得分高的排在前面。     </w:t>
            </w:r>
          </w:p>
          <w:p w14:paraId="6C3975C6">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9、投标人评标办法中企业类似业绩以本单位在辽宁建设工程信息网诚信库中备案的为准。     </w:t>
            </w:r>
          </w:p>
          <w:p w14:paraId="638177D1">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10、本项目“技术标”为暗标。投标人须按暗标要求编制电子投标文件，否则，按废标处理。     </w:t>
            </w:r>
          </w:p>
          <w:p w14:paraId="736CE405">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14:paraId="2DCCB265">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12、招标代理服务费要求     </w:t>
            </w:r>
          </w:p>
          <w:p w14:paraId="417900EA">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（1）招标代理服务费根据国家发改委“计价格[2002]1980号”和“发改办价格[2003]857号”文件规定，招标代理机构将按照国家收费标准</w:t>
            </w:r>
            <w:r>
              <w:rPr>
                <w:rFonts w:hint="eastAsia" w:ascii="仿宋_GB2312" w:eastAsia="仿宋_GB2312"/>
                <w:color w:val="auto"/>
                <w:sz w:val="24"/>
                <w:szCs w:val="24"/>
                <w:highlight w:val="none"/>
                <w:lang w:val="en-US" w:eastAsia="zh-CN"/>
              </w:rPr>
              <w:t>下浮20%</w:t>
            </w:r>
            <w:r>
              <w:rPr>
                <w:rFonts w:hint="eastAsia" w:ascii="仿宋_GB2312" w:eastAsia="仿宋_GB2312"/>
                <w:color w:val="auto"/>
                <w:sz w:val="24"/>
                <w:szCs w:val="24"/>
                <w:highlight w:val="none"/>
              </w:rPr>
              <w:t xml:space="preserve">向中标单位收取服务费；招标代理服务费不得在投标报价中单列；招标代理服务费在中标通知书核准后一次性向招标代理机构付清。  </w:t>
            </w:r>
          </w:p>
          <w:p w14:paraId="04CCBE4E">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13、本项目行政监督部门为“营口市城乡建设与公用事业中心”     </w:t>
            </w:r>
          </w:p>
          <w:p w14:paraId="1BA01CFE">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14、未尽事宜将依照《中华人民共和国招标投标法》及相关法规执行。</w:t>
            </w:r>
            <w:bookmarkEnd w:id="53"/>
          </w:p>
          <w:p w14:paraId="558CAA12">
            <w:pPr>
              <w:rPr>
                <w:rFonts w:hint="eastAsia" w:ascii="仿宋_GB2312" w:eastAsia="仿宋_GB2312"/>
                <w:color w:val="auto"/>
                <w:sz w:val="24"/>
                <w:szCs w:val="24"/>
                <w:highlight w:val="none"/>
              </w:rPr>
            </w:pPr>
            <w:bookmarkStart w:id="54" w:name="EB941e643d7ee341f88f0f1eaefb572edc"/>
            <w:r>
              <w:rPr>
                <w:rFonts w:hint="eastAsia" w:ascii="仿宋_GB2312" w:eastAsia="仿宋_GB2312"/>
                <w:color w:val="auto"/>
                <w:sz w:val="24"/>
                <w:szCs w:val="24"/>
                <w:highlight w:val="none"/>
              </w:rPr>
              <w:t xml:space="preserve"> </w:t>
            </w:r>
            <w:bookmarkEnd w:id="54"/>
          </w:p>
          <w:p w14:paraId="44DDAE01">
            <w:pPr>
              <w:rPr>
                <w:rFonts w:hint="eastAsia" w:ascii="仿宋_GB2312" w:eastAsia="仿宋_GB2312"/>
                <w:color w:val="auto"/>
                <w:sz w:val="24"/>
                <w:szCs w:val="24"/>
                <w:highlight w:val="none"/>
                <w:lang w:val="en-US" w:eastAsia="en-US"/>
              </w:rPr>
            </w:pPr>
            <w:r>
              <w:rPr>
                <w:rFonts w:hint="eastAsia" w:ascii="仿宋_GB2312" w:eastAsia="仿宋_GB2312"/>
                <w:color w:val="auto"/>
                <w:sz w:val="24"/>
                <w:szCs w:val="24"/>
                <w:highlight w:val="none"/>
                <w:lang w:val="en-US" w:eastAsia="zh-CN"/>
              </w:rPr>
              <w:t>15、</w:t>
            </w:r>
            <w:r>
              <w:rPr>
                <w:rFonts w:hint="eastAsia" w:ascii="仿宋_GB2312" w:eastAsia="仿宋_GB2312"/>
                <w:color w:val="auto"/>
                <w:sz w:val="24"/>
                <w:szCs w:val="24"/>
                <w:highlight w:val="none"/>
                <w:lang w:val="en-US" w:eastAsia="en-US"/>
              </w:rPr>
              <w:t xml:space="preserve"> 工程进度款支付</w:t>
            </w:r>
          </w:p>
          <w:p w14:paraId="69118CB3">
            <w:pP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en-US"/>
              </w:rPr>
              <w:t>1)</w:t>
            </w:r>
            <w:r>
              <w:rPr>
                <w:rFonts w:hint="eastAsia" w:ascii="仿宋_GB2312" w:eastAsia="仿宋_GB2312"/>
                <w:color w:val="auto"/>
                <w:sz w:val="24"/>
                <w:szCs w:val="24"/>
                <w:highlight w:val="none"/>
                <w:lang w:val="en-US" w:eastAsia="zh-CN"/>
              </w:rPr>
              <w:t>按照工程形象进度支付已完工程额的80%。项目结算后支付至合同金额的97%，3%为质量保证金</w:t>
            </w:r>
            <w:r>
              <w:rPr>
                <w:rFonts w:hint="eastAsia" w:ascii="仿宋_GB2312" w:eastAsia="仿宋_GB2312"/>
                <w:color w:val="auto"/>
                <w:sz w:val="24"/>
                <w:szCs w:val="24"/>
                <w:highlight w:val="none"/>
                <w:lang w:val="en-US" w:eastAsia="en-US"/>
              </w:rPr>
              <w:t>；</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2)承包人应于每月 25 日向监理人报送上月 20 日至当月 19 日已完成的工程量报告，并附具进度付款申请单、已完成工程量报表和有关资料。 </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3)监理人应在收到承包人提交的工程量报告后 7 天内完成对承包人提交的工程量报表的审核并报送发包人，以确定当月实际完成的工程量。</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4)</w:t>
            </w:r>
            <w:r>
              <w:rPr>
                <w:rFonts w:hint="eastAsia" w:ascii="仿宋_GB2312" w:eastAsia="仿宋_GB2312"/>
                <w:color w:val="auto"/>
                <w:sz w:val="24"/>
                <w:szCs w:val="24"/>
                <w:highlight w:val="none"/>
                <w:lang w:val="en-US" w:eastAsia="zh-CN"/>
              </w:rPr>
              <w:t>竣工验收后，乙方负责向政府相关部门报验并通过审核验收合格，同时提交相关档案后，支付全部合同金额的 97%，合同金额的 3%作为质保金;</w:t>
            </w:r>
            <w:r>
              <w:rPr>
                <w:rFonts w:hint="eastAsia" w:ascii="仿宋_GB2312" w:eastAsia="仿宋_GB2312"/>
                <w:color w:val="auto"/>
                <w:sz w:val="24"/>
                <w:szCs w:val="24"/>
                <w:highlight w:val="none"/>
                <w:lang w:val="en-US" w:eastAsia="en-US"/>
              </w:rPr>
              <w:t xml:space="preserve"> </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w:t>
            </w:r>
          </w:p>
          <w:p w14:paraId="75DD3559">
            <w:pPr>
              <w:pStyle w:val="11"/>
              <w:spacing w:before="240" w:line="332" w:lineRule="exact"/>
              <w:rPr>
                <w:rFonts w:hint="eastAsia" w:ascii="仿宋_GB2312" w:eastAsia="仿宋_GB2312"/>
                <w:color w:val="auto"/>
                <w:sz w:val="24"/>
                <w:szCs w:val="24"/>
                <w:highlight w:val="none"/>
              </w:rPr>
            </w:pPr>
          </w:p>
        </w:tc>
      </w:tr>
    </w:tbl>
    <w:p w14:paraId="09D49BAC">
      <w:pPr>
        <w:pStyle w:val="3"/>
        <w:rPr>
          <w:color w:val="auto"/>
          <w:highlight w:val="none"/>
        </w:rPr>
      </w:pPr>
    </w:p>
    <w:p w14:paraId="3634F38C">
      <w:pPr>
        <w:pStyle w:val="3"/>
        <w:spacing w:line="308" w:lineRule="auto"/>
        <w:rPr>
          <w:color w:val="auto"/>
          <w:highlight w:val="none"/>
        </w:rPr>
      </w:pPr>
    </w:p>
    <w:p w14:paraId="0AF628F8">
      <w:pPr>
        <w:spacing w:before="88" w:line="224" w:lineRule="auto"/>
        <w:ind w:left="18"/>
        <w:outlineLvl w:val="1"/>
        <w:rPr>
          <w:rFonts w:ascii="黑体" w:hAnsi="黑体" w:eastAsia="黑体" w:cs="黑体"/>
          <w:color w:val="auto"/>
          <w:sz w:val="27"/>
          <w:szCs w:val="27"/>
          <w:highlight w:val="none"/>
        </w:rPr>
      </w:pPr>
      <w:bookmarkStart w:id="55" w:name="bookmark78"/>
      <w:bookmarkEnd w:id="55"/>
      <w:bookmarkStart w:id="56" w:name="bookmark76"/>
      <w:bookmarkEnd w:id="56"/>
      <w:bookmarkStart w:id="57" w:name="bookmark77"/>
      <w:bookmarkEnd w:id="57"/>
      <w:bookmarkStart w:id="58" w:name="bookmark79"/>
      <w:bookmarkEnd w:id="58"/>
      <w:bookmarkStart w:id="59" w:name="bookmark80"/>
      <w:bookmarkEnd w:id="59"/>
      <w:bookmarkStart w:id="60" w:name="bookmark75"/>
      <w:bookmarkEnd w:id="60"/>
      <w:bookmarkStart w:id="61" w:name="bookmark81"/>
      <w:bookmarkEnd w:id="61"/>
      <w:bookmarkStart w:id="62" w:name="bookmark74"/>
      <w:bookmarkEnd w:id="62"/>
      <w:r>
        <w:rPr>
          <w:rFonts w:ascii="黑体" w:hAnsi="黑体" w:eastAsia="黑体" w:cs="黑体"/>
          <w:color w:val="auto"/>
          <w:spacing w:val="8"/>
          <w:sz w:val="27"/>
          <w:szCs w:val="27"/>
          <w:highlight w:val="none"/>
        </w:rPr>
        <w:t>投标人须知正文部分</w:t>
      </w:r>
    </w:p>
    <w:p w14:paraId="1BD19E48">
      <w:pPr>
        <w:spacing w:before="132" w:line="225"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1.</w:t>
      </w:r>
      <w:r>
        <w:rPr>
          <w:rFonts w:ascii="Times New Roman" w:hAnsi="Times New Roman" w:eastAsia="Times New Roman" w:cs="Times New Roman"/>
          <w:color w:val="auto"/>
          <w:spacing w:val="24"/>
          <w:w w:val="101"/>
          <w:sz w:val="27"/>
          <w:szCs w:val="27"/>
          <w:highlight w:val="none"/>
        </w:rPr>
        <w:t xml:space="preserve"> </w:t>
      </w:r>
      <w:r>
        <w:rPr>
          <w:rFonts w:ascii="黑体" w:hAnsi="黑体" w:eastAsia="黑体" w:cs="黑体"/>
          <w:color w:val="auto"/>
          <w:spacing w:val="-7"/>
          <w:sz w:val="27"/>
          <w:szCs w:val="27"/>
          <w:highlight w:val="none"/>
        </w:rPr>
        <w:t>总则</w:t>
      </w:r>
    </w:p>
    <w:p w14:paraId="1C22EE43">
      <w:pPr>
        <w:spacing w:before="65"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1.1</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项目概况</w:t>
      </w:r>
    </w:p>
    <w:p w14:paraId="43FCFEB8">
      <w:pPr>
        <w:spacing w:before="101" w:line="268" w:lineRule="auto"/>
        <w:ind w:left="58" w:right="3" w:firstLine="399"/>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1.1.1</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z w:val="21"/>
          <w:szCs w:val="21"/>
          <w:highlight w:val="none"/>
        </w:rPr>
        <w:t xml:space="preserve">根据《中华人民共和国招标投标法》等有关法律、法规和规章的规定，本招标项 </w:t>
      </w:r>
      <w:r>
        <w:rPr>
          <w:rFonts w:ascii="宋体" w:hAnsi="宋体" w:eastAsia="宋体" w:cs="宋体"/>
          <w:color w:val="auto"/>
          <w:spacing w:val="-8"/>
          <w:sz w:val="21"/>
          <w:szCs w:val="21"/>
          <w:highlight w:val="none"/>
        </w:rPr>
        <w:t>目已具备招标条件， 现对本标段施工进行招标。</w:t>
      </w:r>
    </w:p>
    <w:p w14:paraId="5E62525E">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宋体" w:hAnsi="宋体" w:eastAsia="宋体" w:cs="宋体"/>
          <w:color w:val="auto"/>
          <w:spacing w:val="-2"/>
          <w:sz w:val="21"/>
          <w:szCs w:val="21"/>
          <w:highlight w:val="none"/>
        </w:rPr>
        <w:t>本招标项目招标人：见投标人须知前附表。</w:t>
      </w:r>
    </w:p>
    <w:p w14:paraId="6FFC9907">
      <w:pPr>
        <w:spacing w:before="10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1.1.3 </w:t>
      </w:r>
      <w:r>
        <w:rPr>
          <w:rFonts w:ascii="宋体" w:hAnsi="宋体" w:eastAsia="宋体" w:cs="宋体"/>
          <w:color w:val="auto"/>
          <w:spacing w:val="-1"/>
          <w:sz w:val="21"/>
          <w:szCs w:val="21"/>
          <w:highlight w:val="none"/>
        </w:rPr>
        <w:t>本标段招标代理机构：见投标人须知前附表。</w:t>
      </w:r>
    </w:p>
    <w:p w14:paraId="263E9AA3">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1.1.4 </w:t>
      </w:r>
      <w:r>
        <w:rPr>
          <w:rFonts w:ascii="宋体" w:hAnsi="宋体" w:eastAsia="宋体" w:cs="宋体"/>
          <w:color w:val="auto"/>
          <w:spacing w:val="-2"/>
          <w:sz w:val="21"/>
          <w:szCs w:val="21"/>
          <w:highlight w:val="none"/>
        </w:rPr>
        <w:t>本标段项目名称：见投标人须知前附表。</w:t>
      </w:r>
    </w:p>
    <w:p w14:paraId="23EE8DE7">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宋体" w:hAnsi="宋体" w:eastAsia="宋体" w:cs="宋体"/>
          <w:color w:val="auto"/>
          <w:spacing w:val="-2"/>
          <w:sz w:val="21"/>
          <w:szCs w:val="21"/>
          <w:highlight w:val="none"/>
        </w:rPr>
        <w:t>本标段建设地点：见投标人须知前附表。</w:t>
      </w:r>
    </w:p>
    <w:p w14:paraId="3432AB97">
      <w:pPr>
        <w:spacing w:before="11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1.1.6 </w:t>
      </w:r>
      <w:r>
        <w:rPr>
          <w:rFonts w:ascii="宋体" w:hAnsi="宋体" w:eastAsia="宋体" w:cs="宋体"/>
          <w:color w:val="auto"/>
          <w:spacing w:val="-1"/>
          <w:sz w:val="21"/>
          <w:szCs w:val="21"/>
          <w:highlight w:val="none"/>
        </w:rPr>
        <w:t>本招标项目投资估算：见投标人须知前附表。</w:t>
      </w:r>
    </w:p>
    <w:p w14:paraId="64B8E1C4">
      <w:pPr>
        <w:spacing w:before="111"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1.1.7 </w:t>
      </w:r>
      <w:r>
        <w:rPr>
          <w:rFonts w:ascii="宋体" w:hAnsi="宋体" w:eastAsia="宋体" w:cs="宋体"/>
          <w:color w:val="auto"/>
          <w:spacing w:val="-5"/>
          <w:sz w:val="21"/>
          <w:szCs w:val="21"/>
          <w:highlight w:val="none"/>
        </w:rPr>
        <w:t>本标段采用的电子交易系统名称： 见投标人须知前附表。</w:t>
      </w:r>
    </w:p>
    <w:p w14:paraId="782D250C">
      <w:pPr>
        <w:spacing w:before="85"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1.2</w:t>
      </w:r>
      <w:r>
        <w:rPr>
          <w:rFonts w:ascii="Times New Roman" w:hAnsi="Times New Roman" w:eastAsia="Times New Roman" w:cs="Times New Roman"/>
          <w:color w:val="auto"/>
          <w:spacing w:val="26"/>
          <w:sz w:val="24"/>
          <w:szCs w:val="24"/>
          <w:highlight w:val="none"/>
        </w:rPr>
        <w:t xml:space="preserve"> </w:t>
      </w:r>
      <w:r>
        <w:rPr>
          <w:rFonts w:ascii="黑体" w:hAnsi="黑体" w:eastAsia="黑体" w:cs="黑体"/>
          <w:color w:val="auto"/>
          <w:spacing w:val="-4"/>
          <w:sz w:val="24"/>
          <w:szCs w:val="24"/>
          <w:highlight w:val="none"/>
        </w:rPr>
        <w:t>资金来源和落实情况</w:t>
      </w:r>
    </w:p>
    <w:p w14:paraId="3C7FCFEC">
      <w:pPr>
        <w:spacing w:before="102"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1.2.1 </w:t>
      </w:r>
      <w:r>
        <w:rPr>
          <w:rFonts w:ascii="宋体" w:hAnsi="宋体" w:eastAsia="宋体" w:cs="宋体"/>
          <w:color w:val="auto"/>
          <w:spacing w:val="-5"/>
          <w:sz w:val="21"/>
          <w:szCs w:val="21"/>
          <w:highlight w:val="none"/>
        </w:rPr>
        <w:t>本招标项目的资金来源： 见投标人须知前附</w:t>
      </w:r>
      <w:r>
        <w:rPr>
          <w:rFonts w:ascii="宋体" w:hAnsi="宋体" w:eastAsia="宋体" w:cs="宋体"/>
          <w:color w:val="auto"/>
          <w:spacing w:val="-6"/>
          <w:sz w:val="21"/>
          <w:szCs w:val="21"/>
          <w:highlight w:val="none"/>
        </w:rPr>
        <w:t>表。</w:t>
      </w:r>
    </w:p>
    <w:p w14:paraId="55AAE02B">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1.2.2 </w:t>
      </w:r>
      <w:r>
        <w:rPr>
          <w:rFonts w:ascii="宋体" w:hAnsi="宋体" w:eastAsia="宋体" w:cs="宋体"/>
          <w:color w:val="auto"/>
          <w:spacing w:val="-5"/>
          <w:sz w:val="21"/>
          <w:szCs w:val="21"/>
          <w:highlight w:val="none"/>
        </w:rPr>
        <w:t>本招标项目的出资比例： 见投标人须知前附</w:t>
      </w:r>
      <w:r>
        <w:rPr>
          <w:rFonts w:ascii="宋体" w:hAnsi="宋体" w:eastAsia="宋体" w:cs="宋体"/>
          <w:color w:val="auto"/>
          <w:spacing w:val="-6"/>
          <w:sz w:val="21"/>
          <w:szCs w:val="21"/>
          <w:highlight w:val="none"/>
        </w:rPr>
        <w:t>表。</w:t>
      </w:r>
    </w:p>
    <w:p w14:paraId="7790D8CC">
      <w:pPr>
        <w:spacing w:before="11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 </w:t>
      </w:r>
      <w:r>
        <w:rPr>
          <w:rFonts w:ascii="宋体" w:hAnsi="宋体" w:eastAsia="宋体" w:cs="宋体"/>
          <w:color w:val="auto"/>
          <w:spacing w:val="-2"/>
          <w:sz w:val="21"/>
          <w:szCs w:val="21"/>
          <w:highlight w:val="none"/>
        </w:rPr>
        <w:t>本标段合同估算价：见投标人须知前附表。</w:t>
      </w:r>
    </w:p>
    <w:p w14:paraId="452C963F">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1.2.4 </w:t>
      </w:r>
      <w:r>
        <w:rPr>
          <w:rFonts w:ascii="宋体" w:hAnsi="宋体" w:eastAsia="宋体" w:cs="宋体"/>
          <w:color w:val="auto"/>
          <w:spacing w:val="-1"/>
          <w:sz w:val="21"/>
          <w:szCs w:val="21"/>
          <w:highlight w:val="none"/>
        </w:rPr>
        <w:t>本标段资金落实情况：见投标人须知前附表。</w:t>
      </w:r>
    </w:p>
    <w:p w14:paraId="67C78DE9">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1.3 </w:t>
      </w:r>
      <w:r>
        <w:rPr>
          <w:rFonts w:ascii="黑体" w:hAnsi="黑体" w:eastAsia="黑体" w:cs="黑体"/>
          <w:color w:val="auto"/>
          <w:spacing w:val="-2"/>
          <w:sz w:val="24"/>
          <w:szCs w:val="24"/>
          <w:highlight w:val="none"/>
        </w:rPr>
        <w:t>招标范围、计划工期和质量要求</w:t>
      </w:r>
    </w:p>
    <w:p w14:paraId="65ACE6B0">
      <w:pPr>
        <w:spacing w:before="9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 xml:space="preserve">1.3.1 </w:t>
      </w:r>
      <w:r>
        <w:rPr>
          <w:rFonts w:ascii="宋体" w:hAnsi="宋体" w:eastAsia="宋体" w:cs="宋体"/>
          <w:color w:val="auto"/>
          <w:spacing w:val="-6"/>
          <w:sz w:val="21"/>
          <w:szCs w:val="21"/>
          <w:highlight w:val="none"/>
        </w:rPr>
        <w:t>本次招标范围： 见投标人须知前附表。</w:t>
      </w:r>
    </w:p>
    <w:p w14:paraId="0B418907">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 </w:t>
      </w:r>
      <w:r>
        <w:rPr>
          <w:rFonts w:ascii="宋体" w:hAnsi="宋体" w:eastAsia="宋体" w:cs="宋体"/>
          <w:color w:val="auto"/>
          <w:spacing w:val="-2"/>
          <w:sz w:val="21"/>
          <w:szCs w:val="21"/>
          <w:highlight w:val="none"/>
        </w:rPr>
        <w:t>本标段的计划工期：见投标人须知前附表。</w:t>
      </w:r>
    </w:p>
    <w:p w14:paraId="050FDAD9">
      <w:pPr>
        <w:spacing w:before="110" w:line="335"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9"/>
          <w:sz w:val="21"/>
          <w:szCs w:val="21"/>
          <w:highlight w:val="none"/>
        </w:rPr>
        <w:t xml:space="preserve">1.3.3 </w:t>
      </w:r>
      <w:r>
        <w:rPr>
          <w:rFonts w:ascii="宋体" w:hAnsi="宋体" w:eastAsia="宋体" w:cs="宋体"/>
          <w:color w:val="auto"/>
          <w:spacing w:val="-2"/>
          <w:position w:val="9"/>
          <w:sz w:val="21"/>
          <w:szCs w:val="21"/>
          <w:highlight w:val="none"/>
        </w:rPr>
        <w:t>本标段的质量要求：见投标人须知前附表。</w:t>
      </w:r>
    </w:p>
    <w:p w14:paraId="304D5423">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1.4 </w:t>
      </w:r>
      <w:r>
        <w:rPr>
          <w:rFonts w:ascii="黑体" w:hAnsi="黑体" w:eastAsia="黑体" w:cs="黑体"/>
          <w:color w:val="auto"/>
          <w:spacing w:val="-2"/>
          <w:sz w:val="24"/>
          <w:szCs w:val="24"/>
          <w:highlight w:val="none"/>
        </w:rPr>
        <w:t>投标人资格要求</w:t>
      </w:r>
    </w:p>
    <w:p w14:paraId="598C2B29">
      <w:pPr>
        <w:spacing w:before="101" w:line="360"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1"/>
          <w:sz w:val="21"/>
          <w:szCs w:val="21"/>
          <w:highlight w:val="none"/>
        </w:rPr>
        <w:t xml:space="preserve">1.4.1 </w:t>
      </w:r>
      <w:r>
        <w:rPr>
          <w:rFonts w:ascii="宋体" w:hAnsi="宋体" w:eastAsia="宋体" w:cs="宋体"/>
          <w:color w:val="auto"/>
          <w:spacing w:val="-2"/>
          <w:position w:val="11"/>
          <w:sz w:val="21"/>
          <w:szCs w:val="21"/>
          <w:highlight w:val="none"/>
        </w:rPr>
        <w:t>投标人应具备承担本标段施工的资质条件、能力和信誉。</w:t>
      </w:r>
    </w:p>
    <w:p w14:paraId="278892D5">
      <w:pPr>
        <w:spacing w:before="1" w:line="219"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）资质条件：见投标人须知前附表；</w:t>
      </w:r>
    </w:p>
    <w:p w14:paraId="579BA31D">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）财务要求：见投标人须知前附表（如有</w:t>
      </w:r>
      <w:r>
        <w:rPr>
          <w:rFonts w:ascii="宋体" w:hAnsi="宋体" w:eastAsia="宋体" w:cs="宋体"/>
          <w:color w:val="auto"/>
          <w:spacing w:val="-15"/>
          <w:sz w:val="21"/>
          <w:szCs w:val="21"/>
          <w:highlight w:val="none"/>
        </w:rPr>
        <w:t>）；</w:t>
      </w:r>
    </w:p>
    <w:p w14:paraId="74977840">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3</w:t>
      </w:r>
      <w:r>
        <w:rPr>
          <w:rFonts w:ascii="宋体" w:hAnsi="宋体" w:eastAsia="宋体" w:cs="宋体"/>
          <w:color w:val="auto"/>
          <w:spacing w:val="-5"/>
          <w:sz w:val="21"/>
          <w:szCs w:val="21"/>
          <w:highlight w:val="none"/>
        </w:rPr>
        <w:t>）业绩要求：见投标人须知前附表（如有</w:t>
      </w:r>
      <w:r>
        <w:rPr>
          <w:rFonts w:ascii="宋体" w:hAnsi="宋体" w:eastAsia="宋体" w:cs="宋体"/>
          <w:color w:val="auto"/>
          <w:spacing w:val="-15"/>
          <w:sz w:val="21"/>
          <w:szCs w:val="21"/>
          <w:highlight w:val="none"/>
        </w:rPr>
        <w:t>）；</w:t>
      </w:r>
    </w:p>
    <w:p w14:paraId="2DCFD188">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）信誉要求：见投标人须知前附表；</w:t>
      </w:r>
    </w:p>
    <w:p w14:paraId="24F31D6F">
      <w:pPr>
        <w:spacing w:before="111" w:line="220" w:lineRule="auto"/>
        <w:ind w:left="74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）项目经理资格： 见投标人须知前附表；</w:t>
      </w:r>
    </w:p>
    <w:p w14:paraId="73D758B7">
      <w:pPr>
        <w:spacing w:before="110" w:line="360" w:lineRule="exact"/>
        <w:ind w:left="745"/>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6</w:t>
      </w:r>
      <w:r>
        <w:rPr>
          <w:rFonts w:ascii="宋体" w:hAnsi="宋体" w:eastAsia="宋体" w:cs="宋体"/>
          <w:color w:val="auto"/>
          <w:spacing w:val="-2"/>
          <w:position w:val="11"/>
          <w:sz w:val="21"/>
          <w:szCs w:val="21"/>
          <w:highlight w:val="none"/>
        </w:rPr>
        <w:t>）项目管理机构主要人员要求：见投标人须知前附表；</w:t>
      </w:r>
    </w:p>
    <w:p w14:paraId="06907419">
      <w:pPr>
        <w:spacing w:line="219"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）其他要求：见投标人须知前附表。</w:t>
      </w:r>
    </w:p>
    <w:p w14:paraId="3243B200">
      <w:pPr>
        <w:spacing w:before="111" w:line="268" w:lineRule="auto"/>
        <w:ind w:left="21" w:right="1" w:firstLine="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1.4.2 </w:t>
      </w:r>
      <w:r>
        <w:rPr>
          <w:rFonts w:ascii="宋体" w:hAnsi="宋体" w:eastAsia="宋体" w:cs="宋体"/>
          <w:color w:val="auto"/>
          <w:spacing w:val="-2"/>
          <w:sz w:val="21"/>
          <w:szCs w:val="21"/>
          <w:highlight w:val="none"/>
        </w:rPr>
        <w:t>投标人须知前附表规定接受联合体投标的，除应符合本章第</w:t>
      </w:r>
      <w:r>
        <w:rPr>
          <w:rFonts w:ascii="宋体" w:hAnsi="宋体" w:eastAsia="宋体" w:cs="宋体"/>
          <w:color w:val="auto"/>
          <w:spacing w:val="-1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1.4.1 </w:t>
      </w:r>
      <w:r>
        <w:rPr>
          <w:rFonts w:ascii="宋体" w:hAnsi="宋体" w:eastAsia="宋体" w:cs="宋体"/>
          <w:color w:val="auto"/>
          <w:spacing w:val="-2"/>
          <w:sz w:val="21"/>
          <w:szCs w:val="21"/>
          <w:highlight w:val="none"/>
        </w:rPr>
        <w:t>项和投标人须知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前附表的要求外，还应遵守以下规定：</w:t>
      </w:r>
    </w:p>
    <w:p w14:paraId="6EDBD9A9">
      <w:pPr>
        <w:spacing w:before="109" w:line="269" w:lineRule="auto"/>
        <w:ind w:left="19" w:right="16" w:firstLine="7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）联合体各方应按招标文件提供的格式签订联合体协议书，明确联合体牵头人</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和各方权利义务；</w:t>
      </w:r>
    </w:p>
    <w:p w14:paraId="30761AC5">
      <w:pPr>
        <w:spacing w:before="108" w:line="269" w:lineRule="auto"/>
        <w:ind w:left="745" w:right="19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）由同一专业的单位组成的联合体， 按照资质等级较低的单位确定资质等级；</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）联合体各方不得再以自己名义单独或参加其他联合体在同一标段中投标。</w:t>
      </w:r>
    </w:p>
    <w:p w14:paraId="7FB49041">
      <w:pPr>
        <w:spacing w:before="10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1.4.3 </w:t>
      </w:r>
      <w:r>
        <w:rPr>
          <w:rFonts w:ascii="宋体" w:hAnsi="宋体" w:eastAsia="宋体" w:cs="宋体"/>
          <w:color w:val="auto"/>
          <w:spacing w:val="-2"/>
          <w:sz w:val="21"/>
          <w:szCs w:val="21"/>
          <w:highlight w:val="none"/>
        </w:rPr>
        <w:t>投标人不得存在下列情形之一：</w:t>
      </w:r>
    </w:p>
    <w:p w14:paraId="03837FF5">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）为招标人不具有独立法人资格的附属机构（单位</w:t>
      </w:r>
      <w:r>
        <w:rPr>
          <w:rFonts w:ascii="宋体" w:hAnsi="宋体" w:eastAsia="宋体" w:cs="宋体"/>
          <w:color w:val="auto"/>
          <w:spacing w:val="-20"/>
          <w:sz w:val="21"/>
          <w:szCs w:val="21"/>
          <w:highlight w:val="none"/>
        </w:rPr>
        <w:t>）；</w:t>
      </w:r>
    </w:p>
    <w:p w14:paraId="1E89B069">
      <w:pPr>
        <w:spacing w:line="220" w:lineRule="auto"/>
        <w:rPr>
          <w:rFonts w:ascii="宋体" w:hAnsi="宋体" w:eastAsia="宋体" w:cs="宋体"/>
          <w:color w:val="auto"/>
          <w:sz w:val="21"/>
          <w:szCs w:val="21"/>
          <w:highlight w:val="none"/>
        </w:rPr>
        <w:sectPr>
          <w:footerReference r:id="rId19" w:type="default"/>
          <w:pgSz w:w="11905" w:h="16839"/>
          <w:pgMar w:top="1431" w:right="1785" w:bottom="1036" w:left="1785" w:header="0" w:footer="847" w:gutter="0"/>
          <w:pgNumType w:fmt="decimal"/>
          <w:cols w:space="720" w:num="1"/>
        </w:sectPr>
      </w:pPr>
    </w:p>
    <w:p w14:paraId="051AFF26">
      <w:pPr>
        <w:spacing w:before="115" w:line="360" w:lineRule="exact"/>
        <w:ind w:left="745"/>
        <w:rPr>
          <w:rFonts w:ascii="宋体" w:hAnsi="宋体" w:eastAsia="宋体" w:cs="宋体"/>
          <w:color w:val="auto"/>
          <w:sz w:val="21"/>
          <w:szCs w:val="21"/>
          <w:highlight w:val="none"/>
        </w:rPr>
      </w:pPr>
      <w:bookmarkStart w:id="63" w:name="bookmark87"/>
      <w:bookmarkEnd w:id="63"/>
      <w:bookmarkStart w:id="64" w:name="bookmark86"/>
      <w:bookmarkEnd w:id="64"/>
      <w:bookmarkStart w:id="65" w:name="bookmark82"/>
      <w:bookmarkEnd w:id="65"/>
      <w:bookmarkStart w:id="66" w:name="bookmark88"/>
      <w:bookmarkEnd w:id="66"/>
      <w:bookmarkStart w:id="67" w:name="bookmark85"/>
      <w:bookmarkEnd w:id="67"/>
      <w:bookmarkStart w:id="68" w:name="bookmark83"/>
      <w:bookmarkEnd w:id="68"/>
      <w:bookmarkStart w:id="69" w:name="bookmark84"/>
      <w:bookmarkEnd w:id="69"/>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2</w:t>
      </w:r>
      <w:r>
        <w:rPr>
          <w:rFonts w:ascii="宋体" w:hAnsi="宋体" w:eastAsia="宋体" w:cs="宋体"/>
          <w:color w:val="auto"/>
          <w:spacing w:val="-1"/>
          <w:position w:val="11"/>
          <w:sz w:val="21"/>
          <w:szCs w:val="21"/>
          <w:highlight w:val="none"/>
        </w:rPr>
        <w:t>）为本标段前期准备提供设计或咨询服务的；</w:t>
      </w:r>
    </w:p>
    <w:p w14:paraId="7664864C">
      <w:pPr>
        <w:spacing w:line="219"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）为本标段的监理人；</w:t>
      </w:r>
    </w:p>
    <w:p w14:paraId="7D7290FC">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）为本标段的代建人；</w:t>
      </w:r>
    </w:p>
    <w:p w14:paraId="12718D56">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）为本标段提供招标代理服务；</w:t>
      </w:r>
    </w:p>
    <w:p w14:paraId="73B3A5DA">
      <w:pPr>
        <w:spacing w:before="109" w:line="270" w:lineRule="auto"/>
        <w:ind w:left="20" w:right="180" w:firstLine="7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）与本标段的监理人或代建人或招标代理机构同为一个法定代表人或单位负责</w:t>
      </w:r>
      <w:r>
        <w:rPr>
          <w:rFonts w:ascii="宋体" w:hAnsi="宋体" w:eastAsia="宋体" w:cs="宋体"/>
          <w:color w:val="auto"/>
          <w:spacing w:val="16"/>
          <w:sz w:val="21"/>
          <w:szCs w:val="21"/>
          <w:highlight w:val="none"/>
        </w:rPr>
        <w:t xml:space="preserve"> </w:t>
      </w:r>
      <w:r>
        <w:rPr>
          <w:rFonts w:ascii="宋体" w:hAnsi="宋体" w:eastAsia="宋体" w:cs="宋体"/>
          <w:color w:val="auto"/>
          <w:spacing w:val="-15"/>
          <w:sz w:val="21"/>
          <w:szCs w:val="21"/>
          <w:highlight w:val="none"/>
        </w:rPr>
        <w:t>人；</w:t>
      </w:r>
    </w:p>
    <w:p w14:paraId="40D7D78F">
      <w:pPr>
        <w:spacing w:before="107" w:line="220" w:lineRule="auto"/>
        <w:ind w:left="7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）与本标段的监理人或代建人或招标代理机构</w:t>
      </w:r>
      <w:r>
        <w:rPr>
          <w:rFonts w:ascii="宋体" w:hAnsi="宋体" w:eastAsia="宋体" w:cs="宋体"/>
          <w:color w:val="auto"/>
          <w:spacing w:val="-2"/>
          <w:sz w:val="21"/>
          <w:szCs w:val="21"/>
          <w:highlight w:val="none"/>
        </w:rPr>
        <w:t>相互控股或参股；</w:t>
      </w:r>
    </w:p>
    <w:p w14:paraId="02A1E53B">
      <w:pPr>
        <w:spacing w:before="109" w:line="269" w:lineRule="auto"/>
        <w:ind w:left="17" w:right="188" w:firstLine="7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8</w:t>
      </w:r>
      <w:r>
        <w:rPr>
          <w:rFonts w:ascii="宋体" w:hAnsi="宋体" w:eastAsia="宋体" w:cs="宋体"/>
          <w:color w:val="auto"/>
          <w:spacing w:val="3"/>
          <w:sz w:val="21"/>
          <w:szCs w:val="21"/>
          <w:highlight w:val="none"/>
        </w:rPr>
        <w:t>）与本标段的监理人或代建人或招标代理机构的法定代表人或单位负责人相互</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任职或工作；</w:t>
      </w:r>
    </w:p>
    <w:p w14:paraId="7824B58D">
      <w:pPr>
        <w:spacing w:before="109" w:line="269" w:lineRule="auto"/>
        <w:ind w:left="20" w:right="180" w:firstLine="7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9</w:t>
      </w:r>
      <w:r>
        <w:rPr>
          <w:rFonts w:ascii="宋体" w:hAnsi="宋体" w:eastAsia="宋体" w:cs="宋体"/>
          <w:color w:val="auto"/>
          <w:spacing w:val="3"/>
          <w:sz w:val="21"/>
          <w:szCs w:val="21"/>
          <w:highlight w:val="none"/>
        </w:rPr>
        <w:t>）单位负责人为同一人或者存在控股、管理关系的不同单位，同时参加本标段</w:t>
      </w:r>
      <w:r>
        <w:rPr>
          <w:rFonts w:ascii="宋体" w:hAnsi="宋体" w:eastAsia="宋体" w:cs="宋体"/>
          <w:color w:val="auto"/>
          <w:spacing w:val="16"/>
          <w:sz w:val="21"/>
          <w:szCs w:val="21"/>
          <w:highlight w:val="none"/>
        </w:rPr>
        <w:t xml:space="preserve"> </w:t>
      </w:r>
      <w:r>
        <w:rPr>
          <w:rFonts w:ascii="宋体" w:hAnsi="宋体" w:eastAsia="宋体" w:cs="宋体"/>
          <w:color w:val="auto"/>
          <w:spacing w:val="-11"/>
          <w:sz w:val="21"/>
          <w:szCs w:val="21"/>
          <w:highlight w:val="none"/>
        </w:rPr>
        <w:t>投标的；</w:t>
      </w:r>
    </w:p>
    <w:p w14:paraId="3F27B03D">
      <w:pPr>
        <w:spacing w:before="107" w:line="285" w:lineRule="auto"/>
        <w:ind w:left="21" w:right="185" w:firstLine="723"/>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10</w:t>
      </w:r>
      <w:r>
        <w:rPr>
          <w:rFonts w:ascii="宋体" w:hAnsi="宋体" w:eastAsia="宋体" w:cs="宋体"/>
          <w:color w:val="auto"/>
          <w:sz w:val="21"/>
          <w:szCs w:val="21"/>
          <w:highlight w:val="none"/>
        </w:rPr>
        <w:t>）被依法暂停或取消投标资格（指被本招标项目所在地县级及以上住房城乡建</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设主管部门或其他行政主管部门暂停或取消投标资格或禁止进入该区</w:t>
      </w:r>
      <w:r>
        <w:rPr>
          <w:rFonts w:ascii="宋体" w:hAnsi="宋体" w:eastAsia="宋体" w:cs="宋体"/>
          <w:color w:val="auto"/>
          <w:spacing w:val="2"/>
          <w:sz w:val="21"/>
          <w:szCs w:val="21"/>
          <w:highlight w:val="none"/>
        </w:rPr>
        <w:t>域建设市场且处于有</w:t>
      </w:r>
      <w:r>
        <w:rPr>
          <w:rFonts w:ascii="宋体" w:hAnsi="宋体" w:eastAsia="宋体" w:cs="宋体"/>
          <w:color w:val="auto"/>
          <w:sz w:val="21"/>
          <w:szCs w:val="21"/>
          <w:highlight w:val="none"/>
        </w:rPr>
        <w:t xml:space="preserve"> </w:t>
      </w:r>
      <w:r>
        <w:rPr>
          <w:rFonts w:ascii="宋体" w:hAnsi="宋体" w:eastAsia="宋体" w:cs="宋体"/>
          <w:color w:val="auto"/>
          <w:spacing w:val="-32"/>
          <w:sz w:val="21"/>
          <w:szCs w:val="21"/>
          <w:highlight w:val="none"/>
        </w:rPr>
        <w:t>效期内</w:t>
      </w:r>
      <w:r>
        <w:rPr>
          <w:rFonts w:ascii="宋体" w:hAnsi="宋体" w:eastAsia="宋体" w:cs="宋体"/>
          <w:color w:val="auto"/>
          <w:spacing w:val="-16"/>
          <w:sz w:val="21"/>
          <w:szCs w:val="21"/>
          <w:highlight w:val="none"/>
        </w:rPr>
        <w:t>）；</w:t>
      </w:r>
    </w:p>
    <w:p w14:paraId="06E30D48">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宋体" w:hAnsi="宋体" w:eastAsia="宋体" w:cs="宋体"/>
          <w:color w:val="auto"/>
          <w:spacing w:val="-2"/>
          <w:sz w:val="21"/>
          <w:szCs w:val="21"/>
          <w:highlight w:val="none"/>
        </w:rPr>
        <w:t>）被责令停产停业、暂扣或者吊销许可证、暂扣或者吊销执照；</w:t>
      </w:r>
    </w:p>
    <w:p w14:paraId="14D971A2">
      <w:pPr>
        <w:spacing w:before="110" w:line="219" w:lineRule="auto"/>
        <w:ind w:left="74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宋体" w:hAnsi="宋体" w:eastAsia="宋体" w:cs="宋体"/>
          <w:color w:val="auto"/>
          <w:spacing w:val="-4"/>
          <w:sz w:val="21"/>
          <w:szCs w:val="21"/>
          <w:highlight w:val="none"/>
        </w:rPr>
        <w:t>）进入清算程序，或被宣告破产， 或其他丧失履约能力的情形；</w:t>
      </w:r>
    </w:p>
    <w:p w14:paraId="56AFF8C1">
      <w:pPr>
        <w:spacing w:before="111" w:line="268" w:lineRule="auto"/>
        <w:ind w:left="23" w:right="189" w:firstLine="721"/>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13</w:t>
      </w:r>
      <w:r>
        <w:rPr>
          <w:rFonts w:ascii="宋体" w:hAnsi="宋体" w:eastAsia="宋体" w:cs="宋体"/>
          <w:color w:val="auto"/>
          <w:sz w:val="21"/>
          <w:szCs w:val="21"/>
          <w:highlight w:val="none"/>
        </w:rPr>
        <w:t>）在最近三年内有骗取中标或严重违约或重大工程质量问题的（以相关行业主</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rPr>
        <w:t>管部门的行政处罚决定或司法机关出具的有关法律文书为准</w:t>
      </w:r>
      <w:r>
        <w:rPr>
          <w:rFonts w:ascii="宋体" w:hAnsi="宋体" w:eastAsia="宋体" w:cs="宋体"/>
          <w:color w:val="auto"/>
          <w:spacing w:val="-14"/>
          <w:sz w:val="21"/>
          <w:szCs w:val="21"/>
          <w:highlight w:val="none"/>
        </w:rPr>
        <w:t>）；</w:t>
      </w:r>
    </w:p>
    <w:p w14:paraId="522919D7">
      <w:pPr>
        <w:spacing w:before="109" w:line="269" w:lineRule="auto"/>
        <w:ind w:left="18" w:right="191" w:firstLine="726"/>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宋体" w:hAnsi="宋体"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宋体" w:hAnsi="宋体" w:eastAsia="宋体" w:cs="宋体"/>
          <w:color w:val="auto"/>
          <w:sz w:val="21"/>
          <w:szCs w:val="21"/>
          <w:highlight w:val="none"/>
        </w:rPr>
        <w:t>）中被列入严重违法失</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信企业名单；</w:t>
      </w:r>
    </w:p>
    <w:p w14:paraId="74B481C1">
      <w:pPr>
        <w:spacing w:before="109" w:line="265" w:lineRule="auto"/>
        <w:ind w:left="24" w:right="76" w:firstLine="7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15</w:t>
      </w:r>
      <w:r>
        <w:rPr>
          <w:rFonts w:ascii="宋体" w:hAnsi="宋体" w:eastAsia="宋体" w:cs="宋体"/>
          <w:color w:val="auto"/>
          <w:spacing w:val="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cn</w:t>
      </w:r>
      <w:r>
        <w:rPr>
          <w:rFonts w:ascii="宋体" w:hAnsi="宋体" w:eastAsia="宋体" w:cs="宋体"/>
          <w:color w:val="auto"/>
          <w:spacing w:val="5"/>
          <w:sz w:val="21"/>
          <w:szCs w:val="21"/>
          <w:highlight w:val="none"/>
        </w:rPr>
        <w:t>）或“中国执行信息公开网”</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被列入</w:t>
      </w:r>
      <w:r>
        <w:rPr>
          <w:rFonts w:ascii="宋体" w:hAnsi="宋体" w:eastAsia="宋体" w:cs="宋体"/>
          <w:color w:val="auto"/>
          <w:spacing w:val="-3"/>
          <w:sz w:val="21"/>
          <w:szCs w:val="21"/>
          <w:highlight w:val="none"/>
        </w:rPr>
        <w:t>失信被执行人名单；</w:t>
      </w:r>
    </w:p>
    <w:p w14:paraId="5E6303B4">
      <w:pPr>
        <w:spacing w:before="118" w:line="268" w:lineRule="auto"/>
        <w:ind w:left="17" w:right="178" w:firstLine="7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16</w:t>
      </w:r>
      <w:r>
        <w:rPr>
          <w:rFonts w:ascii="宋体" w:hAnsi="宋体" w:eastAsia="宋体" w:cs="宋体"/>
          <w:color w:val="auto"/>
          <w:spacing w:val="4"/>
          <w:sz w:val="21"/>
          <w:szCs w:val="21"/>
          <w:highlight w:val="none"/>
        </w:rPr>
        <w:t>）在辽宁省建设工程招投标监督平台</w:t>
      </w:r>
      <w:r>
        <w:rPr>
          <w:rFonts w:ascii="Times New Roman" w:hAnsi="Times New Roman" w:eastAsia="Times New Roman" w:cs="Times New Roman"/>
          <w:color w:val="auto"/>
          <w:spacing w:val="4"/>
          <w:sz w:val="21"/>
          <w:szCs w:val="21"/>
          <w:highlight w:val="none"/>
        </w:rPr>
        <w:t>-</w:t>
      </w:r>
      <w:r>
        <w:rPr>
          <w:rFonts w:ascii="宋体" w:hAnsi="宋体" w:eastAsia="宋体" w:cs="宋体"/>
          <w:color w:val="auto"/>
          <w:spacing w:val="4"/>
          <w:sz w:val="21"/>
          <w:szCs w:val="21"/>
          <w:highlight w:val="none"/>
        </w:rPr>
        <w:t>辽宁建设工程信息网上被列入不良行为</w:t>
      </w:r>
      <w:r>
        <w:rPr>
          <w:rFonts w:ascii="宋体" w:hAnsi="宋体" w:eastAsia="宋体" w:cs="宋体"/>
          <w:color w:val="auto"/>
          <w:spacing w:val="14"/>
          <w:sz w:val="21"/>
          <w:szCs w:val="21"/>
          <w:highlight w:val="none"/>
        </w:rPr>
        <w:t xml:space="preserve"> </w:t>
      </w:r>
      <w:r>
        <w:rPr>
          <w:rFonts w:ascii="宋体" w:hAnsi="宋体" w:eastAsia="宋体" w:cs="宋体"/>
          <w:color w:val="auto"/>
          <w:spacing w:val="-1"/>
          <w:sz w:val="21"/>
          <w:szCs w:val="21"/>
          <w:highlight w:val="none"/>
        </w:rPr>
        <w:t>记录且在公布期内的；</w:t>
      </w:r>
    </w:p>
    <w:p w14:paraId="14712683">
      <w:pPr>
        <w:spacing w:before="110" w:line="336" w:lineRule="exact"/>
        <w:ind w:left="745"/>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w:t>
      </w:r>
      <w:r>
        <w:rPr>
          <w:rFonts w:ascii="Times New Roman" w:hAnsi="Times New Roman" w:eastAsia="Times New Roman" w:cs="Times New Roman"/>
          <w:color w:val="auto"/>
          <w:spacing w:val="-2"/>
          <w:position w:val="9"/>
          <w:sz w:val="21"/>
          <w:szCs w:val="21"/>
          <w:highlight w:val="none"/>
        </w:rPr>
        <w:t>17</w:t>
      </w:r>
      <w:r>
        <w:rPr>
          <w:rFonts w:ascii="宋体" w:hAnsi="宋体" w:eastAsia="宋体" w:cs="宋体"/>
          <w:color w:val="auto"/>
          <w:spacing w:val="-2"/>
          <w:position w:val="9"/>
          <w:sz w:val="21"/>
          <w:szCs w:val="21"/>
          <w:highlight w:val="none"/>
        </w:rPr>
        <w:t>）法律法规规定的其他情形。</w:t>
      </w:r>
    </w:p>
    <w:p w14:paraId="2BCDFBB7">
      <w:pPr>
        <w:spacing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1.5</w:t>
      </w:r>
      <w:r>
        <w:rPr>
          <w:rFonts w:ascii="Times New Roman" w:hAnsi="Times New Roman" w:eastAsia="Times New Roman" w:cs="Times New Roman"/>
          <w:color w:val="auto"/>
          <w:spacing w:val="14"/>
          <w:sz w:val="24"/>
          <w:szCs w:val="24"/>
          <w:highlight w:val="none"/>
        </w:rPr>
        <w:t xml:space="preserve"> </w:t>
      </w:r>
      <w:r>
        <w:rPr>
          <w:rFonts w:ascii="黑体" w:hAnsi="黑体" w:eastAsia="黑体" w:cs="黑体"/>
          <w:color w:val="auto"/>
          <w:spacing w:val="-5"/>
          <w:sz w:val="24"/>
          <w:szCs w:val="24"/>
          <w:highlight w:val="none"/>
        </w:rPr>
        <w:t>费用承担</w:t>
      </w:r>
    </w:p>
    <w:p w14:paraId="4EF6E9ED">
      <w:pPr>
        <w:spacing w:before="100" w:line="335" w:lineRule="exact"/>
        <w:ind w:left="443"/>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投标人准备和参加投标活动发生的费用自理。</w:t>
      </w:r>
    </w:p>
    <w:p w14:paraId="352E0A94">
      <w:pPr>
        <w:spacing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1.6</w:t>
      </w:r>
      <w:r>
        <w:rPr>
          <w:rFonts w:ascii="Times New Roman" w:hAnsi="Times New Roman" w:eastAsia="Times New Roman" w:cs="Times New Roman"/>
          <w:color w:val="auto"/>
          <w:spacing w:val="10"/>
          <w:sz w:val="24"/>
          <w:szCs w:val="24"/>
          <w:highlight w:val="none"/>
        </w:rPr>
        <w:t xml:space="preserve"> </w:t>
      </w:r>
      <w:r>
        <w:rPr>
          <w:rFonts w:ascii="黑体" w:hAnsi="黑体" w:eastAsia="黑体" w:cs="黑体"/>
          <w:color w:val="auto"/>
          <w:spacing w:val="-6"/>
          <w:sz w:val="24"/>
          <w:szCs w:val="24"/>
          <w:highlight w:val="none"/>
        </w:rPr>
        <w:t>保密</w:t>
      </w:r>
    </w:p>
    <w:p w14:paraId="409E1B91">
      <w:pPr>
        <w:spacing w:before="101" w:line="269" w:lineRule="auto"/>
        <w:ind w:left="18" w:right="179"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参与招标投标活动的各方应对招标文件和投标文件中的商业和技术等秘密保密， 违者</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应对由此造成的后果承担法律责任。</w:t>
      </w:r>
    </w:p>
    <w:p w14:paraId="30F30FF6">
      <w:pPr>
        <w:spacing w:before="84"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1.7</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语言文字</w:t>
      </w:r>
    </w:p>
    <w:p w14:paraId="7C91FA8A">
      <w:pPr>
        <w:spacing w:before="99" w:line="255" w:lineRule="auto"/>
        <w:ind w:left="38" w:firstLine="415"/>
        <w:rPr>
          <w:rFonts w:ascii="黑体" w:hAnsi="黑体" w:eastAsia="黑体" w:cs="黑体"/>
          <w:color w:val="auto"/>
          <w:sz w:val="24"/>
          <w:szCs w:val="24"/>
          <w:highlight w:val="none"/>
        </w:rPr>
      </w:pPr>
      <w:r>
        <w:rPr>
          <w:rFonts w:ascii="宋体" w:hAnsi="宋体" w:eastAsia="宋体" w:cs="宋体"/>
          <w:color w:val="auto"/>
          <w:spacing w:val="2"/>
          <w:sz w:val="21"/>
          <w:szCs w:val="21"/>
          <w:highlight w:val="none"/>
        </w:rPr>
        <w:t>除专用术语外，与招标投标有关的语言均使用中文。必要时专用术语应附有</w:t>
      </w:r>
      <w:r>
        <w:rPr>
          <w:rFonts w:ascii="宋体" w:hAnsi="宋体" w:eastAsia="宋体" w:cs="宋体"/>
          <w:color w:val="auto"/>
          <w:spacing w:val="1"/>
          <w:sz w:val="21"/>
          <w:szCs w:val="21"/>
          <w:highlight w:val="none"/>
        </w:rPr>
        <w:t>中文注释。</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5"/>
          <w:sz w:val="24"/>
          <w:szCs w:val="24"/>
          <w:highlight w:val="none"/>
        </w:rPr>
        <w:t>1.8</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计量单位</w:t>
      </w:r>
    </w:p>
    <w:p w14:paraId="7ECE4D94">
      <w:pPr>
        <w:spacing w:before="100" w:line="335" w:lineRule="exact"/>
        <w:ind w:left="441"/>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所有计量均采用中华人民共和国法定计量单位。</w:t>
      </w:r>
    </w:p>
    <w:p w14:paraId="14D514C5">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1.9</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踏勘现场</w:t>
      </w:r>
    </w:p>
    <w:p w14:paraId="514C84EA">
      <w:pPr>
        <w:spacing w:before="100" w:line="269" w:lineRule="auto"/>
        <w:ind w:left="18" w:right="2" w:firstLine="43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1.9.1</w:t>
      </w:r>
      <w:r>
        <w:rPr>
          <w:rFonts w:ascii="Times New Roman" w:hAnsi="Times New Roman" w:eastAsia="Times New Roman" w:cs="Times New Roman"/>
          <w:color w:val="auto"/>
          <w:spacing w:val="53"/>
          <w:w w:val="101"/>
          <w:sz w:val="21"/>
          <w:szCs w:val="21"/>
          <w:highlight w:val="none"/>
        </w:rPr>
        <w:t xml:space="preserve"> </w:t>
      </w:r>
      <w:r>
        <w:rPr>
          <w:rFonts w:ascii="宋体" w:hAnsi="宋体" w:eastAsia="宋体" w:cs="宋体"/>
          <w:color w:val="auto"/>
          <w:spacing w:val="-1"/>
          <w:sz w:val="21"/>
          <w:szCs w:val="21"/>
          <w:highlight w:val="none"/>
        </w:rPr>
        <w:t>投标人须知前附表规定组织踏勘现场的，招标人按投标人须知前附表规定的时间、</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地点组织投标人踏勘项目现场。</w:t>
      </w:r>
    </w:p>
    <w:p w14:paraId="2962D13E">
      <w:pPr>
        <w:spacing w:before="10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1.9.2 </w:t>
      </w:r>
      <w:r>
        <w:rPr>
          <w:rFonts w:ascii="宋体" w:hAnsi="宋体" w:eastAsia="宋体" w:cs="宋体"/>
          <w:color w:val="auto"/>
          <w:spacing w:val="-2"/>
          <w:sz w:val="21"/>
          <w:szCs w:val="21"/>
          <w:highlight w:val="none"/>
        </w:rPr>
        <w:t>投标人踏勘现场发生的费用自理。</w:t>
      </w:r>
    </w:p>
    <w:p w14:paraId="5B24170C">
      <w:pPr>
        <w:spacing w:line="221" w:lineRule="auto"/>
        <w:rPr>
          <w:rFonts w:ascii="宋体" w:hAnsi="宋体" w:eastAsia="宋体" w:cs="宋体"/>
          <w:color w:val="auto"/>
          <w:sz w:val="21"/>
          <w:szCs w:val="21"/>
          <w:highlight w:val="none"/>
        </w:rPr>
        <w:sectPr>
          <w:footerReference r:id="rId20" w:type="default"/>
          <w:pgSz w:w="11905" w:h="16839"/>
          <w:pgMar w:top="1431" w:right="1612" w:bottom="1036" w:left="1785" w:header="0" w:footer="847" w:gutter="0"/>
          <w:pgNumType w:fmt="decimal"/>
          <w:cols w:space="720" w:num="1"/>
        </w:sectPr>
      </w:pPr>
    </w:p>
    <w:p w14:paraId="0B7CBA33">
      <w:pPr>
        <w:spacing w:before="115" w:line="221" w:lineRule="auto"/>
        <w:jc w:val="right"/>
        <w:rPr>
          <w:rFonts w:ascii="宋体" w:hAnsi="宋体" w:eastAsia="宋体" w:cs="宋体"/>
          <w:color w:val="auto"/>
          <w:sz w:val="21"/>
          <w:szCs w:val="21"/>
          <w:highlight w:val="none"/>
        </w:rPr>
      </w:pPr>
      <w:bookmarkStart w:id="70" w:name="bookmark89"/>
      <w:bookmarkEnd w:id="70"/>
      <w:r>
        <w:rPr>
          <w:rFonts w:ascii="Times New Roman" w:hAnsi="Times New Roman" w:eastAsia="Times New Roman" w:cs="Times New Roman"/>
          <w:color w:val="auto"/>
          <w:spacing w:val="-1"/>
          <w:sz w:val="21"/>
          <w:szCs w:val="21"/>
          <w:highlight w:val="none"/>
        </w:rPr>
        <w:t>1.9.3</w:t>
      </w:r>
      <w:r>
        <w:rPr>
          <w:rFonts w:ascii="Times New Roman" w:hAnsi="Times New Roman" w:eastAsia="Times New Roman" w:cs="Times New Roman"/>
          <w:color w:val="auto"/>
          <w:spacing w:val="53"/>
          <w:w w:val="101"/>
          <w:sz w:val="21"/>
          <w:szCs w:val="21"/>
          <w:highlight w:val="none"/>
        </w:rPr>
        <w:t xml:space="preserve"> </w:t>
      </w:r>
      <w:r>
        <w:rPr>
          <w:rFonts w:ascii="宋体" w:hAnsi="宋体" w:eastAsia="宋体" w:cs="宋体"/>
          <w:color w:val="auto"/>
          <w:spacing w:val="-1"/>
          <w:sz w:val="21"/>
          <w:szCs w:val="21"/>
          <w:highlight w:val="none"/>
        </w:rPr>
        <w:t>除招标人的原因外，投标人自行负责在踏勘现场中所发生的人员伤亡和财产损失。</w:t>
      </w:r>
    </w:p>
    <w:p w14:paraId="2B5DA51C">
      <w:pPr>
        <w:spacing w:before="108"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1.9.4</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z w:val="21"/>
          <w:szCs w:val="21"/>
          <w:highlight w:val="none"/>
        </w:rPr>
        <w:t>招标人在踏勘现场中介绍的工程场地和相关的周边环境情况，供投标人在编制投</w:t>
      </w:r>
    </w:p>
    <w:p w14:paraId="09C4B6FA">
      <w:pPr>
        <w:spacing w:before="109" w:line="336" w:lineRule="exact"/>
        <w:ind w:left="19"/>
        <w:rPr>
          <w:rFonts w:ascii="宋体" w:hAnsi="宋体" w:eastAsia="宋体" w:cs="宋体"/>
          <w:color w:val="auto"/>
          <w:sz w:val="21"/>
          <w:szCs w:val="21"/>
          <w:highlight w:val="none"/>
        </w:rPr>
      </w:pPr>
      <w:r>
        <w:rPr>
          <w:rFonts w:ascii="宋体" w:hAnsi="宋体" w:eastAsia="宋体" w:cs="宋体"/>
          <w:color w:val="auto"/>
          <w:spacing w:val="-1"/>
          <w:position w:val="9"/>
          <w:sz w:val="21"/>
          <w:szCs w:val="21"/>
          <w:highlight w:val="none"/>
        </w:rPr>
        <w:t>标文件时参考，招标人不对投标人据此作出的判断和决策</w:t>
      </w:r>
      <w:r>
        <w:rPr>
          <w:rFonts w:ascii="宋体" w:hAnsi="宋体" w:eastAsia="宋体" w:cs="宋体"/>
          <w:color w:val="auto"/>
          <w:spacing w:val="-2"/>
          <w:position w:val="9"/>
          <w:sz w:val="21"/>
          <w:szCs w:val="21"/>
          <w:highlight w:val="none"/>
        </w:rPr>
        <w:t>负责。</w:t>
      </w:r>
    </w:p>
    <w:p w14:paraId="41D09D8B">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1.10 </w:t>
      </w:r>
      <w:r>
        <w:rPr>
          <w:rFonts w:ascii="黑体" w:hAnsi="黑体" w:eastAsia="黑体" w:cs="黑体"/>
          <w:color w:val="auto"/>
          <w:spacing w:val="-3"/>
          <w:sz w:val="24"/>
          <w:szCs w:val="24"/>
          <w:highlight w:val="none"/>
        </w:rPr>
        <w:t>投标预备会</w:t>
      </w:r>
    </w:p>
    <w:p w14:paraId="67E8B5DC">
      <w:pPr>
        <w:spacing w:before="100" w:line="268" w:lineRule="auto"/>
        <w:ind w:left="28" w:right="183" w:firstLine="429"/>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1.10.1</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pacing w:val="3"/>
          <w:sz w:val="21"/>
          <w:szCs w:val="21"/>
          <w:highlight w:val="none"/>
        </w:rPr>
        <w:t>投标人须知前附表规定召开投标预备会的</w:t>
      </w:r>
      <w:r>
        <w:rPr>
          <w:rFonts w:ascii="宋体" w:hAnsi="宋体" w:eastAsia="宋体" w:cs="宋体"/>
          <w:color w:val="auto"/>
          <w:spacing w:val="2"/>
          <w:sz w:val="21"/>
          <w:szCs w:val="21"/>
          <w:highlight w:val="none"/>
        </w:rPr>
        <w:t>，招标人按投标人须知前附表规定的</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时间和地点召开投标预备会， 澄清投标人提出的问题。</w:t>
      </w:r>
    </w:p>
    <w:p w14:paraId="3E7EEB49">
      <w:pPr>
        <w:spacing w:before="110" w:line="268" w:lineRule="auto"/>
        <w:ind w:left="19" w:right="183" w:firstLine="438"/>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1.10.2</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3"/>
          <w:sz w:val="21"/>
          <w:szCs w:val="21"/>
          <w:highlight w:val="none"/>
        </w:rPr>
        <w:t>在投标人须知前附表规定的时间前，投标人应通过</w:t>
      </w:r>
      <w:r>
        <w:rPr>
          <w:rFonts w:ascii="宋体" w:hAnsi="宋体" w:eastAsia="宋体" w:cs="宋体"/>
          <w:color w:val="auto"/>
          <w:spacing w:val="2"/>
          <w:sz w:val="21"/>
          <w:szCs w:val="21"/>
          <w:highlight w:val="none"/>
        </w:rPr>
        <w:t>电子交易系统以书面形式将</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提出的问题送达招标人，以便招标人在会议期间澄清。</w:t>
      </w:r>
    </w:p>
    <w:p w14:paraId="77048A92">
      <w:pPr>
        <w:spacing w:before="109" w:line="285" w:lineRule="auto"/>
        <w:ind w:left="17" w:right="174" w:firstLine="440"/>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1.10.3</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pacing w:val="-5"/>
          <w:sz w:val="21"/>
          <w:szCs w:val="21"/>
          <w:highlight w:val="none"/>
        </w:rPr>
        <w:t xml:space="preserve">投标预备会后，招标人在本章第 </w:t>
      </w:r>
      <w:r>
        <w:rPr>
          <w:rFonts w:ascii="Times New Roman" w:hAnsi="Times New Roman" w:eastAsia="Times New Roman" w:cs="Times New Roman"/>
          <w:color w:val="auto"/>
          <w:spacing w:val="-5"/>
          <w:sz w:val="21"/>
          <w:szCs w:val="21"/>
          <w:highlight w:val="none"/>
        </w:rPr>
        <w:t>2.2.2</w:t>
      </w:r>
      <w:r>
        <w:rPr>
          <w:rFonts w:ascii="Times New Roman" w:hAnsi="Times New Roman" w:eastAsia="Times New Roman" w:cs="Times New Roman"/>
          <w:color w:val="auto"/>
          <w:spacing w:val="21"/>
          <w:w w:val="101"/>
          <w:sz w:val="21"/>
          <w:szCs w:val="21"/>
          <w:highlight w:val="none"/>
        </w:rPr>
        <w:t xml:space="preserve"> </w:t>
      </w:r>
      <w:r>
        <w:rPr>
          <w:rFonts w:ascii="宋体" w:hAnsi="宋体" w:eastAsia="宋体" w:cs="宋体"/>
          <w:color w:val="auto"/>
          <w:spacing w:val="-5"/>
          <w:sz w:val="21"/>
          <w:szCs w:val="21"/>
          <w:highlight w:val="none"/>
        </w:rPr>
        <w:t>项规定的时间内，</w:t>
      </w:r>
      <w:r>
        <w:rPr>
          <w:rFonts w:ascii="宋体" w:hAnsi="宋体" w:eastAsia="宋体" w:cs="宋体"/>
          <w:color w:val="auto"/>
          <w:spacing w:val="49"/>
          <w:sz w:val="21"/>
          <w:szCs w:val="21"/>
          <w:highlight w:val="none"/>
        </w:rPr>
        <w:t xml:space="preserve"> </w:t>
      </w:r>
      <w:r>
        <w:rPr>
          <w:rFonts w:ascii="宋体" w:hAnsi="宋体" w:eastAsia="宋体" w:cs="宋体"/>
          <w:color w:val="auto"/>
          <w:spacing w:val="-5"/>
          <w:sz w:val="21"/>
          <w:szCs w:val="21"/>
          <w:highlight w:val="none"/>
        </w:rPr>
        <w:t>将对投标人所提问题的</w:t>
      </w:r>
      <w:r>
        <w:rPr>
          <w:rFonts w:ascii="宋体" w:hAnsi="宋体" w:eastAsia="宋体" w:cs="宋体"/>
          <w:color w:val="auto"/>
          <w:sz w:val="21"/>
          <w:szCs w:val="21"/>
          <w:highlight w:val="none"/>
        </w:rPr>
        <w:t xml:space="preserve"> 澄清， 以书面形式通过法定公告公示信息发布媒介、电子交易系统（投标盲盒工具）等渠</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道通知所有下载招标文件的投标人。该澄清内容为招标文件的组成部分。</w:t>
      </w:r>
    </w:p>
    <w:p w14:paraId="1B04B57B">
      <w:pPr>
        <w:spacing w:before="84"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8"/>
          <w:sz w:val="24"/>
          <w:szCs w:val="24"/>
          <w:highlight w:val="none"/>
        </w:rPr>
        <w:t>1.11</w:t>
      </w:r>
      <w:r>
        <w:rPr>
          <w:rFonts w:ascii="Times New Roman" w:hAnsi="Times New Roman" w:eastAsia="Times New Roman" w:cs="Times New Roman"/>
          <w:color w:val="auto"/>
          <w:spacing w:val="22"/>
          <w:sz w:val="24"/>
          <w:szCs w:val="24"/>
          <w:highlight w:val="none"/>
        </w:rPr>
        <w:t xml:space="preserve"> </w:t>
      </w:r>
      <w:r>
        <w:rPr>
          <w:rFonts w:ascii="黑体" w:hAnsi="黑体" w:eastAsia="黑体" w:cs="黑体"/>
          <w:color w:val="auto"/>
          <w:spacing w:val="-8"/>
          <w:sz w:val="24"/>
          <w:szCs w:val="24"/>
          <w:highlight w:val="none"/>
        </w:rPr>
        <w:t>分包</w:t>
      </w:r>
    </w:p>
    <w:p w14:paraId="45605FE7">
      <w:pPr>
        <w:spacing w:before="100" w:line="268" w:lineRule="auto"/>
        <w:ind w:left="20" w:right="177"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投标人拟在中标后将中标项目的部分非主体、非关键性工作进行分包的，应符合投标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人须知前附表规定的分包内容、分包金额和接受分包的第三人资质要求等限制性条件。</w:t>
      </w:r>
    </w:p>
    <w:p w14:paraId="26905923">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1.12</w:t>
      </w:r>
      <w:r>
        <w:rPr>
          <w:rFonts w:ascii="Times New Roman" w:hAnsi="Times New Roman" w:eastAsia="Times New Roman" w:cs="Times New Roman"/>
          <w:color w:val="auto"/>
          <w:spacing w:val="16"/>
          <w:sz w:val="24"/>
          <w:szCs w:val="24"/>
          <w:highlight w:val="none"/>
        </w:rPr>
        <w:t xml:space="preserve"> </w:t>
      </w:r>
      <w:r>
        <w:rPr>
          <w:rFonts w:ascii="黑体" w:hAnsi="黑体" w:eastAsia="黑体" w:cs="黑体"/>
          <w:color w:val="auto"/>
          <w:spacing w:val="-6"/>
          <w:sz w:val="24"/>
          <w:szCs w:val="24"/>
          <w:highlight w:val="none"/>
        </w:rPr>
        <w:t>偏离</w:t>
      </w:r>
    </w:p>
    <w:p w14:paraId="59E68299">
      <w:pPr>
        <w:spacing w:before="99" w:line="268" w:lineRule="auto"/>
        <w:ind w:left="23" w:right="177"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投标人须知前附表允许投标文件偏离招标文件某些要求的， 偏离应当符合招标文件规</w:t>
      </w:r>
      <w:r>
        <w:rPr>
          <w:rFonts w:ascii="宋体" w:hAnsi="宋体" w:eastAsia="宋体" w:cs="宋体"/>
          <w:color w:val="auto"/>
          <w:spacing w:val="6"/>
          <w:sz w:val="21"/>
          <w:szCs w:val="21"/>
          <w:highlight w:val="none"/>
        </w:rPr>
        <w:t xml:space="preserve"> </w:t>
      </w:r>
      <w:r>
        <w:rPr>
          <w:rFonts w:ascii="宋体" w:hAnsi="宋体" w:eastAsia="宋体" w:cs="宋体"/>
          <w:color w:val="auto"/>
          <w:spacing w:val="-1"/>
          <w:sz w:val="21"/>
          <w:szCs w:val="21"/>
          <w:highlight w:val="none"/>
        </w:rPr>
        <w:t>定的偏离范围和幅度。</w:t>
      </w:r>
    </w:p>
    <w:p w14:paraId="1F74344E">
      <w:pPr>
        <w:spacing w:before="153" w:line="225" w:lineRule="auto"/>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4"/>
          <w:sz w:val="27"/>
          <w:szCs w:val="27"/>
          <w:highlight w:val="none"/>
        </w:rPr>
        <w:t>2.</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pacing w:val="4"/>
          <w:sz w:val="27"/>
          <w:szCs w:val="27"/>
          <w:highlight w:val="none"/>
        </w:rPr>
        <w:t>招标文件</w:t>
      </w:r>
    </w:p>
    <w:p w14:paraId="7370370E">
      <w:pPr>
        <w:spacing w:before="65"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2.1 </w:t>
      </w:r>
      <w:r>
        <w:rPr>
          <w:rFonts w:ascii="黑体" w:hAnsi="黑体" w:eastAsia="黑体" w:cs="黑体"/>
          <w:color w:val="auto"/>
          <w:sz w:val="24"/>
          <w:szCs w:val="24"/>
          <w:highlight w:val="none"/>
        </w:rPr>
        <w:t>招标文件的组成</w:t>
      </w:r>
    </w:p>
    <w:p w14:paraId="683533F5">
      <w:pPr>
        <w:spacing w:before="100" w:line="220" w:lineRule="auto"/>
        <w:ind w:left="12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2.1.1 </w:t>
      </w:r>
      <w:r>
        <w:rPr>
          <w:rFonts w:ascii="宋体" w:hAnsi="宋体" w:eastAsia="宋体" w:cs="宋体"/>
          <w:color w:val="auto"/>
          <w:spacing w:val="-3"/>
          <w:sz w:val="21"/>
          <w:szCs w:val="21"/>
          <w:highlight w:val="none"/>
        </w:rPr>
        <w:t>本招标文件包括：</w:t>
      </w:r>
    </w:p>
    <w:p w14:paraId="3C7F9EF4">
      <w:pPr>
        <w:spacing w:before="110" w:line="360"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1</w:t>
      </w:r>
      <w:r>
        <w:rPr>
          <w:rFonts w:ascii="宋体" w:hAnsi="宋体" w:eastAsia="宋体" w:cs="宋体"/>
          <w:color w:val="auto"/>
          <w:spacing w:val="-1"/>
          <w:position w:val="11"/>
          <w:sz w:val="21"/>
          <w:szCs w:val="21"/>
          <w:highlight w:val="none"/>
        </w:rPr>
        <w:t>）招标公告（或投标邀请书</w:t>
      </w:r>
      <w:r>
        <w:rPr>
          <w:rFonts w:ascii="宋体" w:hAnsi="宋体" w:eastAsia="宋体" w:cs="宋体"/>
          <w:color w:val="auto"/>
          <w:spacing w:val="-54"/>
          <w:w w:val="97"/>
          <w:position w:val="11"/>
          <w:sz w:val="21"/>
          <w:szCs w:val="21"/>
          <w:highlight w:val="none"/>
        </w:rPr>
        <w:t>）；</w:t>
      </w:r>
    </w:p>
    <w:p w14:paraId="680CC122">
      <w:pPr>
        <w:spacing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）投标人须知；</w:t>
      </w:r>
    </w:p>
    <w:p w14:paraId="737FC321">
      <w:pPr>
        <w:spacing w:before="108"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6"/>
          <w:sz w:val="21"/>
          <w:szCs w:val="21"/>
          <w:highlight w:val="none"/>
        </w:rPr>
        <w:t>）评标办法；</w:t>
      </w:r>
    </w:p>
    <w:p w14:paraId="6A28E27C">
      <w:pPr>
        <w:spacing w:before="109" w:line="360"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4</w:t>
      </w:r>
      <w:r>
        <w:rPr>
          <w:rFonts w:ascii="宋体" w:hAnsi="宋体" w:eastAsia="宋体" w:cs="宋体"/>
          <w:color w:val="auto"/>
          <w:spacing w:val="-1"/>
          <w:position w:val="11"/>
          <w:sz w:val="21"/>
          <w:szCs w:val="21"/>
          <w:highlight w:val="none"/>
        </w:rPr>
        <w:t>）合同条款及格式；</w:t>
      </w:r>
    </w:p>
    <w:p w14:paraId="61A05F83">
      <w:pPr>
        <w:spacing w:before="1" w:line="221"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）工程量清单；</w:t>
      </w:r>
    </w:p>
    <w:p w14:paraId="463C586D">
      <w:pPr>
        <w:spacing w:before="108" w:line="222" w:lineRule="auto"/>
        <w:ind w:left="38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6</w:t>
      </w:r>
      <w:r>
        <w:rPr>
          <w:rFonts w:ascii="宋体" w:hAnsi="宋体" w:eastAsia="宋体" w:cs="宋体"/>
          <w:color w:val="auto"/>
          <w:spacing w:val="-8"/>
          <w:sz w:val="21"/>
          <w:szCs w:val="21"/>
          <w:highlight w:val="none"/>
        </w:rPr>
        <w:t>）图纸；</w:t>
      </w:r>
    </w:p>
    <w:p w14:paraId="5607596B">
      <w:pPr>
        <w:spacing w:before="107" w:line="361"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7</w:t>
      </w:r>
      <w:r>
        <w:rPr>
          <w:rFonts w:ascii="宋体" w:hAnsi="宋体" w:eastAsia="宋体" w:cs="宋体"/>
          <w:color w:val="auto"/>
          <w:spacing w:val="-1"/>
          <w:position w:val="11"/>
          <w:sz w:val="21"/>
          <w:szCs w:val="21"/>
          <w:highlight w:val="none"/>
        </w:rPr>
        <w:t>）技术标准和要求；</w:t>
      </w:r>
    </w:p>
    <w:p w14:paraId="1B27CA62">
      <w:pPr>
        <w:spacing w:before="1" w:line="220"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8</w:t>
      </w:r>
      <w:r>
        <w:rPr>
          <w:rFonts w:ascii="宋体" w:hAnsi="宋体" w:eastAsia="宋体" w:cs="宋体"/>
          <w:color w:val="auto"/>
          <w:spacing w:val="-5"/>
          <w:sz w:val="21"/>
          <w:szCs w:val="21"/>
          <w:highlight w:val="none"/>
        </w:rPr>
        <w:t>）投标文件格式；</w:t>
      </w:r>
    </w:p>
    <w:p w14:paraId="58CE4D20">
      <w:pPr>
        <w:spacing w:before="108" w:line="220" w:lineRule="auto"/>
        <w:ind w:left="38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宋体" w:hAnsi="宋体" w:eastAsia="宋体" w:cs="宋体"/>
          <w:color w:val="auto"/>
          <w:spacing w:val="-1"/>
          <w:sz w:val="21"/>
          <w:szCs w:val="21"/>
          <w:highlight w:val="none"/>
        </w:rPr>
        <w:t>）投标人须知前附表规定的其他材料。</w:t>
      </w:r>
    </w:p>
    <w:p w14:paraId="349475F7">
      <w:pPr>
        <w:spacing w:before="109" w:line="269" w:lineRule="auto"/>
        <w:ind w:left="35" w:right="174" w:firstLine="40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根据本章第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5"/>
          <w:sz w:val="21"/>
          <w:szCs w:val="21"/>
          <w:highlight w:val="none"/>
        </w:rPr>
        <w:t xml:space="preserve">1.10 </w:t>
      </w:r>
      <w:r>
        <w:rPr>
          <w:rFonts w:ascii="宋体" w:hAnsi="宋体" w:eastAsia="宋体" w:cs="宋体"/>
          <w:color w:val="auto"/>
          <w:spacing w:val="-5"/>
          <w:sz w:val="21"/>
          <w:szCs w:val="21"/>
          <w:highlight w:val="none"/>
        </w:rPr>
        <w:t>款、</w:t>
      </w:r>
      <w:r>
        <w:rPr>
          <w:rFonts w:ascii="宋体" w:hAnsi="宋体" w:eastAsia="宋体" w:cs="宋体"/>
          <w:color w:val="auto"/>
          <w:spacing w:val="-32"/>
          <w:sz w:val="21"/>
          <w:szCs w:val="21"/>
          <w:highlight w:val="none"/>
        </w:rPr>
        <w:t xml:space="preserve"> </w:t>
      </w:r>
      <w:r>
        <w:rPr>
          <w:rFonts w:ascii="宋体" w:hAnsi="宋体" w:eastAsia="宋体" w:cs="宋体"/>
          <w:color w:val="auto"/>
          <w:spacing w:val="-5"/>
          <w:sz w:val="21"/>
          <w:szCs w:val="21"/>
          <w:highlight w:val="none"/>
        </w:rPr>
        <w:t>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5"/>
          <w:sz w:val="21"/>
          <w:szCs w:val="21"/>
          <w:highlight w:val="none"/>
        </w:rPr>
        <w:t xml:space="preserve">2.2 </w:t>
      </w:r>
      <w:r>
        <w:rPr>
          <w:rFonts w:ascii="宋体" w:hAnsi="宋体" w:eastAsia="宋体" w:cs="宋体"/>
          <w:color w:val="auto"/>
          <w:spacing w:val="-5"/>
          <w:sz w:val="21"/>
          <w:szCs w:val="21"/>
          <w:highlight w:val="none"/>
        </w:rPr>
        <w:t>款和第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5"/>
          <w:sz w:val="21"/>
          <w:szCs w:val="21"/>
          <w:highlight w:val="none"/>
        </w:rPr>
        <w:t>2.</w:t>
      </w:r>
      <w:r>
        <w:rPr>
          <w:rFonts w:ascii="Times New Roman" w:hAnsi="Times New Roman" w:eastAsia="Times New Roman" w:cs="Times New Roman"/>
          <w:color w:val="auto"/>
          <w:spacing w:val="-6"/>
          <w:sz w:val="21"/>
          <w:szCs w:val="21"/>
          <w:highlight w:val="none"/>
        </w:rPr>
        <w:t xml:space="preserve">3 </w:t>
      </w:r>
      <w:r>
        <w:rPr>
          <w:rFonts w:ascii="宋体" w:hAnsi="宋体" w:eastAsia="宋体" w:cs="宋体"/>
          <w:color w:val="auto"/>
          <w:spacing w:val="-6"/>
          <w:sz w:val="21"/>
          <w:szCs w:val="21"/>
          <w:highlight w:val="none"/>
        </w:rPr>
        <w:t>款对招标文件所作的澄清、修改， 构成招标文件</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的组成部分。</w:t>
      </w:r>
    </w:p>
    <w:p w14:paraId="7BFC7DCF">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2.2 </w:t>
      </w:r>
      <w:r>
        <w:rPr>
          <w:rFonts w:ascii="黑体" w:hAnsi="黑体" w:eastAsia="黑体" w:cs="黑体"/>
          <w:color w:val="auto"/>
          <w:sz w:val="24"/>
          <w:szCs w:val="24"/>
          <w:highlight w:val="none"/>
        </w:rPr>
        <w:t>招标文件的澄清</w:t>
      </w:r>
    </w:p>
    <w:p w14:paraId="41AF4CE5">
      <w:pPr>
        <w:spacing w:before="99" w:line="293" w:lineRule="auto"/>
        <w:ind w:left="19" w:right="173" w:firstLine="41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2.2.1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投标人应仔细阅读和检查招标文件的全部内容</w:t>
      </w:r>
      <w:r>
        <w:rPr>
          <w:rFonts w:ascii="宋体" w:hAnsi="宋体" w:eastAsia="宋体" w:cs="宋体"/>
          <w:color w:val="auto"/>
          <w:sz w:val="21"/>
          <w:szCs w:val="21"/>
          <w:highlight w:val="none"/>
        </w:rPr>
        <w:t xml:space="preserve">。如发现缺页或附件不全，应及时 </w:t>
      </w:r>
      <w:r>
        <w:rPr>
          <w:rFonts w:ascii="宋体" w:hAnsi="宋体" w:eastAsia="宋体" w:cs="宋体"/>
          <w:color w:val="auto"/>
          <w:spacing w:val="1"/>
          <w:sz w:val="21"/>
          <w:szCs w:val="21"/>
          <w:highlight w:val="none"/>
        </w:rPr>
        <w:t>向招标人提出，以便补齐。</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如有疑问，应在投标人须知前附表规定的时</w:t>
      </w:r>
      <w:r>
        <w:rPr>
          <w:rFonts w:ascii="宋体" w:hAnsi="宋体" w:eastAsia="宋体" w:cs="宋体"/>
          <w:color w:val="auto"/>
          <w:sz w:val="21"/>
          <w:szCs w:val="21"/>
          <w:highlight w:val="none"/>
        </w:rPr>
        <w:t xml:space="preserve">间前，通过法定公 </w:t>
      </w:r>
      <w:r>
        <w:rPr>
          <w:rFonts w:ascii="宋体" w:hAnsi="宋体" w:eastAsia="宋体" w:cs="宋体"/>
          <w:color w:val="auto"/>
          <w:spacing w:val="-1"/>
          <w:sz w:val="21"/>
          <w:szCs w:val="21"/>
          <w:highlight w:val="none"/>
        </w:rPr>
        <w:t>告公示信息发布媒介、电子交易系统（投标盲盒工具）</w:t>
      </w:r>
      <w:r>
        <w:rPr>
          <w:rFonts w:ascii="宋体" w:hAnsi="宋体" w:eastAsia="宋体" w:cs="宋体"/>
          <w:color w:val="auto"/>
          <w:spacing w:val="48"/>
          <w:sz w:val="21"/>
          <w:szCs w:val="21"/>
          <w:highlight w:val="none"/>
        </w:rPr>
        <w:t xml:space="preserve"> </w:t>
      </w:r>
      <w:r>
        <w:rPr>
          <w:rFonts w:ascii="宋体" w:hAnsi="宋体" w:eastAsia="宋体" w:cs="宋体"/>
          <w:color w:val="auto"/>
          <w:spacing w:val="-1"/>
          <w:sz w:val="21"/>
          <w:szCs w:val="21"/>
          <w:highlight w:val="none"/>
        </w:rPr>
        <w:t>等渠道以书面形式要求招标人对招</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标文件予以澄清。</w:t>
      </w:r>
    </w:p>
    <w:p w14:paraId="177D375E">
      <w:pPr>
        <w:spacing w:before="110" w:line="268" w:lineRule="auto"/>
        <w:ind w:left="19" w:right="2"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2.2.2</w:t>
      </w:r>
      <w:r>
        <w:rPr>
          <w:rFonts w:ascii="Times New Roman" w:hAnsi="Times New Roman" w:eastAsia="Times New Roman" w:cs="Times New Roman"/>
          <w:color w:val="auto"/>
          <w:spacing w:val="51"/>
          <w:sz w:val="21"/>
          <w:szCs w:val="21"/>
          <w:highlight w:val="none"/>
        </w:rPr>
        <w:t xml:space="preserve"> </w:t>
      </w:r>
      <w:r>
        <w:rPr>
          <w:rFonts w:ascii="宋体" w:hAnsi="宋体" w:eastAsia="宋体" w:cs="宋体"/>
          <w:color w:val="auto"/>
          <w:sz w:val="21"/>
          <w:szCs w:val="21"/>
          <w:highlight w:val="none"/>
        </w:rPr>
        <w:t>招标人对招标文件的澄清通过法定公告公示信息发布媒介、电子交易系统（投标  盲盒工具）</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等渠道以书面形式发给所有下载招标文件的投标人，但不指明澄清问题的来源。</w:t>
      </w:r>
    </w:p>
    <w:p w14:paraId="38405FA6">
      <w:pPr>
        <w:spacing w:line="268" w:lineRule="auto"/>
        <w:rPr>
          <w:rFonts w:ascii="宋体" w:hAnsi="宋体" w:eastAsia="宋体" w:cs="宋体"/>
          <w:color w:val="auto"/>
          <w:sz w:val="21"/>
          <w:szCs w:val="21"/>
          <w:highlight w:val="none"/>
        </w:rPr>
        <w:sectPr>
          <w:footerReference r:id="rId21" w:type="default"/>
          <w:pgSz w:w="11905" w:h="16839"/>
          <w:pgMar w:top="1431" w:right="1614" w:bottom="1036" w:left="1785" w:header="0" w:footer="847" w:gutter="0"/>
          <w:pgNumType w:fmt="decimal"/>
          <w:cols w:space="720" w:num="1"/>
        </w:sectPr>
      </w:pPr>
    </w:p>
    <w:p w14:paraId="4513A045">
      <w:pPr>
        <w:spacing w:before="114" w:line="269" w:lineRule="auto"/>
        <w:ind w:left="22" w:right="208" w:hanging="1"/>
        <w:rPr>
          <w:rFonts w:ascii="宋体" w:hAnsi="宋体" w:eastAsia="宋体" w:cs="宋体"/>
          <w:color w:val="auto"/>
          <w:sz w:val="21"/>
          <w:szCs w:val="21"/>
          <w:highlight w:val="none"/>
        </w:rPr>
      </w:pPr>
      <w:bookmarkStart w:id="71" w:name="bookmark90"/>
      <w:bookmarkEnd w:id="71"/>
      <w:r>
        <w:rPr>
          <w:rFonts w:ascii="宋体" w:hAnsi="宋体" w:eastAsia="宋体" w:cs="宋体"/>
          <w:color w:val="auto"/>
          <w:spacing w:val="-3"/>
          <w:sz w:val="21"/>
          <w:szCs w:val="21"/>
          <w:highlight w:val="none"/>
        </w:rPr>
        <w:t xml:space="preserve">如果澄清通知发出的时间距投标人须知前附表第 </w:t>
      </w:r>
      <w:r>
        <w:rPr>
          <w:rFonts w:ascii="Times New Roman" w:hAnsi="Times New Roman" w:eastAsia="Times New Roman" w:cs="Times New Roman"/>
          <w:color w:val="auto"/>
          <w:spacing w:val="-3"/>
          <w:sz w:val="21"/>
          <w:szCs w:val="21"/>
          <w:highlight w:val="none"/>
        </w:rPr>
        <w:t>4.2.1</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3"/>
          <w:sz w:val="21"/>
          <w:szCs w:val="21"/>
          <w:highlight w:val="none"/>
        </w:rPr>
        <w:t xml:space="preserve">项规定的投标截止时间不足 </w:t>
      </w:r>
      <w:r>
        <w:rPr>
          <w:rFonts w:ascii="Times New Roman" w:hAnsi="Times New Roman" w:eastAsia="Times New Roman" w:cs="Times New Roman"/>
          <w:color w:val="auto"/>
          <w:spacing w:val="-3"/>
          <w:sz w:val="21"/>
          <w:szCs w:val="21"/>
          <w:highlight w:val="none"/>
        </w:rPr>
        <w:t xml:space="preserve">15  </w:t>
      </w:r>
      <w:r>
        <w:rPr>
          <w:rFonts w:ascii="宋体" w:hAnsi="宋体" w:eastAsia="宋体" w:cs="宋体"/>
          <w:color w:val="auto"/>
          <w:spacing w:val="-3"/>
          <w:sz w:val="21"/>
          <w:szCs w:val="21"/>
          <w:highlight w:val="none"/>
        </w:rPr>
        <w:t>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并且澄清的内容确实影响投标文件编制的，应当相应延长投标截止时间。</w:t>
      </w:r>
    </w:p>
    <w:p w14:paraId="6F765E00">
      <w:pPr>
        <w:spacing w:before="108" w:line="285" w:lineRule="auto"/>
        <w:ind w:left="16" w:right="163"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2.2.3</w:t>
      </w:r>
      <w:r>
        <w:rPr>
          <w:rFonts w:ascii="Times New Roman" w:hAnsi="Times New Roman" w:eastAsia="Times New Roman" w:cs="Times New Roman"/>
          <w:color w:val="auto"/>
          <w:spacing w:val="58"/>
          <w:w w:val="101"/>
          <w:sz w:val="21"/>
          <w:szCs w:val="21"/>
          <w:highlight w:val="none"/>
        </w:rPr>
        <w:t xml:space="preserve"> </w:t>
      </w:r>
      <w:r>
        <w:rPr>
          <w:rFonts w:ascii="宋体" w:hAnsi="宋体" w:eastAsia="宋体" w:cs="宋体"/>
          <w:color w:val="auto"/>
          <w:sz w:val="21"/>
          <w:szCs w:val="21"/>
          <w:highlight w:val="none"/>
        </w:rPr>
        <w:t xml:space="preserve">投标人应实时自行关注法定公告公示信息发布媒介、电子交易系统（投标盲盒工 </w:t>
      </w:r>
      <w:r>
        <w:rPr>
          <w:rFonts w:ascii="宋体" w:hAnsi="宋体" w:eastAsia="宋体" w:cs="宋体"/>
          <w:color w:val="auto"/>
          <w:spacing w:val="1"/>
          <w:sz w:val="21"/>
          <w:szCs w:val="21"/>
          <w:highlight w:val="none"/>
        </w:rPr>
        <w:t>具）</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等渠道上发出的澄清通知，因投标人自身原因未及时获知澄清内容而导致的任何后果</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将由投标人自行承担。</w:t>
      </w:r>
    </w:p>
    <w:p w14:paraId="21898975">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2.3 </w:t>
      </w:r>
      <w:r>
        <w:rPr>
          <w:rFonts w:ascii="黑体" w:hAnsi="黑体" w:eastAsia="黑体" w:cs="黑体"/>
          <w:color w:val="auto"/>
          <w:sz w:val="24"/>
          <w:szCs w:val="24"/>
          <w:highlight w:val="none"/>
        </w:rPr>
        <w:t>招标文件的修改</w:t>
      </w:r>
    </w:p>
    <w:p w14:paraId="1806F055">
      <w:pPr>
        <w:spacing w:before="98" w:line="293" w:lineRule="auto"/>
        <w:ind w:left="18" w:right="161" w:firstLine="419"/>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2.3.1</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1"/>
          <w:sz w:val="21"/>
          <w:szCs w:val="21"/>
          <w:highlight w:val="none"/>
        </w:rPr>
        <w:t>招标人可以书面形式修改招标文件，并通过法定公告公示信</w:t>
      </w:r>
      <w:r>
        <w:rPr>
          <w:rFonts w:ascii="宋体" w:hAnsi="宋体" w:eastAsia="宋体" w:cs="宋体"/>
          <w:color w:val="auto"/>
          <w:sz w:val="21"/>
          <w:szCs w:val="21"/>
          <w:highlight w:val="none"/>
        </w:rPr>
        <w:t xml:space="preserve">息发布媒介、电子交 </w:t>
      </w:r>
      <w:r>
        <w:rPr>
          <w:rFonts w:ascii="宋体" w:hAnsi="宋体" w:eastAsia="宋体" w:cs="宋体"/>
          <w:color w:val="auto"/>
          <w:spacing w:val="3"/>
          <w:sz w:val="21"/>
          <w:szCs w:val="21"/>
          <w:highlight w:val="none"/>
        </w:rPr>
        <w:t>易系统（投标盲盒工具）等渠道通知所有已下载招标文件的投标人。如果修改通</w:t>
      </w:r>
      <w:r>
        <w:rPr>
          <w:rFonts w:ascii="宋体" w:hAnsi="宋体" w:eastAsia="宋体" w:cs="宋体"/>
          <w:color w:val="auto"/>
          <w:spacing w:val="2"/>
          <w:sz w:val="21"/>
          <w:szCs w:val="21"/>
          <w:highlight w:val="none"/>
        </w:rPr>
        <w:t>知发出的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时间距投标人须知前附表第 </w:t>
      </w:r>
      <w:r>
        <w:rPr>
          <w:rFonts w:ascii="Times New Roman" w:hAnsi="Times New Roman" w:eastAsia="Times New Roman" w:cs="Times New Roman"/>
          <w:color w:val="auto"/>
          <w:spacing w:val="-1"/>
          <w:sz w:val="21"/>
          <w:szCs w:val="21"/>
          <w:highlight w:val="none"/>
        </w:rPr>
        <w:t>4.2.1</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1"/>
          <w:sz w:val="21"/>
          <w:szCs w:val="21"/>
          <w:highlight w:val="none"/>
        </w:rPr>
        <w:t>项规定</w:t>
      </w:r>
      <w:r>
        <w:rPr>
          <w:rFonts w:ascii="宋体" w:hAnsi="宋体" w:eastAsia="宋体" w:cs="宋体"/>
          <w:color w:val="auto"/>
          <w:spacing w:val="-2"/>
          <w:sz w:val="21"/>
          <w:szCs w:val="21"/>
          <w:highlight w:val="none"/>
        </w:rPr>
        <w:t xml:space="preserve">的投标截止时间不足 </w:t>
      </w:r>
      <w:r>
        <w:rPr>
          <w:rFonts w:ascii="Times New Roman" w:hAnsi="Times New Roman" w:eastAsia="Times New Roman" w:cs="Times New Roman"/>
          <w:color w:val="auto"/>
          <w:spacing w:val="-2"/>
          <w:sz w:val="21"/>
          <w:szCs w:val="21"/>
          <w:highlight w:val="none"/>
        </w:rPr>
        <w:t xml:space="preserve">15  </w:t>
      </w:r>
      <w:r>
        <w:rPr>
          <w:rFonts w:ascii="宋体" w:hAnsi="宋体" w:eastAsia="宋体" w:cs="宋体"/>
          <w:color w:val="auto"/>
          <w:spacing w:val="-2"/>
          <w:sz w:val="21"/>
          <w:szCs w:val="21"/>
          <w:highlight w:val="none"/>
        </w:rPr>
        <w:t>日，并且修改的内容确实</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影响投标文件编制的，应当相应延长投标截止时间。</w:t>
      </w:r>
    </w:p>
    <w:p w14:paraId="4FFCF4A7">
      <w:pPr>
        <w:spacing w:before="107" w:line="285" w:lineRule="auto"/>
        <w:ind w:left="16" w:right="162"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2.3.2</w:t>
      </w:r>
      <w:r>
        <w:rPr>
          <w:rFonts w:ascii="Times New Roman" w:hAnsi="Times New Roman" w:eastAsia="Times New Roman" w:cs="Times New Roman"/>
          <w:color w:val="auto"/>
          <w:spacing w:val="58"/>
          <w:w w:val="101"/>
          <w:sz w:val="21"/>
          <w:szCs w:val="21"/>
          <w:highlight w:val="none"/>
        </w:rPr>
        <w:t xml:space="preserve"> </w:t>
      </w:r>
      <w:r>
        <w:rPr>
          <w:rFonts w:ascii="宋体" w:hAnsi="宋体" w:eastAsia="宋体" w:cs="宋体"/>
          <w:color w:val="auto"/>
          <w:sz w:val="21"/>
          <w:szCs w:val="21"/>
          <w:highlight w:val="none"/>
        </w:rPr>
        <w:t xml:space="preserve">投标人应实时自行关注法定公告公示信息发布媒介、电子交易系统（投标盲盒工 </w:t>
      </w:r>
      <w:r>
        <w:rPr>
          <w:rFonts w:ascii="宋体" w:hAnsi="宋体" w:eastAsia="宋体" w:cs="宋体"/>
          <w:color w:val="auto"/>
          <w:spacing w:val="1"/>
          <w:sz w:val="21"/>
          <w:szCs w:val="21"/>
          <w:highlight w:val="none"/>
        </w:rPr>
        <w:t>具）</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等渠道上发出的修改通知，因投标人自身原因未及时获知修改内容而导致的任何后果</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将由投标人自行承担。</w:t>
      </w:r>
    </w:p>
    <w:p w14:paraId="2D1DE48D">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2.4 </w:t>
      </w:r>
      <w:r>
        <w:rPr>
          <w:rFonts w:ascii="黑体" w:hAnsi="黑体" w:eastAsia="黑体" w:cs="黑体"/>
          <w:color w:val="auto"/>
          <w:sz w:val="24"/>
          <w:szCs w:val="24"/>
          <w:highlight w:val="none"/>
        </w:rPr>
        <w:t>招标文件的异议</w:t>
      </w:r>
    </w:p>
    <w:p w14:paraId="3FC6B0A7">
      <w:pPr>
        <w:spacing w:before="101" w:line="297" w:lineRule="auto"/>
        <w:ind w:left="19"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2.4.1</w:t>
      </w:r>
      <w:r>
        <w:rPr>
          <w:rFonts w:ascii="Times New Roman" w:hAnsi="Times New Roman" w:eastAsia="Times New Roman" w:cs="Times New Roman"/>
          <w:color w:val="auto"/>
          <w:spacing w:val="45"/>
          <w:sz w:val="21"/>
          <w:szCs w:val="21"/>
          <w:highlight w:val="none"/>
        </w:rPr>
        <w:t xml:space="preserve"> </w:t>
      </w:r>
      <w:r>
        <w:rPr>
          <w:rFonts w:ascii="宋体" w:hAnsi="宋体" w:eastAsia="宋体" w:cs="宋体"/>
          <w:color w:val="auto"/>
          <w:sz w:val="21"/>
          <w:szCs w:val="21"/>
          <w:highlight w:val="none"/>
        </w:rPr>
        <w:t>投标人或者其他利害关系人对招标文件（包括对招标文件澄清和修</w:t>
      </w:r>
      <w:r>
        <w:rPr>
          <w:rFonts w:ascii="宋体" w:hAnsi="宋体" w:eastAsia="宋体" w:cs="宋体"/>
          <w:color w:val="auto"/>
          <w:spacing w:val="-1"/>
          <w:sz w:val="21"/>
          <w:szCs w:val="21"/>
          <w:highlight w:val="none"/>
        </w:rPr>
        <w:t xml:space="preserve">改的内容）有  </w:t>
      </w:r>
      <w:r>
        <w:rPr>
          <w:rFonts w:ascii="宋体" w:hAnsi="宋体" w:eastAsia="宋体" w:cs="宋体"/>
          <w:color w:val="auto"/>
          <w:spacing w:val="-2"/>
          <w:sz w:val="21"/>
          <w:szCs w:val="21"/>
          <w:highlight w:val="none"/>
        </w:rPr>
        <w:t xml:space="preserve">异议的，应当在投标人须知前附表第 </w:t>
      </w:r>
      <w:r>
        <w:rPr>
          <w:rFonts w:ascii="Times New Roman" w:hAnsi="Times New Roman" w:eastAsia="Times New Roman" w:cs="Times New Roman"/>
          <w:color w:val="auto"/>
          <w:spacing w:val="-2"/>
          <w:sz w:val="21"/>
          <w:szCs w:val="21"/>
          <w:highlight w:val="none"/>
        </w:rPr>
        <w:t>4.2.1</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2"/>
          <w:sz w:val="21"/>
          <w:szCs w:val="21"/>
          <w:highlight w:val="none"/>
        </w:rPr>
        <w:t xml:space="preserve">项规定的投标截止时间 </w:t>
      </w:r>
      <w:r>
        <w:rPr>
          <w:rFonts w:ascii="Times New Roman" w:hAnsi="Times New Roman" w:eastAsia="Times New Roman" w:cs="Times New Roman"/>
          <w:color w:val="auto"/>
          <w:spacing w:val="-2"/>
          <w:sz w:val="21"/>
          <w:szCs w:val="21"/>
          <w:highlight w:val="none"/>
        </w:rPr>
        <w:t xml:space="preserve">10  </w:t>
      </w:r>
      <w:r>
        <w:rPr>
          <w:rFonts w:ascii="宋体" w:hAnsi="宋体" w:eastAsia="宋体" w:cs="宋体"/>
          <w:color w:val="auto"/>
          <w:spacing w:val="-2"/>
          <w:sz w:val="21"/>
          <w:szCs w:val="21"/>
          <w:highlight w:val="none"/>
        </w:rPr>
        <w:t>日前提出。</w:t>
      </w:r>
      <w:r>
        <w:rPr>
          <w:rFonts w:ascii="宋体" w:hAnsi="宋体" w:eastAsia="宋体" w:cs="宋体"/>
          <w:color w:val="auto"/>
          <w:spacing w:val="-3"/>
          <w:sz w:val="21"/>
          <w:szCs w:val="21"/>
          <w:highlight w:val="none"/>
        </w:rPr>
        <w:t xml:space="preserve">招标人自  </w:t>
      </w:r>
      <w:r>
        <w:rPr>
          <w:rFonts w:ascii="宋体" w:hAnsi="宋体" w:eastAsia="宋体" w:cs="宋体"/>
          <w:color w:val="auto"/>
          <w:spacing w:val="-2"/>
          <w:sz w:val="21"/>
          <w:szCs w:val="21"/>
          <w:highlight w:val="none"/>
        </w:rPr>
        <w:t xml:space="preserve">收到异议之日起 </w:t>
      </w: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日内作出答复；作出答复前，招标人将暂停招标投标活动。逾期提出的，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招标人可不予受理。异议与答复应通过电子招标投标系统（辽宁省工程建设项目招标投标  </w:t>
      </w:r>
      <w:r>
        <w:rPr>
          <w:rFonts w:ascii="宋体" w:hAnsi="宋体" w:eastAsia="宋体" w:cs="宋体"/>
          <w:color w:val="auto"/>
          <w:spacing w:val="-11"/>
          <w:sz w:val="21"/>
          <w:szCs w:val="21"/>
          <w:highlight w:val="none"/>
        </w:rPr>
        <w:t>异议投诉处理系统）</w:t>
      </w:r>
      <w:r>
        <w:rPr>
          <w:rFonts w:ascii="宋体" w:hAnsi="宋体" w:eastAsia="宋体" w:cs="宋体"/>
          <w:color w:val="auto"/>
          <w:spacing w:val="54"/>
          <w:sz w:val="21"/>
          <w:szCs w:val="21"/>
          <w:highlight w:val="none"/>
        </w:rPr>
        <w:t xml:space="preserve"> </w:t>
      </w:r>
      <w:r>
        <w:rPr>
          <w:rFonts w:ascii="宋体" w:hAnsi="宋体" w:eastAsia="宋体" w:cs="宋体"/>
          <w:color w:val="auto"/>
          <w:spacing w:val="-11"/>
          <w:sz w:val="21"/>
          <w:szCs w:val="21"/>
          <w:highlight w:val="none"/>
        </w:rPr>
        <w:t>以书面形式进行。</w:t>
      </w:r>
    </w:p>
    <w:p w14:paraId="49669F88">
      <w:pPr>
        <w:spacing w:before="109" w:line="285" w:lineRule="auto"/>
        <w:ind w:left="19" w:right="164"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本条所称异议是指投标人或者其他利害关系人认为招标文件的内容违反法律、法规、</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规章的强制性规定，违反公平竞争原则， 影响投标人投标而向招标人提出的质疑。未在法</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定时间期限内未提出异议视为投标人权利灭失。</w:t>
      </w:r>
    </w:p>
    <w:p w14:paraId="669DEA04">
      <w:pPr>
        <w:spacing w:before="109"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有关异议受理部门及联系方式见投标人须知前附表。</w:t>
      </w:r>
    </w:p>
    <w:p w14:paraId="3C524E44">
      <w:pPr>
        <w:spacing w:before="109" w:line="269" w:lineRule="auto"/>
        <w:ind w:left="19" w:right="156"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2.4.2</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z w:val="21"/>
          <w:szCs w:val="21"/>
          <w:highlight w:val="none"/>
        </w:rPr>
        <w:t>招标人对异议的答复构成对招标文件澄清</w:t>
      </w:r>
      <w:r>
        <w:rPr>
          <w:rFonts w:ascii="宋体" w:hAnsi="宋体" w:eastAsia="宋体" w:cs="宋体"/>
          <w:color w:val="auto"/>
          <w:spacing w:val="-1"/>
          <w:sz w:val="21"/>
          <w:szCs w:val="21"/>
          <w:highlight w:val="none"/>
        </w:rPr>
        <w:t xml:space="preserve">或者修改的， 招标人将按照本章第 </w:t>
      </w:r>
      <w:r>
        <w:rPr>
          <w:rFonts w:ascii="Times New Roman" w:hAnsi="Times New Roman" w:eastAsia="Times New Roman" w:cs="Times New Roman"/>
          <w:color w:val="auto"/>
          <w:spacing w:val="-1"/>
          <w:sz w:val="21"/>
          <w:szCs w:val="21"/>
          <w:highlight w:val="none"/>
        </w:rPr>
        <w:t>2.2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3"/>
          <w:sz w:val="21"/>
          <w:szCs w:val="21"/>
          <w:highlight w:val="none"/>
        </w:rPr>
        <w:t>款、第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2.3 </w:t>
      </w:r>
      <w:r>
        <w:rPr>
          <w:rFonts w:ascii="宋体" w:hAnsi="宋体" w:eastAsia="宋体" w:cs="宋体"/>
          <w:color w:val="auto"/>
          <w:spacing w:val="-3"/>
          <w:sz w:val="21"/>
          <w:szCs w:val="21"/>
          <w:highlight w:val="none"/>
        </w:rPr>
        <w:t>款规定办理。</w:t>
      </w:r>
    </w:p>
    <w:p w14:paraId="70571D29">
      <w:pPr>
        <w:spacing w:before="151" w:line="225" w:lineRule="auto"/>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3"/>
          <w:sz w:val="27"/>
          <w:szCs w:val="27"/>
          <w:highlight w:val="none"/>
        </w:rPr>
        <w:t>3.</w:t>
      </w:r>
      <w:r>
        <w:rPr>
          <w:rFonts w:ascii="Times New Roman" w:hAnsi="Times New Roman" w:eastAsia="Times New Roman" w:cs="Times New Roman"/>
          <w:color w:val="auto"/>
          <w:spacing w:val="16"/>
          <w:w w:val="101"/>
          <w:sz w:val="27"/>
          <w:szCs w:val="27"/>
          <w:highlight w:val="none"/>
        </w:rPr>
        <w:t xml:space="preserve"> </w:t>
      </w:r>
      <w:r>
        <w:rPr>
          <w:rFonts w:ascii="黑体" w:hAnsi="黑体" w:eastAsia="黑体" w:cs="黑体"/>
          <w:color w:val="auto"/>
          <w:spacing w:val="3"/>
          <w:sz w:val="27"/>
          <w:szCs w:val="27"/>
          <w:highlight w:val="none"/>
        </w:rPr>
        <w:t>投标文件</w:t>
      </w:r>
    </w:p>
    <w:p w14:paraId="0313DCA2">
      <w:pPr>
        <w:spacing w:before="65"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黑体" w:hAnsi="黑体" w:eastAsia="黑体" w:cs="黑体"/>
          <w:color w:val="auto"/>
          <w:spacing w:val="-1"/>
          <w:sz w:val="24"/>
          <w:szCs w:val="24"/>
          <w:highlight w:val="none"/>
        </w:rPr>
        <w:t>投标文件的组成</w:t>
      </w:r>
    </w:p>
    <w:p w14:paraId="2E48FE0A">
      <w:pPr>
        <w:spacing w:before="101" w:line="360" w:lineRule="exact"/>
        <w:ind w:left="124"/>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1"/>
          <w:sz w:val="21"/>
          <w:szCs w:val="21"/>
          <w:highlight w:val="none"/>
        </w:rPr>
        <w:t xml:space="preserve">3.1.1 </w:t>
      </w:r>
      <w:r>
        <w:rPr>
          <w:rFonts w:ascii="宋体" w:hAnsi="宋体" w:eastAsia="宋体" w:cs="宋体"/>
          <w:color w:val="auto"/>
          <w:spacing w:val="-3"/>
          <w:position w:val="11"/>
          <w:sz w:val="21"/>
          <w:szCs w:val="21"/>
          <w:highlight w:val="none"/>
        </w:rPr>
        <w:t>投标文件应包括下列内容：</w:t>
      </w:r>
    </w:p>
    <w:p w14:paraId="04A596FC">
      <w:pPr>
        <w:spacing w:before="1" w:line="219" w:lineRule="auto"/>
        <w:ind w:left="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）投标函及投标函附录等；</w:t>
      </w:r>
    </w:p>
    <w:p w14:paraId="454144BD">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）法定代表人身份证明；</w:t>
      </w:r>
    </w:p>
    <w:p w14:paraId="282FB616">
      <w:pPr>
        <w:spacing w:before="109" w:line="220"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）授权委托书；</w:t>
      </w:r>
    </w:p>
    <w:p w14:paraId="2A896DE5">
      <w:pPr>
        <w:spacing w:before="110" w:line="221"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3</w:t>
      </w:r>
      <w:r>
        <w:rPr>
          <w:rFonts w:ascii="宋体" w:hAnsi="宋体" w:eastAsia="宋体" w:cs="宋体"/>
          <w:color w:val="auto"/>
          <w:spacing w:val="-5"/>
          <w:sz w:val="21"/>
          <w:szCs w:val="21"/>
          <w:highlight w:val="none"/>
        </w:rPr>
        <w:t>）投标保证金；</w:t>
      </w:r>
    </w:p>
    <w:p w14:paraId="2FF5CFD7">
      <w:pPr>
        <w:spacing w:before="109" w:line="360" w:lineRule="exact"/>
        <w:ind w:left="385"/>
        <w:rPr>
          <w:rFonts w:ascii="宋体" w:hAnsi="宋体" w:eastAsia="宋体" w:cs="宋体"/>
          <w:color w:val="auto"/>
          <w:sz w:val="21"/>
          <w:szCs w:val="21"/>
          <w:highlight w:val="none"/>
        </w:rPr>
      </w:pPr>
      <w:r>
        <w:rPr>
          <w:rFonts w:ascii="宋体" w:hAnsi="宋体" w:eastAsia="宋体" w:cs="宋体"/>
          <w:color w:val="auto"/>
          <w:spacing w:val="-9"/>
          <w:position w:val="11"/>
          <w:sz w:val="21"/>
          <w:szCs w:val="21"/>
          <w:highlight w:val="none"/>
        </w:rPr>
        <w:t>（</w:t>
      </w:r>
      <w:r>
        <w:rPr>
          <w:rFonts w:ascii="Times New Roman" w:hAnsi="Times New Roman" w:eastAsia="Times New Roman" w:cs="Times New Roman"/>
          <w:color w:val="auto"/>
          <w:spacing w:val="-9"/>
          <w:position w:val="11"/>
          <w:sz w:val="21"/>
          <w:szCs w:val="21"/>
          <w:highlight w:val="none"/>
        </w:rPr>
        <w:t>4</w:t>
      </w:r>
      <w:r>
        <w:rPr>
          <w:rFonts w:ascii="宋体" w:hAnsi="宋体" w:eastAsia="宋体" w:cs="宋体"/>
          <w:color w:val="auto"/>
          <w:spacing w:val="-9"/>
          <w:position w:val="11"/>
          <w:sz w:val="21"/>
          <w:szCs w:val="21"/>
          <w:highlight w:val="none"/>
        </w:rPr>
        <w:t>）联合体协议书（如有</w:t>
      </w:r>
      <w:r>
        <w:rPr>
          <w:rFonts w:ascii="宋体" w:hAnsi="宋体" w:eastAsia="宋体" w:cs="宋体"/>
          <w:color w:val="auto"/>
          <w:spacing w:val="-11"/>
          <w:position w:val="11"/>
          <w:sz w:val="21"/>
          <w:szCs w:val="21"/>
          <w:highlight w:val="none"/>
        </w:rPr>
        <w:t>）；</w:t>
      </w:r>
    </w:p>
    <w:p w14:paraId="329A593A">
      <w:pPr>
        <w:spacing w:before="1" w:line="219" w:lineRule="auto"/>
        <w:ind w:left="38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w:t>
      </w:r>
      <w:r>
        <w:rPr>
          <w:rFonts w:ascii="Times New Roman" w:hAnsi="Times New Roman" w:eastAsia="Times New Roman" w:cs="Times New Roman"/>
          <w:color w:val="auto"/>
          <w:spacing w:val="-9"/>
          <w:sz w:val="21"/>
          <w:szCs w:val="21"/>
          <w:highlight w:val="none"/>
        </w:rPr>
        <w:t>5</w:t>
      </w:r>
      <w:r>
        <w:rPr>
          <w:rFonts w:ascii="宋体" w:hAnsi="宋体" w:eastAsia="宋体" w:cs="宋体"/>
          <w:color w:val="auto"/>
          <w:spacing w:val="-9"/>
          <w:sz w:val="21"/>
          <w:szCs w:val="21"/>
          <w:highlight w:val="none"/>
        </w:rPr>
        <w:t>）拟分包计划表（如有</w:t>
      </w:r>
      <w:r>
        <w:rPr>
          <w:rFonts w:ascii="宋体" w:hAnsi="宋体" w:eastAsia="宋体" w:cs="宋体"/>
          <w:color w:val="auto"/>
          <w:spacing w:val="-11"/>
          <w:sz w:val="21"/>
          <w:szCs w:val="21"/>
          <w:highlight w:val="none"/>
        </w:rPr>
        <w:t>）；</w:t>
      </w:r>
    </w:p>
    <w:p w14:paraId="33F72997">
      <w:pPr>
        <w:spacing w:before="110" w:line="220"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6</w:t>
      </w:r>
      <w:r>
        <w:rPr>
          <w:rFonts w:ascii="宋体" w:hAnsi="宋体" w:eastAsia="宋体" w:cs="宋体"/>
          <w:color w:val="auto"/>
          <w:spacing w:val="-5"/>
          <w:sz w:val="21"/>
          <w:szCs w:val="21"/>
          <w:highlight w:val="none"/>
        </w:rPr>
        <w:t>）项目管理机构；</w:t>
      </w:r>
    </w:p>
    <w:p w14:paraId="330D55A5">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7</w:t>
      </w:r>
      <w:r>
        <w:rPr>
          <w:rFonts w:ascii="宋体" w:hAnsi="宋体" w:eastAsia="宋体" w:cs="宋体"/>
          <w:color w:val="auto"/>
          <w:spacing w:val="-6"/>
          <w:sz w:val="21"/>
          <w:szCs w:val="21"/>
          <w:highlight w:val="none"/>
        </w:rPr>
        <w:t>）资格审查资料；</w:t>
      </w:r>
    </w:p>
    <w:p w14:paraId="1F8E5F64">
      <w:pPr>
        <w:spacing w:before="109" w:line="361"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8</w:t>
      </w:r>
      <w:r>
        <w:rPr>
          <w:rFonts w:ascii="宋体" w:hAnsi="宋体" w:eastAsia="宋体" w:cs="宋体"/>
          <w:color w:val="auto"/>
          <w:spacing w:val="-1"/>
          <w:position w:val="11"/>
          <w:sz w:val="21"/>
          <w:szCs w:val="21"/>
          <w:highlight w:val="none"/>
        </w:rPr>
        <w:t>）已标价工程量清单；</w:t>
      </w:r>
    </w:p>
    <w:p w14:paraId="648A35F2">
      <w:pPr>
        <w:spacing w:line="222"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9</w:t>
      </w:r>
      <w:r>
        <w:rPr>
          <w:rFonts w:ascii="宋体" w:hAnsi="宋体" w:eastAsia="宋体" w:cs="宋体"/>
          <w:color w:val="auto"/>
          <w:spacing w:val="-5"/>
          <w:sz w:val="21"/>
          <w:szCs w:val="21"/>
          <w:highlight w:val="none"/>
        </w:rPr>
        <w:t>）施工组织设计；</w:t>
      </w:r>
    </w:p>
    <w:p w14:paraId="28FC409E">
      <w:pPr>
        <w:spacing w:line="222" w:lineRule="auto"/>
        <w:rPr>
          <w:rFonts w:ascii="宋体" w:hAnsi="宋体" w:eastAsia="宋体" w:cs="宋体"/>
          <w:color w:val="auto"/>
          <w:sz w:val="21"/>
          <w:szCs w:val="21"/>
          <w:highlight w:val="none"/>
        </w:rPr>
        <w:sectPr>
          <w:footerReference r:id="rId22" w:type="default"/>
          <w:pgSz w:w="11905" w:h="16839"/>
          <w:pgMar w:top="1431" w:right="1630" w:bottom="1036" w:left="1785" w:header="0" w:footer="847" w:gutter="0"/>
          <w:pgNumType w:fmt="decimal"/>
          <w:cols w:space="720" w:num="1"/>
        </w:sectPr>
      </w:pPr>
    </w:p>
    <w:p w14:paraId="0ACC397C">
      <w:pPr>
        <w:spacing w:before="115" w:line="220" w:lineRule="auto"/>
        <w:ind w:left="385"/>
        <w:rPr>
          <w:rFonts w:ascii="宋体" w:hAnsi="宋体" w:eastAsia="宋体" w:cs="宋体"/>
          <w:color w:val="auto"/>
          <w:sz w:val="21"/>
          <w:szCs w:val="21"/>
          <w:highlight w:val="none"/>
        </w:rPr>
      </w:pPr>
      <w:bookmarkStart w:id="72" w:name="bookmark91"/>
      <w:bookmarkEnd w:id="72"/>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10</w:t>
      </w:r>
      <w:r>
        <w:rPr>
          <w:rFonts w:ascii="宋体" w:hAnsi="宋体" w:eastAsia="宋体" w:cs="宋体"/>
          <w:color w:val="auto"/>
          <w:spacing w:val="-2"/>
          <w:sz w:val="21"/>
          <w:szCs w:val="21"/>
          <w:highlight w:val="none"/>
        </w:rPr>
        <w:t>）投标人须知前附表规定的其他材料。</w:t>
      </w:r>
    </w:p>
    <w:p w14:paraId="575F102C">
      <w:pPr>
        <w:spacing w:before="110" w:line="268" w:lineRule="auto"/>
        <w:ind w:left="20" w:right="160" w:firstLine="35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3.1.2</w:t>
      </w:r>
      <w:r>
        <w:rPr>
          <w:rFonts w:ascii="Times New Roman" w:hAnsi="Times New Roman" w:eastAsia="Times New Roman" w:cs="Times New Roman"/>
          <w:color w:val="auto"/>
          <w:spacing w:val="44"/>
          <w:sz w:val="21"/>
          <w:szCs w:val="21"/>
          <w:highlight w:val="none"/>
        </w:rPr>
        <w:t xml:space="preserve"> </w:t>
      </w:r>
      <w:r>
        <w:rPr>
          <w:rFonts w:ascii="宋体" w:hAnsi="宋体" w:eastAsia="宋体" w:cs="宋体"/>
          <w:color w:val="auto"/>
          <w:spacing w:val="2"/>
          <w:sz w:val="21"/>
          <w:szCs w:val="21"/>
          <w:highlight w:val="none"/>
        </w:rPr>
        <w:t>投标人须知前附表规定不接受联合体投标的，或投标人没有组成联合体的，投标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文件不包括本章第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2"/>
          <w:sz w:val="21"/>
          <w:szCs w:val="21"/>
          <w:highlight w:val="none"/>
        </w:rPr>
        <w:t>3.1.1</w:t>
      </w: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2"/>
          <w:sz w:val="21"/>
          <w:szCs w:val="21"/>
          <w:highlight w:val="none"/>
        </w:rPr>
        <w:t>目所指</w:t>
      </w:r>
      <w:r>
        <w:rPr>
          <w:rFonts w:ascii="宋体" w:hAnsi="宋体" w:eastAsia="宋体" w:cs="宋体"/>
          <w:color w:val="auto"/>
          <w:spacing w:val="-3"/>
          <w:sz w:val="21"/>
          <w:szCs w:val="21"/>
          <w:highlight w:val="none"/>
        </w:rPr>
        <w:t>的联合体协议书。</w:t>
      </w:r>
    </w:p>
    <w:p w14:paraId="62BE2D79">
      <w:pPr>
        <w:spacing w:before="85"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 </w:t>
      </w:r>
      <w:r>
        <w:rPr>
          <w:rFonts w:ascii="黑体" w:hAnsi="黑体" w:eastAsia="黑体" w:cs="黑体"/>
          <w:color w:val="auto"/>
          <w:spacing w:val="-1"/>
          <w:sz w:val="24"/>
          <w:szCs w:val="24"/>
          <w:highlight w:val="none"/>
        </w:rPr>
        <w:t>投标报价</w:t>
      </w:r>
    </w:p>
    <w:p w14:paraId="6A8A43CA">
      <w:pPr>
        <w:spacing w:before="100"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投标人应按第五章“工程量清单”的要求填写相应表格。</w:t>
      </w:r>
    </w:p>
    <w:p w14:paraId="4CC56B90">
      <w:pPr>
        <w:spacing w:before="109" w:line="268" w:lineRule="auto"/>
        <w:ind w:left="18" w:right="16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3.2.2</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投标人在投标截止时间前修改投标函中的</w:t>
      </w:r>
      <w:r>
        <w:rPr>
          <w:rFonts w:ascii="宋体" w:hAnsi="宋体" w:eastAsia="宋体" w:cs="宋体"/>
          <w:color w:val="auto"/>
          <w:sz w:val="21"/>
          <w:szCs w:val="21"/>
          <w:highlight w:val="none"/>
        </w:rPr>
        <w:t xml:space="preserve">投标总报价，应同时修改第五章“工程 </w:t>
      </w:r>
      <w:r>
        <w:rPr>
          <w:rFonts w:ascii="宋体" w:hAnsi="宋体" w:eastAsia="宋体" w:cs="宋体"/>
          <w:color w:val="auto"/>
          <w:spacing w:val="-2"/>
          <w:sz w:val="21"/>
          <w:szCs w:val="21"/>
          <w:highlight w:val="none"/>
        </w:rPr>
        <w:t>量清单”中的相应“</w:t>
      </w:r>
      <w:r>
        <w:rPr>
          <w:rFonts w:ascii="宋体" w:hAnsi="宋体" w:eastAsia="宋体" w:cs="宋体"/>
          <w:color w:val="auto"/>
          <w:spacing w:val="-78"/>
          <w:sz w:val="21"/>
          <w:szCs w:val="21"/>
          <w:highlight w:val="none"/>
        </w:rPr>
        <w:t xml:space="preserve"> </w:t>
      </w:r>
      <w:r>
        <w:rPr>
          <w:rFonts w:ascii="宋体" w:hAnsi="宋体" w:eastAsia="宋体" w:cs="宋体"/>
          <w:color w:val="auto"/>
          <w:spacing w:val="-2"/>
          <w:sz w:val="21"/>
          <w:szCs w:val="21"/>
          <w:highlight w:val="none"/>
        </w:rPr>
        <w:t>已标价工程量清单</w:t>
      </w:r>
      <w:r>
        <w:rPr>
          <w:rFonts w:ascii="宋体" w:hAnsi="宋体" w:eastAsia="宋体" w:cs="宋体"/>
          <w:color w:val="auto"/>
          <w:spacing w:val="-81"/>
          <w:sz w:val="21"/>
          <w:szCs w:val="21"/>
          <w:highlight w:val="none"/>
        </w:rPr>
        <w:t xml:space="preserve"> </w:t>
      </w:r>
      <w:r>
        <w:rPr>
          <w:rFonts w:ascii="宋体" w:hAnsi="宋体" w:eastAsia="宋体" w:cs="宋体"/>
          <w:color w:val="auto"/>
          <w:spacing w:val="-2"/>
          <w:sz w:val="21"/>
          <w:szCs w:val="21"/>
          <w:highlight w:val="none"/>
        </w:rPr>
        <w:t>”报价。此修改须符合本章第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4.3 </w:t>
      </w:r>
      <w:r>
        <w:rPr>
          <w:rFonts w:ascii="宋体" w:hAnsi="宋体" w:eastAsia="宋体" w:cs="宋体"/>
          <w:color w:val="auto"/>
          <w:spacing w:val="-3"/>
          <w:sz w:val="21"/>
          <w:szCs w:val="21"/>
          <w:highlight w:val="none"/>
        </w:rPr>
        <w:t>款的有关要求。</w:t>
      </w:r>
    </w:p>
    <w:p w14:paraId="0A65F9E0">
      <w:pPr>
        <w:spacing w:before="110" w:line="269" w:lineRule="auto"/>
        <w:ind w:left="1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3.2.3</w:t>
      </w:r>
      <w:r>
        <w:rPr>
          <w:rFonts w:ascii="Times New Roman" w:hAnsi="Times New Roman" w:eastAsia="Times New Roman" w:cs="Times New Roman"/>
          <w:color w:val="auto"/>
          <w:spacing w:val="53"/>
          <w:sz w:val="21"/>
          <w:szCs w:val="21"/>
          <w:highlight w:val="none"/>
        </w:rPr>
        <w:t xml:space="preserve"> </w:t>
      </w:r>
      <w:r>
        <w:rPr>
          <w:rFonts w:ascii="宋体" w:hAnsi="宋体" w:eastAsia="宋体" w:cs="宋体"/>
          <w:color w:val="auto"/>
          <w:spacing w:val="-1"/>
          <w:sz w:val="21"/>
          <w:szCs w:val="21"/>
          <w:highlight w:val="none"/>
        </w:rPr>
        <w:t>投标人投标函中的大写报价或算术错误修正后的投标总报价大于最高投标限价的，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其投标将被否决。</w:t>
      </w:r>
    </w:p>
    <w:p w14:paraId="44C76BAA">
      <w:pPr>
        <w:spacing w:before="109"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宋体" w:hAnsi="宋体" w:eastAsia="宋体" w:cs="宋体"/>
          <w:color w:val="auto"/>
          <w:spacing w:val="-1"/>
          <w:sz w:val="21"/>
          <w:szCs w:val="21"/>
          <w:highlight w:val="none"/>
        </w:rPr>
        <w:t>本项目最高投标限价及要求详见投标人须知</w:t>
      </w:r>
      <w:r>
        <w:rPr>
          <w:rFonts w:ascii="宋体" w:hAnsi="宋体" w:eastAsia="宋体" w:cs="宋体"/>
          <w:color w:val="auto"/>
          <w:spacing w:val="-2"/>
          <w:sz w:val="21"/>
          <w:szCs w:val="21"/>
          <w:highlight w:val="none"/>
        </w:rPr>
        <w:t>前附表。</w:t>
      </w:r>
    </w:p>
    <w:p w14:paraId="35D5499F">
      <w:pPr>
        <w:spacing w:before="111" w:line="335"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9"/>
          <w:sz w:val="21"/>
          <w:szCs w:val="21"/>
          <w:highlight w:val="none"/>
        </w:rPr>
        <w:t xml:space="preserve">3.2.5 </w:t>
      </w:r>
      <w:r>
        <w:rPr>
          <w:rFonts w:ascii="宋体" w:hAnsi="宋体" w:eastAsia="宋体" w:cs="宋体"/>
          <w:color w:val="auto"/>
          <w:spacing w:val="-1"/>
          <w:position w:val="9"/>
          <w:sz w:val="21"/>
          <w:szCs w:val="21"/>
          <w:highlight w:val="none"/>
        </w:rPr>
        <w:t>投标报价的其他要求见投标人须知前附表。</w:t>
      </w:r>
    </w:p>
    <w:p w14:paraId="5E47B9B4">
      <w:pPr>
        <w:spacing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黑体" w:hAnsi="黑体" w:eastAsia="黑体" w:cs="黑体"/>
          <w:color w:val="auto"/>
          <w:spacing w:val="-1"/>
          <w:sz w:val="24"/>
          <w:szCs w:val="24"/>
          <w:highlight w:val="none"/>
        </w:rPr>
        <w:t>投标有效期</w:t>
      </w:r>
    </w:p>
    <w:p w14:paraId="78D98D2C">
      <w:pPr>
        <w:spacing w:before="101" w:line="269" w:lineRule="auto"/>
        <w:ind w:left="17" w:right="163"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3.3.1</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在投标人须知前附表规定的投标有效期内，投标人</w:t>
      </w:r>
      <w:r>
        <w:rPr>
          <w:rFonts w:ascii="宋体" w:hAnsi="宋体" w:eastAsia="宋体" w:cs="宋体"/>
          <w:color w:val="auto"/>
          <w:sz w:val="21"/>
          <w:szCs w:val="21"/>
          <w:highlight w:val="none"/>
        </w:rPr>
        <w:t xml:space="preserve">不得要求撤销或修改其投标文 </w:t>
      </w:r>
      <w:r>
        <w:rPr>
          <w:rFonts w:ascii="宋体" w:hAnsi="宋体" w:eastAsia="宋体" w:cs="宋体"/>
          <w:color w:val="auto"/>
          <w:spacing w:val="-10"/>
          <w:sz w:val="21"/>
          <w:szCs w:val="21"/>
          <w:highlight w:val="none"/>
        </w:rPr>
        <w:t>件。</w:t>
      </w:r>
    </w:p>
    <w:p w14:paraId="42E160CD">
      <w:pPr>
        <w:spacing w:before="109" w:line="294" w:lineRule="auto"/>
        <w:ind w:left="18" w:right="158" w:firstLine="42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3.3.2  </w:t>
      </w:r>
      <w:r>
        <w:rPr>
          <w:rFonts w:ascii="宋体" w:hAnsi="宋体" w:eastAsia="宋体" w:cs="宋体"/>
          <w:color w:val="auto"/>
          <w:sz w:val="21"/>
          <w:szCs w:val="21"/>
          <w:highlight w:val="none"/>
        </w:rPr>
        <w:t>出现特殊情况需要延长投标有效期的，招标人以书面形式通知所有投标人延长投</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标有效期。投标人同意延长的，应相应延长其投标保证金的有效期，但不得</w:t>
      </w:r>
      <w:r>
        <w:rPr>
          <w:rFonts w:ascii="宋体" w:hAnsi="宋体" w:eastAsia="宋体" w:cs="宋体"/>
          <w:color w:val="auto"/>
          <w:spacing w:val="2"/>
          <w:sz w:val="21"/>
          <w:szCs w:val="21"/>
          <w:highlight w:val="none"/>
        </w:rPr>
        <w:t>要求或被允许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修改或撤销其投标文件；投标人拒绝延长的， 其投标</w:t>
      </w:r>
      <w:r>
        <w:rPr>
          <w:rFonts w:ascii="宋体" w:hAnsi="宋体" w:eastAsia="宋体" w:cs="宋体"/>
          <w:color w:val="auto"/>
          <w:spacing w:val="-3"/>
          <w:sz w:val="21"/>
          <w:szCs w:val="21"/>
          <w:highlight w:val="none"/>
        </w:rPr>
        <w:t>失效， 但投标人有权收回其投标保证</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金。</w:t>
      </w:r>
    </w:p>
    <w:p w14:paraId="5DDE957D">
      <w:pPr>
        <w:spacing w:before="77"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3.4 </w:t>
      </w:r>
      <w:r>
        <w:rPr>
          <w:rFonts w:ascii="黑体" w:hAnsi="黑体" w:eastAsia="黑体" w:cs="黑体"/>
          <w:color w:val="auto"/>
          <w:spacing w:val="-1"/>
          <w:sz w:val="24"/>
          <w:szCs w:val="24"/>
          <w:highlight w:val="none"/>
        </w:rPr>
        <w:t>投标保证金</w:t>
      </w:r>
    </w:p>
    <w:p w14:paraId="577727A7">
      <w:pPr>
        <w:spacing w:before="101" w:line="292" w:lineRule="auto"/>
        <w:ind w:left="19" w:right="158"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投标人须知前附表规定提交投标</w:t>
      </w:r>
      <w:r>
        <w:rPr>
          <w:rFonts w:ascii="宋体" w:hAnsi="宋体" w:eastAsia="宋体" w:cs="宋体"/>
          <w:color w:val="auto"/>
          <w:sz w:val="21"/>
          <w:szCs w:val="21"/>
          <w:highlight w:val="none"/>
        </w:rPr>
        <w:t>保证金的，投标人在递交投标文件的同时，应按 投标人须知前附表规定的形式、金额、递交截止时间、递交方式提交投标保证金， 并作为</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其投标文件的组成部分。联合体投标的， 其投标保证</w:t>
      </w:r>
      <w:r>
        <w:rPr>
          <w:rFonts w:ascii="宋体" w:hAnsi="宋体" w:eastAsia="宋体" w:cs="宋体"/>
          <w:color w:val="auto"/>
          <w:spacing w:val="-3"/>
          <w:sz w:val="21"/>
          <w:szCs w:val="21"/>
          <w:highlight w:val="none"/>
        </w:rPr>
        <w:t>金由牵头人递交， 并应符合投标人须</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知前附表的规定。</w:t>
      </w:r>
    </w:p>
    <w:p w14:paraId="50863F97">
      <w:pPr>
        <w:spacing w:before="110"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3.4.2 </w:t>
      </w:r>
      <w:r>
        <w:rPr>
          <w:rFonts w:ascii="宋体" w:hAnsi="宋体" w:eastAsia="宋体" w:cs="宋体"/>
          <w:color w:val="auto"/>
          <w:spacing w:val="-3"/>
          <w:sz w:val="21"/>
          <w:szCs w:val="21"/>
          <w:highlight w:val="none"/>
        </w:rPr>
        <w:t>投标人不按本章第</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3.4.1 </w:t>
      </w:r>
      <w:r>
        <w:rPr>
          <w:rFonts w:ascii="宋体" w:hAnsi="宋体" w:eastAsia="宋体" w:cs="宋体"/>
          <w:color w:val="auto"/>
          <w:spacing w:val="-3"/>
          <w:sz w:val="21"/>
          <w:szCs w:val="21"/>
          <w:highlight w:val="none"/>
        </w:rPr>
        <w:t>项要求提交投标保证金的，</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其投标将被否决。</w:t>
      </w:r>
    </w:p>
    <w:p w14:paraId="2E0736D4">
      <w:pPr>
        <w:spacing w:before="111" w:line="284" w:lineRule="auto"/>
        <w:ind w:left="19" w:right="157"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3.4.3</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2"/>
          <w:sz w:val="21"/>
          <w:szCs w:val="21"/>
          <w:highlight w:val="none"/>
        </w:rPr>
        <w:t xml:space="preserve">招标人最迟在与中标人签订合同后 </w:t>
      </w:r>
      <w:r>
        <w:rPr>
          <w:rFonts w:ascii="Times New Roman" w:hAnsi="Times New Roman" w:eastAsia="Times New Roman" w:cs="Times New Roman"/>
          <w:color w:val="auto"/>
          <w:spacing w:val="-2"/>
          <w:sz w:val="21"/>
          <w:szCs w:val="21"/>
          <w:highlight w:val="none"/>
        </w:rPr>
        <w:t xml:space="preserve">5  </w:t>
      </w:r>
      <w:r>
        <w:rPr>
          <w:rFonts w:ascii="宋体" w:hAnsi="宋体" w:eastAsia="宋体" w:cs="宋体"/>
          <w:color w:val="auto"/>
          <w:spacing w:val="-2"/>
          <w:sz w:val="21"/>
          <w:szCs w:val="21"/>
          <w:highlight w:val="none"/>
        </w:rPr>
        <w:t>日内，向未中标的投标人和中标人退还投标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保证金。招标人同时退还投标保证金的银行同期存款利息。投标保证金及利</w:t>
      </w:r>
      <w:r>
        <w:rPr>
          <w:rFonts w:ascii="宋体" w:hAnsi="宋体" w:eastAsia="宋体" w:cs="宋体"/>
          <w:color w:val="auto"/>
          <w:spacing w:val="2"/>
          <w:sz w:val="21"/>
          <w:szCs w:val="21"/>
          <w:highlight w:val="none"/>
        </w:rPr>
        <w:t>息的计息标准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和退还方式见投标人须知前附表。</w:t>
      </w:r>
    </w:p>
    <w:p w14:paraId="2E4B1DDD">
      <w:pPr>
        <w:spacing w:before="109"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3.4.4 </w:t>
      </w:r>
      <w:r>
        <w:rPr>
          <w:rFonts w:ascii="宋体" w:hAnsi="宋体" w:eastAsia="宋体" w:cs="宋体"/>
          <w:color w:val="auto"/>
          <w:sz w:val="21"/>
          <w:szCs w:val="21"/>
          <w:highlight w:val="none"/>
        </w:rPr>
        <w:t>有下列情形之一的，投标保证金将不</w:t>
      </w:r>
      <w:r>
        <w:rPr>
          <w:rFonts w:ascii="宋体" w:hAnsi="宋体" w:eastAsia="宋体" w:cs="宋体"/>
          <w:color w:val="auto"/>
          <w:spacing w:val="-1"/>
          <w:sz w:val="21"/>
          <w:szCs w:val="21"/>
          <w:highlight w:val="none"/>
        </w:rPr>
        <w:t>予退还：</w:t>
      </w:r>
    </w:p>
    <w:p w14:paraId="7A500ECC">
      <w:pPr>
        <w:spacing w:before="110" w:line="221"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）投标人在规定的投标有效期内撤销或修改其投标文件；</w:t>
      </w:r>
    </w:p>
    <w:p w14:paraId="19BD850F">
      <w:pPr>
        <w:spacing w:before="109" w:line="268" w:lineRule="auto"/>
        <w:ind w:left="19" w:right="170" w:firstLine="7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）中标人在收到中标通知书后， 无正当理由拒签合同、在签订合同时向招标人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提出附加条件或未按招标文件规定提交履约保证金。</w:t>
      </w:r>
    </w:p>
    <w:p w14:paraId="3A4476F7">
      <w:pPr>
        <w:spacing w:before="85" w:line="219" w:lineRule="auto"/>
        <w:ind w:left="140"/>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3.5</w:t>
      </w:r>
      <w:r>
        <w:rPr>
          <w:rFonts w:ascii="Times New Roman" w:hAnsi="Times New Roman" w:eastAsia="Times New Roman" w:cs="Times New Roman"/>
          <w:color w:val="auto"/>
          <w:spacing w:val="38"/>
          <w:sz w:val="24"/>
          <w:szCs w:val="24"/>
          <w:highlight w:val="none"/>
        </w:rPr>
        <w:t xml:space="preserve"> </w:t>
      </w:r>
      <w:r>
        <w:rPr>
          <w:rFonts w:ascii="黑体" w:hAnsi="黑体" w:eastAsia="黑体" w:cs="黑体"/>
          <w:color w:val="auto"/>
          <w:spacing w:val="-2"/>
          <w:sz w:val="24"/>
          <w:szCs w:val="24"/>
          <w:highlight w:val="none"/>
        </w:rPr>
        <w:t>资格审查资料（适用于已进行资格预审的）</w:t>
      </w:r>
    </w:p>
    <w:p w14:paraId="6E5339D5">
      <w:pPr>
        <w:spacing w:before="134" w:line="399" w:lineRule="exact"/>
        <w:ind w:left="44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投标人在递交投标文件前， 发生可能影响其投标资格的新情况的，应更新或补充其在</w:t>
      </w:r>
    </w:p>
    <w:p w14:paraId="29E74558">
      <w:pPr>
        <w:spacing w:before="1" w:line="219" w:lineRule="auto"/>
        <w:ind w:left="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申请资格预审时提供的资料，</w:t>
      </w:r>
      <w:r>
        <w:rPr>
          <w:rFonts w:ascii="宋体" w:hAnsi="宋体" w:eastAsia="宋体" w:cs="宋体"/>
          <w:color w:val="auto"/>
          <w:spacing w:val="51"/>
          <w:sz w:val="21"/>
          <w:szCs w:val="21"/>
          <w:highlight w:val="none"/>
        </w:rPr>
        <w:t xml:space="preserve"> </w:t>
      </w:r>
      <w:r>
        <w:rPr>
          <w:rFonts w:ascii="宋体" w:hAnsi="宋体" w:eastAsia="宋体" w:cs="宋体"/>
          <w:color w:val="auto"/>
          <w:spacing w:val="-2"/>
          <w:sz w:val="21"/>
          <w:szCs w:val="21"/>
          <w:highlight w:val="none"/>
        </w:rPr>
        <w:t>以证实其各项资格条件仍能继续满足资格预审文件的要求，</w:t>
      </w:r>
    </w:p>
    <w:p w14:paraId="00F8EC69">
      <w:pPr>
        <w:spacing w:before="152"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且没有实质性降低。</w:t>
      </w:r>
    </w:p>
    <w:p w14:paraId="4154404F">
      <w:pPr>
        <w:spacing w:before="89"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9"/>
          <w:sz w:val="24"/>
          <w:szCs w:val="24"/>
          <w:highlight w:val="none"/>
        </w:rPr>
        <w:t>3.5</w:t>
      </w:r>
      <w:r>
        <w:rPr>
          <w:rFonts w:ascii="Times New Roman" w:hAnsi="Times New Roman" w:eastAsia="Times New Roman" w:cs="Times New Roman"/>
          <w:color w:val="auto"/>
          <w:spacing w:val="26"/>
          <w:w w:val="101"/>
          <w:sz w:val="24"/>
          <w:szCs w:val="24"/>
          <w:highlight w:val="none"/>
        </w:rPr>
        <w:t xml:space="preserve"> </w:t>
      </w:r>
      <w:r>
        <w:rPr>
          <w:rFonts w:ascii="黑体" w:hAnsi="黑体" w:eastAsia="黑体" w:cs="黑体"/>
          <w:color w:val="auto"/>
          <w:spacing w:val="-9"/>
          <w:sz w:val="24"/>
          <w:szCs w:val="24"/>
          <w:highlight w:val="none"/>
        </w:rPr>
        <w:t>资格审查资料</w:t>
      </w:r>
      <w:r>
        <w:rPr>
          <w:rFonts w:ascii="黑体" w:hAnsi="黑体" w:eastAsia="黑体" w:cs="黑体"/>
          <w:color w:val="auto"/>
          <w:spacing w:val="25"/>
          <w:sz w:val="24"/>
          <w:szCs w:val="24"/>
          <w:highlight w:val="none"/>
        </w:rPr>
        <w:t xml:space="preserve"> </w:t>
      </w:r>
      <w:r>
        <w:rPr>
          <w:rFonts w:ascii="黑体" w:hAnsi="黑体" w:eastAsia="黑体" w:cs="黑体"/>
          <w:color w:val="auto"/>
          <w:spacing w:val="-9"/>
          <w:sz w:val="24"/>
          <w:szCs w:val="24"/>
          <w:highlight w:val="none"/>
        </w:rPr>
        <w:t>（适用于未进行资格预审的）</w:t>
      </w:r>
    </w:p>
    <w:p w14:paraId="078BC4C2">
      <w:pPr>
        <w:spacing w:before="101" w:line="268" w:lineRule="auto"/>
        <w:ind w:left="22" w:right="2"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3.5.1</w:t>
      </w:r>
      <w:r>
        <w:rPr>
          <w:rFonts w:ascii="宋体" w:hAnsi="宋体" w:eastAsia="宋体" w:cs="宋体"/>
          <w:color w:val="auto"/>
          <w:spacing w:val="2"/>
          <w:sz w:val="21"/>
          <w:szCs w:val="21"/>
          <w:highlight w:val="none"/>
        </w:rPr>
        <w:t>“投标人基本情况表”应附投标人营</w:t>
      </w:r>
      <w:r>
        <w:rPr>
          <w:rFonts w:ascii="宋体" w:hAnsi="宋体" w:eastAsia="宋体" w:cs="宋体"/>
          <w:color w:val="auto"/>
          <w:spacing w:val="1"/>
          <w:sz w:val="21"/>
          <w:szCs w:val="21"/>
          <w:highlight w:val="none"/>
        </w:rPr>
        <w:t>业执照、资质证书和安全生产许可证等材料，</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具体要求见投标人须知前附表。</w:t>
      </w:r>
    </w:p>
    <w:p w14:paraId="460901BF">
      <w:pPr>
        <w:spacing w:line="268" w:lineRule="auto"/>
        <w:rPr>
          <w:rFonts w:ascii="宋体" w:hAnsi="宋体" w:eastAsia="宋体" w:cs="宋体"/>
          <w:color w:val="auto"/>
          <w:sz w:val="21"/>
          <w:szCs w:val="21"/>
          <w:highlight w:val="none"/>
        </w:rPr>
        <w:sectPr>
          <w:footerReference r:id="rId23" w:type="default"/>
          <w:pgSz w:w="11905" w:h="16839"/>
          <w:pgMar w:top="1431" w:right="1630" w:bottom="1036" w:left="1785" w:header="0" w:footer="847" w:gutter="0"/>
          <w:pgNumType w:fmt="decimal"/>
          <w:cols w:space="720" w:num="1"/>
        </w:sectPr>
      </w:pPr>
    </w:p>
    <w:p w14:paraId="38053E71">
      <w:pPr>
        <w:spacing w:before="116" w:line="268" w:lineRule="auto"/>
        <w:ind w:left="19" w:right="204" w:firstLine="422"/>
        <w:rPr>
          <w:rFonts w:ascii="宋体" w:hAnsi="宋体" w:eastAsia="宋体" w:cs="宋体"/>
          <w:color w:val="auto"/>
          <w:sz w:val="21"/>
          <w:szCs w:val="21"/>
          <w:highlight w:val="none"/>
        </w:rPr>
      </w:pPr>
      <w:bookmarkStart w:id="73" w:name="bookmark92"/>
      <w:bookmarkEnd w:id="73"/>
      <w:r>
        <w:rPr>
          <w:rFonts w:ascii="Times New Roman" w:hAnsi="Times New Roman" w:eastAsia="Times New Roman" w:cs="Times New Roman"/>
          <w:color w:val="auto"/>
          <w:spacing w:val="-1"/>
          <w:sz w:val="21"/>
          <w:szCs w:val="21"/>
          <w:highlight w:val="none"/>
        </w:rPr>
        <w:t xml:space="preserve">3.5.2   </w:t>
      </w:r>
      <w:r>
        <w:rPr>
          <w:rFonts w:ascii="宋体" w:hAnsi="宋体" w:eastAsia="宋体" w:cs="宋体"/>
          <w:color w:val="auto"/>
          <w:spacing w:val="-1"/>
          <w:sz w:val="21"/>
          <w:szCs w:val="21"/>
          <w:highlight w:val="none"/>
        </w:rPr>
        <w:t>“近年财务状况表”应附经会计师事务所或审计机构审计的财务会计报表</w:t>
      </w:r>
      <w:r>
        <w:rPr>
          <w:rFonts w:ascii="宋体" w:hAnsi="宋体" w:eastAsia="宋体" w:cs="宋体"/>
          <w:color w:val="auto"/>
          <w:spacing w:val="-2"/>
          <w:sz w:val="21"/>
          <w:szCs w:val="21"/>
          <w:highlight w:val="none"/>
        </w:rPr>
        <w:t>，具体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年份要求见投标人须知前附表。</w:t>
      </w:r>
    </w:p>
    <w:p w14:paraId="49955ED9">
      <w:pPr>
        <w:spacing w:before="110" w:line="268" w:lineRule="auto"/>
        <w:ind w:left="19" w:right="201"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3.5.3   </w:t>
      </w:r>
      <w:r>
        <w:rPr>
          <w:rFonts w:ascii="宋体" w:hAnsi="宋体" w:eastAsia="宋体" w:cs="宋体"/>
          <w:color w:val="auto"/>
          <w:spacing w:val="-4"/>
          <w:sz w:val="21"/>
          <w:szCs w:val="21"/>
          <w:highlight w:val="none"/>
        </w:rPr>
        <w:t>“近年完成的类似项目情况表”应</w:t>
      </w:r>
      <w:r>
        <w:rPr>
          <w:rFonts w:ascii="宋体" w:hAnsi="宋体" w:eastAsia="宋体" w:cs="宋体"/>
          <w:color w:val="auto"/>
          <w:spacing w:val="-5"/>
          <w:sz w:val="21"/>
          <w:szCs w:val="21"/>
          <w:highlight w:val="none"/>
        </w:rPr>
        <w:t>附中标通知书、合同、</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竣工验收等材料，具体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年份要求见投标人须知前附表。每张表格只填写一个项目，并标明序号。</w:t>
      </w:r>
    </w:p>
    <w:p w14:paraId="5D8B5F86">
      <w:pPr>
        <w:spacing w:before="108" w:line="269" w:lineRule="auto"/>
        <w:ind w:left="17" w:right="204"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宋体" w:hAnsi="宋体" w:eastAsia="宋体" w:cs="宋体"/>
          <w:color w:val="auto"/>
          <w:spacing w:val="-1"/>
          <w:sz w:val="21"/>
          <w:szCs w:val="21"/>
          <w:highlight w:val="none"/>
        </w:rPr>
        <w:t>“正在施工和新承接的项目情况表”应附中标通知书、合同协议书等材料</w:t>
      </w:r>
      <w:r>
        <w:rPr>
          <w:rFonts w:ascii="宋体" w:hAnsi="宋体" w:eastAsia="宋体" w:cs="宋体"/>
          <w:color w:val="auto"/>
          <w:spacing w:val="-2"/>
          <w:sz w:val="21"/>
          <w:szCs w:val="21"/>
          <w:highlight w:val="none"/>
        </w:rPr>
        <w:t>。每张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表格只填写一个项目，并标明序号。</w:t>
      </w:r>
    </w:p>
    <w:p w14:paraId="70D6C71F">
      <w:pPr>
        <w:spacing w:before="109" w:line="268" w:lineRule="auto"/>
        <w:ind w:left="24" w:right="204" w:firstLine="41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宋体" w:hAnsi="宋体" w:eastAsia="宋体" w:cs="宋体"/>
          <w:color w:val="auto"/>
          <w:spacing w:val="-1"/>
          <w:sz w:val="21"/>
          <w:szCs w:val="21"/>
          <w:highlight w:val="none"/>
        </w:rPr>
        <w:t>“近年发生的诉讼及仲裁情况”应说明相关情况，并附法院或仲裁机构作</w:t>
      </w:r>
      <w:r>
        <w:rPr>
          <w:rFonts w:ascii="宋体" w:hAnsi="宋体" w:eastAsia="宋体" w:cs="宋体"/>
          <w:color w:val="auto"/>
          <w:spacing w:val="-2"/>
          <w:sz w:val="21"/>
          <w:szCs w:val="21"/>
          <w:highlight w:val="none"/>
        </w:rPr>
        <w:t>出的判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决、裁决等有关法律文书，具体年份要求见</w:t>
      </w:r>
      <w:r>
        <w:rPr>
          <w:rFonts w:ascii="宋体" w:hAnsi="宋体" w:eastAsia="宋体" w:cs="宋体"/>
          <w:color w:val="auto"/>
          <w:spacing w:val="-2"/>
          <w:sz w:val="21"/>
          <w:szCs w:val="21"/>
          <w:highlight w:val="none"/>
        </w:rPr>
        <w:t>投标人须知前附表。</w:t>
      </w:r>
    </w:p>
    <w:p w14:paraId="792B55C7">
      <w:pPr>
        <w:spacing w:before="110" w:line="269" w:lineRule="auto"/>
        <w:ind w:left="19" w:right="197"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3.5.6</w:t>
      </w:r>
      <w:r>
        <w:rPr>
          <w:rFonts w:ascii="Times New Roman" w:hAnsi="Times New Roman" w:eastAsia="Times New Roman" w:cs="Times New Roman"/>
          <w:color w:val="auto"/>
          <w:spacing w:val="20"/>
          <w:w w:val="101"/>
          <w:sz w:val="21"/>
          <w:szCs w:val="21"/>
          <w:highlight w:val="none"/>
        </w:rPr>
        <w:t xml:space="preserve"> </w:t>
      </w:r>
      <w:r>
        <w:rPr>
          <w:rFonts w:ascii="宋体" w:hAnsi="宋体" w:eastAsia="宋体" w:cs="宋体"/>
          <w:color w:val="auto"/>
          <w:spacing w:val="-2"/>
          <w:sz w:val="21"/>
          <w:szCs w:val="21"/>
          <w:highlight w:val="none"/>
        </w:rPr>
        <w:t xml:space="preserve">投标人须知前附表第 </w:t>
      </w:r>
      <w:r>
        <w:rPr>
          <w:rFonts w:ascii="Times New Roman" w:hAnsi="Times New Roman" w:eastAsia="Times New Roman" w:cs="Times New Roman"/>
          <w:color w:val="auto"/>
          <w:spacing w:val="-2"/>
          <w:sz w:val="21"/>
          <w:szCs w:val="21"/>
          <w:highlight w:val="none"/>
        </w:rPr>
        <w:t>1.4.2</w:t>
      </w:r>
      <w:r>
        <w:rPr>
          <w:rFonts w:ascii="Times New Roman" w:hAnsi="Times New Roman" w:eastAsia="Times New Roman" w:cs="Times New Roman"/>
          <w:color w:val="auto"/>
          <w:spacing w:val="17"/>
          <w:sz w:val="21"/>
          <w:szCs w:val="21"/>
          <w:highlight w:val="none"/>
        </w:rPr>
        <w:t xml:space="preserve"> </w:t>
      </w:r>
      <w:r>
        <w:rPr>
          <w:rFonts w:ascii="宋体" w:hAnsi="宋体" w:eastAsia="宋体" w:cs="宋体"/>
          <w:color w:val="auto"/>
          <w:spacing w:val="-2"/>
          <w:sz w:val="21"/>
          <w:szCs w:val="21"/>
          <w:highlight w:val="none"/>
        </w:rPr>
        <w:t xml:space="preserve">项规定接受联合体投标的，本章第 </w:t>
      </w:r>
      <w:r>
        <w:rPr>
          <w:rFonts w:ascii="Times New Roman" w:hAnsi="Times New Roman" w:eastAsia="Times New Roman" w:cs="Times New Roman"/>
          <w:color w:val="auto"/>
          <w:spacing w:val="-2"/>
          <w:sz w:val="21"/>
          <w:szCs w:val="21"/>
          <w:highlight w:val="none"/>
        </w:rPr>
        <w:t>3.5.1</w:t>
      </w:r>
      <w:r>
        <w:rPr>
          <w:rFonts w:ascii="Times New Roman" w:hAnsi="Times New Roman" w:eastAsia="Times New Roman" w:cs="Times New Roman"/>
          <w:color w:val="auto"/>
          <w:spacing w:val="21"/>
          <w:w w:val="101"/>
          <w:sz w:val="21"/>
          <w:szCs w:val="21"/>
          <w:highlight w:val="none"/>
        </w:rPr>
        <w:t xml:space="preserve"> </w:t>
      </w:r>
      <w:r>
        <w:rPr>
          <w:rFonts w:ascii="宋体" w:hAnsi="宋体" w:eastAsia="宋体" w:cs="宋体"/>
          <w:color w:val="auto"/>
          <w:spacing w:val="-2"/>
          <w:sz w:val="21"/>
          <w:szCs w:val="21"/>
          <w:highlight w:val="none"/>
        </w:rPr>
        <w:t>项规</w:t>
      </w:r>
      <w:r>
        <w:rPr>
          <w:rFonts w:ascii="宋体" w:hAnsi="宋体" w:eastAsia="宋体" w:cs="宋体"/>
          <w:color w:val="auto"/>
          <w:spacing w:val="-3"/>
          <w:sz w:val="21"/>
          <w:szCs w:val="21"/>
          <w:highlight w:val="none"/>
        </w:rPr>
        <w:t>定的表格</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和资料应包括联合体各方相关情况。</w:t>
      </w:r>
    </w:p>
    <w:p w14:paraId="02A16E48">
      <w:pPr>
        <w:spacing w:before="109" w:line="268" w:lineRule="auto"/>
        <w:ind w:left="23" w:right="40"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3.5.7</w:t>
      </w:r>
      <w:r>
        <w:rPr>
          <w:rFonts w:ascii="Times New Roman" w:hAnsi="Times New Roman" w:eastAsia="Times New Roman" w:cs="Times New Roman"/>
          <w:color w:val="auto"/>
          <w:spacing w:val="53"/>
          <w:sz w:val="21"/>
          <w:szCs w:val="21"/>
          <w:highlight w:val="none"/>
        </w:rPr>
        <w:t xml:space="preserve"> </w:t>
      </w:r>
      <w:r>
        <w:rPr>
          <w:rFonts w:ascii="宋体" w:hAnsi="宋体" w:eastAsia="宋体" w:cs="宋体"/>
          <w:color w:val="auto"/>
          <w:spacing w:val="-1"/>
          <w:sz w:val="21"/>
          <w:szCs w:val="21"/>
          <w:highlight w:val="none"/>
        </w:rPr>
        <w:t>投标人应按招标文件第八章“投标文件格式”中规定的表格内容填写资格审查表，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并按各资格审查表的具体要求提供相关证件及证明</w:t>
      </w:r>
      <w:r>
        <w:rPr>
          <w:rFonts w:ascii="宋体" w:hAnsi="宋体" w:eastAsia="宋体" w:cs="宋体"/>
          <w:color w:val="auto"/>
          <w:spacing w:val="-2"/>
          <w:sz w:val="21"/>
          <w:szCs w:val="21"/>
          <w:highlight w:val="none"/>
        </w:rPr>
        <w:t>材料。</w:t>
      </w:r>
    </w:p>
    <w:p w14:paraId="765F01BA">
      <w:pPr>
        <w:spacing w:before="109"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3.5.8 </w:t>
      </w:r>
      <w:r>
        <w:rPr>
          <w:rFonts w:ascii="宋体" w:hAnsi="宋体" w:eastAsia="宋体" w:cs="宋体"/>
          <w:color w:val="auto"/>
          <w:spacing w:val="-2"/>
          <w:sz w:val="21"/>
          <w:szCs w:val="21"/>
          <w:highlight w:val="none"/>
        </w:rPr>
        <w:t>本招标文件中“类似项目”的定义见投标人须知前附表第</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10.1.1 </w:t>
      </w:r>
      <w:r>
        <w:rPr>
          <w:rFonts w:ascii="宋体" w:hAnsi="宋体" w:eastAsia="宋体" w:cs="宋体"/>
          <w:color w:val="auto"/>
          <w:spacing w:val="-2"/>
          <w:sz w:val="21"/>
          <w:szCs w:val="21"/>
          <w:highlight w:val="none"/>
        </w:rPr>
        <w:t>条目规定。</w:t>
      </w:r>
    </w:p>
    <w:p w14:paraId="6554A38E">
      <w:pPr>
        <w:spacing w:before="110" w:line="254" w:lineRule="auto"/>
        <w:ind w:left="19" w:right="730" w:firstLine="42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1"/>
          <w:szCs w:val="21"/>
          <w:highlight w:val="none"/>
        </w:rPr>
        <w:t xml:space="preserve">3.5.9 </w:t>
      </w:r>
      <w:r>
        <w:rPr>
          <w:rFonts w:ascii="宋体" w:hAnsi="宋体" w:eastAsia="宋体" w:cs="宋体"/>
          <w:color w:val="auto"/>
          <w:spacing w:val="-1"/>
          <w:sz w:val="21"/>
          <w:szCs w:val="21"/>
          <w:highlight w:val="none"/>
        </w:rPr>
        <w:t>项目经理的已完成的类似项目的业绩，具体年份要求见</w:t>
      </w:r>
      <w:r>
        <w:rPr>
          <w:rFonts w:ascii="宋体" w:hAnsi="宋体" w:eastAsia="宋体" w:cs="宋体"/>
          <w:color w:val="auto"/>
          <w:spacing w:val="-2"/>
          <w:sz w:val="21"/>
          <w:szCs w:val="21"/>
          <w:highlight w:val="none"/>
        </w:rPr>
        <w:t>投标人须知前附表。</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1"/>
          <w:sz w:val="24"/>
          <w:szCs w:val="24"/>
          <w:highlight w:val="none"/>
        </w:rPr>
        <w:t xml:space="preserve">3.6 </w:t>
      </w:r>
      <w:r>
        <w:rPr>
          <w:rFonts w:ascii="黑体" w:hAnsi="黑体" w:eastAsia="黑体" w:cs="黑体"/>
          <w:color w:val="auto"/>
          <w:spacing w:val="-1"/>
          <w:sz w:val="24"/>
          <w:szCs w:val="24"/>
          <w:highlight w:val="none"/>
        </w:rPr>
        <w:t>备选投标方案</w:t>
      </w:r>
    </w:p>
    <w:p w14:paraId="174B9BB7">
      <w:pPr>
        <w:spacing w:before="101" w:line="293" w:lineRule="auto"/>
        <w:ind w:left="17" w:right="202" w:firstLine="43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除投标人须知前附表另有规定外，投标人不得递交备选投标方</w:t>
      </w:r>
      <w:r>
        <w:rPr>
          <w:rFonts w:ascii="宋体" w:hAnsi="宋体" w:eastAsia="宋体" w:cs="宋体"/>
          <w:color w:val="auto"/>
          <w:spacing w:val="2"/>
          <w:sz w:val="21"/>
          <w:szCs w:val="21"/>
          <w:highlight w:val="none"/>
        </w:rPr>
        <w:t>案。允许投标人递交备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选投标方案的，只有中标人所递交的备选投标方案方可予以考虑。评标委员会</w:t>
      </w:r>
      <w:r>
        <w:rPr>
          <w:rFonts w:ascii="宋体" w:hAnsi="宋体" w:eastAsia="宋体" w:cs="宋体"/>
          <w:color w:val="auto"/>
          <w:spacing w:val="2"/>
          <w:sz w:val="21"/>
          <w:szCs w:val="21"/>
          <w:highlight w:val="none"/>
        </w:rPr>
        <w:t>认为中标候</w:t>
      </w:r>
      <w:r>
        <w:rPr>
          <w:rFonts w:ascii="宋体" w:hAnsi="宋体" w:eastAsia="宋体" w:cs="宋体"/>
          <w:color w:val="auto"/>
          <w:sz w:val="21"/>
          <w:szCs w:val="21"/>
          <w:highlight w:val="none"/>
        </w:rPr>
        <w:t xml:space="preserve"> 选人的备选投标方案优于其按照招标文件要求编制的投标方案的， 该中标候选人被确定中</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标人后，招标人可以接受该备选投标方案。</w:t>
      </w:r>
    </w:p>
    <w:p w14:paraId="77D86A31">
      <w:pPr>
        <w:spacing w:before="83"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3.7 </w:t>
      </w:r>
      <w:r>
        <w:rPr>
          <w:rFonts w:ascii="黑体" w:hAnsi="黑体" w:eastAsia="黑体" w:cs="黑体"/>
          <w:color w:val="auto"/>
          <w:spacing w:val="-1"/>
          <w:sz w:val="24"/>
          <w:szCs w:val="24"/>
          <w:highlight w:val="none"/>
        </w:rPr>
        <w:t>投标文件的编制</w:t>
      </w:r>
    </w:p>
    <w:p w14:paraId="072D825A">
      <w:pPr>
        <w:spacing w:before="100" w:line="285" w:lineRule="auto"/>
        <w:ind w:left="20" w:right="199"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3.7.1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投标文件应按第八章“投标文件</w:t>
      </w:r>
      <w:r>
        <w:rPr>
          <w:rFonts w:ascii="宋体" w:hAnsi="宋体" w:eastAsia="宋体" w:cs="宋体"/>
          <w:color w:val="auto"/>
          <w:sz w:val="21"/>
          <w:szCs w:val="21"/>
          <w:highlight w:val="none"/>
        </w:rPr>
        <w:t>格式”进行编写，如有必要，可以增加附页，作 为投标文件的组成部分。其中，投标函附录在满足招标文件实质性要求的基础上， 可以提</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出比招标文件要求更有利于招标人的承诺。</w:t>
      </w:r>
    </w:p>
    <w:p w14:paraId="3AA83BC3">
      <w:pPr>
        <w:spacing w:before="108" w:line="269" w:lineRule="auto"/>
        <w:ind w:left="19" w:right="234" w:firstLine="422"/>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3.7.2</w:t>
      </w:r>
      <w:r>
        <w:rPr>
          <w:rFonts w:ascii="Times New Roman" w:hAnsi="Times New Roman" w:eastAsia="Times New Roman" w:cs="Times New Roman"/>
          <w:color w:val="auto"/>
          <w:spacing w:val="35"/>
          <w:w w:val="101"/>
          <w:sz w:val="21"/>
          <w:szCs w:val="21"/>
          <w:highlight w:val="none"/>
        </w:rPr>
        <w:t xml:space="preserve"> </w:t>
      </w:r>
      <w:r>
        <w:rPr>
          <w:rFonts w:ascii="宋体" w:hAnsi="宋体" w:eastAsia="宋体" w:cs="宋体"/>
          <w:color w:val="auto"/>
          <w:sz w:val="21"/>
          <w:szCs w:val="21"/>
          <w:highlight w:val="none"/>
        </w:rPr>
        <w:t>投标文件应当对招标文件有关工期、投标有效期、质量要求、技</w:t>
      </w:r>
      <w:r>
        <w:rPr>
          <w:rFonts w:ascii="宋体" w:hAnsi="宋体" w:eastAsia="宋体" w:cs="宋体"/>
          <w:color w:val="auto"/>
          <w:spacing w:val="-1"/>
          <w:sz w:val="21"/>
          <w:szCs w:val="21"/>
          <w:highlight w:val="none"/>
        </w:rPr>
        <w:t>术标准和要求、</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招标范围等实质性内容作出响应。</w:t>
      </w:r>
    </w:p>
    <w:p w14:paraId="0C6F2D09">
      <w:pPr>
        <w:spacing w:before="109"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3.7.3 </w:t>
      </w:r>
      <w:r>
        <w:rPr>
          <w:rFonts w:ascii="宋体" w:hAnsi="宋体" w:eastAsia="宋体" w:cs="宋体"/>
          <w:color w:val="auto"/>
          <w:spacing w:val="-1"/>
          <w:sz w:val="21"/>
          <w:szCs w:val="21"/>
          <w:highlight w:val="none"/>
        </w:rPr>
        <w:t>投标文件制作</w:t>
      </w:r>
    </w:p>
    <w:p w14:paraId="0659160C">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）投标文件由投标人使用符合标准的数字化投标文件制作软件制作生成。</w:t>
      </w:r>
    </w:p>
    <w:p w14:paraId="6284C616">
      <w:pPr>
        <w:spacing w:before="108"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）投标人在编制投标文件时应当建立分级目录，</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并按照提示录入或填写相关内容。</w:t>
      </w:r>
    </w:p>
    <w:p w14:paraId="633FA141">
      <w:pPr>
        <w:spacing w:before="108" w:line="293" w:lineRule="auto"/>
        <w:ind w:left="2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）投标人应当从从企业主体信息库（</w:t>
      </w:r>
      <w:r>
        <w:rPr>
          <w:rFonts w:ascii="Times New Roman" w:hAnsi="Times New Roman" w:eastAsia="Times New Roman" w:cs="Times New Roman"/>
          <w:color w:val="auto"/>
          <w:spacing w:val="3"/>
          <w:sz w:val="21"/>
          <w:szCs w:val="21"/>
          <w:highlight w:val="none"/>
        </w:rPr>
        <w:t>2024</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3"/>
          <w:sz w:val="21"/>
          <w:szCs w:val="21"/>
          <w:highlight w:val="none"/>
        </w:rPr>
        <w:t>年新版本辽宁省工程建设项</w:t>
      </w:r>
      <w:r>
        <w:rPr>
          <w:rFonts w:ascii="宋体" w:hAnsi="宋体" w:eastAsia="宋体" w:cs="宋体"/>
          <w:color w:val="auto"/>
          <w:spacing w:val="2"/>
          <w:sz w:val="21"/>
          <w:szCs w:val="21"/>
          <w:highlight w:val="none"/>
        </w:rPr>
        <w:t>目主体云库）</w:t>
      </w:r>
      <w:r>
        <w:rPr>
          <w:rFonts w:ascii="宋体" w:hAnsi="宋体" w:eastAsia="宋体" w:cs="宋体"/>
          <w:color w:val="auto"/>
          <w:sz w:val="21"/>
          <w:szCs w:val="21"/>
          <w:highlight w:val="none"/>
        </w:rPr>
        <w:t xml:space="preserve"> 中选择用于评审的佐证或证明材料并获取相应的数据信息， 在制作投标文件时生成应用于</w:t>
      </w:r>
      <w:r>
        <w:rPr>
          <w:rFonts w:ascii="宋体" w:hAnsi="宋体" w:eastAsia="宋体" w:cs="宋体"/>
          <w:color w:val="auto"/>
          <w:spacing w:val="1"/>
          <w:sz w:val="21"/>
          <w:szCs w:val="21"/>
          <w:highlight w:val="none"/>
        </w:rPr>
        <w:t xml:space="preserve">   </w:t>
      </w:r>
      <w:r>
        <w:rPr>
          <w:rFonts w:ascii="宋体" w:hAnsi="宋体" w:eastAsia="宋体" w:cs="宋体"/>
          <w:color w:val="auto"/>
          <w:spacing w:val="3"/>
          <w:sz w:val="21"/>
          <w:szCs w:val="21"/>
          <w:highlight w:val="none"/>
        </w:rPr>
        <w:t>项目评审的数字证照或影印件。如发现获取信息内容有错误应当在企业主体信</w:t>
      </w:r>
      <w:r>
        <w:rPr>
          <w:rFonts w:ascii="宋体" w:hAnsi="宋体" w:eastAsia="宋体" w:cs="宋体"/>
          <w:color w:val="auto"/>
          <w:spacing w:val="2"/>
          <w:sz w:val="21"/>
          <w:szCs w:val="21"/>
          <w:highlight w:val="none"/>
        </w:rPr>
        <w:t>息库修改和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完善，并重新获取并生成数字证照或影印件。</w:t>
      </w:r>
    </w:p>
    <w:p w14:paraId="61FBBD9B">
      <w:pPr>
        <w:spacing w:before="108" w:line="269" w:lineRule="auto"/>
        <w:ind w:left="20" w:right="202"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投标人投标文件中数字证照数据信息内容是专家评审凭证和依据，投标人应当自行校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核和确认数字证照数据信息内容，确保其准确有效和响应招标文件要求。</w:t>
      </w:r>
    </w:p>
    <w:p w14:paraId="708730F7">
      <w:pPr>
        <w:spacing w:before="111" w:line="292" w:lineRule="auto"/>
        <w:ind w:left="17" w:right="207"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投标人应用于投标的数字证照可通过主体信息库调取、下载和追溯其数</w:t>
      </w:r>
      <w:r>
        <w:rPr>
          <w:rFonts w:ascii="宋体" w:hAnsi="宋体" w:eastAsia="宋体" w:cs="宋体"/>
          <w:color w:val="auto"/>
          <w:spacing w:val="2"/>
          <w:sz w:val="21"/>
          <w:szCs w:val="21"/>
          <w:highlight w:val="none"/>
        </w:rPr>
        <w:t>据原始材料，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用于核查、归档、调查或异议投诉处理等事宜。如发现投标人投标文件中应用</w:t>
      </w:r>
      <w:r>
        <w:rPr>
          <w:rFonts w:ascii="宋体" w:hAnsi="宋体" w:eastAsia="宋体" w:cs="宋体"/>
          <w:color w:val="auto"/>
          <w:spacing w:val="2"/>
          <w:sz w:val="21"/>
          <w:szCs w:val="21"/>
          <w:highlight w:val="none"/>
        </w:rPr>
        <w:t>于评审的数</w:t>
      </w:r>
      <w:r>
        <w:rPr>
          <w:rFonts w:ascii="宋体" w:hAnsi="宋体" w:eastAsia="宋体" w:cs="宋体"/>
          <w:color w:val="auto"/>
          <w:sz w:val="21"/>
          <w:szCs w:val="21"/>
          <w:highlight w:val="none"/>
        </w:rPr>
        <w:t xml:space="preserve"> 据证照信息数据内容存在不实或弄虚作假的， 即按照弄虚作假骗取中标行为予以认定并依</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法依规处理。</w:t>
      </w:r>
    </w:p>
    <w:p w14:paraId="186B368C">
      <w:pPr>
        <w:spacing w:line="292" w:lineRule="auto"/>
        <w:rPr>
          <w:rFonts w:ascii="宋体" w:hAnsi="宋体" w:eastAsia="宋体" w:cs="宋体"/>
          <w:color w:val="auto"/>
          <w:sz w:val="21"/>
          <w:szCs w:val="21"/>
          <w:highlight w:val="none"/>
        </w:rPr>
        <w:sectPr>
          <w:footerReference r:id="rId24" w:type="default"/>
          <w:pgSz w:w="11905" w:h="16839"/>
          <w:pgMar w:top="1431" w:right="1589" w:bottom="1036" w:left="1785" w:header="0" w:footer="847" w:gutter="0"/>
          <w:pgNumType w:fmt="decimal"/>
          <w:cols w:space="720" w:num="1"/>
        </w:sectPr>
      </w:pPr>
    </w:p>
    <w:p w14:paraId="5419338B">
      <w:pPr>
        <w:spacing w:before="115" w:line="220" w:lineRule="auto"/>
        <w:ind w:left="441"/>
        <w:rPr>
          <w:rFonts w:ascii="宋体" w:hAnsi="宋体" w:eastAsia="宋体" w:cs="宋体"/>
          <w:color w:val="auto"/>
          <w:sz w:val="21"/>
          <w:szCs w:val="21"/>
          <w:highlight w:val="none"/>
        </w:rPr>
      </w:pPr>
      <w:bookmarkStart w:id="74" w:name="bookmark93"/>
      <w:bookmarkEnd w:id="74"/>
      <w:r>
        <w:rPr>
          <w:rFonts w:ascii="宋体" w:hAnsi="宋体" w:eastAsia="宋体" w:cs="宋体"/>
          <w:color w:val="auto"/>
          <w:spacing w:val="-1"/>
          <w:sz w:val="21"/>
          <w:szCs w:val="21"/>
          <w:highlight w:val="none"/>
        </w:rPr>
        <w:t>应用数字证照评审的节点和材料内容见投标人须知前附</w:t>
      </w:r>
      <w:r>
        <w:rPr>
          <w:rFonts w:ascii="宋体" w:hAnsi="宋体" w:eastAsia="宋体" w:cs="宋体"/>
          <w:color w:val="auto"/>
          <w:spacing w:val="-2"/>
          <w:sz w:val="21"/>
          <w:szCs w:val="21"/>
          <w:highlight w:val="none"/>
        </w:rPr>
        <w:t>表。</w:t>
      </w:r>
    </w:p>
    <w:p w14:paraId="1DFE204C">
      <w:pPr>
        <w:spacing w:before="107" w:line="301" w:lineRule="auto"/>
        <w:ind w:left="18" w:firstLine="42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12"/>
          <w:sz w:val="21"/>
          <w:szCs w:val="21"/>
          <w:highlight w:val="none"/>
        </w:rPr>
        <w:t>4</w:t>
      </w:r>
      <w:r>
        <w:rPr>
          <w:rFonts w:ascii="宋体" w:hAnsi="宋体" w:eastAsia="宋体" w:cs="宋体"/>
          <w:color w:val="auto"/>
          <w:spacing w:val="12"/>
          <w:sz w:val="21"/>
          <w:szCs w:val="21"/>
          <w:highlight w:val="none"/>
        </w:rPr>
        <w:t>）第八章投标文件格式文件要求“盖单位</w:t>
      </w:r>
      <w:r>
        <w:rPr>
          <w:rFonts w:ascii="宋体" w:hAnsi="宋体" w:eastAsia="宋体" w:cs="宋体"/>
          <w:color w:val="auto"/>
          <w:spacing w:val="11"/>
          <w:sz w:val="21"/>
          <w:szCs w:val="21"/>
          <w:highlight w:val="none"/>
        </w:rPr>
        <w:t>章”的地方，投标人应使用数字证书</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z w:val="21"/>
          <w:szCs w:val="21"/>
          <w:highlight w:val="none"/>
        </w:rPr>
        <w:t>CA</w:t>
      </w:r>
      <w:r>
        <w:rPr>
          <w:rFonts w:ascii="宋体" w:hAnsi="宋体" w:eastAsia="宋体" w:cs="宋体"/>
          <w:color w:val="auto"/>
          <w:spacing w:val="1"/>
          <w:sz w:val="21"/>
          <w:szCs w:val="21"/>
          <w:highlight w:val="none"/>
        </w:rPr>
        <w:t>）加盖投标人的单位电子印章； 要求“签章”的地方，投标人应使用数字证书（</w:t>
      </w:r>
      <w:r>
        <w:rPr>
          <w:rFonts w:ascii="Times New Roman" w:hAnsi="Times New Roman" w:eastAsia="Times New Roman" w:cs="Times New Roman"/>
          <w:color w:val="auto"/>
          <w:sz w:val="21"/>
          <w:szCs w:val="21"/>
          <w:highlight w:val="none"/>
        </w:rPr>
        <w:t>CA</w:t>
      </w:r>
      <w:r>
        <w:rPr>
          <w:rFonts w:ascii="宋体" w:hAnsi="宋体" w:eastAsia="宋体" w:cs="宋体"/>
          <w:color w:val="auto"/>
          <w:spacing w:val="1"/>
          <w:sz w:val="21"/>
          <w:szCs w:val="21"/>
          <w:highlight w:val="none"/>
        </w:rPr>
        <w:t>）</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加盖法定代表人（授权委托人）的个人电子印章或电子签名。联合体投标的，投标文</w:t>
      </w:r>
      <w:r>
        <w:rPr>
          <w:rFonts w:ascii="宋体" w:hAnsi="宋体" w:eastAsia="宋体" w:cs="宋体"/>
          <w:color w:val="auto"/>
          <w:spacing w:val="2"/>
          <w:sz w:val="21"/>
          <w:szCs w:val="21"/>
          <w:highlight w:val="none"/>
        </w:rPr>
        <w:t>件由</w:t>
      </w:r>
      <w:r>
        <w:rPr>
          <w:rFonts w:ascii="宋体" w:hAnsi="宋体" w:eastAsia="宋体" w:cs="宋体"/>
          <w:color w:val="auto"/>
          <w:sz w:val="21"/>
          <w:szCs w:val="21"/>
          <w:highlight w:val="none"/>
        </w:rPr>
        <w:t xml:space="preserve">   联合体牵头人按上述规定在要求“盖单位章”的地方加盖联合体牵头人单位电子印章； 在</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要求“签章”的地方加盖联合体牵头人法定代表人（授权委托人） 的个人电子印章或电子</w:t>
      </w:r>
      <w:r>
        <w:rPr>
          <w:rFonts w:ascii="宋体" w:hAnsi="宋体" w:eastAsia="宋体" w:cs="宋体"/>
          <w:color w:val="auto"/>
          <w:spacing w:val="3"/>
          <w:sz w:val="21"/>
          <w:szCs w:val="21"/>
          <w:highlight w:val="none"/>
        </w:rPr>
        <w:t xml:space="preserve">   </w:t>
      </w:r>
      <w:r>
        <w:rPr>
          <w:rFonts w:ascii="宋体" w:hAnsi="宋体" w:eastAsia="宋体" w:cs="宋体"/>
          <w:color w:val="auto"/>
          <w:spacing w:val="-8"/>
          <w:sz w:val="21"/>
          <w:szCs w:val="21"/>
          <w:highlight w:val="none"/>
        </w:rPr>
        <w:t>签名。 招标文件有特别说明的除外。</w:t>
      </w:r>
    </w:p>
    <w:p w14:paraId="732CD583">
      <w:pPr>
        <w:spacing w:before="108" w:line="269" w:lineRule="auto"/>
        <w:ind w:left="19" w:right="192"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）投标文件中的已标价工程量清单数据文件应符合辽宁省建设工程造价数据规范的</w:t>
      </w:r>
      <w:r>
        <w:rPr>
          <w:rFonts w:ascii="宋体" w:hAnsi="宋体" w:eastAsia="宋体" w:cs="宋体"/>
          <w:color w:val="auto"/>
          <w:spacing w:val="7"/>
          <w:sz w:val="21"/>
          <w:szCs w:val="21"/>
          <w:highlight w:val="none"/>
        </w:rPr>
        <w:t xml:space="preserve"> </w:t>
      </w:r>
      <w:r>
        <w:rPr>
          <w:rFonts w:ascii="宋体" w:hAnsi="宋体" w:eastAsia="宋体" w:cs="宋体"/>
          <w:color w:val="auto"/>
          <w:spacing w:val="-4"/>
          <w:sz w:val="21"/>
          <w:szCs w:val="21"/>
          <w:highlight w:val="none"/>
        </w:rPr>
        <w:t>要求，多个专业分别编制时， 应汇总合并为一个文</w:t>
      </w:r>
      <w:r>
        <w:rPr>
          <w:rFonts w:ascii="宋体" w:hAnsi="宋体" w:eastAsia="宋体" w:cs="宋体"/>
          <w:color w:val="auto"/>
          <w:spacing w:val="-5"/>
          <w:sz w:val="21"/>
          <w:szCs w:val="21"/>
          <w:highlight w:val="none"/>
        </w:rPr>
        <w:t>件导入。</w:t>
      </w:r>
    </w:p>
    <w:p w14:paraId="7CC3EF3D">
      <w:pPr>
        <w:spacing w:before="106" w:line="293" w:lineRule="auto"/>
        <w:ind w:left="19" w:right="192" w:firstLine="42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）投标文件制作完成后，将生成一份加密的电子投标文件。</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投标人应当自行验证电</w:t>
      </w:r>
      <w:r>
        <w:rPr>
          <w:rFonts w:ascii="宋体" w:hAnsi="宋体" w:eastAsia="宋体" w:cs="宋体"/>
          <w:color w:val="auto"/>
          <w:sz w:val="21"/>
          <w:szCs w:val="21"/>
          <w:highlight w:val="none"/>
        </w:rPr>
        <w:t xml:space="preserve"> 子投标文件格式、内容和数据的准确性，原则上电子投</w:t>
      </w:r>
      <w:r>
        <w:rPr>
          <w:rFonts w:ascii="宋体" w:hAnsi="宋体" w:eastAsia="宋体" w:cs="宋体"/>
          <w:color w:val="auto"/>
          <w:spacing w:val="-1"/>
          <w:sz w:val="21"/>
          <w:szCs w:val="21"/>
          <w:highlight w:val="none"/>
        </w:rPr>
        <w:t>标文件大小不得超过</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500M</w:t>
      </w:r>
      <w:r>
        <w:rPr>
          <w:rFonts w:ascii="宋体" w:hAnsi="宋体" w:eastAsia="宋体" w:cs="宋体"/>
          <w:color w:val="auto"/>
          <w:spacing w:val="-1"/>
          <w:sz w:val="21"/>
          <w:szCs w:val="21"/>
          <w:highlight w:val="none"/>
        </w:rPr>
        <w:t>。电子投</w:t>
      </w:r>
      <w:r>
        <w:rPr>
          <w:rFonts w:ascii="宋体" w:hAnsi="宋体" w:eastAsia="宋体" w:cs="宋体"/>
          <w:color w:val="auto"/>
          <w:sz w:val="21"/>
          <w:szCs w:val="21"/>
          <w:highlight w:val="none"/>
        </w:rPr>
        <w:t xml:space="preserve"> 标文件由于格式、内容或数据存在错误造成无法解密或解析，视为撤回投标文件， 责任由</w:t>
      </w:r>
      <w:r>
        <w:rPr>
          <w:rFonts w:ascii="宋体" w:hAnsi="宋体" w:eastAsia="宋体" w:cs="宋体"/>
          <w:color w:val="auto"/>
          <w:spacing w:val="6"/>
          <w:sz w:val="21"/>
          <w:szCs w:val="21"/>
          <w:highlight w:val="none"/>
        </w:rPr>
        <w:t xml:space="preserve"> </w:t>
      </w:r>
      <w:r>
        <w:rPr>
          <w:rFonts w:ascii="宋体" w:hAnsi="宋体" w:eastAsia="宋体" w:cs="宋体"/>
          <w:color w:val="auto"/>
          <w:spacing w:val="-4"/>
          <w:sz w:val="21"/>
          <w:szCs w:val="21"/>
          <w:highlight w:val="none"/>
        </w:rPr>
        <w:t>投标人自行承担。</w:t>
      </w:r>
    </w:p>
    <w:p w14:paraId="5DF3381D">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）投标文件制作的具体方法详见“数字化投标文件制作软件”中的操作说明。</w:t>
      </w:r>
    </w:p>
    <w:p w14:paraId="55153714">
      <w:pPr>
        <w:spacing w:before="109" w:line="268" w:lineRule="auto"/>
        <w:ind w:left="20" w:right="197"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3.7.4</w:t>
      </w:r>
      <w:r>
        <w:rPr>
          <w:rFonts w:ascii="Times New Roman" w:hAnsi="Times New Roman" w:eastAsia="Times New Roman" w:cs="Times New Roman"/>
          <w:color w:val="auto"/>
          <w:spacing w:val="55"/>
          <w:w w:val="101"/>
          <w:sz w:val="21"/>
          <w:szCs w:val="21"/>
          <w:highlight w:val="none"/>
        </w:rPr>
        <w:t xml:space="preserve"> </w:t>
      </w:r>
      <w:r>
        <w:rPr>
          <w:rFonts w:ascii="宋体" w:hAnsi="宋体" w:eastAsia="宋体" w:cs="宋体"/>
          <w:color w:val="auto"/>
          <w:spacing w:val="-5"/>
          <w:sz w:val="21"/>
          <w:szCs w:val="21"/>
          <w:highlight w:val="none"/>
        </w:rPr>
        <w:t>投标人须知前附表规定“施工组织设计”（技术标）采用“模块化暗标”，“施工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组织设计”应按本章第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3.7.3 </w:t>
      </w:r>
      <w:r>
        <w:rPr>
          <w:rFonts w:ascii="宋体" w:hAnsi="宋体" w:eastAsia="宋体" w:cs="宋体"/>
          <w:color w:val="auto"/>
          <w:spacing w:val="-1"/>
          <w:sz w:val="21"/>
          <w:szCs w:val="21"/>
          <w:highlight w:val="none"/>
        </w:rPr>
        <w:t>项制作投标文件并应满足下列要求：</w:t>
      </w:r>
    </w:p>
    <w:p w14:paraId="5EEEADC3">
      <w:pPr>
        <w:spacing w:before="112" w:line="292" w:lineRule="auto"/>
        <w:ind w:left="14" w:right="194" w:firstLine="43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）模块采用</w:t>
      </w:r>
      <w:r>
        <w:rPr>
          <w:rFonts w:ascii="宋体" w:hAnsi="宋体" w:eastAsia="宋体" w:cs="宋体"/>
          <w:color w:val="auto"/>
          <w:spacing w:val="-60"/>
          <w:sz w:val="21"/>
          <w:szCs w:val="21"/>
          <w:highlight w:val="none"/>
        </w:rPr>
        <w:t xml:space="preserve"> </w:t>
      </w:r>
      <w:r>
        <w:rPr>
          <w:rFonts w:ascii="Times New Roman" w:hAnsi="Times New Roman" w:eastAsia="Times New Roman" w:cs="Times New Roman"/>
          <w:color w:val="auto"/>
          <w:spacing w:val="-3"/>
          <w:sz w:val="21"/>
          <w:szCs w:val="21"/>
          <w:highlight w:val="none"/>
        </w:rPr>
        <w:t>A4</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3"/>
          <w:sz w:val="21"/>
          <w:szCs w:val="21"/>
          <w:highlight w:val="none"/>
        </w:rPr>
        <w:t>规格纸张，纸张方向为纵向，段落采用单</w:t>
      </w:r>
      <w:r>
        <w:rPr>
          <w:rFonts w:ascii="宋体" w:hAnsi="宋体" w:eastAsia="宋体" w:cs="宋体"/>
          <w:color w:val="auto"/>
          <w:spacing w:val="-4"/>
          <w:sz w:val="21"/>
          <w:szCs w:val="21"/>
          <w:highlight w:val="none"/>
        </w:rPr>
        <w:t>倍行距，“文档网格”设置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为“无网格”，对齐方式两端对齐，大纲级别正文文本，左侧、右侧缩进</w:t>
      </w:r>
      <w:r>
        <w:rPr>
          <w:rFonts w:ascii="宋体" w:hAnsi="宋体" w:eastAsia="宋体" w:cs="宋体"/>
          <w:color w:val="auto"/>
          <w:spacing w:val="-1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0 </w:t>
      </w:r>
      <w:r>
        <w:rPr>
          <w:rFonts w:ascii="宋体" w:hAnsi="宋体" w:eastAsia="宋体" w:cs="宋体"/>
          <w:color w:val="auto"/>
          <w:spacing w:val="-3"/>
          <w:sz w:val="21"/>
          <w:szCs w:val="21"/>
          <w:highlight w:val="none"/>
        </w:rPr>
        <w:t>个字符，首行缩</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进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2"/>
          <w:sz w:val="21"/>
          <w:szCs w:val="21"/>
          <w:highlight w:val="none"/>
        </w:rPr>
        <w:t xml:space="preserve">个字符，段前、段后 </w:t>
      </w:r>
      <w:r>
        <w:rPr>
          <w:rFonts w:ascii="Times New Roman" w:hAnsi="Times New Roman" w:eastAsia="Times New Roman" w:cs="Times New Roman"/>
          <w:color w:val="auto"/>
          <w:spacing w:val="-2"/>
          <w:sz w:val="21"/>
          <w:szCs w:val="21"/>
          <w:highlight w:val="none"/>
        </w:rPr>
        <w:t>0</w:t>
      </w:r>
      <w:r>
        <w:rPr>
          <w:rFonts w:ascii="Times New Roman" w:hAnsi="Times New Roman" w:eastAsia="Times New Roman" w:cs="Times New Roman"/>
          <w:color w:val="auto"/>
          <w:spacing w:val="27"/>
          <w:sz w:val="21"/>
          <w:szCs w:val="21"/>
          <w:highlight w:val="none"/>
        </w:rPr>
        <w:t xml:space="preserve"> </w:t>
      </w:r>
      <w:r>
        <w:rPr>
          <w:rFonts w:ascii="宋体" w:hAnsi="宋体" w:eastAsia="宋体" w:cs="宋体"/>
          <w:color w:val="auto"/>
          <w:spacing w:val="-2"/>
          <w:sz w:val="21"/>
          <w:szCs w:val="21"/>
          <w:highlight w:val="none"/>
        </w:rPr>
        <w:t>行。编辑软件可采用</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pacing w:val="-2"/>
          <w:sz w:val="21"/>
          <w:szCs w:val="21"/>
          <w:highlight w:val="none"/>
        </w:rPr>
        <w:t>Microsoft</w:t>
      </w:r>
      <w:r>
        <w:rPr>
          <w:rFonts w:ascii="Times New Roman" w:hAnsi="Times New Roman" w:eastAsia="Times New Roman" w:cs="Times New Roman"/>
          <w:color w:val="auto"/>
          <w:spacing w:val="21"/>
          <w:w w:val="101"/>
          <w:sz w:val="21"/>
          <w:szCs w:val="21"/>
          <w:highlight w:val="none"/>
        </w:rPr>
        <w:t xml:space="preserve"> </w:t>
      </w:r>
      <w:r>
        <w:rPr>
          <w:rFonts w:ascii="Times New Roman" w:hAnsi="Times New Roman" w:eastAsia="Times New Roman" w:cs="Times New Roman"/>
          <w:color w:val="auto"/>
          <w:spacing w:val="-2"/>
          <w:sz w:val="21"/>
          <w:szCs w:val="21"/>
          <w:highlight w:val="none"/>
        </w:rPr>
        <w:t>Word</w:t>
      </w:r>
      <w:r>
        <w:rPr>
          <w:rFonts w:ascii="Times New Roman" w:hAnsi="Times New Roman" w:eastAsia="Times New Roman" w:cs="Times New Roman"/>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2010</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2"/>
          <w:sz w:val="21"/>
          <w:szCs w:val="21"/>
          <w:highlight w:val="none"/>
        </w:rPr>
        <w:t>及以上版本或</w:t>
      </w:r>
      <w:r>
        <w:rPr>
          <w:rFonts w:ascii="宋体" w:hAnsi="宋体" w:eastAsia="宋体" w:cs="宋体"/>
          <w:color w:val="auto"/>
          <w:spacing w:val="-21"/>
          <w:sz w:val="21"/>
          <w:szCs w:val="21"/>
          <w:highlight w:val="none"/>
        </w:rPr>
        <w:t xml:space="preserve"> </w:t>
      </w:r>
      <w:r>
        <w:rPr>
          <w:rFonts w:ascii="Times New Roman" w:hAnsi="Times New Roman" w:eastAsia="Times New Roman" w:cs="Times New Roman"/>
          <w:color w:val="auto"/>
          <w:spacing w:val="-2"/>
          <w:sz w:val="21"/>
          <w:szCs w:val="21"/>
          <w:highlight w:val="none"/>
        </w:rPr>
        <w:t>WPS</w:t>
      </w:r>
      <w:r>
        <w:rPr>
          <w:rFonts w:ascii="Times New Roman" w:hAnsi="Times New Roman" w:eastAsia="Times New Roman" w:cs="Times New Roman"/>
          <w:color w:val="auto"/>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2013 </w:t>
      </w:r>
      <w:r>
        <w:rPr>
          <w:rFonts w:ascii="宋体" w:hAnsi="宋体" w:eastAsia="宋体" w:cs="宋体"/>
          <w:color w:val="auto"/>
          <w:spacing w:val="-2"/>
          <w:sz w:val="21"/>
          <w:szCs w:val="21"/>
          <w:highlight w:val="none"/>
        </w:rPr>
        <w:t>版本及以上版本。</w:t>
      </w:r>
    </w:p>
    <w:p w14:paraId="524D1B2B">
      <w:pPr>
        <w:spacing w:before="110" w:line="269" w:lineRule="auto"/>
        <w:ind w:left="38" w:right="209" w:firstLine="40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）标题（包括章、节、条、款、项）、正文要求： 采用</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pacing w:val="-6"/>
          <w:sz w:val="21"/>
          <w:szCs w:val="21"/>
          <w:highlight w:val="none"/>
        </w:rPr>
        <w:t>A4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6"/>
          <w:sz w:val="21"/>
          <w:szCs w:val="21"/>
          <w:highlight w:val="none"/>
        </w:rPr>
        <w:t>规格纸张，文字</w:t>
      </w:r>
      <w:r>
        <w:rPr>
          <w:rFonts w:ascii="宋体" w:hAnsi="宋体" w:eastAsia="宋体" w:cs="宋体"/>
          <w:color w:val="auto"/>
          <w:spacing w:val="-7"/>
          <w:sz w:val="21"/>
          <w:szCs w:val="21"/>
          <w:highlight w:val="none"/>
        </w:rPr>
        <w:t>为黑色小</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四号宋体，</w:t>
      </w:r>
      <w:r>
        <w:rPr>
          <w:rFonts w:ascii="宋体" w:hAnsi="宋体" w:eastAsia="宋体" w:cs="宋体"/>
          <w:color w:val="auto"/>
          <w:spacing w:val="20"/>
          <w:sz w:val="21"/>
          <w:szCs w:val="21"/>
          <w:highlight w:val="none"/>
        </w:rPr>
        <w:t xml:space="preserve"> </w:t>
      </w:r>
      <w:r>
        <w:rPr>
          <w:rFonts w:ascii="宋体" w:hAnsi="宋体" w:eastAsia="宋体" w:cs="宋体"/>
          <w:color w:val="auto"/>
          <w:spacing w:val="-15"/>
          <w:sz w:val="21"/>
          <w:szCs w:val="21"/>
          <w:highlight w:val="none"/>
        </w:rPr>
        <w:t>标题可加粗。</w:t>
      </w:r>
    </w:p>
    <w:p w14:paraId="19DD8E01">
      <w:pPr>
        <w:spacing w:before="106" w:line="293" w:lineRule="auto"/>
        <w:ind w:left="18" w:right="191"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）图表要求： 图表应尽可能采用</w:t>
      </w:r>
      <w:r>
        <w:rPr>
          <w:rFonts w:ascii="宋体" w:hAnsi="宋体" w:eastAsia="宋体" w:cs="宋体"/>
          <w:color w:val="auto"/>
          <w:spacing w:val="-5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A4 </w:t>
      </w:r>
      <w:r>
        <w:rPr>
          <w:rFonts w:ascii="宋体" w:hAnsi="宋体" w:eastAsia="宋体" w:cs="宋体"/>
          <w:color w:val="auto"/>
          <w:spacing w:val="-3"/>
          <w:sz w:val="21"/>
          <w:szCs w:val="21"/>
          <w:highlight w:val="none"/>
        </w:rPr>
        <w:t>规格白色</w:t>
      </w:r>
      <w:r>
        <w:rPr>
          <w:rFonts w:ascii="宋体" w:hAnsi="宋体" w:eastAsia="宋体" w:cs="宋体"/>
          <w:color w:val="auto"/>
          <w:spacing w:val="-4"/>
          <w:sz w:val="21"/>
          <w:szCs w:val="21"/>
          <w:highlight w:val="none"/>
        </w:rPr>
        <w:t>底色，对于比较大的图表可使用</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A3</w:t>
      </w:r>
      <w:r>
        <w:rPr>
          <w:rFonts w:ascii="宋体" w:hAnsi="宋体" w:eastAsia="宋体" w:cs="宋体"/>
          <w:color w:val="auto"/>
          <w:spacing w:val="-48"/>
          <w:sz w:val="21"/>
          <w:szCs w:val="21"/>
          <w:highlight w:val="none"/>
        </w:rPr>
        <w:t xml:space="preserve"> </w:t>
      </w:r>
      <w:r>
        <w:rPr>
          <w:rFonts w:ascii="宋体" w:hAnsi="宋体" w:eastAsia="宋体" w:cs="宋体"/>
          <w:color w:val="auto"/>
          <w:spacing w:val="-4"/>
          <w:sz w:val="21"/>
          <w:szCs w:val="21"/>
          <w:highlight w:val="none"/>
        </w:rPr>
        <w:t>规</w:t>
      </w:r>
      <w:r>
        <w:rPr>
          <w:rFonts w:ascii="宋体" w:hAnsi="宋体" w:eastAsia="宋体" w:cs="宋体"/>
          <w:color w:val="auto"/>
          <w:sz w:val="21"/>
          <w:szCs w:val="21"/>
          <w:highlight w:val="none"/>
        </w:rPr>
        <w:t xml:space="preserve"> 格白色底色。 图表中的文字采用黑色，字体、字号不限（不包括纯表格，纯表格中文字要</w:t>
      </w:r>
      <w:r>
        <w:rPr>
          <w:rFonts w:ascii="宋体" w:hAnsi="宋体" w:eastAsia="宋体" w:cs="宋体"/>
          <w:color w:val="auto"/>
          <w:spacing w:val="11"/>
          <w:sz w:val="21"/>
          <w:szCs w:val="21"/>
          <w:highlight w:val="none"/>
        </w:rPr>
        <w:t xml:space="preserve"> </w:t>
      </w:r>
      <w:r>
        <w:rPr>
          <w:rFonts w:ascii="宋体" w:hAnsi="宋体" w:eastAsia="宋体" w:cs="宋体"/>
          <w:color w:val="auto"/>
          <w:spacing w:val="-7"/>
          <w:sz w:val="21"/>
          <w:szCs w:val="21"/>
          <w:highlight w:val="none"/>
        </w:rPr>
        <w:t>求同正文要求）。</w:t>
      </w:r>
      <w:r>
        <w:rPr>
          <w:rFonts w:ascii="宋体" w:hAnsi="宋体" w:eastAsia="宋体" w:cs="宋体"/>
          <w:color w:val="auto"/>
          <w:spacing w:val="-59"/>
          <w:sz w:val="21"/>
          <w:szCs w:val="21"/>
          <w:highlight w:val="none"/>
        </w:rPr>
        <w:t xml:space="preserve"> </w:t>
      </w:r>
      <w:r>
        <w:rPr>
          <w:rFonts w:ascii="宋体" w:hAnsi="宋体" w:eastAsia="宋体" w:cs="宋体"/>
          <w:color w:val="auto"/>
          <w:spacing w:val="-7"/>
          <w:sz w:val="21"/>
          <w:szCs w:val="21"/>
          <w:highlight w:val="none"/>
        </w:rPr>
        <w:t>图表（包括框图、流程图、结构图等，不包括纯表</w:t>
      </w:r>
      <w:r>
        <w:rPr>
          <w:rFonts w:ascii="宋体" w:hAnsi="宋体" w:eastAsia="宋体" w:cs="宋体"/>
          <w:color w:val="auto"/>
          <w:spacing w:val="-8"/>
          <w:sz w:val="21"/>
          <w:szCs w:val="21"/>
          <w:highlight w:val="none"/>
        </w:rPr>
        <w:t>格）</w:t>
      </w:r>
      <w:r>
        <w:rPr>
          <w:rFonts w:ascii="宋体" w:hAnsi="宋体" w:eastAsia="宋体" w:cs="宋体"/>
          <w:color w:val="auto"/>
          <w:spacing w:val="43"/>
          <w:sz w:val="21"/>
          <w:szCs w:val="21"/>
          <w:highlight w:val="none"/>
        </w:rPr>
        <w:t xml:space="preserve"> </w:t>
      </w:r>
      <w:r>
        <w:rPr>
          <w:rFonts w:ascii="宋体" w:hAnsi="宋体" w:eastAsia="宋体" w:cs="宋体"/>
          <w:color w:val="auto"/>
          <w:spacing w:val="-8"/>
          <w:sz w:val="21"/>
          <w:szCs w:val="21"/>
          <w:highlight w:val="none"/>
        </w:rPr>
        <w:t>内容需转换为“图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片”格式插入到文件对应位置上。</w:t>
      </w:r>
    </w:p>
    <w:p w14:paraId="1A2C0D23">
      <w:pPr>
        <w:spacing w:before="109" w:line="268" w:lineRule="auto"/>
        <w:ind w:left="17" w:right="212"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）页眉和页脚（包括页码）设置要求：不允许出现页</w:t>
      </w:r>
      <w:r>
        <w:rPr>
          <w:rFonts w:ascii="宋体" w:hAnsi="宋体" w:eastAsia="宋体" w:cs="宋体"/>
          <w:color w:val="auto"/>
          <w:spacing w:val="-1"/>
          <w:sz w:val="21"/>
          <w:szCs w:val="21"/>
          <w:highlight w:val="none"/>
        </w:rPr>
        <w:t>眉，且页脚只准出现页码，页</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码格式采用阿拉伯数字格式， 字体为五号</w:t>
      </w:r>
      <w:r>
        <w:rPr>
          <w:rFonts w:ascii="宋体" w:hAnsi="宋体" w:eastAsia="宋体" w:cs="宋体"/>
          <w:color w:val="auto"/>
          <w:spacing w:val="-6"/>
          <w:sz w:val="21"/>
          <w:szCs w:val="21"/>
          <w:highlight w:val="none"/>
        </w:rPr>
        <w:t>宋体， 设在页脚居中位置，页码应当连续。</w:t>
      </w:r>
    </w:p>
    <w:p w14:paraId="1F762A30">
      <w:pPr>
        <w:spacing w:before="111"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）不允许有目录， 不允许涂改或删除痕迹，不允许字体涂色。</w:t>
      </w:r>
    </w:p>
    <w:p w14:paraId="5C3DBF7D">
      <w:pPr>
        <w:spacing w:before="108" w:line="269" w:lineRule="auto"/>
        <w:ind w:left="35" w:right="192" w:firstLine="41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）任何情况下，</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施工组织设计中不得出现投标人的名称和其它可以识别投标人身份</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的字符、徽标、人员名称等以及雷同性标记内容。</w:t>
      </w:r>
    </w:p>
    <w:p w14:paraId="20778DC9">
      <w:pPr>
        <w:spacing w:before="152" w:line="225" w:lineRule="auto"/>
        <w:ind w:left="14"/>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4.</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pacing w:val="2"/>
          <w:sz w:val="27"/>
          <w:szCs w:val="27"/>
          <w:highlight w:val="none"/>
        </w:rPr>
        <w:t>投标</w:t>
      </w:r>
    </w:p>
    <w:p w14:paraId="145F6C1A">
      <w:pPr>
        <w:spacing w:before="64"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4.1 </w:t>
      </w:r>
      <w:r>
        <w:rPr>
          <w:rFonts w:ascii="黑体" w:hAnsi="黑体" w:eastAsia="黑体" w:cs="黑体"/>
          <w:color w:val="auto"/>
          <w:sz w:val="24"/>
          <w:szCs w:val="24"/>
          <w:highlight w:val="none"/>
        </w:rPr>
        <w:t>投标文件的加密</w:t>
      </w:r>
    </w:p>
    <w:p w14:paraId="1C71B5A3">
      <w:pPr>
        <w:spacing w:before="100" w:line="269" w:lineRule="auto"/>
        <w:ind w:left="21" w:right="241" w:firstLine="4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投标人应当按照本章第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4"/>
          <w:sz w:val="21"/>
          <w:szCs w:val="21"/>
          <w:highlight w:val="none"/>
        </w:rPr>
        <w:t>3.7.3</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4"/>
          <w:sz w:val="21"/>
          <w:szCs w:val="21"/>
          <w:highlight w:val="none"/>
        </w:rPr>
        <w:t>项要求制作投标文件， 并在投标时</w:t>
      </w:r>
      <w:r>
        <w:rPr>
          <w:rFonts w:ascii="宋体" w:hAnsi="宋体" w:eastAsia="宋体" w:cs="宋体"/>
          <w:color w:val="auto"/>
          <w:spacing w:val="-5"/>
          <w:sz w:val="21"/>
          <w:szCs w:val="21"/>
          <w:highlight w:val="none"/>
        </w:rPr>
        <w:t>上传加密的投标文件，</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未加密的投标文件， 招标人（电子招标投标系统）将拒收并提示。</w:t>
      </w:r>
    </w:p>
    <w:p w14:paraId="5CA77485">
      <w:pPr>
        <w:spacing w:before="84"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4.2 </w:t>
      </w:r>
      <w:r>
        <w:rPr>
          <w:rFonts w:ascii="黑体" w:hAnsi="黑体" w:eastAsia="黑体" w:cs="黑体"/>
          <w:color w:val="auto"/>
          <w:sz w:val="24"/>
          <w:szCs w:val="24"/>
          <w:highlight w:val="none"/>
        </w:rPr>
        <w:t>投标文件的递交</w:t>
      </w:r>
    </w:p>
    <w:p w14:paraId="77CFCED6">
      <w:pPr>
        <w:spacing w:before="101" w:line="22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4.2.1 </w:t>
      </w:r>
      <w:r>
        <w:rPr>
          <w:rFonts w:ascii="宋体" w:hAnsi="宋体" w:eastAsia="宋体" w:cs="宋体"/>
          <w:color w:val="auto"/>
          <w:sz w:val="21"/>
          <w:szCs w:val="21"/>
          <w:highlight w:val="none"/>
        </w:rPr>
        <w:t>投标人递交投标文件的截止时间（投标截止时间</w:t>
      </w:r>
      <w:r>
        <w:rPr>
          <w:rFonts w:ascii="宋体" w:hAnsi="宋体" w:eastAsia="宋体" w:cs="宋体"/>
          <w:color w:val="auto"/>
          <w:spacing w:val="-54"/>
          <w:w w:val="96"/>
          <w:sz w:val="21"/>
          <w:szCs w:val="21"/>
          <w:highlight w:val="none"/>
        </w:rPr>
        <w:t>）：</w:t>
      </w:r>
      <w:r>
        <w:rPr>
          <w:rFonts w:ascii="宋体" w:hAnsi="宋体" w:eastAsia="宋体" w:cs="宋体"/>
          <w:color w:val="auto"/>
          <w:sz w:val="21"/>
          <w:szCs w:val="21"/>
          <w:highlight w:val="none"/>
        </w:rPr>
        <w:t>见投标人须知前附表。</w:t>
      </w:r>
    </w:p>
    <w:p w14:paraId="7043163E">
      <w:pPr>
        <w:spacing w:before="110"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4.2.2</w:t>
      </w:r>
      <w:r>
        <w:rPr>
          <w:rFonts w:ascii="Times New Roman" w:hAnsi="Times New Roman" w:eastAsia="Times New Roman" w:cs="Times New Roman"/>
          <w:color w:val="auto"/>
          <w:spacing w:val="35"/>
          <w:sz w:val="21"/>
          <w:szCs w:val="21"/>
          <w:highlight w:val="none"/>
        </w:rPr>
        <w:t xml:space="preserve"> </w:t>
      </w:r>
      <w:r>
        <w:rPr>
          <w:rFonts w:ascii="宋体" w:hAnsi="宋体" w:eastAsia="宋体" w:cs="宋体"/>
          <w:color w:val="auto"/>
          <w:spacing w:val="-6"/>
          <w:sz w:val="21"/>
          <w:szCs w:val="21"/>
          <w:highlight w:val="none"/>
        </w:rPr>
        <w:t>投标人应当在投标截止时间前，</w:t>
      </w:r>
      <w:r>
        <w:rPr>
          <w:rFonts w:ascii="宋体" w:hAnsi="宋体" w:eastAsia="宋体" w:cs="宋体"/>
          <w:color w:val="auto"/>
          <w:spacing w:val="57"/>
          <w:sz w:val="21"/>
          <w:szCs w:val="21"/>
          <w:highlight w:val="none"/>
        </w:rPr>
        <w:t xml:space="preserve"> </w:t>
      </w:r>
      <w:r>
        <w:rPr>
          <w:rFonts w:ascii="宋体" w:hAnsi="宋体" w:eastAsia="宋体" w:cs="宋体"/>
          <w:color w:val="auto"/>
          <w:spacing w:val="-6"/>
          <w:sz w:val="21"/>
          <w:szCs w:val="21"/>
          <w:highlight w:val="none"/>
        </w:rPr>
        <w:t>通过电</w:t>
      </w:r>
      <w:r>
        <w:rPr>
          <w:rFonts w:ascii="宋体" w:hAnsi="宋体" w:eastAsia="宋体" w:cs="宋体"/>
          <w:color w:val="auto"/>
          <w:spacing w:val="-7"/>
          <w:sz w:val="21"/>
          <w:szCs w:val="21"/>
          <w:highlight w:val="none"/>
        </w:rPr>
        <w:t>子交易系统（投标盲盒工具）</w:t>
      </w:r>
      <w:r>
        <w:rPr>
          <w:rFonts w:ascii="宋体" w:hAnsi="宋体" w:eastAsia="宋体" w:cs="宋体"/>
          <w:color w:val="auto"/>
          <w:spacing w:val="22"/>
          <w:sz w:val="21"/>
          <w:szCs w:val="21"/>
          <w:highlight w:val="none"/>
        </w:rPr>
        <w:t xml:space="preserve"> </w:t>
      </w:r>
      <w:r>
        <w:rPr>
          <w:rFonts w:ascii="宋体" w:hAnsi="宋体" w:eastAsia="宋体" w:cs="宋体"/>
          <w:color w:val="auto"/>
          <w:spacing w:val="-7"/>
          <w:sz w:val="21"/>
          <w:szCs w:val="21"/>
          <w:highlight w:val="none"/>
        </w:rPr>
        <w:t>选择所投标</w:t>
      </w:r>
    </w:p>
    <w:p w14:paraId="2B1187DE">
      <w:pPr>
        <w:spacing w:line="221" w:lineRule="auto"/>
        <w:rPr>
          <w:rFonts w:ascii="宋体" w:hAnsi="宋体" w:eastAsia="宋体" w:cs="宋体"/>
          <w:color w:val="auto"/>
          <w:sz w:val="21"/>
          <w:szCs w:val="21"/>
          <w:highlight w:val="none"/>
        </w:rPr>
        <w:sectPr>
          <w:footerReference r:id="rId25" w:type="default"/>
          <w:pgSz w:w="11905" w:h="16839"/>
          <w:pgMar w:top="1431" w:right="1594" w:bottom="1036" w:left="1785" w:header="0" w:footer="847" w:gutter="0"/>
          <w:pgNumType w:fmt="decimal"/>
          <w:cols w:space="720" w:num="1"/>
        </w:sectPr>
      </w:pPr>
    </w:p>
    <w:p w14:paraId="4AA8ACC8">
      <w:pPr>
        <w:spacing w:before="114" w:line="285" w:lineRule="auto"/>
        <w:ind w:left="17" w:firstLine="1"/>
        <w:jc w:val="both"/>
        <w:rPr>
          <w:rFonts w:ascii="宋体" w:hAnsi="宋体" w:eastAsia="宋体" w:cs="宋体"/>
          <w:color w:val="auto"/>
          <w:sz w:val="21"/>
          <w:szCs w:val="21"/>
          <w:highlight w:val="none"/>
        </w:rPr>
      </w:pPr>
      <w:bookmarkStart w:id="75" w:name="bookmark94"/>
      <w:bookmarkEnd w:id="75"/>
      <w:r>
        <w:rPr>
          <w:rFonts w:ascii="宋体" w:hAnsi="宋体" w:eastAsia="宋体" w:cs="宋体"/>
          <w:color w:val="auto"/>
          <w:spacing w:val="-3"/>
          <w:sz w:val="21"/>
          <w:szCs w:val="21"/>
          <w:highlight w:val="none"/>
        </w:rPr>
        <w:t>段将加密的投标文件上传至电子招标投标系统（辽宁省工程建设项目数字化开标评标系统）。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投标人应充分考虑上传文件时的不可预见因素， 投标文件未在投标截止时间前完成上传的，</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视为逾期送达，招标人（电子交易系统）将拒收其</w:t>
      </w:r>
      <w:r>
        <w:rPr>
          <w:rFonts w:ascii="宋体" w:hAnsi="宋体" w:eastAsia="宋体" w:cs="宋体"/>
          <w:color w:val="auto"/>
          <w:spacing w:val="-1"/>
          <w:sz w:val="21"/>
          <w:szCs w:val="21"/>
          <w:highlight w:val="none"/>
        </w:rPr>
        <w:t>投标文件。</w:t>
      </w:r>
    </w:p>
    <w:p w14:paraId="13259A9F">
      <w:pPr>
        <w:spacing w:before="108" w:line="269" w:lineRule="auto"/>
        <w:ind w:left="34" w:right="187"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投标人完成投标文件上传成功后，电子交易系统向投标人发出电子签</w:t>
      </w:r>
      <w:r>
        <w:rPr>
          <w:rFonts w:ascii="宋体" w:hAnsi="宋体" w:eastAsia="宋体" w:cs="宋体"/>
          <w:color w:val="auto"/>
          <w:spacing w:val="2"/>
          <w:sz w:val="21"/>
          <w:szCs w:val="21"/>
          <w:highlight w:val="none"/>
        </w:rPr>
        <w:t>收凭证，递交时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间以电子签收凭证载明的时间为准。</w:t>
      </w:r>
    </w:p>
    <w:p w14:paraId="599EF233">
      <w:pPr>
        <w:spacing w:before="109" w:line="254" w:lineRule="auto"/>
        <w:ind w:left="13" w:right="1121" w:firstLine="422"/>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1"/>
          <w:szCs w:val="21"/>
          <w:highlight w:val="none"/>
        </w:rPr>
        <w:t>4.2.3</w:t>
      </w:r>
      <w:r>
        <w:rPr>
          <w:rFonts w:ascii="Times New Roman" w:hAnsi="Times New Roman" w:eastAsia="Times New Roman" w:cs="Times New Roman"/>
          <w:color w:val="auto"/>
          <w:spacing w:val="21"/>
          <w:sz w:val="21"/>
          <w:szCs w:val="21"/>
          <w:highlight w:val="none"/>
        </w:rPr>
        <w:t xml:space="preserve"> </w:t>
      </w:r>
      <w:r>
        <w:rPr>
          <w:rFonts w:ascii="宋体" w:hAnsi="宋体" w:eastAsia="宋体" w:cs="宋体"/>
          <w:color w:val="auto"/>
          <w:spacing w:val="-4"/>
          <w:sz w:val="21"/>
          <w:szCs w:val="21"/>
          <w:highlight w:val="none"/>
        </w:rPr>
        <w:t>除投标人须知前附表另有规定外， 投标人</w:t>
      </w:r>
      <w:r>
        <w:rPr>
          <w:rFonts w:ascii="宋体" w:hAnsi="宋体" w:eastAsia="宋体" w:cs="宋体"/>
          <w:color w:val="auto"/>
          <w:spacing w:val="-5"/>
          <w:sz w:val="21"/>
          <w:szCs w:val="21"/>
          <w:highlight w:val="none"/>
        </w:rPr>
        <w:t>所递交的投标文件不予退还。</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4"/>
          <w:szCs w:val="24"/>
          <w:highlight w:val="none"/>
        </w:rPr>
        <w:t xml:space="preserve">4.3 </w:t>
      </w:r>
      <w:r>
        <w:rPr>
          <w:rFonts w:ascii="黑体" w:hAnsi="黑体" w:eastAsia="黑体" w:cs="黑体"/>
          <w:color w:val="auto"/>
          <w:sz w:val="24"/>
          <w:szCs w:val="24"/>
          <w:highlight w:val="none"/>
        </w:rPr>
        <w:t>投标文件的修改与撤回</w:t>
      </w:r>
    </w:p>
    <w:p w14:paraId="34C0EDC6">
      <w:pPr>
        <w:spacing w:before="99" w:line="269" w:lineRule="auto"/>
        <w:ind w:left="17" w:right="177"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4.3.1 </w:t>
      </w:r>
      <w:r>
        <w:rPr>
          <w:rFonts w:ascii="宋体" w:hAnsi="宋体" w:eastAsia="宋体" w:cs="宋体"/>
          <w:color w:val="auto"/>
          <w:spacing w:val="-1"/>
          <w:sz w:val="21"/>
          <w:szCs w:val="21"/>
          <w:highlight w:val="none"/>
        </w:rPr>
        <w:t>在本章第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4.2.1 </w:t>
      </w:r>
      <w:r>
        <w:rPr>
          <w:rFonts w:ascii="宋体" w:hAnsi="宋体" w:eastAsia="宋体" w:cs="宋体"/>
          <w:color w:val="auto"/>
          <w:spacing w:val="-1"/>
          <w:sz w:val="21"/>
          <w:szCs w:val="21"/>
          <w:highlight w:val="none"/>
        </w:rPr>
        <w:t>项规定的投标截止时间前，投标人可以修改或撤回已递交的投标文</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件。</w:t>
      </w:r>
    </w:p>
    <w:p w14:paraId="1D46C622">
      <w:pPr>
        <w:spacing w:before="108"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4.3.2 </w:t>
      </w:r>
      <w:r>
        <w:rPr>
          <w:rFonts w:ascii="宋体" w:hAnsi="宋体" w:eastAsia="宋体" w:cs="宋体"/>
          <w:color w:val="auto"/>
          <w:spacing w:val="-5"/>
          <w:sz w:val="21"/>
          <w:szCs w:val="21"/>
          <w:highlight w:val="none"/>
        </w:rPr>
        <w:t>投标人撤回投标文件的， 在电子交易系统（投标盲盒工具） 直接进行撤回操作。</w:t>
      </w:r>
    </w:p>
    <w:p w14:paraId="0A11CD18">
      <w:pPr>
        <w:spacing w:before="110" w:line="284" w:lineRule="auto"/>
        <w:ind w:left="19" w:right="175"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4.3.3 </w:t>
      </w:r>
      <w:r>
        <w:rPr>
          <w:rFonts w:ascii="宋体" w:hAnsi="宋体" w:eastAsia="宋体" w:cs="宋体"/>
          <w:color w:val="auto"/>
          <w:spacing w:val="-3"/>
          <w:sz w:val="21"/>
          <w:szCs w:val="21"/>
          <w:highlight w:val="none"/>
        </w:rPr>
        <w:t>投标人修改投标文件的， 应当先按本章第</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4.3.2 </w:t>
      </w:r>
      <w:r>
        <w:rPr>
          <w:rFonts w:ascii="宋体" w:hAnsi="宋体" w:eastAsia="宋体" w:cs="宋体"/>
          <w:color w:val="auto"/>
          <w:spacing w:val="-3"/>
          <w:sz w:val="21"/>
          <w:szCs w:val="21"/>
          <w:highlight w:val="none"/>
        </w:rPr>
        <w:t>项的规定撤回投标文件，再使用投</w:t>
      </w:r>
      <w:r>
        <w:rPr>
          <w:rFonts w:ascii="宋体" w:hAnsi="宋体" w:eastAsia="宋体" w:cs="宋体"/>
          <w:color w:val="auto"/>
          <w:sz w:val="21"/>
          <w:szCs w:val="21"/>
          <w:highlight w:val="none"/>
        </w:rPr>
        <w:t xml:space="preserve"> 标文件制作软件制作成完整的投标文件，并按照本章第</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条、第</w:t>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 xml:space="preserve">条规定进行编制和递交， </w:t>
      </w:r>
      <w:r>
        <w:rPr>
          <w:rFonts w:ascii="宋体" w:hAnsi="宋体" w:eastAsia="宋体" w:cs="宋体"/>
          <w:color w:val="auto"/>
          <w:spacing w:val="-1"/>
          <w:sz w:val="21"/>
          <w:szCs w:val="21"/>
          <w:highlight w:val="none"/>
        </w:rPr>
        <w:t>递交时间以投标截止时间前最后完成上传的文件为准。</w:t>
      </w:r>
    </w:p>
    <w:p w14:paraId="3EABAF17">
      <w:pPr>
        <w:spacing w:before="154" w:line="227" w:lineRule="auto"/>
        <w:ind w:left="23"/>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5.</w:t>
      </w:r>
      <w:r>
        <w:rPr>
          <w:rFonts w:ascii="Times New Roman" w:hAnsi="Times New Roman" w:eastAsia="Times New Roman" w:cs="Times New Roman"/>
          <w:color w:val="auto"/>
          <w:spacing w:val="24"/>
          <w:sz w:val="27"/>
          <w:szCs w:val="27"/>
          <w:highlight w:val="none"/>
        </w:rPr>
        <w:t xml:space="preserve"> </w:t>
      </w:r>
      <w:r>
        <w:rPr>
          <w:rFonts w:ascii="黑体" w:hAnsi="黑体" w:eastAsia="黑体" w:cs="黑体"/>
          <w:color w:val="auto"/>
          <w:spacing w:val="-2"/>
          <w:sz w:val="27"/>
          <w:szCs w:val="27"/>
          <w:highlight w:val="none"/>
        </w:rPr>
        <w:t>开标</w:t>
      </w:r>
    </w:p>
    <w:p w14:paraId="7A7AAFF1">
      <w:pPr>
        <w:spacing w:before="61" w:line="220"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5.1</w:t>
      </w:r>
      <w:r>
        <w:rPr>
          <w:rFonts w:ascii="Times New Roman" w:hAnsi="Times New Roman" w:eastAsia="Times New Roman" w:cs="Times New Roman"/>
          <w:color w:val="auto"/>
          <w:spacing w:val="24"/>
          <w:w w:val="101"/>
          <w:sz w:val="24"/>
          <w:szCs w:val="24"/>
          <w:highlight w:val="none"/>
        </w:rPr>
        <w:t xml:space="preserve"> </w:t>
      </w:r>
      <w:r>
        <w:rPr>
          <w:rFonts w:ascii="黑体" w:hAnsi="黑体" w:eastAsia="黑体" w:cs="黑体"/>
          <w:color w:val="auto"/>
          <w:spacing w:val="-3"/>
          <w:sz w:val="24"/>
          <w:szCs w:val="24"/>
          <w:highlight w:val="none"/>
        </w:rPr>
        <w:t>开标时间和地点</w:t>
      </w:r>
    </w:p>
    <w:p w14:paraId="1C94E09F">
      <w:pPr>
        <w:spacing w:before="99" w:line="284" w:lineRule="auto"/>
        <w:ind w:left="19" w:right="179"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5.1.1</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2"/>
          <w:sz w:val="21"/>
          <w:szCs w:val="21"/>
          <w:highlight w:val="none"/>
        </w:rPr>
        <w:t xml:space="preserve">招标人在本章第 </w:t>
      </w:r>
      <w:r>
        <w:rPr>
          <w:rFonts w:ascii="Times New Roman" w:hAnsi="Times New Roman" w:eastAsia="Times New Roman" w:cs="Times New Roman"/>
          <w:color w:val="auto"/>
          <w:spacing w:val="-2"/>
          <w:sz w:val="21"/>
          <w:szCs w:val="21"/>
          <w:highlight w:val="none"/>
        </w:rPr>
        <w:t xml:space="preserve">4.2.1  </w:t>
      </w:r>
      <w:r>
        <w:rPr>
          <w:rFonts w:ascii="宋体" w:hAnsi="宋体" w:eastAsia="宋体" w:cs="宋体"/>
          <w:color w:val="auto"/>
          <w:spacing w:val="-2"/>
          <w:sz w:val="21"/>
          <w:szCs w:val="21"/>
          <w:highlight w:val="none"/>
        </w:rPr>
        <w:t>项规定的投标截止时间（开标时间） 在电子招标投标系统</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（辽宁省工程建设项目数字化开标评标系统）</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上公开进行开标， 所有投标人均应当参加开</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标。招标人按照投标人须知前附表规定的方式组织开标。</w:t>
      </w:r>
    </w:p>
    <w:p w14:paraId="51665500">
      <w:pPr>
        <w:spacing w:before="110" w:line="285" w:lineRule="auto"/>
        <w:ind w:left="19" w:right="180"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5.1.2 </w:t>
      </w:r>
      <w:r>
        <w:rPr>
          <w:rFonts w:ascii="宋体" w:hAnsi="宋体" w:eastAsia="宋体" w:cs="宋体"/>
          <w:color w:val="auto"/>
          <w:spacing w:val="-2"/>
          <w:sz w:val="21"/>
          <w:szCs w:val="21"/>
          <w:highlight w:val="none"/>
        </w:rPr>
        <w:t>招标人在投标人须知前附表规定的地点组织开标，并在投标截止</w:t>
      </w:r>
      <w:r>
        <w:rPr>
          <w:rFonts w:ascii="宋体" w:hAnsi="宋体" w:eastAsia="宋体" w:cs="宋体"/>
          <w:color w:val="auto"/>
          <w:spacing w:val="-3"/>
          <w:sz w:val="21"/>
          <w:szCs w:val="21"/>
          <w:highlight w:val="none"/>
        </w:rPr>
        <w:t>时间</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30 </w:t>
      </w:r>
      <w:r>
        <w:rPr>
          <w:rFonts w:ascii="宋体" w:hAnsi="宋体" w:eastAsia="宋体" w:cs="宋体"/>
          <w:color w:val="auto"/>
          <w:spacing w:val="-3"/>
          <w:sz w:val="21"/>
          <w:szCs w:val="21"/>
          <w:highlight w:val="none"/>
        </w:rPr>
        <w:t>分钟前，</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登录并进入电子招标投标系统（辽宁省工程建设项目数字化开标评标系统）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选择相应标段</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作开标的准备工作。</w:t>
      </w:r>
    </w:p>
    <w:p w14:paraId="219FA4A8">
      <w:pPr>
        <w:spacing w:before="106" w:line="293" w:lineRule="auto"/>
        <w:ind w:left="19" w:right="175"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5.1.3</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投标人应当在能够保证设施设备可靠、互联网畅通的任意地点，按照本章第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5.1.1</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项规定的组织方式，通过互联网远程在线或现场集中参加开标， 使用加密其投标文件的数</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字证书（</w:t>
      </w:r>
      <w:r>
        <w:rPr>
          <w:rFonts w:ascii="Times New Roman" w:hAnsi="Times New Roman" w:eastAsia="Times New Roman" w:cs="Times New Roman"/>
          <w:color w:val="auto"/>
          <w:spacing w:val="-2"/>
          <w:sz w:val="21"/>
          <w:szCs w:val="21"/>
          <w:highlight w:val="none"/>
        </w:rPr>
        <w:t>CA</w:t>
      </w:r>
      <w:r>
        <w:rPr>
          <w:rFonts w:ascii="宋体" w:hAnsi="宋体" w:eastAsia="宋体" w:cs="宋体"/>
          <w:color w:val="auto"/>
          <w:spacing w:val="-2"/>
          <w:sz w:val="21"/>
          <w:szCs w:val="21"/>
          <w:highlight w:val="none"/>
        </w:rPr>
        <w:t>）登录电子招标投标系统（辽宁省工程建设项目数字化开标评标系统） 选择所</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投标段进行签到，并实时关注招标人的操作情况。</w:t>
      </w:r>
    </w:p>
    <w:p w14:paraId="1DF2C3D7">
      <w:pPr>
        <w:spacing w:before="84"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5.2</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开标程序</w:t>
      </w:r>
    </w:p>
    <w:p w14:paraId="03DD6AD3">
      <w:pPr>
        <w:spacing w:before="101" w:line="269" w:lineRule="auto"/>
        <w:ind w:left="23" w:right="180"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5.2.1</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1"/>
          <w:sz w:val="21"/>
          <w:szCs w:val="21"/>
          <w:highlight w:val="none"/>
        </w:rPr>
        <w:t>主持人按下列程序在电子招标投标系统（辽宁</w:t>
      </w:r>
      <w:r>
        <w:rPr>
          <w:rFonts w:ascii="宋体" w:hAnsi="宋体" w:eastAsia="宋体" w:cs="宋体"/>
          <w:color w:val="auto"/>
          <w:sz w:val="21"/>
          <w:szCs w:val="21"/>
          <w:highlight w:val="none"/>
        </w:rPr>
        <w:t xml:space="preserve">省工程建设项目数字化开标评标系 </w:t>
      </w:r>
      <w:r>
        <w:rPr>
          <w:rFonts w:ascii="宋体" w:hAnsi="宋体" w:eastAsia="宋体" w:cs="宋体"/>
          <w:color w:val="auto"/>
          <w:spacing w:val="-14"/>
          <w:sz w:val="21"/>
          <w:szCs w:val="21"/>
          <w:highlight w:val="none"/>
        </w:rPr>
        <w:t>统）</w:t>
      </w:r>
      <w:r>
        <w:rPr>
          <w:rFonts w:ascii="宋体" w:hAnsi="宋体" w:eastAsia="宋体" w:cs="宋体"/>
          <w:color w:val="auto"/>
          <w:spacing w:val="-41"/>
          <w:sz w:val="21"/>
          <w:szCs w:val="21"/>
          <w:highlight w:val="none"/>
        </w:rPr>
        <w:t xml:space="preserve"> </w:t>
      </w:r>
      <w:r>
        <w:rPr>
          <w:rFonts w:ascii="宋体" w:hAnsi="宋体" w:eastAsia="宋体" w:cs="宋体"/>
          <w:color w:val="auto"/>
          <w:spacing w:val="-14"/>
          <w:sz w:val="21"/>
          <w:szCs w:val="21"/>
          <w:highlight w:val="none"/>
        </w:rPr>
        <w:t>进行开标：</w:t>
      </w:r>
    </w:p>
    <w:p w14:paraId="534DB671">
      <w:pPr>
        <w:spacing w:before="108"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）宣布开标纪律；</w:t>
      </w:r>
    </w:p>
    <w:p w14:paraId="105FB091">
      <w:pPr>
        <w:spacing w:before="110" w:line="360" w:lineRule="exact"/>
        <w:ind w:left="44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2</w:t>
      </w:r>
      <w:r>
        <w:rPr>
          <w:rFonts w:ascii="宋体" w:hAnsi="宋体" w:eastAsia="宋体" w:cs="宋体"/>
          <w:color w:val="auto"/>
          <w:spacing w:val="-2"/>
          <w:position w:val="11"/>
          <w:sz w:val="21"/>
          <w:szCs w:val="21"/>
          <w:highlight w:val="none"/>
        </w:rPr>
        <w:t>）公布主持人、招标人代表、监标人等有关人员姓名；</w:t>
      </w:r>
    </w:p>
    <w:p w14:paraId="15480061">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）公布在投标截止时间前投标文件的递交情况；</w:t>
      </w:r>
    </w:p>
    <w:p w14:paraId="0BF22662">
      <w:pPr>
        <w:spacing w:before="109" w:line="285" w:lineRule="auto"/>
        <w:ind w:left="447" w:right="139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）公布投标保证金递交情况（对担保保函、保</w:t>
      </w:r>
      <w:r>
        <w:rPr>
          <w:rFonts w:ascii="宋体" w:hAnsi="宋体" w:eastAsia="宋体" w:cs="宋体"/>
          <w:color w:val="auto"/>
          <w:spacing w:val="-4"/>
          <w:sz w:val="21"/>
          <w:szCs w:val="21"/>
          <w:highlight w:val="none"/>
        </w:rPr>
        <w:t>证保险进行实时验真</w:t>
      </w:r>
      <w:r>
        <w:rPr>
          <w:rFonts w:ascii="宋体" w:hAnsi="宋体" w:eastAsia="宋体" w:cs="宋体"/>
          <w:color w:val="auto"/>
          <w:spacing w:val="-3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）投标人根据提示在投标人须知前附表规定</w:t>
      </w:r>
      <w:r>
        <w:rPr>
          <w:rFonts w:ascii="宋体" w:hAnsi="宋体" w:eastAsia="宋体" w:cs="宋体"/>
          <w:color w:val="auto"/>
          <w:spacing w:val="-1"/>
          <w:sz w:val="21"/>
          <w:szCs w:val="21"/>
          <w:highlight w:val="none"/>
        </w:rPr>
        <w:t>的时间内解密投标文件；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）读取已解密的投标文件的内容；</w:t>
      </w:r>
    </w:p>
    <w:p w14:paraId="2B31F9E4">
      <w:pPr>
        <w:spacing w:before="108" w:line="269" w:lineRule="auto"/>
        <w:ind w:left="17" w:right="202" w:firstLine="43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7</w:t>
      </w:r>
      <w:r>
        <w:rPr>
          <w:rFonts w:ascii="宋体" w:hAnsi="宋体" w:eastAsia="宋体" w:cs="宋体"/>
          <w:color w:val="auto"/>
          <w:spacing w:val="-5"/>
          <w:sz w:val="21"/>
          <w:szCs w:val="21"/>
          <w:highlight w:val="none"/>
        </w:rPr>
        <w:t>）公布投标人名称、</w:t>
      </w:r>
      <w:r>
        <w:rPr>
          <w:rFonts w:ascii="宋体" w:hAnsi="宋体" w:eastAsia="宋体" w:cs="宋体"/>
          <w:color w:val="auto"/>
          <w:spacing w:val="-28"/>
          <w:sz w:val="21"/>
          <w:szCs w:val="21"/>
          <w:highlight w:val="none"/>
        </w:rPr>
        <w:t xml:space="preserve"> </w:t>
      </w:r>
      <w:r>
        <w:rPr>
          <w:rFonts w:ascii="宋体" w:hAnsi="宋体" w:eastAsia="宋体" w:cs="宋体"/>
          <w:color w:val="auto"/>
          <w:spacing w:val="-5"/>
          <w:sz w:val="21"/>
          <w:szCs w:val="21"/>
          <w:highlight w:val="none"/>
        </w:rPr>
        <w:t>标段名称、投标保证金的递交情况、 投标报价</w:t>
      </w:r>
      <w:r>
        <w:rPr>
          <w:rFonts w:ascii="宋体" w:hAnsi="宋体" w:eastAsia="宋体" w:cs="宋体"/>
          <w:color w:val="auto"/>
          <w:spacing w:val="-6"/>
          <w:sz w:val="21"/>
          <w:szCs w:val="21"/>
          <w:highlight w:val="none"/>
        </w:rPr>
        <w:t>、项目经理姓名</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及其他内容，并生成开标记录；</w:t>
      </w:r>
    </w:p>
    <w:p w14:paraId="2ABB2E75">
      <w:pPr>
        <w:spacing w:before="109" w:line="360" w:lineRule="exact"/>
        <w:ind w:left="447"/>
        <w:rPr>
          <w:rFonts w:ascii="宋体" w:hAnsi="宋体" w:eastAsia="宋体" w:cs="宋体"/>
          <w:color w:val="auto"/>
          <w:sz w:val="21"/>
          <w:szCs w:val="21"/>
          <w:highlight w:val="none"/>
        </w:rPr>
      </w:pPr>
      <w:r>
        <w:rPr>
          <w:rFonts w:ascii="宋体" w:hAnsi="宋体" w:eastAsia="宋体" w:cs="宋体"/>
          <w:color w:val="auto"/>
          <w:spacing w:val="-3"/>
          <w:position w:val="11"/>
          <w:sz w:val="21"/>
          <w:szCs w:val="21"/>
          <w:highlight w:val="none"/>
        </w:rPr>
        <w:t>（</w:t>
      </w:r>
      <w:r>
        <w:rPr>
          <w:rFonts w:ascii="Times New Roman" w:hAnsi="Times New Roman" w:eastAsia="Times New Roman" w:cs="Times New Roman"/>
          <w:color w:val="auto"/>
          <w:spacing w:val="-3"/>
          <w:position w:val="11"/>
          <w:sz w:val="21"/>
          <w:szCs w:val="21"/>
          <w:highlight w:val="none"/>
        </w:rPr>
        <w:t>8</w:t>
      </w:r>
      <w:r>
        <w:rPr>
          <w:rFonts w:ascii="宋体" w:hAnsi="宋体" w:eastAsia="宋体" w:cs="宋体"/>
          <w:color w:val="auto"/>
          <w:spacing w:val="-3"/>
          <w:position w:val="11"/>
          <w:sz w:val="21"/>
          <w:szCs w:val="21"/>
          <w:highlight w:val="none"/>
        </w:rPr>
        <w:t>）投标人对开标记录进行确认；</w:t>
      </w:r>
    </w:p>
    <w:p w14:paraId="7113DCA3">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9</w:t>
      </w:r>
      <w:r>
        <w:rPr>
          <w:rFonts w:ascii="宋体" w:hAnsi="宋体" w:eastAsia="宋体" w:cs="宋体"/>
          <w:color w:val="auto"/>
          <w:spacing w:val="-4"/>
          <w:sz w:val="21"/>
          <w:szCs w:val="21"/>
          <w:highlight w:val="none"/>
        </w:rPr>
        <w:t>）开标结束。</w:t>
      </w:r>
    </w:p>
    <w:p w14:paraId="5F51CE77">
      <w:pPr>
        <w:spacing w:line="220" w:lineRule="auto"/>
        <w:rPr>
          <w:rFonts w:ascii="宋体" w:hAnsi="宋体" w:eastAsia="宋体" w:cs="宋体"/>
          <w:color w:val="auto"/>
          <w:sz w:val="21"/>
          <w:szCs w:val="21"/>
          <w:highlight w:val="none"/>
        </w:rPr>
        <w:sectPr>
          <w:footerReference r:id="rId26" w:type="default"/>
          <w:pgSz w:w="11905" w:h="16839"/>
          <w:pgMar w:top="1431" w:right="1611" w:bottom="1036" w:left="1785" w:header="0" w:footer="847" w:gutter="0"/>
          <w:pgNumType w:fmt="decimal"/>
          <w:cols w:space="720" w:num="1"/>
        </w:sectPr>
      </w:pPr>
    </w:p>
    <w:p w14:paraId="37CA87B2">
      <w:pPr>
        <w:spacing w:before="114" w:line="285" w:lineRule="auto"/>
        <w:ind w:left="19" w:right="155" w:firstLine="423"/>
        <w:rPr>
          <w:rFonts w:ascii="宋体" w:hAnsi="宋体" w:eastAsia="宋体" w:cs="宋体"/>
          <w:color w:val="auto"/>
          <w:sz w:val="21"/>
          <w:szCs w:val="21"/>
          <w:highlight w:val="none"/>
        </w:rPr>
      </w:pPr>
      <w:bookmarkStart w:id="76" w:name="bookmark95"/>
      <w:bookmarkEnd w:id="76"/>
      <w:r>
        <w:rPr>
          <w:rFonts w:ascii="Times New Roman" w:hAnsi="Times New Roman" w:eastAsia="Times New Roman" w:cs="Times New Roman"/>
          <w:color w:val="auto"/>
          <w:spacing w:val="-1"/>
          <w:sz w:val="21"/>
          <w:szCs w:val="21"/>
          <w:highlight w:val="none"/>
        </w:rPr>
        <w:t xml:space="preserve">5.2.2 </w:t>
      </w:r>
      <w:r>
        <w:rPr>
          <w:rFonts w:ascii="宋体" w:hAnsi="宋体" w:eastAsia="宋体" w:cs="宋体"/>
          <w:color w:val="auto"/>
          <w:spacing w:val="-1"/>
          <w:sz w:val="21"/>
          <w:szCs w:val="21"/>
          <w:highlight w:val="none"/>
        </w:rPr>
        <w:t>生成开标记录后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10 </w:t>
      </w:r>
      <w:r>
        <w:rPr>
          <w:rFonts w:ascii="宋体" w:hAnsi="宋体" w:eastAsia="宋体" w:cs="宋体"/>
          <w:color w:val="auto"/>
          <w:spacing w:val="-1"/>
          <w:sz w:val="21"/>
          <w:szCs w:val="21"/>
          <w:highlight w:val="none"/>
        </w:rPr>
        <w:t>分钟内，投标人通</w:t>
      </w:r>
      <w:r>
        <w:rPr>
          <w:rFonts w:ascii="宋体" w:hAnsi="宋体" w:eastAsia="宋体" w:cs="宋体"/>
          <w:color w:val="auto"/>
          <w:spacing w:val="-2"/>
          <w:sz w:val="21"/>
          <w:szCs w:val="21"/>
          <w:highlight w:val="none"/>
        </w:rPr>
        <w:t>过电子招标投标系统（辽宁省工程建设项目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对开标结果予以确认。未在规定时间内确认或未确认的视</w:t>
      </w:r>
      <w:r>
        <w:rPr>
          <w:rFonts w:ascii="宋体" w:hAnsi="宋体" w:eastAsia="宋体" w:cs="宋体"/>
          <w:color w:val="auto"/>
          <w:sz w:val="21"/>
          <w:szCs w:val="21"/>
          <w:highlight w:val="none"/>
        </w:rPr>
        <w:t xml:space="preserve">为对开标 </w:t>
      </w:r>
      <w:r>
        <w:rPr>
          <w:rFonts w:ascii="宋体" w:hAnsi="宋体" w:eastAsia="宋体" w:cs="宋体"/>
          <w:color w:val="auto"/>
          <w:spacing w:val="-3"/>
          <w:sz w:val="21"/>
          <w:szCs w:val="21"/>
          <w:highlight w:val="none"/>
        </w:rPr>
        <w:t>过程及结果无异议。</w:t>
      </w:r>
    </w:p>
    <w:p w14:paraId="251B6BB0">
      <w:pPr>
        <w:spacing w:before="108" w:line="269" w:lineRule="auto"/>
        <w:ind w:left="41" w:firstLine="40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5.2.3</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pacing w:val="-1"/>
          <w:sz w:val="21"/>
          <w:szCs w:val="21"/>
          <w:highlight w:val="none"/>
        </w:rPr>
        <w:t xml:space="preserve">在本章第 </w:t>
      </w:r>
      <w:r>
        <w:rPr>
          <w:rFonts w:ascii="Times New Roman" w:hAnsi="Times New Roman" w:eastAsia="Times New Roman" w:cs="Times New Roman"/>
          <w:color w:val="auto"/>
          <w:spacing w:val="-1"/>
          <w:sz w:val="21"/>
          <w:szCs w:val="21"/>
          <w:highlight w:val="none"/>
        </w:rPr>
        <w:t>5.2.1</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）目规定的时间内，已解密的投标文件少于三个的，招标失败；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已解密的投标文件不少于三个，开标继续进行。</w:t>
      </w:r>
    </w:p>
    <w:p w14:paraId="23C95A74">
      <w:pPr>
        <w:spacing w:before="108" w:line="269" w:lineRule="auto"/>
        <w:ind w:left="20" w:right="170" w:firstLine="437"/>
        <w:rPr>
          <w:rFonts w:ascii="宋体" w:hAnsi="宋体" w:eastAsia="宋体" w:cs="宋体"/>
          <w:color w:val="auto"/>
          <w:sz w:val="21"/>
          <w:szCs w:val="21"/>
          <w:highlight w:val="none"/>
        </w:rPr>
      </w:pPr>
      <w:r>
        <w:rPr>
          <w:rFonts w:ascii="宋体" w:hAnsi="宋体" w:eastAsia="宋体" w:cs="宋体"/>
          <w:color w:val="auto"/>
          <w:sz w:val="21"/>
          <w:szCs w:val="21"/>
          <w:highlight w:val="none"/>
        </w:rPr>
        <w:t>因投标人原因（如数字证书（</w:t>
      </w:r>
      <w:r>
        <w:rPr>
          <w:rFonts w:ascii="Times New Roman" w:hAnsi="Times New Roman" w:eastAsia="Times New Roman" w:cs="Times New Roman"/>
          <w:color w:val="auto"/>
          <w:sz w:val="21"/>
          <w:szCs w:val="21"/>
          <w:highlight w:val="none"/>
        </w:rPr>
        <w:t>CA</w:t>
      </w:r>
      <w:r>
        <w:rPr>
          <w:rFonts w:ascii="宋体" w:hAnsi="宋体" w:eastAsia="宋体" w:cs="宋体"/>
          <w:color w:val="auto"/>
          <w:sz w:val="21"/>
          <w:szCs w:val="21"/>
          <w:highlight w:val="none"/>
        </w:rPr>
        <w:t>）损坏或密码丢失或输入错误、投标人自身网络中断</w:t>
      </w:r>
      <w:r>
        <w:rPr>
          <w:rFonts w:ascii="宋体" w:hAnsi="宋体" w:eastAsia="宋体" w:cs="宋体"/>
          <w:color w:val="auto"/>
          <w:spacing w:val="5"/>
          <w:sz w:val="21"/>
          <w:szCs w:val="21"/>
          <w:highlight w:val="none"/>
        </w:rPr>
        <w:t xml:space="preserve"> </w:t>
      </w:r>
      <w:r>
        <w:rPr>
          <w:rFonts w:ascii="宋体" w:hAnsi="宋体" w:eastAsia="宋体" w:cs="宋体"/>
          <w:color w:val="auto"/>
          <w:spacing w:val="-4"/>
          <w:sz w:val="21"/>
          <w:szCs w:val="21"/>
          <w:highlight w:val="none"/>
        </w:rPr>
        <w:t>等非开标系统原因） 造成投标文件未解密的，视为投标人撤回投标</w:t>
      </w:r>
      <w:r>
        <w:rPr>
          <w:rFonts w:ascii="宋体" w:hAnsi="宋体" w:eastAsia="宋体" w:cs="宋体"/>
          <w:color w:val="auto"/>
          <w:spacing w:val="-5"/>
          <w:sz w:val="21"/>
          <w:szCs w:val="21"/>
          <w:highlight w:val="none"/>
        </w:rPr>
        <w:t>文件。</w:t>
      </w:r>
    </w:p>
    <w:p w14:paraId="133F7DF8">
      <w:pPr>
        <w:spacing w:before="107" w:line="293" w:lineRule="auto"/>
        <w:ind w:left="19" w:right="159"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因投标人之外原因，如因网络、开标系统故障等非投标人自身原因，</w:t>
      </w:r>
      <w:r>
        <w:rPr>
          <w:rFonts w:ascii="宋体" w:hAnsi="宋体" w:eastAsia="宋体" w:cs="宋体"/>
          <w:color w:val="auto"/>
          <w:spacing w:val="-1"/>
          <w:sz w:val="21"/>
          <w:szCs w:val="21"/>
          <w:highlight w:val="none"/>
        </w:rPr>
        <w:t xml:space="preserve"> 招标代理机构工</w:t>
      </w:r>
      <w:r>
        <w:rPr>
          <w:rFonts w:ascii="宋体" w:hAnsi="宋体" w:eastAsia="宋体" w:cs="宋体"/>
          <w:color w:val="auto"/>
          <w:sz w:val="21"/>
          <w:szCs w:val="21"/>
          <w:highlight w:val="none"/>
        </w:rPr>
        <w:t xml:space="preserve"> 作人员应及时将情况反馈到交易平台运营单位、项目监管部门以及相关技术服务单位， 在</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监管部门指导下将立即启动应急响应机制，积极排查和</w:t>
      </w:r>
      <w:r>
        <w:rPr>
          <w:rFonts w:ascii="宋体" w:hAnsi="宋体" w:eastAsia="宋体" w:cs="宋体"/>
          <w:color w:val="auto"/>
          <w:spacing w:val="-3"/>
          <w:sz w:val="21"/>
          <w:szCs w:val="21"/>
          <w:highlight w:val="none"/>
        </w:rPr>
        <w:t>解决问题， 投标人应予以配合， 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管部门应根据现场实际适当延长解密时间。</w:t>
      </w:r>
    </w:p>
    <w:p w14:paraId="3314E2CA">
      <w:pPr>
        <w:spacing w:before="84"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5.3</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开标异议</w:t>
      </w:r>
    </w:p>
    <w:p w14:paraId="25BA6FDE">
      <w:pPr>
        <w:spacing w:before="101" w:line="284" w:lineRule="auto"/>
        <w:ind w:left="17" w:right="161"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5.3.1</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pacing w:val="-1"/>
          <w:sz w:val="21"/>
          <w:szCs w:val="21"/>
          <w:highlight w:val="none"/>
        </w:rPr>
        <w:t>投标人对开标有异议的，应当在开标过程中提出；招标人当场对异议作出答复，</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并记入开标记录。异议与答复应通过电子招标投标系统（辽宁省工程建设项目数字化开标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评标系统）以书面形式进行。</w:t>
      </w:r>
    </w:p>
    <w:p w14:paraId="548DC4AB">
      <w:pPr>
        <w:spacing w:before="108" w:line="269" w:lineRule="auto"/>
        <w:ind w:left="19" w:right="18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本条所称异议是指投标人在开标过程中对投标文件提交、投标截止时间、开标程序、</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开标记录以及投标人和招标人或者投标人相互之间存在利益冲突的情形等提出的质疑。</w:t>
      </w:r>
    </w:p>
    <w:p w14:paraId="7BA32710">
      <w:pPr>
        <w:spacing w:before="109" w:line="269" w:lineRule="auto"/>
        <w:ind w:left="20"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5.3.2</w:t>
      </w:r>
      <w:r>
        <w:rPr>
          <w:rFonts w:ascii="Times New Roman" w:hAnsi="Times New Roman" w:eastAsia="Times New Roman" w:cs="Times New Roman"/>
          <w:color w:val="auto"/>
          <w:spacing w:val="50"/>
          <w:w w:val="101"/>
          <w:sz w:val="21"/>
          <w:szCs w:val="21"/>
          <w:highlight w:val="none"/>
        </w:rPr>
        <w:t xml:space="preserve"> </w:t>
      </w:r>
      <w:r>
        <w:rPr>
          <w:rFonts w:ascii="宋体" w:hAnsi="宋体" w:eastAsia="宋体" w:cs="宋体"/>
          <w:color w:val="auto"/>
          <w:spacing w:val="-1"/>
          <w:sz w:val="21"/>
          <w:szCs w:val="21"/>
          <w:highlight w:val="none"/>
        </w:rPr>
        <w:t>投标人异议成立的，招标人将及时采取纠正措施，或者提交评标委员会评审确认；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投标人异议不成立的，招标人将当场给予解释说明。</w:t>
      </w:r>
    </w:p>
    <w:p w14:paraId="48816CFF">
      <w:pPr>
        <w:spacing w:before="109" w:line="254" w:lineRule="auto"/>
        <w:ind w:left="21" w:right="476" w:firstLine="421"/>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1"/>
          <w:szCs w:val="21"/>
          <w:highlight w:val="none"/>
        </w:rPr>
        <w:t xml:space="preserve">5.3.3 </w:t>
      </w:r>
      <w:r>
        <w:rPr>
          <w:rFonts w:ascii="宋体" w:hAnsi="宋体" w:eastAsia="宋体" w:cs="宋体"/>
          <w:color w:val="auto"/>
          <w:spacing w:val="-4"/>
          <w:sz w:val="21"/>
          <w:szCs w:val="21"/>
          <w:highlight w:val="none"/>
        </w:rPr>
        <w:t>投标人未在开标现场提出异议， 视为异议权利灭失，不可再对开标提出异议。</w:t>
      </w:r>
      <w:r>
        <w:rPr>
          <w:rFonts w:ascii="宋体" w:hAnsi="宋体" w:eastAsia="宋体" w:cs="宋体"/>
          <w:color w:val="auto"/>
          <w:spacing w:val="12"/>
          <w:sz w:val="21"/>
          <w:szCs w:val="21"/>
          <w:highlight w:val="none"/>
        </w:rPr>
        <w:t xml:space="preserve"> </w:t>
      </w:r>
      <w:r>
        <w:rPr>
          <w:rFonts w:ascii="Times New Roman" w:hAnsi="Times New Roman" w:eastAsia="Times New Roman" w:cs="Times New Roman"/>
          <w:color w:val="auto"/>
          <w:spacing w:val="-1"/>
          <w:sz w:val="24"/>
          <w:szCs w:val="24"/>
          <w:highlight w:val="none"/>
        </w:rPr>
        <w:t xml:space="preserve">5.4 </w:t>
      </w:r>
      <w:r>
        <w:rPr>
          <w:rFonts w:ascii="黑体" w:hAnsi="黑体" w:eastAsia="黑体" w:cs="黑体"/>
          <w:color w:val="auto"/>
          <w:spacing w:val="-1"/>
          <w:sz w:val="24"/>
          <w:szCs w:val="24"/>
          <w:highlight w:val="none"/>
        </w:rPr>
        <w:t>特殊情况的处置</w:t>
      </w:r>
    </w:p>
    <w:p w14:paraId="389F96E2">
      <w:pPr>
        <w:spacing w:before="99" w:line="285" w:lineRule="auto"/>
        <w:ind w:left="20" w:right="154"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5.4.1  </w:t>
      </w:r>
      <w:r>
        <w:rPr>
          <w:rFonts w:ascii="宋体" w:hAnsi="宋体" w:eastAsia="宋体" w:cs="宋体"/>
          <w:color w:val="auto"/>
          <w:spacing w:val="-3"/>
          <w:sz w:val="21"/>
          <w:szCs w:val="21"/>
          <w:highlight w:val="none"/>
        </w:rPr>
        <w:t>因电子招标投标系统（辽宁省工程建设项目数字化开标评标系统）</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故障导致无法</w:t>
      </w:r>
      <w:r>
        <w:rPr>
          <w:rFonts w:ascii="宋体" w:hAnsi="宋体" w:eastAsia="宋体" w:cs="宋体"/>
          <w:color w:val="auto"/>
          <w:sz w:val="21"/>
          <w:szCs w:val="21"/>
          <w:highlight w:val="none"/>
        </w:rPr>
        <w:t xml:space="preserve"> 投标的，管理部门及时通知招标人，招标人视情况决定是否顺延投标截止时间。 因投标人</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自身原因导致无法完成投标的，由投标人自行承担后果。</w:t>
      </w:r>
    </w:p>
    <w:p w14:paraId="0BB514D4">
      <w:pPr>
        <w:spacing w:before="108" w:line="269" w:lineRule="auto"/>
        <w:ind w:left="22" w:right="154"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5.4.2  </w:t>
      </w:r>
      <w:r>
        <w:rPr>
          <w:rFonts w:ascii="宋体" w:hAnsi="宋体" w:eastAsia="宋体" w:cs="宋体"/>
          <w:color w:val="auto"/>
          <w:spacing w:val="-3"/>
          <w:sz w:val="21"/>
          <w:szCs w:val="21"/>
          <w:highlight w:val="none"/>
        </w:rPr>
        <w:t>因电子招标投标系统（辽宁省工程建设项目数字化开标评标系统）</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故障导致无法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正常开标的，招标人将暂停开标，待系统恢复正常后</w:t>
      </w:r>
      <w:r>
        <w:rPr>
          <w:rFonts w:ascii="宋体" w:hAnsi="宋体" w:eastAsia="宋体" w:cs="宋体"/>
          <w:color w:val="auto"/>
          <w:spacing w:val="-2"/>
          <w:sz w:val="21"/>
          <w:szCs w:val="21"/>
          <w:highlight w:val="none"/>
        </w:rPr>
        <w:t>继续开标。</w:t>
      </w:r>
    </w:p>
    <w:p w14:paraId="5DD2294C">
      <w:pPr>
        <w:spacing w:before="110" w:line="268" w:lineRule="auto"/>
        <w:ind w:left="22" w:right="155" w:firstLine="443"/>
        <w:rPr>
          <w:rFonts w:ascii="宋体" w:hAnsi="宋体" w:eastAsia="宋体" w:cs="宋体"/>
          <w:color w:val="auto"/>
          <w:sz w:val="21"/>
          <w:szCs w:val="21"/>
          <w:highlight w:val="none"/>
        </w:rPr>
      </w:pPr>
      <w:r>
        <w:rPr>
          <w:rFonts w:ascii="宋体" w:hAnsi="宋体" w:eastAsia="宋体" w:cs="宋体"/>
          <w:color w:val="auto"/>
          <w:sz w:val="21"/>
          <w:szCs w:val="21"/>
          <w:highlight w:val="none"/>
        </w:rPr>
        <w:t>电子招标投标系统（辽宁省工程建设项目数字化开标评标系统）</w:t>
      </w:r>
      <w:r>
        <w:rPr>
          <w:rFonts w:ascii="宋体" w:hAnsi="宋体" w:eastAsia="宋体" w:cs="宋体"/>
          <w:color w:val="auto"/>
          <w:spacing w:val="-12"/>
          <w:sz w:val="21"/>
          <w:szCs w:val="21"/>
          <w:highlight w:val="none"/>
        </w:rPr>
        <w:t xml:space="preserve"> </w:t>
      </w:r>
      <w:r>
        <w:rPr>
          <w:rFonts w:ascii="宋体" w:hAnsi="宋体" w:eastAsia="宋体" w:cs="宋体"/>
          <w:color w:val="auto"/>
          <w:sz w:val="21"/>
          <w:szCs w:val="21"/>
          <w:highlight w:val="none"/>
        </w:rPr>
        <w:t xml:space="preserve">技术服务单位将立即 </w:t>
      </w:r>
      <w:r>
        <w:rPr>
          <w:rFonts w:ascii="宋体" w:hAnsi="宋体" w:eastAsia="宋体" w:cs="宋体"/>
          <w:color w:val="auto"/>
          <w:spacing w:val="-6"/>
          <w:sz w:val="21"/>
          <w:szCs w:val="21"/>
          <w:highlight w:val="none"/>
        </w:rPr>
        <w:t>启动应急响应机制， 积极排查系统故障，解决问题。</w:t>
      </w:r>
    </w:p>
    <w:p w14:paraId="5E9A10B5">
      <w:pPr>
        <w:spacing w:before="110" w:line="270" w:lineRule="auto"/>
        <w:ind w:left="20" w:right="15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5.4.3  </w:t>
      </w:r>
      <w:r>
        <w:rPr>
          <w:rFonts w:ascii="宋体" w:hAnsi="宋体" w:eastAsia="宋体" w:cs="宋体"/>
          <w:color w:val="auto"/>
          <w:spacing w:val="-3"/>
          <w:sz w:val="21"/>
          <w:szCs w:val="21"/>
          <w:highlight w:val="none"/>
        </w:rPr>
        <w:t>电子招标投标系统（辽宁省工程建设项目数字化开标评标系统）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故障是指下列情</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形：</w:t>
      </w:r>
    </w:p>
    <w:p w14:paraId="59DB20A8">
      <w:pPr>
        <w:spacing w:before="106"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）系统服务器发生故障，无法访问或无法使用系统；</w:t>
      </w:r>
    </w:p>
    <w:p w14:paraId="31055BA6">
      <w:pPr>
        <w:spacing w:before="109" w:line="360" w:lineRule="exact"/>
        <w:ind w:left="44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2</w:t>
      </w:r>
      <w:r>
        <w:rPr>
          <w:rFonts w:ascii="宋体" w:hAnsi="宋体" w:eastAsia="宋体" w:cs="宋体"/>
          <w:color w:val="auto"/>
          <w:spacing w:val="-2"/>
          <w:position w:val="11"/>
          <w:sz w:val="21"/>
          <w:szCs w:val="21"/>
          <w:highlight w:val="none"/>
        </w:rPr>
        <w:t>）系统的软件或数据库出现错误，不能进行正常操作；</w:t>
      </w:r>
    </w:p>
    <w:p w14:paraId="52AA8D2A">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）系统发现有安全漏洞，有潜在的泄密危险；</w:t>
      </w:r>
    </w:p>
    <w:p w14:paraId="3BEE67FB">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）系统出现网络攻击；</w:t>
      </w:r>
    </w:p>
    <w:p w14:paraId="3AFE556F">
      <w:pPr>
        <w:spacing w:before="108"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）出现断电、断网事故；</w:t>
      </w:r>
    </w:p>
    <w:p w14:paraId="57784A04">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）出现法定不可抗力因素；</w:t>
      </w:r>
    </w:p>
    <w:p w14:paraId="7A5EE482">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）其他无法保证招投标过程正常进行的情形。</w:t>
      </w:r>
    </w:p>
    <w:p w14:paraId="63222793">
      <w:pPr>
        <w:spacing w:line="221" w:lineRule="auto"/>
        <w:rPr>
          <w:rFonts w:ascii="宋体" w:hAnsi="宋体" w:eastAsia="宋体" w:cs="宋体"/>
          <w:color w:val="auto"/>
          <w:sz w:val="21"/>
          <w:szCs w:val="21"/>
          <w:highlight w:val="none"/>
        </w:rPr>
        <w:sectPr>
          <w:footerReference r:id="rId27" w:type="default"/>
          <w:pgSz w:w="11905" w:h="16839"/>
          <w:pgMar w:top="1431" w:right="1632" w:bottom="1036" w:left="1785" w:header="0" w:footer="847" w:gutter="0"/>
          <w:pgNumType w:fmt="decimal"/>
          <w:cols w:space="720" w:num="1"/>
        </w:sectPr>
      </w:pPr>
    </w:p>
    <w:p w14:paraId="7DA89457">
      <w:pPr>
        <w:spacing w:before="57" w:line="225" w:lineRule="auto"/>
        <w:ind w:left="22"/>
        <w:rPr>
          <w:rFonts w:ascii="黑体" w:hAnsi="黑体" w:eastAsia="黑体" w:cs="黑体"/>
          <w:color w:val="auto"/>
          <w:sz w:val="27"/>
          <w:szCs w:val="27"/>
          <w:highlight w:val="none"/>
        </w:rPr>
      </w:pPr>
      <w:bookmarkStart w:id="77" w:name="bookmark96"/>
      <w:bookmarkEnd w:id="77"/>
      <w:r>
        <w:rPr>
          <w:rFonts w:ascii="Times New Roman" w:hAnsi="Times New Roman" w:eastAsia="Times New Roman" w:cs="Times New Roman"/>
          <w:color w:val="auto"/>
          <w:sz w:val="27"/>
          <w:szCs w:val="27"/>
          <w:highlight w:val="none"/>
        </w:rPr>
        <w:t>6.</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z w:val="27"/>
          <w:szCs w:val="27"/>
          <w:highlight w:val="none"/>
        </w:rPr>
        <w:t>评标</w:t>
      </w:r>
    </w:p>
    <w:p w14:paraId="5A03BB06">
      <w:pPr>
        <w:spacing w:before="64"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6.1 </w:t>
      </w:r>
      <w:r>
        <w:rPr>
          <w:rFonts w:ascii="黑体" w:hAnsi="黑体" w:eastAsia="黑体" w:cs="黑体"/>
          <w:color w:val="auto"/>
          <w:spacing w:val="-1"/>
          <w:sz w:val="24"/>
          <w:szCs w:val="24"/>
          <w:highlight w:val="none"/>
        </w:rPr>
        <w:t>评标委员会</w:t>
      </w:r>
    </w:p>
    <w:p w14:paraId="79D39F13">
      <w:pPr>
        <w:spacing w:before="102" w:line="284" w:lineRule="auto"/>
        <w:ind w:left="17" w:right="8" w:firstLine="424"/>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6.1.1</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1"/>
          <w:sz w:val="21"/>
          <w:szCs w:val="21"/>
          <w:highlight w:val="none"/>
        </w:rPr>
        <w:t>评标由招标人依法组建的评标委员会负责。评标</w:t>
      </w:r>
      <w:r>
        <w:rPr>
          <w:rFonts w:ascii="宋体" w:hAnsi="宋体" w:eastAsia="宋体" w:cs="宋体"/>
          <w:color w:val="auto"/>
          <w:sz w:val="21"/>
          <w:szCs w:val="21"/>
          <w:highlight w:val="none"/>
        </w:rPr>
        <w:t xml:space="preserve">委员会由招标人或其委托的招标 </w:t>
      </w:r>
      <w:r>
        <w:rPr>
          <w:rFonts w:ascii="宋体" w:hAnsi="宋体" w:eastAsia="宋体" w:cs="宋体"/>
          <w:color w:val="auto"/>
          <w:spacing w:val="3"/>
          <w:sz w:val="21"/>
          <w:szCs w:val="21"/>
          <w:highlight w:val="none"/>
        </w:rPr>
        <w:t>代理机构熟悉相关业务的代表，以及有关技术、经济等方面的专家组成。评标</w:t>
      </w:r>
      <w:r>
        <w:rPr>
          <w:rFonts w:ascii="宋体" w:hAnsi="宋体" w:eastAsia="宋体" w:cs="宋体"/>
          <w:color w:val="auto"/>
          <w:spacing w:val="2"/>
          <w:sz w:val="21"/>
          <w:szCs w:val="21"/>
          <w:highlight w:val="none"/>
        </w:rPr>
        <w:t>委员会成员</w:t>
      </w:r>
      <w:r>
        <w:rPr>
          <w:rFonts w:ascii="宋体" w:hAnsi="宋体" w:eastAsia="宋体" w:cs="宋体"/>
          <w:color w:val="auto"/>
          <w:sz w:val="21"/>
          <w:szCs w:val="21"/>
          <w:highlight w:val="none"/>
        </w:rPr>
        <w:t xml:space="preserve"> 人数以及技术、经济等方面专家的确定方式见投标人须知</w:t>
      </w:r>
      <w:r>
        <w:rPr>
          <w:rFonts w:ascii="宋体" w:hAnsi="宋体" w:eastAsia="宋体" w:cs="宋体"/>
          <w:color w:val="auto"/>
          <w:spacing w:val="-1"/>
          <w:sz w:val="21"/>
          <w:szCs w:val="21"/>
          <w:highlight w:val="none"/>
        </w:rPr>
        <w:t>前附表。</w:t>
      </w:r>
    </w:p>
    <w:p w14:paraId="1B656FE0">
      <w:pPr>
        <w:spacing w:before="109" w:line="220"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6.1.2 </w:t>
      </w:r>
      <w:r>
        <w:rPr>
          <w:rFonts w:ascii="宋体" w:hAnsi="宋体" w:eastAsia="宋体" w:cs="宋体"/>
          <w:color w:val="auto"/>
          <w:spacing w:val="-2"/>
          <w:sz w:val="21"/>
          <w:szCs w:val="21"/>
          <w:highlight w:val="none"/>
        </w:rPr>
        <w:t>评标委员会成员有下列情形之一的，应当回避：</w:t>
      </w:r>
    </w:p>
    <w:p w14:paraId="5C742F14">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）投标人或投标人的主要负责人的近亲</w:t>
      </w:r>
      <w:r>
        <w:rPr>
          <w:rFonts w:ascii="宋体" w:hAnsi="宋体" w:eastAsia="宋体" w:cs="宋体"/>
          <w:color w:val="auto"/>
          <w:spacing w:val="-3"/>
          <w:sz w:val="21"/>
          <w:szCs w:val="21"/>
          <w:highlight w:val="none"/>
        </w:rPr>
        <w:t>属；</w:t>
      </w:r>
    </w:p>
    <w:p w14:paraId="6527E400">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）项目主管部门或者行政监督部门的人</w:t>
      </w:r>
      <w:r>
        <w:rPr>
          <w:rFonts w:ascii="宋体" w:hAnsi="宋体" w:eastAsia="宋体" w:cs="宋体"/>
          <w:color w:val="auto"/>
          <w:spacing w:val="-3"/>
          <w:sz w:val="21"/>
          <w:szCs w:val="21"/>
          <w:highlight w:val="none"/>
        </w:rPr>
        <w:t>员；</w:t>
      </w:r>
    </w:p>
    <w:p w14:paraId="386988CA">
      <w:pPr>
        <w:spacing w:before="110"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）与投标人有经济利益关系或其他利害关系，可能</w:t>
      </w:r>
      <w:r>
        <w:rPr>
          <w:rFonts w:ascii="宋体" w:hAnsi="宋体" w:eastAsia="宋体" w:cs="宋体"/>
          <w:color w:val="auto"/>
          <w:spacing w:val="-2"/>
          <w:sz w:val="21"/>
          <w:szCs w:val="21"/>
          <w:highlight w:val="none"/>
        </w:rPr>
        <w:t>影响对投标公正评审的；</w:t>
      </w:r>
    </w:p>
    <w:p w14:paraId="74BBAAA9">
      <w:pPr>
        <w:spacing w:before="109" w:line="221" w:lineRule="auto"/>
        <w:ind w:right="25"/>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）曾因在招标、评标以及其他与招标投标有</w:t>
      </w:r>
      <w:r>
        <w:rPr>
          <w:rFonts w:ascii="宋体" w:hAnsi="宋体" w:eastAsia="宋体" w:cs="宋体"/>
          <w:color w:val="auto"/>
          <w:spacing w:val="-1"/>
          <w:sz w:val="21"/>
          <w:szCs w:val="21"/>
          <w:highlight w:val="none"/>
        </w:rPr>
        <w:t>关活动中从事违法行为而受过行政处罚</w:t>
      </w:r>
    </w:p>
    <w:p w14:paraId="5C68633E">
      <w:pPr>
        <w:spacing w:before="108" w:line="335" w:lineRule="exact"/>
        <w:ind w:left="20"/>
        <w:rPr>
          <w:rFonts w:ascii="宋体" w:hAnsi="宋体" w:eastAsia="宋体" w:cs="宋体"/>
          <w:color w:val="auto"/>
          <w:sz w:val="21"/>
          <w:szCs w:val="21"/>
          <w:highlight w:val="none"/>
        </w:rPr>
      </w:pPr>
      <w:r>
        <w:rPr>
          <w:rFonts w:ascii="宋体" w:hAnsi="宋体" w:eastAsia="宋体" w:cs="宋体"/>
          <w:color w:val="auto"/>
          <w:spacing w:val="-4"/>
          <w:position w:val="9"/>
          <w:sz w:val="21"/>
          <w:szCs w:val="21"/>
          <w:highlight w:val="none"/>
        </w:rPr>
        <w:t>或刑事处罚的。</w:t>
      </w:r>
    </w:p>
    <w:p w14:paraId="5152E65B">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6.2</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评标原则</w:t>
      </w:r>
    </w:p>
    <w:p w14:paraId="343E999F">
      <w:pPr>
        <w:spacing w:before="100" w:line="336" w:lineRule="exact"/>
        <w:ind w:left="440"/>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评标活动遵循公平、公正、科学和择优的原则。</w:t>
      </w:r>
    </w:p>
    <w:p w14:paraId="66BEFF7E">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6.3</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3"/>
          <w:sz w:val="24"/>
          <w:szCs w:val="24"/>
          <w:highlight w:val="none"/>
        </w:rPr>
        <w:t>评标</w:t>
      </w:r>
    </w:p>
    <w:p w14:paraId="78586709">
      <w:pPr>
        <w:spacing w:before="101" w:line="268" w:lineRule="auto"/>
        <w:ind w:left="16" w:right="6"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评标委员会按照第三章“评标办法”规定的方法、评审因素、标准和程序对投标文件 </w:t>
      </w:r>
      <w:r>
        <w:rPr>
          <w:rFonts w:ascii="宋体" w:hAnsi="宋体" w:eastAsia="宋体" w:cs="宋体"/>
          <w:color w:val="auto"/>
          <w:spacing w:val="-1"/>
          <w:sz w:val="21"/>
          <w:szCs w:val="21"/>
          <w:highlight w:val="none"/>
        </w:rPr>
        <w:t>进行评审。第三章“评标办法”没有规定的方法、评审因素和标准，不作为评标依据。</w:t>
      </w:r>
    </w:p>
    <w:p w14:paraId="1C485A47">
      <w:pPr>
        <w:spacing w:before="110" w:line="335" w:lineRule="exact"/>
        <w:ind w:left="440"/>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评标采用方式详见投标人须知前附表。</w:t>
      </w:r>
    </w:p>
    <w:p w14:paraId="73BFBBDB">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6.4 </w:t>
      </w:r>
      <w:r>
        <w:rPr>
          <w:rFonts w:ascii="黑体" w:hAnsi="黑体" w:eastAsia="黑体" w:cs="黑体"/>
          <w:color w:val="auto"/>
          <w:spacing w:val="-1"/>
          <w:sz w:val="24"/>
          <w:szCs w:val="24"/>
          <w:highlight w:val="none"/>
        </w:rPr>
        <w:t>评标结果公示</w:t>
      </w:r>
    </w:p>
    <w:p w14:paraId="19FBD188">
      <w:pPr>
        <w:spacing w:before="102" w:line="292" w:lineRule="auto"/>
        <w:ind w:left="17" w:right="6"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招标人将自收到评标报告之日起 </w:t>
      </w: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20"/>
          <w:sz w:val="21"/>
          <w:szCs w:val="21"/>
          <w:highlight w:val="none"/>
        </w:rPr>
        <w:t xml:space="preserve">  </w:t>
      </w:r>
      <w:r>
        <w:rPr>
          <w:rFonts w:ascii="宋体" w:hAnsi="宋体" w:eastAsia="宋体" w:cs="宋体"/>
          <w:color w:val="auto"/>
          <w:spacing w:val="-2"/>
          <w:sz w:val="21"/>
          <w:szCs w:val="21"/>
          <w:highlight w:val="none"/>
        </w:rPr>
        <w:t>日内，完成审查评标委员会提交的书面评标报告，</w:t>
      </w:r>
      <w:r>
        <w:rPr>
          <w:rFonts w:ascii="宋体" w:hAnsi="宋体" w:eastAsia="宋体" w:cs="宋体"/>
          <w:color w:val="auto"/>
          <w:sz w:val="21"/>
          <w:szCs w:val="21"/>
          <w:highlight w:val="none"/>
        </w:rPr>
        <w:t xml:space="preserve"> 并在投标人须知前附表规定的媒介公示中标候选人。公示期不少于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日。招标人在中标候</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选人公示前将对评标委员会提交的评标报告进行审查，</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发现异常情形的，依照法定程序进</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行复核，确认存在问题的，依照法定程序予以纠正。</w:t>
      </w:r>
    </w:p>
    <w:p w14:paraId="06AD8DB3">
      <w:pPr>
        <w:spacing w:before="112" w:line="292" w:lineRule="auto"/>
        <w:ind w:left="21"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投标人或者其他利害关系人对评标结果有异议的，应当在中标候选人公示（评标结果</w:t>
      </w:r>
      <w:r>
        <w:rPr>
          <w:rFonts w:ascii="宋体" w:hAnsi="宋体" w:eastAsia="宋体" w:cs="宋体"/>
          <w:color w:val="auto"/>
          <w:sz w:val="21"/>
          <w:szCs w:val="21"/>
          <w:highlight w:val="none"/>
        </w:rPr>
        <w:t xml:space="preserve"> 公示）期间提出。招标人自收到异议之日起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日内作出答复；作出答复前，暂停招标投标</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活动。在法定时间期限内未提出视为投标人权利灭失。 异议与答复应通过电子招标投标系</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统（辽宁省工程建设项目招标投标异议投诉处理系统）以书面形式</w:t>
      </w:r>
      <w:r>
        <w:rPr>
          <w:rFonts w:ascii="宋体" w:hAnsi="宋体" w:eastAsia="宋体" w:cs="宋体"/>
          <w:color w:val="auto"/>
          <w:spacing w:val="-2"/>
          <w:sz w:val="21"/>
          <w:szCs w:val="21"/>
          <w:highlight w:val="none"/>
        </w:rPr>
        <w:t>进行。</w:t>
      </w:r>
    </w:p>
    <w:p w14:paraId="77579A38">
      <w:pPr>
        <w:spacing w:before="85" w:line="219"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7"/>
          <w:sz w:val="24"/>
          <w:szCs w:val="24"/>
          <w:highlight w:val="none"/>
        </w:rPr>
        <w:t xml:space="preserve">6.5 </w:t>
      </w:r>
      <w:r>
        <w:rPr>
          <w:rFonts w:ascii="黑体" w:hAnsi="黑体" w:eastAsia="黑体" w:cs="黑体"/>
          <w:color w:val="auto"/>
          <w:spacing w:val="-7"/>
          <w:sz w:val="24"/>
          <w:szCs w:val="24"/>
          <w:highlight w:val="none"/>
        </w:rPr>
        <w:t>履约能力的核查 （如有）</w:t>
      </w:r>
    </w:p>
    <w:p w14:paraId="4CA21254">
      <w:pPr>
        <w:spacing w:before="99" w:line="285" w:lineRule="auto"/>
        <w:ind w:left="18" w:right="6" w:firstLine="42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如果中标候选人的经营、财务状况发生较大变化或者存在违法行为， 招标人认为可能</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影响其履约能力的，将在发出中标通知书前报请行政监督部门后， 召集原评标委员会按照</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招标文件规定的标准和方法核查确认。</w:t>
      </w:r>
    </w:p>
    <w:p w14:paraId="73B31137">
      <w:pPr>
        <w:spacing w:before="153" w:line="393" w:lineRule="exact"/>
        <w:ind w:left="20"/>
        <w:rPr>
          <w:rFonts w:ascii="黑体" w:hAnsi="黑体" w:eastAsia="黑体" w:cs="黑体"/>
          <w:color w:val="auto"/>
          <w:sz w:val="27"/>
          <w:szCs w:val="27"/>
          <w:highlight w:val="none"/>
        </w:rPr>
      </w:pPr>
      <w:r>
        <w:rPr>
          <w:rFonts w:ascii="Times New Roman" w:hAnsi="Times New Roman" w:eastAsia="Times New Roman" w:cs="Times New Roman"/>
          <w:color w:val="auto"/>
          <w:spacing w:val="2"/>
          <w:position w:val="8"/>
          <w:sz w:val="27"/>
          <w:szCs w:val="27"/>
          <w:highlight w:val="none"/>
        </w:rPr>
        <w:t>7.</w:t>
      </w:r>
      <w:r>
        <w:rPr>
          <w:rFonts w:ascii="Times New Roman" w:hAnsi="Times New Roman" w:eastAsia="Times New Roman" w:cs="Times New Roman"/>
          <w:color w:val="auto"/>
          <w:spacing w:val="24"/>
          <w:position w:val="8"/>
          <w:sz w:val="27"/>
          <w:szCs w:val="27"/>
          <w:highlight w:val="none"/>
        </w:rPr>
        <w:t xml:space="preserve"> </w:t>
      </w:r>
      <w:r>
        <w:rPr>
          <w:rFonts w:ascii="黑体" w:hAnsi="黑体" w:eastAsia="黑体" w:cs="黑体"/>
          <w:color w:val="auto"/>
          <w:spacing w:val="2"/>
          <w:position w:val="8"/>
          <w:sz w:val="27"/>
          <w:szCs w:val="27"/>
          <w:highlight w:val="none"/>
        </w:rPr>
        <w:t>合同授予</w:t>
      </w:r>
    </w:p>
    <w:p w14:paraId="09856016">
      <w:pPr>
        <w:spacing w:line="218"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7.1 </w:t>
      </w:r>
      <w:r>
        <w:rPr>
          <w:rFonts w:ascii="黑体" w:hAnsi="黑体" w:eastAsia="黑体" w:cs="黑体"/>
          <w:color w:val="auto"/>
          <w:spacing w:val="-1"/>
          <w:sz w:val="24"/>
          <w:szCs w:val="24"/>
          <w:highlight w:val="none"/>
        </w:rPr>
        <w:t>定标方式</w:t>
      </w:r>
    </w:p>
    <w:p w14:paraId="24CA050E">
      <w:pPr>
        <w:spacing w:before="102" w:line="284" w:lineRule="auto"/>
        <w:ind w:left="17" w:right="6"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除投标人须知前附表规定评标委员会直接确定中标人外，招标</w:t>
      </w:r>
      <w:r>
        <w:rPr>
          <w:rFonts w:ascii="宋体" w:hAnsi="宋体" w:eastAsia="宋体" w:cs="宋体"/>
          <w:color w:val="auto"/>
          <w:spacing w:val="2"/>
          <w:sz w:val="21"/>
          <w:szCs w:val="21"/>
          <w:highlight w:val="none"/>
        </w:rPr>
        <w:t>人依据评标委员会推荐</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的中标候选人确定中标人或从评标委员会推荐的中标候选人范围内自主研究确定中标人，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评标委员会推荐中标候选人的人数见投标人须知前附表。</w:t>
      </w:r>
    </w:p>
    <w:p w14:paraId="578FAF1A">
      <w:pPr>
        <w:spacing w:before="109" w:line="285" w:lineRule="auto"/>
        <w:ind w:left="17" w:right="6"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招标人从评标委员会推荐的中标候选人范围内自主研究确定中标人的，招标人按照定</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标办法规定的规则组建定标委员会，定标委员会按照定标办法规定的方法、规则、标准和</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程序在中标候选人中定标，确定中标人。 定标办法没有规定的方法、规则、标准，</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不得作</w:t>
      </w:r>
    </w:p>
    <w:p w14:paraId="6B33FABC">
      <w:pPr>
        <w:spacing w:line="285" w:lineRule="auto"/>
        <w:rPr>
          <w:rFonts w:ascii="宋体" w:hAnsi="宋体" w:eastAsia="宋体" w:cs="宋体"/>
          <w:color w:val="auto"/>
          <w:sz w:val="21"/>
          <w:szCs w:val="21"/>
          <w:highlight w:val="none"/>
        </w:rPr>
        <w:sectPr>
          <w:footerReference r:id="rId28" w:type="default"/>
          <w:pgSz w:w="11905" w:h="16839"/>
          <w:pgMar w:top="1431" w:right="1785" w:bottom="1036" w:left="1785" w:header="0" w:footer="847" w:gutter="0"/>
          <w:pgNumType w:fmt="decimal"/>
          <w:cols w:space="720" w:num="1"/>
        </w:sectPr>
      </w:pPr>
    </w:p>
    <w:p w14:paraId="3F6F310F">
      <w:pPr>
        <w:spacing w:before="115"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为定标依据。</w:t>
      </w:r>
    </w:p>
    <w:p w14:paraId="20FD2C7C">
      <w:pPr>
        <w:spacing w:before="84" w:line="220" w:lineRule="auto"/>
        <w:ind w:left="18"/>
        <w:rPr>
          <w:rFonts w:ascii="黑体" w:hAnsi="黑体" w:eastAsia="黑体" w:cs="黑体"/>
          <w:color w:val="auto"/>
          <w:sz w:val="24"/>
          <w:szCs w:val="24"/>
          <w:highlight w:val="none"/>
        </w:rPr>
      </w:pPr>
      <w:bookmarkStart w:id="78" w:name="bookmark97"/>
      <w:bookmarkEnd w:id="78"/>
      <w:r>
        <w:rPr>
          <w:rFonts w:ascii="Times New Roman" w:hAnsi="Times New Roman" w:eastAsia="Times New Roman" w:cs="Times New Roman"/>
          <w:color w:val="auto"/>
          <w:spacing w:val="-4"/>
          <w:sz w:val="24"/>
          <w:szCs w:val="24"/>
          <w:highlight w:val="none"/>
        </w:rPr>
        <w:t>7.2</w:t>
      </w:r>
      <w:r>
        <w:rPr>
          <w:rFonts w:ascii="Times New Roman" w:hAnsi="Times New Roman" w:eastAsia="Times New Roman" w:cs="Times New Roman"/>
          <w:color w:val="auto"/>
          <w:spacing w:val="31"/>
          <w:sz w:val="24"/>
          <w:szCs w:val="24"/>
          <w:highlight w:val="none"/>
        </w:rPr>
        <w:t xml:space="preserve"> </w:t>
      </w:r>
      <w:r>
        <w:rPr>
          <w:rFonts w:ascii="黑体" w:hAnsi="黑体" w:eastAsia="黑体" w:cs="黑体"/>
          <w:color w:val="auto"/>
          <w:spacing w:val="-4"/>
          <w:sz w:val="24"/>
          <w:szCs w:val="24"/>
          <w:highlight w:val="none"/>
        </w:rPr>
        <w:t>中标通知</w:t>
      </w:r>
    </w:p>
    <w:p w14:paraId="2B68F4E3">
      <w:pPr>
        <w:spacing w:before="99" w:line="285" w:lineRule="auto"/>
        <w:ind w:left="38" w:right="152" w:firstLine="40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评标结果公示期满后，在本章第</w:t>
      </w:r>
      <w:r>
        <w:rPr>
          <w:rFonts w:ascii="宋体" w:hAnsi="宋体" w:eastAsia="宋体" w:cs="宋体"/>
          <w:color w:val="auto"/>
          <w:spacing w:val="-57"/>
          <w:sz w:val="21"/>
          <w:szCs w:val="21"/>
          <w:highlight w:val="none"/>
        </w:rPr>
        <w:t xml:space="preserve"> </w:t>
      </w:r>
      <w:r>
        <w:rPr>
          <w:rFonts w:ascii="Times New Roman" w:hAnsi="Times New Roman" w:eastAsia="Times New Roman" w:cs="Times New Roman"/>
          <w:color w:val="auto"/>
          <w:sz w:val="21"/>
          <w:szCs w:val="21"/>
          <w:highlight w:val="none"/>
        </w:rPr>
        <w:t>3.3</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款规定</w:t>
      </w:r>
      <w:r>
        <w:rPr>
          <w:rFonts w:ascii="宋体" w:hAnsi="宋体" w:eastAsia="宋体" w:cs="宋体"/>
          <w:color w:val="auto"/>
          <w:spacing w:val="-1"/>
          <w:sz w:val="21"/>
          <w:szCs w:val="21"/>
          <w:highlight w:val="none"/>
        </w:rPr>
        <w:t>的投标有效期内，招标人通过电子交易系统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以书面形式向中标人发出经电子监督系统验证备案的中标通知书，</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rPr>
        <w:t>同时</w:t>
      </w:r>
      <w:r>
        <w:rPr>
          <w:rFonts w:ascii="宋体" w:hAnsi="宋体" w:eastAsia="宋体" w:cs="宋体"/>
          <w:color w:val="auto"/>
          <w:spacing w:val="-2"/>
          <w:sz w:val="21"/>
          <w:szCs w:val="21"/>
          <w:highlight w:val="none"/>
        </w:rPr>
        <w:t>将中标结果通知未</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中标的投标人。</w:t>
      </w:r>
    </w:p>
    <w:p w14:paraId="1641F633">
      <w:pPr>
        <w:spacing w:before="108" w:line="269" w:lineRule="auto"/>
        <w:ind w:left="22" w:right="154" w:firstLine="4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中标通知书发出的同时，招标人将在投标人须知前附表第</w:t>
      </w:r>
      <w:r>
        <w:rPr>
          <w:rFonts w:ascii="宋体" w:hAnsi="宋体" w:eastAsia="宋体" w:cs="宋体"/>
          <w:color w:val="auto"/>
          <w:spacing w:val="-55"/>
          <w:sz w:val="21"/>
          <w:szCs w:val="21"/>
          <w:highlight w:val="none"/>
        </w:rPr>
        <w:t xml:space="preserve"> </w:t>
      </w:r>
      <w:r>
        <w:rPr>
          <w:rFonts w:ascii="Times New Roman" w:hAnsi="Times New Roman" w:eastAsia="Times New Roman" w:cs="Times New Roman"/>
          <w:color w:val="auto"/>
          <w:spacing w:val="-1"/>
          <w:sz w:val="21"/>
          <w:szCs w:val="21"/>
          <w:highlight w:val="none"/>
        </w:rPr>
        <w:t>6.4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款规定的媒介发布</w:t>
      </w:r>
      <w:r>
        <w:rPr>
          <w:rFonts w:ascii="宋体" w:hAnsi="宋体" w:eastAsia="宋体" w:cs="宋体"/>
          <w:color w:val="auto"/>
          <w:spacing w:val="-2"/>
          <w:sz w:val="21"/>
          <w:szCs w:val="21"/>
          <w:highlight w:val="none"/>
        </w:rPr>
        <w:t>中标结</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果公示。</w:t>
      </w:r>
    </w:p>
    <w:p w14:paraId="451BF037">
      <w:pPr>
        <w:spacing w:before="83" w:line="219"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7.3 </w:t>
      </w:r>
      <w:r>
        <w:rPr>
          <w:rFonts w:ascii="黑体" w:hAnsi="黑体" w:eastAsia="黑体" w:cs="黑体"/>
          <w:color w:val="auto"/>
          <w:spacing w:val="-1"/>
          <w:sz w:val="24"/>
          <w:szCs w:val="24"/>
          <w:highlight w:val="none"/>
        </w:rPr>
        <w:t>履约保证金</w:t>
      </w:r>
    </w:p>
    <w:p w14:paraId="51FBAF5A">
      <w:pPr>
        <w:spacing w:before="102" w:line="292" w:lineRule="auto"/>
        <w:ind w:left="18" w:right="155"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7.3.1</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在签订合同前，中标人应按投标人须知前</w:t>
      </w:r>
      <w:r>
        <w:rPr>
          <w:rFonts w:ascii="宋体" w:hAnsi="宋体" w:eastAsia="宋体" w:cs="宋体"/>
          <w:color w:val="auto"/>
          <w:sz w:val="21"/>
          <w:szCs w:val="21"/>
          <w:highlight w:val="none"/>
        </w:rPr>
        <w:t xml:space="preserve">附表规定的金额、担保形式和招标文件 </w:t>
      </w:r>
      <w:r>
        <w:rPr>
          <w:rFonts w:ascii="宋体" w:hAnsi="宋体" w:eastAsia="宋体" w:cs="宋体"/>
          <w:color w:val="auto"/>
          <w:spacing w:val="3"/>
          <w:sz w:val="21"/>
          <w:szCs w:val="21"/>
          <w:highlight w:val="none"/>
        </w:rPr>
        <w:t>第四章“合同条款及格式”规定的履约保证金格式或者事先经过招标人书面</w:t>
      </w:r>
      <w:r>
        <w:rPr>
          <w:rFonts w:ascii="宋体" w:hAnsi="宋体" w:eastAsia="宋体" w:cs="宋体"/>
          <w:color w:val="auto"/>
          <w:spacing w:val="2"/>
          <w:sz w:val="21"/>
          <w:szCs w:val="21"/>
          <w:highlight w:val="none"/>
        </w:rPr>
        <w:t>认可的履约保</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证金格式向招标人提交履约担保。联合体中标的，其履约保证金由牵头人递</w:t>
      </w:r>
      <w:r>
        <w:rPr>
          <w:rFonts w:ascii="宋体" w:hAnsi="宋体" w:eastAsia="宋体" w:cs="宋体"/>
          <w:color w:val="auto"/>
          <w:spacing w:val="2"/>
          <w:sz w:val="21"/>
          <w:szCs w:val="21"/>
          <w:highlight w:val="none"/>
        </w:rPr>
        <w:t>交，并应符合</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投标人须知前附表的规定。</w:t>
      </w:r>
    </w:p>
    <w:p w14:paraId="30D4B414">
      <w:pPr>
        <w:spacing w:before="108" w:line="285" w:lineRule="auto"/>
        <w:ind w:left="18" w:right="155"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7.3.2</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中标人不能按本章第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7.3.1 </w:t>
      </w:r>
      <w:r>
        <w:rPr>
          <w:rFonts w:ascii="宋体" w:hAnsi="宋体" w:eastAsia="宋体" w:cs="宋体"/>
          <w:color w:val="auto"/>
          <w:spacing w:val="-1"/>
          <w:sz w:val="21"/>
          <w:szCs w:val="21"/>
          <w:highlight w:val="none"/>
        </w:rPr>
        <w:t>项要求提交履约保证</w:t>
      </w:r>
      <w:r>
        <w:rPr>
          <w:rFonts w:ascii="宋体" w:hAnsi="宋体" w:eastAsia="宋体" w:cs="宋体"/>
          <w:color w:val="auto"/>
          <w:spacing w:val="-2"/>
          <w:sz w:val="21"/>
          <w:szCs w:val="21"/>
          <w:highlight w:val="none"/>
        </w:rPr>
        <w:t>金的，视为放弃中标，其投标保证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金不予退还， 给招标人造成的损失超过投标保证金数</w:t>
      </w:r>
      <w:r>
        <w:rPr>
          <w:rFonts w:ascii="宋体" w:hAnsi="宋体" w:eastAsia="宋体" w:cs="宋体"/>
          <w:color w:val="auto"/>
          <w:spacing w:val="-3"/>
          <w:sz w:val="21"/>
          <w:szCs w:val="21"/>
          <w:highlight w:val="none"/>
        </w:rPr>
        <w:t>额的， 中标人还应当对超过部分予以</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赔偿。</w:t>
      </w:r>
    </w:p>
    <w:p w14:paraId="48D60BBA">
      <w:pPr>
        <w:spacing w:before="85" w:line="220"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7.4</w:t>
      </w:r>
      <w:r>
        <w:rPr>
          <w:rFonts w:ascii="Times New Roman" w:hAnsi="Times New Roman" w:eastAsia="Times New Roman" w:cs="Times New Roman"/>
          <w:color w:val="auto"/>
          <w:spacing w:val="12"/>
          <w:sz w:val="24"/>
          <w:szCs w:val="24"/>
          <w:highlight w:val="none"/>
        </w:rPr>
        <w:t xml:space="preserve"> </w:t>
      </w:r>
      <w:r>
        <w:rPr>
          <w:rFonts w:ascii="黑体" w:hAnsi="黑体" w:eastAsia="黑体" w:cs="黑体"/>
          <w:color w:val="auto"/>
          <w:spacing w:val="-2"/>
          <w:sz w:val="24"/>
          <w:szCs w:val="24"/>
          <w:highlight w:val="none"/>
        </w:rPr>
        <w:t>签订合同</w:t>
      </w:r>
    </w:p>
    <w:p w14:paraId="14E6D08E">
      <w:pPr>
        <w:spacing w:before="100" w:line="297" w:lineRule="auto"/>
        <w:ind w:left="19"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7.4.1 </w:t>
      </w:r>
      <w:r>
        <w:rPr>
          <w:rFonts w:ascii="宋体" w:hAnsi="宋体" w:eastAsia="宋体" w:cs="宋体"/>
          <w:color w:val="auto"/>
          <w:spacing w:val="-2"/>
          <w:sz w:val="21"/>
          <w:szCs w:val="21"/>
          <w:highlight w:val="none"/>
        </w:rPr>
        <w:t>招标人和中标人应当在投标有效期内并自</w:t>
      </w:r>
      <w:r>
        <w:rPr>
          <w:rFonts w:ascii="宋体" w:hAnsi="宋体" w:eastAsia="宋体" w:cs="宋体"/>
          <w:color w:val="auto"/>
          <w:spacing w:val="-3"/>
          <w:sz w:val="21"/>
          <w:szCs w:val="21"/>
          <w:highlight w:val="none"/>
        </w:rPr>
        <w:t>中标通知书发出之日起</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3"/>
          <w:sz w:val="21"/>
          <w:szCs w:val="21"/>
          <w:highlight w:val="none"/>
        </w:rPr>
        <w:t>30</w:t>
      </w:r>
      <w:r>
        <w:rPr>
          <w:rFonts w:ascii="Times New Roman" w:hAnsi="Times New Roman" w:eastAsia="Times New Roman" w:cs="Times New Roman"/>
          <w:color w:val="auto"/>
          <w:spacing w:val="25"/>
          <w:w w:val="101"/>
          <w:sz w:val="21"/>
          <w:szCs w:val="21"/>
          <w:highlight w:val="none"/>
        </w:rPr>
        <w:t xml:space="preserve"> </w:t>
      </w:r>
      <w:r>
        <w:rPr>
          <w:rFonts w:ascii="宋体" w:hAnsi="宋体" w:eastAsia="宋体" w:cs="宋体"/>
          <w:color w:val="auto"/>
          <w:spacing w:val="-3"/>
          <w:sz w:val="21"/>
          <w:szCs w:val="21"/>
          <w:highlight w:val="none"/>
        </w:rPr>
        <w:t xml:space="preserve">日内，根据招  </w:t>
      </w:r>
      <w:r>
        <w:rPr>
          <w:rFonts w:ascii="宋体" w:hAnsi="宋体" w:eastAsia="宋体" w:cs="宋体"/>
          <w:color w:val="auto"/>
          <w:spacing w:val="2"/>
          <w:sz w:val="21"/>
          <w:szCs w:val="21"/>
          <w:highlight w:val="none"/>
        </w:rPr>
        <w:t xml:space="preserve">标文件和中标人的投标文件（以经评标委员会评审的文件版本为准）订立书面合同。中标  </w:t>
      </w:r>
      <w:r>
        <w:rPr>
          <w:rFonts w:ascii="宋体" w:hAnsi="宋体" w:eastAsia="宋体" w:cs="宋体"/>
          <w:color w:val="auto"/>
          <w:spacing w:val="-1"/>
          <w:sz w:val="21"/>
          <w:szCs w:val="21"/>
          <w:highlight w:val="none"/>
        </w:rPr>
        <w:t>人无正当理由拒签合同或在签订合同时向招标人提出附加条件的， 招标人取消其中标资格，</w:t>
      </w:r>
      <w:r>
        <w:rPr>
          <w:rFonts w:ascii="宋体" w:hAnsi="宋体" w:eastAsia="宋体" w:cs="宋体"/>
          <w:color w:val="auto"/>
          <w:sz w:val="21"/>
          <w:szCs w:val="21"/>
          <w:highlight w:val="none"/>
        </w:rPr>
        <w:t xml:space="preserve"> 其投标保证金不予退还；给招标人造成的损失超</w:t>
      </w:r>
      <w:r>
        <w:rPr>
          <w:rFonts w:ascii="宋体" w:hAnsi="宋体" w:eastAsia="宋体" w:cs="宋体"/>
          <w:color w:val="auto"/>
          <w:spacing w:val="-1"/>
          <w:sz w:val="21"/>
          <w:szCs w:val="21"/>
          <w:highlight w:val="none"/>
        </w:rPr>
        <w:t xml:space="preserve">过投标保证金数额的， 中标人还应当对超  </w:t>
      </w:r>
      <w:r>
        <w:rPr>
          <w:rFonts w:ascii="宋体" w:hAnsi="宋体" w:eastAsia="宋体" w:cs="宋体"/>
          <w:color w:val="auto"/>
          <w:spacing w:val="-4"/>
          <w:sz w:val="21"/>
          <w:szCs w:val="21"/>
          <w:highlight w:val="none"/>
        </w:rPr>
        <w:t>过部分予以赔偿。</w:t>
      </w:r>
    </w:p>
    <w:p w14:paraId="28AF46BC">
      <w:pPr>
        <w:spacing w:before="108" w:line="269" w:lineRule="auto"/>
        <w:ind w:left="18" w:right="160"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7.4.2</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1"/>
          <w:sz w:val="21"/>
          <w:szCs w:val="21"/>
          <w:highlight w:val="none"/>
        </w:rPr>
        <w:t>发出中标通知书后，招标人无正当理由拒</w:t>
      </w:r>
      <w:r>
        <w:rPr>
          <w:rFonts w:ascii="宋体" w:hAnsi="宋体" w:eastAsia="宋体" w:cs="宋体"/>
          <w:color w:val="auto"/>
          <w:sz w:val="21"/>
          <w:szCs w:val="21"/>
          <w:highlight w:val="none"/>
        </w:rPr>
        <w:t xml:space="preserve">签合同的，招标人向中标人退还投标保 </w:t>
      </w:r>
      <w:r>
        <w:rPr>
          <w:rFonts w:ascii="宋体" w:hAnsi="宋体" w:eastAsia="宋体" w:cs="宋体"/>
          <w:color w:val="auto"/>
          <w:spacing w:val="-6"/>
          <w:sz w:val="21"/>
          <w:szCs w:val="21"/>
          <w:highlight w:val="none"/>
        </w:rPr>
        <w:t>证金；给中标人造成损失的， 还应当赔偿损失。</w:t>
      </w:r>
    </w:p>
    <w:p w14:paraId="0611D27F">
      <w:pPr>
        <w:spacing w:before="109" w:line="269" w:lineRule="auto"/>
        <w:ind w:left="19" w:right="160"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7.4.3</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联合体中标的，联合体各方应当共同与招标人签</w:t>
      </w:r>
      <w:r>
        <w:rPr>
          <w:rFonts w:ascii="宋体" w:hAnsi="宋体" w:eastAsia="宋体" w:cs="宋体"/>
          <w:color w:val="auto"/>
          <w:sz w:val="21"/>
          <w:szCs w:val="21"/>
          <w:highlight w:val="none"/>
        </w:rPr>
        <w:t xml:space="preserve">订合同，就中标项目向招标人承 </w:t>
      </w:r>
      <w:r>
        <w:rPr>
          <w:rFonts w:ascii="宋体" w:hAnsi="宋体" w:eastAsia="宋体" w:cs="宋体"/>
          <w:color w:val="auto"/>
          <w:spacing w:val="-1"/>
          <w:sz w:val="21"/>
          <w:szCs w:val="21"/>
          <w:highlight w:val="none"/>
        </w:rPr>
        <w:t>担连带责任。</w:t>
      </w:r>
    </w:p>
    <w:p w14:paraId="6548F128">
      <w:pPr>
        <w:spacing w:before="109" w:line="219"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7.4.4 </w:t>
      </w:r>
      <w:r>
        <w:rPr>
          <w:rFonts w:ascii="宋体" w:hAnsi="宋体" w:eastAsia="宋体" w:cs="宋体"/>
          <w:color w:val="auto"/>
          <w:spacing w:val="-2"/>
          <w:sz w:val="21"/>
          <w:szCs w:val="21"/>
          <w:highlight w:val="none"/>
        </w:rPr>
        <w:t>签约合同价的确定原则如下：</w:t>
      </w:r>
    </w:p>
    <w:p w14:paraId="3DF04E75">
      <w:pPr>
        <w:spacing w:before="111" w:line="284" w:lineRule="auto"/>
        <w:ind w:left="20" w:right="158"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开标时投标函中大写投标总价应为签约合同价。按照第三章“评标办法”的规定，如</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投标报价有算术错误的，修正的价格经投标人书面确认后， 以修正后的投标总价为签约合</w:t>
      </w:r>
      <w:r>
        <w:rPr>
          <w:rFonts w:ascii="宋体" w:hAnsi="宋体" w:eastAsia="宋体" w:cs="宋体"/>
          <w:color w:val="auto"/>
          <w:spacing w:val="4"/>
          <w:sz w:val="21"/>
          <w:szCs w:val="21"/>
          <w:highlight w:val="none"/>
        </w:rPr>
        <w:t xml:space="preserve"> </w:t>
      </w:r>
      <w:r>
        <w:rPr>
          <w:rFonts w:ascii="宋体" w:hAnsi="宋体" w:eastAsia="宋体" w:cs="宋体"/>
          <w:color w:val="auto"/>
          <w:spacing w:val="-9"/>
          <w:sz w:val="21"/>
          <w:szCs w:val="21"/>
          <w:highlight w:val="none"/>
        </w:rPr>
        <w:t>同价。</w:t>
      </w:r>
    </w:p>
    <w:p w14:paraId="3D4CF731">
      <w:pPr>
        <w:spacing w:before="112" w:line="284" w:lineRule="auto"/>
        <w:ind w:left="17" w:right="15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7.4.5 </w:t>
      </w:r>
      <w:r>
        <w:rPr>
          <w:rFonts w:ascii="宋体" w:hAnsi="宋体" w:eastAsia="宋体" w:cs="宋体"/>
          <w:color w:val="auto"/>
          <w:spacing w:val="-2"/>
          <w:sz w:val="21"/>
          <w:szCs w:val="21"/>
          <w:highlight w:val="none"/>
        </w:rPr>
        <w:t>招标人和中标人应当在中标通知书发出之日起</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2"/>
          <w:sz w:val="21"/>
          <w:szCs w:val="21"/>
          <w:highlight w:val="none"/>
        </w:rPr>
        <w:t>30</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2"/>
          <w:sz w:val="21"/>
          <w:szCs w:val="21"/>
          <w:highlight w:val="none"/>
        </w:rPr>
        <w:t>日内，登录辽宁省工程建设项目</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合同履约管理系统签订合同并向电子监督系统提交电子合</w:t>
      </w:r>
      <w:r>
        <w:rPr>
          <w:rFonts w:ascii="宋体" w:hAnsi="宋体" w:eastAsia="宋体" w:cs="宋体"/>
          <w:color w:val="auto"/>
          <w:spacing w:val="3"/>
          <w:sz w:val="21"/>
          <w:szCs w:val="21"/>
          <w:highlight w:val="none"/>
        </w:rPr>
        <w:t>同文件归档</w:t>
      </w:r>
      <w:r>
        <w:rPr>
          <w:rFonts w:ascii="宋体" w:hAnsi="宋体" w:eastAsia="宋体" w:cs="宋体"/>
          <w:color w:val="auto"/>
          <w:spacing w:val="3"/>
          <w:sz w:val="19"/>
          <w:szCs w:val="19"/>
          <w:highlight w:val="none"/>
        </w:rPr>
        <w:t>。</w:t>
      </w:r>
      <w:r>
        <w:rPr>
          <w:rFonts w:ascii="宋体" w:hAnsi="宋体" w:eastAsia="宋体" w:cs="宋体"/>
          <w:color w:val="auto"/>
          <w:spacing w:val="3"/>
          <w:sz w:val="21"/>
          <w:szCs w:val="21"/>
          <w:highlight w:val="none"/>
        </w:rPr>
        <w:t>按照信息公示规定</w:t>
      </w:r>
      <w:r>
        <w:rPr>
          <w:rFonts w:ascii="宋体" w:hAnsi="宋体" w:eastAsia="宋体" w:cs="宋体"/>
          <w:color w:val="auto"/>
          <w:sz w:val="21"/>
          <w:szCs w:val="21"/>
          <w:highlight w:val="none"/>
        </w:rPr>
        <w:t xml:space="preserve"> 对合同签订等信息进行公示公开，依法应当保护的商业秘</w:t>
      </w:r>
      <w:r>
        <w:rPr>
          <w:rFonts w:ascii="宋体" w:hAnsi="宋体" w:eastAsia="宋体" w:cs="宋体"/>
          <w:color w:val="auto"/>
          <w:spacing w:val="-1"/>
          <w:sz w:val="21"/>
          <w:szCs w:val="21"/>
          <w:highlight w:val="none"/>
        </w:rPr>
        <w:t>密除外。</w:t>
      </w:r>
    </w:p>
    <w:p w14:paraId="1A19883C">
      <w:pPr>
        <w:spacing w:before="153" w:line="393" w:lineRule="exact"/>
        <w:ind w:left="27"/>
        <w:rPr>
          <w:rFonts w:ascii="黑体" w:hAnsi="黑体" w:eastAsia="黑体" w:cs="黑体"/>
          <w:color w:val="auto"/>
          <w:sz w:val="27"/>
          <w:szCs w:val="27"/>
          <w:highlight w:val="none"/>
        </w:rPr>
      </w:pPr>
      <w:r>
        <w:rPr>
          <w:rFonts w:ascii="Times New Roman" w:hAnsi="Times New Roman" w:eastAsia="Times New Roman" w:cs="Times New Roman"/>
          <w:color w:val="auto"/>
          <w:spacing w:val="6"/>
          <w:position w:val="8"/>
          <w:sz w:val="27"/>
          <w:szCs w:val="27"/>
          <w:highlight w:val="none"/>
        </w:rPr>
        <w:t>8.</w:t>
      </w:r>
      <w:r>
        <w:rPr>
          <w:rFonts w:ascii="Times New Roman" w:hAnsi="Times New Roman" w:eastAsia="Times New Roman" w:cs="Times New Roman"/>
          <w:color w:val="auto"/>
          <w:spacing w:val="30"/>
          <w:w w:val="101"/>
          <w:position w:val="8"/>
          <w:sz w:val="27"/>
          <w:szCs w:val="27"/>
          <w:highlight w:val="none"/>
        </w:rPr>
        <w:t xml:space="preserve"> </w:t>
      </w:r>
      <w:r>
        <w:rPr>
          <w:rFonts w:ascii="黑体" w:hAnsi="黑体" w:eastAsia="黑体" w:cs="黑体"/>
          <w:color w:val="auto"/>
          <w:spacing w:val="6"/>
          <w:position w:val="8"/>
          <w:sz w:val="27"/>
          <w:szCs w:val="27"/>
          <w:highlight w:val="none"/>
        </w:rPr>
        <w:t>重新招标、不再招标和终止招标</w:t>
      </w:r>
    </w:p>
    <w:p w14:paraId="7ECA474A">
      <w:pPr>
        <w:spacing w:before="1" w:line="218"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8.1</w:t>
      </w:r>
      <w:r>
        <w:rPr>
          <w:rFonts w:ascii="Times New Roman" w:hAnsi="Times New Roman" w:eastAsia="Times New Roman" w:cs="Times New Roman"/>
          <w:color w:val="auto"/>
          <w:spacing w:val="21"/>
          <w:sz w:val="24"/>
          <w:szCs w:val="24"/>
          <w:highlight w:val="none"/>
        </w:rPr>
        <w:t xml:space="preserve"> </w:t>
      </w:r>
      <w:r>
        <w:rPr>
          <w:rFonts w:ascii="黑体" w:hAnsi="黑体" w:eastAsia="黑体" w:cs="黑体"/>
          <w:color w:val="auto"/>
          <w:spacing w:val="-4"/>
          <w:sz w:val="24"/>
          <w:szCs w:val="24"/>
          <w:highlight w:val="none"/>
        </w:rPr>
        <w:t>重新招标</w:t>
      </w:r>
    </w:p>
    <w:p w14:paraId="7E8F3B2B">
      <w:pPr>
        <w:spacing w:before="100" w:line="221" w:lineRule="auto"/>
        <w:ind w:left="37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有下列情形之一的，</w:t>
      </w:r>
      <w:r>
        <w:rPr>
          <w:rFonts w:ascii="宋体" w:hAnsi="宋体" w:eastAsia="宋体" w:cs="宋体"/>
          <w:color w:val="auto"/>
          <w:spacing w:val="-20"/>
          <w:sz w:val="21"/>
          <w:szCs w:val="21"/>
          <w:highlight w:val="none"/>
        </w:rPr>
        <w:t xml:space="preserve"> </w:t>
      </w:r>
      <w:r>
        <w:rPr>
          <w:rFonts w:ascii="宋体" w:hAnsi="宋体" w:eastAsia="宋体" w:cs="宋体"/>
          <w:color w:val="auto"/>
          <w:spacing w:val="-5"/>
          <w:sz w:val="21"/>
          <w:szCs w:val="21"/>
          <w:highlight w:val="none"/>
        </w:rPr>
        <w:t>招标人将重新招标：</w:t>
      </w:r>
    </w:p>
    <w:p w14:paraId="39A51435">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）投标截止时间止，投标人少于</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个的；</w:t>
      </w:r>
    </w:p>
    <w:p w14:paraId="6E060AB5">
      <w:pPr>
        <w:spacing w:before="109" w:line="220" w:lineRule="auto"/>
        <w:ind w:left="3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）经评标委员会评审后否决所有投标的；</w:t>
      </w:r>
    </w:p>
    <w:p w14:paraId="2AD9C2E7">
      <w:pPr>
        <w:spacing w:before="110"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6"/>
          <w:sz w:val="21"/>
          <w:szCs w:val="21"/>
          <w:highlight w:val="none"/>
        </w:rPr>
        <w:t>）第一中标候选人或所有中标候选人存在不同程度的问题，</w:t>
      </w:r>
      <w:r>
        <w:rPr>
          <w:rFonts w:ascii="宋体" w:hAnsi="宋体" w:eastAsia="宋体" w:cs="宋体"/>
          <w:color w:val="auto"/>
          <w:spacing w:val="61"/>
          <w:sz w:val="21"/>
          <w:szCs w:val="21"/>
          <w:highlight w:val="none"/>
        </w:rPr>
        <w:t xml:space="preserve"> </w:t>
      </w:r>
      <w:r>
        <w:rPr>
          <w:rFonts w:ascii="宋体" w:hAnsi="宋体" w:eastAsia="宋体" w:cs="宋体"/>
          <w:color w:val="auto"/>
          <w:spacing w:val="-6"/>
          <w:sz w:val="21"/>
          <w:szCs w:val="21"/>
          <w:highlight w:val="none"/>
        </w:rPr>
        <w:t>不能签订合同的；</w:t>
      </w:r>
    </w:p>
    <w:p w14:paraId="6B665082">
      <w:pPr>
        <w:spacing w:line="221" w:lineRule="auto"/>
        <w:rPr>
          <w:rFonts w:ascii="宋体" w:hAnsi="宋体" w:eastAsia="宋体" w:cs="宋体"/>
          <w:color w:val="auto"/>
          <w:sz w:val="21"/>
          <w:szCs w:val="21"/>
          <w:highlight w:val="none"/>
        </w:rPr>
        <w:sectPr>
          <w:footerReference r:id="rId29" w:type="default"/>
          <w:pgSz w:w="11905" w:h="16839"/>
          <w:pgMar w:top="1431" w:right="1633" w:bottom="1036" w:left="1785" w:header="0" w:footer="847" w:gutter="0"/>
          <w:pgNumType w:fmt="decimal"/>
          <w:cols w:space="720" w:num="1"/>
        </w:sectPr>
      </w:pPr>
    </w:p>
    <w:p w14:paraId="05B0C5F8">
      <w:pPr>
        <w:spacing w:before="115" w:line="360" w:lineRule="exact"/>
        <w:ind w:left="385"/>
        <w:rPr>
          <w:rFonts w:ascii="宋体" w:hAnsi="宋体" w:eastAsia="宋体" w:cs="宋体"/>
          <w:color w:val="auto"/>
          <w:sz w:val="21"/>
          <w:szCs w:val="21"/>
          <w:highlight w:val="none"/>
        </w:rPr>
      </w:pPr>
      <w:bookmarkStart w:id="79" w:name="bookmark98"/>
      <w:bookmarkEnd w:id="79"/>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4</w:t>
      </w:r>
      <w:r>
        <w:rPr>
          <w:rFonts w:ascii="宋体" w:hAnsi="宋体" w:eastAsia="宋体" w:cs="宋体"/>
          <w:color w:val="auto"/>
          <w:spacing w:val="-1"/>
          <w:position w:val="11"/>
          <w:sz w:val="21"/>
          <w:szCs w:val="21"/>
          <w:highlight w:val="none"/>
        </w:rPr>
        <w:t>）在投标有效期内同意延长投标有效期的投标人少于三个的；</w:t>
      </w:r>
    </w:p>
    <w:p w14:paraId="6C630772">
      <w:pPr>
        <w:spacing w:line="220" w:lineRule="auto"/>
        <w:ind w:left="3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）法律、法规规定的其他情形。</w:t>
      </w:r>
    </w:p>
    <w:p w14:paraId="1FC564E7">
      <w:pPr>
        <w:spacing w:before="84" w:line="219"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8.2</w:t>
      </w:r>
      <w:r>
        <w:rPr>
          <w:rFonts w:ascii="Times New Roman" w:hAnsi="Times New Roman" w:eastAsia="Times New Roman" w:cs="Times New Roman"/>
          <w:color w:val="auto"/>
          <w:spacing w:val="20"/>
          <w:w w:val="101"/>
          <w:sz w:val="24"/>
          <w:szCs w:val="24"/>
          <w:highlight w:val="none"/>
        </w:rPr>
        <w:t xml:space="preserve"> </w:t>
      </w:r>
      <w:r>
        <w:rPr>
          <w:rFonts w:ascii="黑体" w:hAnsi="黑体" w:eastAsia="黑体" w:cs="黑体"/>
          <w:color w:val="auto"/>
          <w:spacing w:val="-4"/>
          <w:sz w:val="24"/>
          <w:szCs w:val="24"/>
          <w:highlight w:val="none"/>
        </w:rPr>
        <w:t>不再招标</w:t>
      </w:r>
    </w:p>
    <w:p w14:paraId="5D62DDBE">
      <w:pPr>
        <w:spacing w:before="99" w:line="269" w:lineRule="auto"/>
        <w:ind w:left="21" w:right="171"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重新招标后投标人仍少于 </w:t>
      </w:r>
      <w:r>
        <w:rPr>
          <w:rFonts w:ascii="Times New Roman" w:hAnsi="Times New Roman" w:eastAsia="Times New Roman" w:cs="Times New Roman"/>
          <w:color w:val="auto"/>
          <w:spacing w:val="1"/>
          <w:sz w:val="21"/>
          <w:szCs w:val="21"/>
          <w:highlight w:val="none"/>
        </w:rPr>
        <w:t>3</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1"/>
          <w:sz w:val="21"/>
          <w:szCs w:val="21"/>
          <w:highlight w:val="none"/>
        </w:rPr>
        <w:t>个或者所有投标被否</w:t>
      </w:r>
      <w:r>
        <w:rPr>
          <w:rFonts w:ascii="宋体" w:hAnsi="宋体" w:eastAsia="宋体" w:cs="宋体"/>
          <w:color w:val="auto"/>
          <w:sz w:val="21"/>
          <w:szCs w:val="21"/>
          <w:highlight w:val="none"/>
        </w:rPr>
        <w:t xml:space="preserve">决的，属于必须审批或核准的工程建 </w:t>
      </w:r>
      <w:r>
        <w:rPr>
          <w:rFonts w:ascii="宋体" w:hAnsi="宋体" w:eastAsia="宋体" w:cs="宋体"/>
          <w:color w:val="auto"/>
          <w:spacing w:val="-1"/>
          <w:sz w:val="21"/>
          <w:szCs w:val="21"/>
          <w:highlight w:val="none"/>
        </w:rPr>
        <w:t>设项目，经原审批或核准部门批准后不再进行招标。</w:t>
      </w:r>
    </w:p>
    <w:p w14:paraId="4F62DCB0">
      <w:pPr>
        <w:spacing w:before="84" w:line="220"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8.3</w:t>
      </w:r>
      <w:r>
        <w:rPr>
          <w:rFonts w:ascii="Times New Roman" w:hAnsi="Times New Roman" w:eastAsia="Times New Roman" w:cs="Times New Roman"/>
          <w:color w:val="auto"/>
          <w:spacing w:val="12"/>
          <w:sz w:val="24"/>
          <w:szCs w:val="24"/>
          <w:highlight w:val="none"/>
        </w:rPr>
        <w:t xml:space="preserve"> </w:t>
      </w:r>
      <w:r>
        <w:rPr>
          <w:rFonts w:ascii="黑体" w:hAnsi="黑体" w:eastAsia="黑体" w:cs="黑体"/>
          <w:color w:val="auto"/>
          <w:spacing w:val="-3"/>
          <w:sz w:val="24"/>
          <w:szCs w:val="24"/>
          <w:highlight w:val="none"/>
        </w:rPr>
        <w:t>终止招标</w:t>
      </w:r>
    </w:p>
    <w:p w14:paraId="70136C6C">
      <w:pPr>
        <w:spacing w:before="97" w:line="293" w:lineRule="auto"/>
        <w:ind w:left="20" w:right="171" w:firstLine="437"/>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因不可抗力等原因，招标人终止招标的， 将通过法定公告公示信息发布媒介</w:t>
      </w:r>
      <w:r>
        <w:rPr>
          <w:rFonts w:ascii="宋体" w:hAnsi="宋体" w:eastAsia="宋体" w:cs="宋体"/>
          <w:color w:val="auto"/>
          <w:spacing w:val="-1"/>
          <w:sz w:val="21"/>
          <w:szCs w:val="21"/>
          <w:highlight w:val="none"/>
        </w:rPr>
        <w:t>、电子交</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易系统（投标盲盒工具）等渠道及时发布公告，或者以书面形式通知被邀请</w:t>
      </w:r>
      <w:r>
        <w:rPr>
          <w:rFonts w:ascii="宋体" w:hAnsi="宋体" w:eastAsia="宋体" w:cs="宋体"/>
          <w:color w:val="auto"/>
          <w:spacing w:val="2"/>
          <w:sz w:val="21"/>
          <w:szCs w:val="21"/>
          <w:highlight w:val="none"/>
        </w:rPr>
        <w:t>的或者已经获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取招标文件的潜在投标人。已经收取投标保证金的，招标人将及时退还所</w:t>
      </w:r>
      <w:r>
        <w:rPr>
          <w:rFonts w:ascii="宋体" w:hAnsi="宋体" w:eastAsia="宋体" w:cs="宋体"/>
          <w:color w:val="auto"/>
          <w:spacing w:val="2"/>
          <w:sz w:val="21"/>
          <w:szCs w:val="21"/>
          <w:highlight w:val="none"/>
        </w:rPr>
        <w:t>收取的投标保证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金及银行同期存款利息。</w:t>
      </w:r>
    </w:p>
    <w:p w14:paraId="693466BF">
      <w:pPr>
        <w:spacing w:before="152" w:line="224" w:lineRule="auto"/>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9.</w:t>
      </w:r>
      <w:r>
        <w:rPr>
          <w:rFonts w:ascii="Times New Roman" w:hAnsi="Times New Roman" w:eastAsia="Times New Roman" w:cs="Times New Roman"/>
          <w:color w:val="auto"/>
          <w:spacing w:val="29"/>
          <w:sz w:val="27"/>
          <w:szCs w:val="27"/>
          <w:highlight w:val="none"/>
        </w:rPr>
        <w:t xml:space="preserve"> </w:t>
      </w:r>
      <w:r>
        <w:rPr>
          <w:rFonts w:ascii="黑体" w:hAnsi="黑体" w:eastAsia="黑体" w:cs="黑体"/>
          <w:color w:val="auto"/>
          <w:spacing w:val="2"/>
          <w:sz w:val="27"/>
          <w:szCs w:val="27"/>
          <w:highlight w:val="none"/>
        </w:rPr>
        <w:t>纪律和监督</w:t>
      </w:r>
    </w:p>
    <w:p w14:paraId="60C04E28">
      <w:pPr>
        <w:spacing w:before="65"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9.1 </w:t>
      </w:r>
      <w:r>
        <w:rPr>
          <w:rFonts w:ascii="黑体" w:hAnsi="黑体" w:eastAsia="黑体" w:cs="黑体"/>
          <w:color w:val="auto"/>
          <w:spacing w:val="-1"/>
          <w:sz w:val="24"/>
          <w:szCs w:val="24"/>
          <w:highlight w:val="none"/>
        </w:rPr>
        <w:t>对招标人的纪律要求</w:t>
      </w:r>
    </w:p>
    <w:p w14:paraId="3F0F8193">
      <w:pPr>
        <w:spacing w:before="100" w:line="268"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招标人不得泄漏招标投标活动中应当保密的情况和资料，不得与投标人串通损害国家</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利益、社会公共利益或者他人合法权益。</w:t>
      </w:r>
    </w:p>
    <w:p w14:paraId="69A8964A">
      <w:pPr>
        <w:spacing w:before="85"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9.2 </w:t>
      </w:r>
      <w:r>
        <w:rPr>
          <w:rFonts w:ascii="黑体" w:hAnsi="黑体" w:eastAsia="黑体" w:cs="黑体"/>
          <w:color w:val="auto"/>
          <w:spacing w:val="-1"/>
          <w:sz w:val="24"/>
          <w:szCs w:val="24"/>
          <w:highlight w:val="none"/>
        </w:rPr>
        <w:t>对投标人的纪律要求</w:t>
      </w:r>
    </w:p>
    <w:p w14:paraId="33EC0BC5">
      <w:pPr>
        <w:spacing w:before="100" w:line="284" w:lineRule="auto"/>
        <w:ind w:left="21" w:right="174"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投标人不得相互串通投标或者与招标人串通投标，不得向招标人或者评标委员会成员</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行贿谋取中标，不得以他人名义投标或者以其他方式弄虚作假骗取中</w:t>
      </w:r>
      <w:r>
        <w:rPr>
          <w:rFonts w:ascii="宋体" w:hAnsi="宋体" w:eastAsia="宋体" w:cs="宋体"/>
          <w:color w:val="auto"/>
          <w:spacing w:val="2"/>
          <w:sz w:val="21"/>
          <w:szCs w:val="21"/>
          <w:highlight w:val="none"/>
        </w:rPr>
        <w:t>标；投标人不得以任</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何方式干扰、影响评标工作。</w:t>
      </w:r>
    </w:p>
    <w:p w14:paraId="414422D7">
      <w:pPr>
        <w:spacing w:before="86"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9.3 </w:t>
      </w:r>
      <w:r>
        <w:rPr>
          <w:rFonts w:ascii="黑体" w:hAnsi="黑体" w:eastAsia="黑体" w:cs="黑体"/>
          <w:color w:val="auto"/>
          <w:spacing w:val="-1"/>
          <w:sz w:val="24"/>
          <w:szCs w:val="24"/>
          <w:highlight w:val="none"/>
        </w:rPr>
        <w:t>对评标委员会成员的纪律要求</w:t>
      </w:r>
    </w:p>
    <w:p w14:paraId="0538996B">
      <w:pPr>
        <w:spacing w:before="104" w:line="300" w:lineRule="auto"/>
        <w:ind w:left="19" w:right="174"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评标委员会应当根据招标文件规定的评标标准和方法， 对投标文件进行系统地评审和</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比较， 第三章“评标办法”没有规定的评审因素和标准不能作为评标依据。评标委员会成</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员不得对其他评标委员会成员的独立评审施加不当影响，不得与任何投标人</w:t>
      </w:r>
      <w:r>
        <w:rPr>
          <w:rFonts w:ascii="宋体" w:hAnsi="宋体" w:eastAsia="宋体" w:cs="宋体"/>
          <w:color w:val="auto"/>
          <w:spacing w:val="2"/>
          <w:sz w:val="21"/>
          <w:szCs w:val="21"/>
          <w:highlight w:val="none"/>
        </w:rPr>
        <w:t>或者与招标结</w:t>
      </w:r>
      <w:r>
        <w:rPr>
          <w:rFonts w:ascii="宋体" w:hAnsi="宋体" w:eastAsia="宋体" w:cs="宋体"/>
          <w:color w:val="auto"/>
          <w:sz w:val="21"/>
          <w:szCs w:val="21"/>
          <w:highlight w:val="none"/>
        </w:rPr>
        <w:t xml:space="preserve"> 果有利害关系的人进行私下接触， 不得收受投标人、中介人、其他利害关系人的财物或者</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其他好处，不得向他人透漏对投标文件的评审和比较、中标候选人的推荐情</w:t>
      </w:r>
      <w:r>
        <w:rPr>
          <w:rFonts w:ascii="宋体" w:hAnsi="宋体" w:eastAsia="宋体" w:cs="宋体"/>
          <w:color w:val="auto"/>
          <w:spacing w:val="2"/>
          <w:sz w:val="21"/>
          <w:szCs w:val="21"/>
          <w:highlight w:val="none"/>
        </w:rPr>
        <w:t>况以及评标有</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关的其他情况。在评标活动中，评标委员会成员不得应当回避</w:t>
      </w:r>
      <w:r>
        <w:rPr>
          <w:rFonts w:ascii="宋体" w:hAnsi="宋体" w:eastAsia="宋体" w:cs="宋体"/>
          <w:color w:val="auto"/>
          <w:spacing w:val="2"/>
          <w:sz w:val="21"/>
          <w:szCs w:val="21"/>
          <w:highlight w:val="none"/>
        </w:rPr>
        <w:t>而不回避，不得擅离职守，</w:t>
      </w:r>
    </w:p>
    <w:p w14:paraId="4475314F">
      <w:pPr>
        <w:spacing w:before="112" w:line="297"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影响评标程序正常进行，不得向招标人征询其确定中标人的意向， 不得接受任何单位</w:t>
      </w:r>
      <w:r>
        <w:rPr>
          <w:rFonts w:ascii="宋体" w:hAnsi="宋体" w:eastAsia="宋体" w:cs="宋体"/>
          <w:color w:val="auto"/>
          <w:spacing w:val="-1"/>
          <w:sz w:val="21"/>
          <w:szCs w:val="21"/>
          <w:highlight w:val="none"/>
        </w:rPr>
        <w:t xml:space="preserve">或者  </w:t>
      </w:r>
      <w:r>
        <w:rPr>
          <w:rFonts w:ascii="宋体" w:hAnsi="宋体" w:eastAsia="宋体" w:cs="宋体"/>
          <w:color w:val="auto"/>
          <w:sz w:val="21"/>
          <w:szCs w:val="21"/>
          <w:highlight w:val="none"/>
        </w:rPr>
        <w:t>个人明示或者暗示提出的倾向或者排斥特定投标人的要求， 不得对依法应当否决的投</w:t>
      </w:r>
      <w:r>
        <w:rPr>
          <w:rFonts w:ascii="宋体" w:hAnsi="宋体" w:eastAsia="宋体" w:cs="宋体"/>
          <w:color w:val="auto"/>
          <w:spacing w:val="-1"/>
          <w:sz w:val="21"/>
          <w:szCs w:val="21"/>
          <w:highlight w:val="none"/>
        </w:rPr>
        <w:t xml:space="preserve">标不  </w:t>
      </w:r>
      <w:r>
        <w:rPr>
          <w:rFonts w:ascii="宋体" w:hAnsi="宋体" w:eastAsia="宋体" w:cs="宋体"/>
          <w:color w:val="auto"/>
          <w:spacing w:val="2"/>
          <w:sz w:val="21"/>
          <w:szCs w:val="21"/>
          <w:highlight w:val="none"/>
        </w:rPr>
        <w:t>提出否决意见，不得暗示或者诱导投标人作出澄清、说明或者接受投标人主动提出的澄清、</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说明， 不得敷衍塞责随意评标，不得在合法的评标劳务费之外额外索取、接受报酬或</w:t>
      </w:r>
      <w:r>
        <w:rPr>
          <w:rFonts w:ascii="宋体" w:hAnsi="宋体" w:eastAsia="宋体" w:cs="宋体"/>
          <w:color w:val="auto"/>
          <w:spacing w:val="-1"/>
          <w:sz w:val="21"/>
          <w:szCs w:val="21"/>
          <w:highlight w:val="none"/>
        </w:rPr>
        <w:t xml:space="preserve">者其  </w:t>
      </w:r>
      <w:r>
        <w:rPr>
          <w:rFonts w:ascii="宋体" w:hAnsi="宋体" w:eastAsia="宋体" w:cs="宋体"/>
          <w:color w:val="auto"/>
          <w:spacing w:val="-7"/>
          <w:sz w:val="21"/>
          <w:szCs w:val="21"/>
          <w:highlight w:val="none"/>
        </w:rPr>
        <w:t>他好处。</w:t>
      </w:r>
    </w:p>
    <w:p w14:paraId="532B7866">
      <w:pPr>
        <w:spacing w:before="85"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9.4 </w:t>
      </w:r>
      <w:r>
        <w:rPr>
          <w:rFonts w:ascii="黑体" w:hAnsi="黑体" w:eastAsia="黑体" w:cs="黑体"/>
          <w:color w:val="auto"/>
          <w:spacing w:val="-1"/>
          <w:sz w:val="24"/>
          <w:szCs w:val="24"/>
          <w:highlight w:val="none"/>
        </w:rPr>
        <w:t>对与评标活动有关的工作人员的纪律要求</w:t>
      </w:r>
    </w:p>
    <w:p w14:paraId="36A3B255">
      <w:pPr>
        <w:spacing w:before="100" w:line="285" w:lineRule="auto"/>
        <w:ind w:left="19" w:right="174"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与评标活动有关的工作人员不得收受他人的财物或者其他好处， 不得向他人透漏对投</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标文件的评审和比较、中标候选人的推荐情况以及评标有关的</w:t>
      </w:r>
      <w:r>
        <w:rPr>
          <w:rFonts w:ascii="宋体" w:hAnsi="宋体" w:eastAsia="宋体" w:cs="宋体"/>
          <w:color w:val="auto"/>
          <w:spacing w:val="2"/>
          <w:sz w:val="21"/>
          <w:szCs w:val="21"/>
          <w:highlight w:val="none"/>
        </w:rPr>
        <w:t>其他情况。在评标活动中，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与评标活动有关的工作人员不得擅离职守，影响评标程序正常进行。</w:t>
      </w:r>
    </w:p>
    <w:p w14:paraId="16C9B285">
      <w:pPr>
        <w:spacing w:before="85" w:line="217"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9.5</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3"/>
          <w:sz w:val="24"/>
          <w:szCs w:val="24"/>
          <w:highlight w:val="none"/>
        </w:rPr>
        <w:t>投诉</w:t>
      </w:r>
    </w:p>
    <w:p w14:paraId="541783C8">
      <w:pPr>
        <w:spacing w:before="102" w:line="284" w:lineRule="auto"/>
        <w:ind w:left="17" w:right="169" w:firstLine="42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投标人和其他利害关系人认为本次招标活动违反法律、法规和规章规定的， 有权自知</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 xml:space="preserve">道或者应当知道之日起 </w:t>
      </w:r>
      <w:r>
        <w:rPr>
          <w:rFonts w:ascii="Times New Roman" w:hAnsi="Times New Roman" w:eastAsia="Times New Roman" w:cs="Times New Roman"/>
          <w:color w:val="auto"/>
          <w:spacing w:val="-2"/>
          <w:sz w:val="21"/>
          <w:szCs w:val="21"/>
          <w:highlight w:val="none"/>
        </w:rPr>
        <w:t>10</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pacing w:val="-2"/>
          <w:sz w:val="21"/>
          <w:szCs w:val="21"/>
          <w:highlight w:val="none"/>
        </w:rPr>
        <w:t>日内向有关行政监督部门投诉，其中对招标文件的内容（包括最</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高投标限价）、开标、评标结果进行投诉的，应当按本章第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 xml:space="preserve">2.4 </w:t>
      </w:r>
      <w:r>
        <w:rPr>
          <w:rFonts w:ascii="宋体" w:hAnsi="宋体" w:eastAsia="宋体" w:cs="宋体"/>
          <w:color w:val="auto"/>
          <w:spacing w:val="-4"/>
          <w:sz w:val="21"/>
          <w:szCs w:val="21"/>
          <w:highlight w:val="none"/>
        </w:rPr>
        <w:t>款、第</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4"/>
          <w:sz w:val="21"/>
          <w:szCs w:val="21"/>
          <w:highlight w:val="none"/>
        </w:rPr>
        <w:t xml:space="preserve">5.3 </w:t>
      </w:r>
      <w:r>
        <w:rPr>
          <w:rFonts w:ascii="宋体" w:hAnsi="宋体" w:eastAsia="宋体" w:cs="宋体"/>
          <w:color w:val="auto"/>
          <w:spacing w:val="-4"/>
          <w:sz w:val="21"/>
          <w:szCs w:val="21"/>
          <w:highlight w:val="none"/>
        </w:rPr>
        <w:t>款、第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4"/>
          <w:sz w:val="21"/>
          <w:szCs w:val="21"/>
          <w:highlight w:val="none"/>
        </w:rPr>
        <w:t xml:space="preserve">6.4 </w:t>
      </w:r>
      <w:r>
        <w:rPr>
          <w:rFonts w:ascii="宋体" w:hAnsi="宋体" w:eastAsia="宋体" w:cs="宋体"/>
          <w:color w:val="auto"/>
          <w:spacing w:val="-4"/>
          <w:sz w:val="21"/>
          <w:szCs w:val="21"/>
          <w:highlight w:val="none"/>
        </w:rPr>
        <w:t>款的规</w:t>
      </w:r>
    </w:p>
    <w:p w14:paraId="1BC1AC9A">
      <w:pPr>
        <w:spacing w:line="284" w:lineRule="auto"/>
        <w:rPr>
          <w:rFonts w:ascii="宋体" w:hAnsi="宋体" w:eastAsia="宋体" w:cs="宋体"/>
          <w:color w:val="auto"/>
          <w:sz w:val="21"/>
          <w:szCs w:val="21"/>
          <w:highlight w:val="none"/>
        </w:rPr>
        <w:sectPr>
          <w:footerReference r:id="rId30" w:type="default"/>
          <w:pgSz w:w="11905" w:h="16839"/>
          <w:pgMar w:top="1431" w:right="1617" w:bottom="1036" w:left="1785" w:header="0" w:footer="847" w:gutter="0"/>
          <w:pgNumType w:fmt="decimal"/>
          <w:cols w:space="720" w:num="1"/>
        </w:sectPr>
      </w:pPr>
    </w:p>
    <w:p w14:paraId="4A4CD198">
      <w:pPr>
        <w:spacing w:before="114" w:line="269" w:lineRule="auto"/>
        <w:ind w:left="17" w:right="179" w:firstLine="5"/>
        <w:rPr>
          <w:rFonts w:ascii="宋体" w:hAnsi="宋体" w:eastAsia="宋体" w:cs="宋体"/>
          <w:color w:val="auto"/>
          <w:sz w:val="21"/>
          <w:szCs w:val="21"/>
          <w:highlight w:val="none"/>
        </w:rPr>
      </w:pPr>
      <w:r>
        <w:rPr>
          <w:rFonts w:ascii="宋体" w:hAnsi="宋体" w:eastAsia="宋体" w:cs="宋体"/>
          <w:color w:val="auto"/>
          <w:sz w:val="21"/>
          <w:szCs w:val="21"/>
          <w:highlight w:val="none"/>
        </w:rPr>
        <w:t>定先向招标人提出异议后，方可向有关行政监督部门投诉， 异议答复期不计算在规定的投</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诉时效期限内。</w:t>
      </w:r>
    </w:p>
    <w:p w14:paraId="1D58AC18">
      <w:pPr>
        <w:spacing w:before="109" w:line="269" w:lineRule="auto"/>
        <w:ind w:left="35" w:right="188"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投标人和其他利害关系人的投诉应按照《工程建设项目招标投标</w:t>
      </w:r>
      <w:r>
        <w:rPr>
          <w:rFonts w:ascii="宋体" w:hAnsi="宋体" w:eastAsia="宋体" w:cs="宋体"/>
          <w:color w:val="auto"/>
          <w:spacing w:val="2"/>
          <w:sz w:val="21"/>
          <w:szCs w:val="21"/>
          <w:highlight w:val="none"/>
        </w:rPr>
        <w:t>活动投诉处理办法》</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的规定进行。</w:t>
      </w:r>
    </w:p>
    <w:p w14:paraId="6B24BBCE">
      <w:pPr>
        <w:spacing w:before="10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有关行政监督部门的联系方式见投标人须知前附表。</w:t>
      </w:r>
    </w:p>
    <w:p w14:paraId="45ED0DDB">
      <w:pPr>
        <w:spacing w:before="152" w:line="393" w:lineRule="exact"/>
        <w:ind w:left="42"/>
        <w:rPr>
          <w:rFonts w:ascii="黑体" w:hAnsi="黑体" w:eastAsia="黑体" w:cs="黑体"/>
          <w:color w:val="auto"/>
          <w:sz w:val="27"/>
          <w:szCs w:val="27"/>
          <w:highlight w:val="none"/>
        </w:rPr>
      </w:pPr>
      <w:bookmarkStart w:id="80" w:name="bookmark99"/>
      <w:bookmarkEnd w:id="80"/>
      <w:r>
        <w:rPr>
          <w:rFonts w:ascii="Times New Roman" w:hAnsi="Times New Roman" w:eastAsia="Times New Roman" w:cs="Times New Roman"/>
          <w:color w:val="auto"/>
          <w:spacing w:val="3"/>
          <w:position w:val="8"/>
          <w:sz w:val="27"/>
          <w:szCs w:val="27"/>
          <w:highlight w:val="none"/>
        </w:rPr>
        <w:t>10.</w:t>
      </w:r>
      <w:r>
        <w:rPr>
          <w:rFonts w:ascii="Times New Roman" w:hAnsi="Times New Roman" w:eastAsia="Times New Roman" w:cs="Times New Roman"/>
          <w:color w:val="auto"/>
          <w:spacing w:val="28"/>
          <w:position w:val="8"/>
          <w:sz w:val="27"/>
          <w:szCs w:val="27"/>
          <w:highlight w:val="none"/>
        </w:rPr>
        <w:t xml:space="preserve"> </w:t>
      </w:r>
      <w:r>
        <w:rPr>
          <w:rFonts w:ascii="黑体" w:hAnsi="黑体" w:eastAsia="黑体" w:cs="黑体"/>
          <w:color w:val="auto"/>
          <w:spacing w:val="3"/>
          <w:position w:val="8"/>
          <w:sz w:val="27"/>
          <w:szCs w:val="27"/>
          <w:highlight w:val="none"/>
        </w:rPr>
        <w:t>需要补充的其他内容</w:t>
      </w:r>
    </w:p>
    <w:p w14:paraId="22630500">
      <w:pPr>
        <w:spacing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10.1</w:t>
      </w:r>
      <w:r>
        <w:rPr>
          <w:rFonts w:ascii="Times New Roman" w:hAnsi="Times New Roman" w:eastAsia="Times New Roman" w:cs="Times New Roman"/>
          <w:color w:val="auto"/>
          <w:spacing w:val="19"/>
          <w:sz w:val="24"/>
          <w:szCs w:val="24"/>
          <w:highlight w:val="none"/>
        </w:rPr>
        <w:t xml:space="preserve"> </w:t>
      </w:r>
      <w:r>
        <w:rPr>
          <w:rFonts w:ascii="黑体" w:hAnsi="黑体" w:eastAsia="黑体" w:cs="黑体"/>
          <w:color w:val="auto"/>
          <w:spacing w:val="-5"/>
          <w:sz w:val="24"/>
          <w:szCs w:val="24"/>
          <w:highlight w:val="none"/>
        </w:rPr>
        <w:t>词语定义</w:t>
      </w:r>
    </w:p>
    <w:p w14:paraId="5604228D">
      <w:pPr>
        <w:spacing w:before="100"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词语定义规定：见投标人须知前附表。</w:t>
      </w:r>
    </w:p>
    <w:p w14:paraId="5EADDFB6">
      <w:pPr>
        <w:spacing w:before="85"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10.2</w:t>
      </w:r>
      <w:r>
        <w:rPr>
          <w:rFonts w:ascii="Times New Roman" w:hAnsi="Times New Roman" w:eastAsia="Times New Roman" w:cs="Times New Roman"/>
          <w:color w:val="auto"/>
          <w:spacing w:val="39"/>
          <w:w w:val="101"/>
          <w:sz w:val="24"/>
          <w:szCs w:val="24"/>
          <w:highlight w:val="none"/>
        </w:rPr>
        <w:t xml:space="preserve"> </w:t>
      </w:r>
      <w:r>
        <w:rPr>
          <w:rFonts w:ascii="黑体" w:hAnsi="黑体" w:eastAsia="黑体" w:cs="黑体"/>
          <w:color w:val="auto"/>
          <w:spacing w:val="-5"/>
          <w:sz w:val="24"/>
          <w:szCs w:val="24"/>
          <w:highlight w:val="none"/>
        </w:rPr>
        <w:t>中标人的投标文件</w:t>
      </w:r>
    </w:p>
    <w:p w14:paraId="49CBD864">
      <w:pPr>
        <w:spacing w:before="99" w:line="255" w:lineRule="auto"/>
        <w:ind w:left="38" w:firstLine="422"/>
        <w:rPr>
          <w:rFonts w:ascii="黑体" w:hAnsi="黑体" w:eastAsia="黑体" w:cs="黑体"/>
          <w:color w:val="auto"/>
          <w:sz w:val="24"/>
          <w:szCs w:val="24"/>
          <w:highlight w:val="none"/>
        </w:rPr>
      </w:pPr>
      <w:r>
        <w:rPr>
          <w:rFonts w:ascii="宋体" w:hAnsi="宋体" w:eastAsia="宋体" w:cs="宋体"/>
          <w:color w:val="auto"/>
          <w:spacing w:val="-1"/>
          <w:sz w:val="21"/>
          <w:szCs w:val="21"/>
          <w:highlight w:val="none"/>
        </w:rPr>
        <w:t>中标人在签订合同前须向招标人另行提交的纸质投标文件份数： 见投标人须知前附</w:t>
      </w:r>
      <w:r>
        <w:rPr>
          <w:rFonts w:ascii="宋体" w:hAnsi="宋体" w:eastAsia="宋体" w:cs="宋体"/>
          <w:color w:val="auto"/>
          <w:spacing w:val="-2"/>
          <w:sz w:val="21"/>
          <w:szCs w:val="21"/>
          <w:highlight w:val="none"/>
        </w:rPr>
        <w:t>表。</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5"/>
          <w:sz w:val="24"/>
          <w:szCs w:val="24"/>
          <w:highlight w:val="none"/>
        </w:rPr>
        <w:t>10.3</w:t>
      </w:r>
      <w:r>
        <w:rPr>
          <w:rFonts w:ascii="Times New Roman" w:hAnsi="Times New Roman" w:eastAsia="Times New Roman" w:cs="Times New Roman"/>
          <w:color w:val="auto"/>
          <w:spacing w:val="20"/>
          <w:sz w:val="24"/>
          <w:szCs w:val="24"/>
          <w:highlight w:val="none"/>
        </w:rPr>
        <w:t xml:space="preserve"> </w:t>
      </w:r>
      <w:r>
        <w:rPr>
          <w:rFonts w:ascii="黑体" w:hAnsi="黑体" w:eastAsia="黑体" w:cs="黑体"/>
          <w:color w:val="auto"/>
          <w:spacing w:val="-5"/>
          <w:sz w:val="24"/>
          <w:szCs w:val="24"/>
          <w:highlight w:val="none"/>
        </w:rPr>
        <w:t>知识产权</w:t>
      </w:r>
    </w:p>
    <w:p w14:paraId="31ED3C18">
      <w:pPr>
        <w:spacing w:before="101" w:line="284" w:lineRule="auto"/>
        <w:ind w:left="20" w:right="179"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构成本招标文件各个组成部分的文件，未经招标人书面同意，投标人不得擅自复印和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用于非本招标项目所需的其他目的。招标人全部或者部分使用未中标人投</w:t>
      </w:r>
      <w:r>
        <w:rPr>
          <w:rFonts w:ascii="宋体" w:hAnsi="宋体" w:eastAsia="宋体" w:cs="宋体"/>
          <w:color w:val="auto"/>
          <w:spacing w:val="2"/>
          <w:sz w:val="21"/>
          <w:szCs w:val="21"/>
          <w:highlight w:val="none"/>
        </w:rPr>
        <w:t>标文件中的技术</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成果或技术方案时，</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需征得其书面同意，并不得擅自复印或提供</w:t>
      </w:r>
      <w:r>
        <w:rPr>
          <w:rFonts w:ascii="宋体" w:hAnsi="宋体" w:eastAsia="宋体" w:cs="宋体"/>
          <w:color w:val="auto"/>
          <w:spacing w:val="-5"/>
          <w:sz w:val="21"/>
          <w:szCs w:val="21"/>
          <w:highlight w:val="none"/>
        </w:rPr>
        <w:t>给第三人。</w:t>
      </w:r>
    </w:p>
    <w:p w14:paraId="4774C029">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10.4</w:t>
      </w:r>
      <w:r>
        <w:rPr>
          <w:rFonts w:ascii="Times New Roman" w:hAnsi="Times New Roman" w:eastAsia="Times New Roman" w:cs="Times New Roman"/>
          <w:color w:val="auto"/>
          <w:spacing w:val="29"/>
          <w:w w:val="101"/>
          <w:sz w:val="24"/>
          <w:szCs w:val="24"/>
          <w:highlight w:val="none"/>
        </w:rPr>
        <w:t xml:space="preserve"> </w:t>
      </w:r>
      <w:r>
        <w:rPr>
          <w:rFonts w:ascii="黑体" w:hAnsi="黑体" w:eastAsia="黑体" w:cs="黑体"/>
          <w:color w:val="auto"/>
          <w:spacing w:val="-6"/>
          <w:sz w:val="24"/>
          <w:szCs w:val="24"/>
          <w:highlight w:val="none"/>
        </w:rPr>
        <w:t>同义词语</w:t>
      </w:r>
    </w:p>
    <w:p w14:paraId="0DEA7C62">
      <w:pPr>
        <w:spacing w:before="98" w:line="285" w:lineRule="auto"/>
        <w:ind w:left="4" w:right="174" w:firstLine="439"/>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构成招标文件组成部分的“通用合同条款”、“专用合同条款”、“技术标准和要求”和</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“工程量清单”等章节中出现的措辞“发包人”和“承包人”，在招标投标阶段应当分</w:t>
      </w:r>
      <w:r>
        <w:rPr>
          <w:rFonts w:ascii="宋体" w:hAnsi="宋体" w:eastAsia="宋体" w:cs="宋体"/>
          <w:color w:val="auto"/>
          <w:spacing w:val="-3"/>
          <w:sz w:val="21"/>
          <w:szCs w:val="21"/>
          <w:highlight w:val="none"/>
        </w:rPr>
        <w:t>别按</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“招标人”和“投标人”进行理解。</w:t>
      </w:r>
    </w:p>
    <w:p w14:paraId="36142615">
      <w:pPr>
        <w:spacing w:before="84"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10.5</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解释权</w:t>
      </w:r>
    </w:p>
    <w:p w14:paraId="0F4460A6">
      <w:pPr>
        <w:spacing w:before="99" w:line="298" w:lineRule="auto"/>
        <w:ind w:left="19" w:right="5" w:firstLine="424"/>
        <w:jc w:val="both"/>
        <w:rPr>
          <w:rFonts w:ascii="黑体" w:hAnsi="黑体" w:eastAsia="黑体" w:cs="黑体"/>
          <w:color w:val="auto"/>
          <w:sz w:val="24"/>
          <w:szCs w:val="24"/>
          <w:highlight w:val="none"/>
        </w:rPr>
      </w:pPr>
      <w:r>
        <w:rPr>
          <w:rFonts w:ascii="宋体" w:hAnsi="宋体" w:eastAsia="宋体" w:cs="宋体"/>
          <w:color w:val="auto"/>
          <w:sz w:val="21"/>
          <w:szCs w:val="21"/>
          <w:highlight w:val="none"/>
        </w:rPr>
        <w:t>构成本招标文件的各个组成文件应互为解释，互为说明；如有不明确或</w:t>
      </w:r>
      <w:r>
        <w:rPr>
          <w:rFonts w:ascii="宋体" w:hAnsi="宋体" w:eastAsia="宋体" w:cs="宋体"/>
          <w:color w:val="auto"/>
          <w:spacing w:val="-1"/>
          <w:sz w:val="21"/>
          <w:szCs w:val="21"/>
          <w:highlight w:val="none"/>
        </w:rPr>
        <w:t xml:space="preserve">不一致， 构成  </w:t>
      </w:r>
      <w:r>
        <w:rPr>
          <w:rFonts w:ascii="宋体" w:hAnsi="宋体" w:eastAsia="宋体" w:cs="宋体"/>
          <w:color w:val="auto"/>
          <w:sz w:val="21"/>
          <w:szCs w:val="21"/>
          <w:highlight w:val="none"/>
        </w:rPr>
        <w:t>合同文件组成内容的， 以合同文件约定内容为准，且以专用合同条款约定的合同文件</w:t>
      </w:r>
      <w:r>
        <w:rPr>
          <w:rFonts w:ascii="宋体" w:hAnsi="宋体" w:eastAsia="宋体" w:cs="宋体"/>
          <w:color w:val="auto"/>
          <w:spacing w:val="-1"/>
          <w:sz w:val="21"/>
          <w:szCs w:val="21"/>
          <w:highlight w:val="none"/>
        </w:rPr>
        <w:t xml:space="preserve">优先  </w:t>
      </w:r>
      <w:r>
        <w:rPr>
          <w:rFonts w:ascii="宋体" w:hAnsi="宋体" w:eastAsia="宋体" w:cs="宋体"/>
          <w:color w:val="auto"/>
          <w:sz w:val="21"/>
          <w:szCs w:val="21"/>
          <w:highlight w:val="none"/>
        </w:rPr>
        <w:t>顺序解释；除招标文件中有特别规定外， 仅适用于招标投标阶段的规定，按招标公告</w:t>
      </w:r>
      <w:r>
        <w:rPr>
          <w:rFonts w:ascii="宋体" w:hAnsi="宋体" w:eastAsia="宋体" w:cs="宋体"/>
          <w:color w:val="auto"/>
          <w:spacing w:val="-1"/>
          <w:sz w:val="21"/>
          <w:szCs w:val="21"/>
          <w:highlight w:val="none"/>
        </w:rPr>
        <w:t xml:space="preserve">（投  </w:t>
      </w:r>
      <w:r>
        <w:rPr>
          <w:rFonts w:ascii="宋体" w:hAnsi="宋体" w:eastAsia="宋体" w:cs="宋体"/>
          <w:color w:val="auto"/>
          <w:spacing w:val="-3"/>
          <w:sz w:val="21"/>
          <w:szCs w:val="21"/>
          <w:highlight w:val="none"/>
        </w:rPr>
        <w:t xml:space="preserve">标邀请书）、投标人须知、评标办法、投标文件格式的先后顺序解释；同一组成文件中就同  </w:t>
      </w:r>
      <w:r>
        <w:rPr>
          <w:rFonts w:ascii="宋体" w:hAnsi="宋体" w:eastAsia="宋体" w:cs="宋体"/>
          <w:color w:val="auto"/>
          <w:spacing w:val="3"/>
          <w:sz w:val="21"/>
          <w:szCs w:val="21"/>
          <w:highlight w:val="none"/>
        </w:rPr>
        <w:t>一事项的规定或约定不一致的，以编排顺序</w:t>
      </w:r>
      <w:r>
        <w:rPr>
          <w:rFonts w:ascii="宋体" w:hAnsi="宋体" w:eastAsia="宋体" w:cs="宋体"/>
          <w:color w:val="auto"/>
          <w:spacing w:val="2"/>
          <w:sz w:val="21"/>
          <w:szCs w:val="21"/>
          <w:highlight w:val="none"/>
        </w:rPr>
        <w:t xml:space="preserve">在后者为准；同一组成文件不同版本之间有不  </w:t>
      </w:r>
      <w:r>
        <w:rPr>
          <w:rFonts w:ascii="宋体" w:hAnsi="宋体" w:eastAsia="宋体" w:cs="宋体"/>
          <w:color w:val="auto"/>
          <w:spacing w:val="-1"/>
          <w:sz w:val="21"/>
          <w:szCs w:val="21"/>
          <w:highlight w:val="none"/>
        </w:rPr>
        <w:t>一致的，以形成时间在后者为准。按本款前述规定仍不能形成结论的， 由招标人负责解释。</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1"/>
          <w:sz w:val="24"/>
          <w:szCs w:val="24"/>
          <w:highlight w:val="none"/>
        </w:rPr>
        <w:t xml:space="preserve">10.6 </w:t>
      </w:r>
      <w:r>
        <w:rPr>
          <w:rFonts w:ascii="黑体" w:hAnsi="黑体" w:eastAsia="黑体" w:cs="黑体"/>
          <w:color w:val="auto"/>
          <w:spacing w:val="-1"/>
          <w:sz w:val="24"/>
          <w:szCs w:val="24"/>
          <w:highlight w:val="none"/>
        </w:rPr>
        <w:t>招标人补充的其他内容</w:t>
      </w:r>
    </w:p>
    <w:p w14:paraId="4425BDC8">
      <w:pPr>
        <w:spacing w:before="99"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招标人补充的其他内容：见投标人须知前附表。</w:t>
      </w:r>
    </w:p>
    <w:p w14:paraId="21CD6C8B">
      <w:pPr>
        <w:spacing w:line="220" w:lineRule="auto"/>
        <w:rPr>
          <w:rFonts w:ascii="宋体" w:hAnsi="宋体" w:eastAsia="宋体" w:cs="宋体"/>
          <w:color w:val="auto"/>
          <w:sz w:val="21"/>
          <w:szCs w:val="21"/>
          <w:highlight w:val="none"/>
        </w:rPr>
        <w:sectPr>
          <w:footerReference r:id="rId31" w:type="default"/>
          <w:pgSz w:w="11905" w:h="16839"/>
          <w:pgMar w:top="1431" w:right="1612" w:bottom="1036" w:left="1785" w:header="0" w:footer="847" w:gutter="0"/>
          <w:pgNumType w:fmt="decimal"/>
          <w:cols w:space="720" w:num="1"/>
        </w:sectPr>
      </w:pPr>
    </w:p>
    <w:p w14:paraId="26E1194F">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附表一：招标文件澄清申请函</w:t>
      </w:r>
    </w:p>
    <w:p w14:paraId="3D5554A6">
      <w:pPr>
        <w:pStyle w:val="3"/>
        <w:spacing w:line="253" w:lineRule="auto"/>
        <w:rPr>
          <w:color w:val="auto"/>
          <w:highlight w:val="none"/>
        </w:rPr>
      </w:pPr>
    </w:p>
    <w:p w14:paraId="46B5509C">
      <w:pPr>
        <w:pStyle w:val="3"/>
        <w:spacing w:line="253" w:lineRule="auto"/>
        <w:rPr>
          <w:color w:val="auto"/>
          <w:highlight w:val="none"/>
        </w:rPr>
      </w:pPr>
    </w:p>
    <w:p w14:paraId="6E6E5C31">
      <w:pPr>
        <w:pStyle w:val="3"/>
        <w:spacing w:line="253" w:lineRule="auto"/>
        <w:rPr>
          <w:color w:val="auto"/>
          <w:highlight w:val="none"/>
        </w:rPr>
      </w:pPr>
    </w:p>
    <w:p w14:paraId="298143F1">
      <w:pPr>
        <w:pStyle w:val="3"/>
        <w:spacing w:line="253" w:lineRule="auto"/>
        <w:rPr>
          <w:color w:val="auto"/>
          <w:highlight w:val="none"/>
        </w:rPr>
      </w:pPr>
    </w:p>
    <w:p w14:paraId="0053BAE1">
      <w:pPr>
        <w:pStyle w:val="3"/>
        <w:spacing w:line="253" w:lineRule="auto"/>
        <w:rPr>
          <w:color w:val="auto"/>
          <w:highlight w:val="none"/>
        </w:rPr>
      </w:pPr>
    </w:p>
    <w:p w14:paraId="3272F1D4">
      <w:pPr>
        <w:pStyle w:val="3"/>
        <w:spacing w:line="254" w:lineRule="auto"/>
        <w:rPr>
          <w:color w:val="auto"/>
          <w:highlight w:val="none"/>
        </w:rPr>
      </w:pPr>
    </w:p>
    <w:p w14:paraId="0F462C3E">
      <w:pPr>
        <w:spacing w:before="88" w:line="225" w:lineRule="auto"/>
        <w:ind w:left="2915"/>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招标文件澄清申请函</w:t>
      </w:r>
    </w:p>
    <w:p w14:paraId="47E2B09A">
      <w:pPr>
        <w:pStyle w:val="3"/>
        <w:spacing w:line="474" w:lineRule="auto"/>
        <w:rPr>
          <w:color w:val="auto"/>
          <w:highlight w:val="none"/>
        </w:rPr>
      </w:pPr>
    </w:p>
    <w:p w14:paraId="1B7D3A25">
      <w:pPr>
        <w:spacing w:before="68" w:line="221" w:lineRule="auto"/>
        <w:ind w:left="621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1D537465">
      <w:pPr>
        <w:pStyle w:val="3"/>
        <w:spacing w:line="250" w:lineRule="auto"/>
        <w:rPr>
          <w:color w:val="auto"/>
          <w:highlight w:val="none"/>
        </w:rPr>
      </w:pPr>
    </w:p>
    <w:p w14:paraId="1A74640A">
      <w:pPr>
        <w:pStyle w:val="3"/>
        <w:spacing w:line="250" w:lineRule="auto"/>
        <w:rPr>
          <w:color w:val="auto"/>
          <w:highlight w:val="none"/>
        </w:rPr>
      </w:pPr>
    </w:p>
    <w:p w14:paraId="6F1ADBB2">
      <w:pPr>
        <w:pStyle w:val="3"/>
        <w:spacing w:line="251" w:lineRule="auto"/>
        <w:rPr>
          <w:color w:val="auto"/>
          <w:highlight w:val="none"/>
        </w:rPr>
      </w:pPr>
    </w:p>
    <w:p w14:paraId="0614DC8D">
      <w:pPr>
        <w:tabs>
          <w:tab w:val="left" w:pos="2218"/>
        </w:tabs>
        <w:spacing w:before="69"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（招标人名称</w:t>
      </w:r>
      <w:r>
        <w:rPr>
          <w:rFonts w:ascii="宋体" w:hAnsi="宋体" w:eastAsia="宋体" w:cs="宋体"/>
          <w:color w:val="auto"/>
          <w:spacing w:val="-55"/>
          <w:w w:val="98"/>
          <w:sz w:val="21"/>
          <w:szCs w:val="21"/>
          <w:highlight w:val="none"/>
        </w:rPr>
        <w:t>）：</w:t>
      </w:r>
    </w:p>
    <w:p w14:paraId="3BCB1661">
      <w:pPr>
        <w:spacing w:before="305" w:line="494"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经过仔细阅读</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（标段名称）</w:t>
      </w:r>
      <w:r>
        <w:rPr>
          <w:rFonts w:ascii="宋体" w:hAnsi="宋体" w:eastAsia="宋体" w:cs="宋体"/>
          <w:color w:val="auto"/>
          <w:spacing w:val="-21"/>
          <w:sz w:val="21"/>
          <w:szCs w:val="21"/>
          <w:highlight w:val="none"/>
        </w:rPr>
        <w:t xml:space="preserve"> </w:t>
      </w:r>
      <w:r>
        <w:rPr>
          <w:rFonts w:ascii="宋体" w:hAnsi="宋体" w:eastAsia="宋体" w:cs="宋体"/>
          <w:color w:val="auto"/>
          <w:spacing w:val="-5"/>
          <w:sz w:val="21"/>
          <w:szCs w:val="21"/>
          <w:highlight w:val="none"/>
        </w:rPr>
        <w:t>项目（标段</w:t>
      </w:r>
      <w:r>
        <w:rPr>
          <w:rFonts w:ascii="宋体" w:hAnsi="宋体" w:eastAsia="宋体" w:cs="宋体"/>
          <w:color w:val="auto"/>
          <w:spacing w:val="-6"/>
          <w:sz w:val="21"/>
          <w:szCs w:val="21"/>
          <w:highlight w:val="none"/>
        </w:rPr>
        <w:t>唯一标识码</w:t>
      </w:r>
      <w:r>
        <w:rPr>
          <w:rFonts w:ascii="宋体" w:hAnsi="宋体" w:eastAsia="宋体" w:cs="宋体"/>
          <w:color w:val="auto"/>
          <w:spacing w:val="-12"/>
          <w:sz w:val="21"/>
          <w:szCs w:val="21"/>
          <w:highlight w:val="none"/>
        </w:rPr>
        <w:t>：</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6"/>
          <w:sz w:val="21"/>
          <w:szCs w:val="21"/>
          <w:highlight w:val="none"/>
        </w:rPr>
        <w:t>招</w:t>
      </w:r>
    </w:p>
    <w:p w14:paraId="16C120C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标文件后，</w:t>
      </w:r>
      <w:r>
        <w:rPr>
          <w:rFonts w:ascii="宋体" w:hAnsi="宋体" w:eastAsia="宋体" w:cs="宋体"/>
          <w:color w:val="auto"/>
          <w:spacing w:val="54"/>
          <w:sz w:val="21"/>
          <w:szCs w:val="21"/>
          <w:highlight w:val="none"/>
        </w:rPr>
        <w:t xml:space="preserve"> </w:t>
      </w:r>
      <w:r>
        <w:rPr>
          <w:rFonts w:ascii="宋体" w:hAnsi="宋体" w:eastAsia="宋体" w:cs="宋体"/>
          <w:color w:val="auto"/>
          <w:spacing w:val="-10"/>
          <w:sz w:val="21"/>
          <w:szCs w:val="21"/>
          <w:highlight w:val="none"/>
        </w:rPr>
        <w:t>我方申请对以下问题予以澄清：</w:t>
      </w:r>
    </w:p>
    <w:p w14:paraId="14E82FC7">
      <w:pPr>
        <w:pStyle w:val="3"/>
        <w:spacing w:line="241" w:lineRule="auto"/>
        <w:rPr>
          <w:color w:val="auto"/>
          <w:highlight w:val="none"/>
        </w:rPr>
      </w:pPr>
    </w:p>
    <w:p w14:paraId="3BA40F5D">
      <w:pPr>
        <w:spacing w:before="68"/>
        <w:ind w:left="35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p>
    <w:p w14:paraId="5EE00D05">
      <w:pPr>
        <w:spacing w:before="284"/>
        <w:ind w:left="3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2ED278E0">
      <w:pPr>
        <w:spacing w:before="28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600BD4A">
      <w:pPr>
        <w:pStyle w:val="3"/>
        <w:spacing w:line="258" w:lineRule="auto"/>
        <w:rPr>
          <w:color w:val="auto"/>
          <w:highlight w:val="none"/>
        </w:rPr>
      </w:pPr>
    </w:p>
    <w:p w14:paraId="0B37107F">
      <w:pPr>
        <w:pStyle w:val="3"/>
        <w:spacing w:line="258" w:lineRule="auto"/>
        <w:rPr>
          <w:color w:val="auto"/>
          <w:highlight w:val="none"/>
        </w:rPr>
      </w:pPr>
    </w:p>
    <w:p w14:paraId="0DFB1C9C">
      <w:pPr>
        <w:pStyle w:val="3"/>
        <w:spacing w:line="258" w:lineRule="auto"/>
        <w:rPr>
          <w:color w:val="auto"/>
          <w:highlight w:val="none"/>
        </w:rPr>
      </w:pPr>
    </w:p>
    <w:p w14:paraId="69088D4E">
      <w:pPr>
        <w:pStyle w:val="3"/>
        <w:spacing w:line="259" w:lineRule="auto"/>
        <w:rPr>
          <w:color w:val="auto"/>
          <w:highlight w:val="none"/>
        </w:rPr>
      </w:pPr>
    </w:p>
    <w:p w14:paraId="62D62348">
      <w:pPr>
        <w:spacing w:before="69" w:line="220" w:lineRule="auto"/>
        <w:ind w:right="14"/>
        <w:jc w:val="right"/>
        <w:rPr>
          <w:rFonts w:ascii="宋体" w:hAnsi="宋体" w:eastAsia="宋体" w:cs="宋体"/>
          <w:color w:val="auto"/>
          <w:sz w:val="21"/>
          <w:szCs w:val="21"/>
          <w:highlight w:val="none"/>
        </w:rPr>
      </w:pPr>
      <w:r>
        <w:rPr>
          <w:rFonts w:ascii="宋体" w:hAnsi="宋体" w:eastAsia="宋体" w:cs="宋体"/>
          <w:color w:val="auto"/>
          <w:spacing w:val="-23"/>
          <w:sz w:val="21"/>
          <w:szCs w:val="21"/>
          <w:highlight w:val="none"/>
        </w:rPr>
        <w:t>投标人</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2"/>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23"/>
          <w:sz w:val="21"/>
          <w:szCs w:val="21"/>
          <w:highlight w:val="none"/>
        </w:rPr>
        <w:t>盖单位章）</w:t>
      </w:r>
    </w:p>
    <w:p w14:paraId="352419E1">
      <w:pPr>
        <w:pStyle w:val="3"/>
        <w:spacing w:line="465" w:lineRule="auto"/>
        <w:rPr>
          <w:color w:val="auto"/>
          <w:highlight w:val="none"/>
        </w:rPr>
      </w:pPr>
    </w:p>
    <w:p w14:paraId="32A5F8B0">
      <w:pPr>
        <w:tabs>
          <w:tab w:val="left" w:pos="6842"/>
        </w:tabs>
        <w:spacing w:before="69" w:line="221" w:lineRule="auto"/>
        <w:ind w:left="589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6F650A20">
      <w:pPr>
        <w:spacing w:line="221" w:lineRule="auto"/>
        <w:rPr>
          <w:rFonts w:ascii="宋体" w:hAnsi="宋体" w:eastAsia="宋体" w:cs="宋体"/>
          <w:color w:val="auto"/>
          <w:sz w:val="21"/>
          <w:szCs w:val="21"/>
          <w:highlight w:val="none"/>
        </w:rPr>
        <w:sectPr>
          <w:footerReference r:id="rId32" w:type="default"/>
          <w:pgSz w:w="11905" w:h="16839"/>
          <w:pgMar w:top="1431" w:right="1785" w:bottom="1036" w:left="1785" w:header="0" w:footer="847" w:gutter="0"/>
          <w:pgNumType w:fmt="decimal"/>
          <w:cols w:space="720" w:num="1"/>
        </w:sectPr>
      </w:pPr>
    </w:p>
    <w:p w14:paraId="4E9B9251">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11"/>
          <w:sz w:val="24"/>
          <w:szCs w:val="24"/>
          <w:highlight w:val="none"/>
        </w:rPr>
        <w:t>附表二： 招标文件澄清通知</w:t>
      </w:r>
    </w:p>
    <w:p w14:paraId="3BE6C0C3">
      <w:pPr>
        <w:pStyle w:val="3"/>
        <w:spacing w:line="266" w:lineRule="auto"/>
        <w:rPr>
          <w:color w:val="auto"/>
          <w:highlight w:val="none"/>
        </w:rPr>
      </w:pPr>
    </w:p>
    <w:p w14:paraId="5A683FAF">
      <w:pPr>
        <w:pStyle w:val="3"/>
        <w:spacing w:line="266" w:lineRule="auto"/>
        <w:rPr>
          <w:color w:val="auto"/>
          <w:highlight w:val="none"/>
        </w:rPr>
      </w:pPr>
    </w:p>
    <w:p w14:paraId="74F03133">
      <w:pPr>
        <w:pStyle w:val="3"/>
        <w:spacing w:line="266" w:lineRule="auto"/>
        <w:rPr>
          <w:color w:val="auto"/>
          <w:highlight w:val="none"/>
        </w:rPr>
      </w:pPr>
    </w:p>
    <w:p w14:paraId="3049550D">
      <w:pPr>
        <w:pStyle w:val="3"/>
        <w:spacing w:line="266" w:lineRule="auto"/>
        <w:rPr>
          <w:color w:val="auto"/>
          <w:highlight w:val="none"/>
        </w:rPr>
      </w:pPr>
    </w:p>
    <w:p w14:paraId="72BF24A6">
      <w:pPr>
        <w:pStyle w:val="3"/>
        <w:spacing w:line="266" w:lineRule="auto"/>
        <w:rPr>
          <w:color w:val="auto"/>
          <w:highlight w:val="none"/>
        </w:rPr>
      </w:pPr>
    </w:p>
    <w:p w14:paraId="6D0F2A27">
      <w:pPr>
        <w:pStyle w:val="3"/>
        <w:spacing w:line="266" w:lineRule="auto"/>
        <w:rPr>
          <w:color w:val="auto"/>
          <w:highlight w:val="none"/>
        </w:rPr>
      </w:pPr>
    </w:p>
    <w:p w14:paraId="4D38D494">
      <w:pPr>
        <w:spacing w:before="87" w:line="225" w:lineRule="auto"/>
        <w:ind w:left="3054"/>
        <w:rPr>
          <w:rFonts w:ascii="黑体" w:hAnsi="黑体" w:eastAsia="黑体" w:cs="黑体"/>
          <w:color w:val="auto"/>
          <w:sz w:val="27"/>
          <w:szCs w:val="27"/>
          <w:highlight w:val="none"/>
        </w:rPr>
      </w:pPr>
      <w:bookmarkStart w:id="81" w:name="bookmark101"/>
      <w:bookmarkEnd w:id="81"/>
      <w:bookmarkStart w:id="82" w:name="bookmark100"/>
      <w:bookmarkEnd w:id="82"/>
      <w:r>
        <w:rPr>
          <w:rFonts w:ascii="黑体" w:hAnsi="黑体" w:eastAsia="黑体" w:cs="黑体"/>
          <w:color w:val="auto"/>
          <w:spacing w:val="8"/>
          <w:sz w:val="27"/>
          <w:szCs w:val="27"/>
          <w:highlight w:val="none"/>
        </w:rPr>
        <w:t>招标文件澄清通知</w:t>
      </w:r>
    </w:p>
    <w:p w14:paraId="39B1E7F8">
      <w:pPr>
        <w:pStyle w:val="3"/>
        <w:spacing w:line="474" w:lineRule="auto"/>
        <w:rPr>
          <w:color w:val="auto"/>
          <w:highlight w:val="none"/>
        </w:rPr>
      </w:pPr>
    </w:p>
    <w:p w14:paraId="23EE6224">
      <w:pPr>
        <w:spacing w:before="68" w:line="221" w:lineRule="auto"/>
        <w:ind w:left="6007"/>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2819A4A1">
      <w:pPr>
        <w:pStyle w:val="3"/>
        <w:spacing w:line="465" w:lineRule="auto"/>
        <w:rPr>
          <w:color w:val="auto"/>
          <w:highlight w:val="none"/>
        </w:rPr>
      </w:pPr>
    </w:p>
    <w:p w14:paraId="18E12C9C">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各投标人：</w:t>
      </w:r>
    </w:p>
    <w:p w14:paraId="53A4D998">
      <w:pPr>
        <w:pStyle w:val="3"/>
        <w:rPr>
          <w:color w:val="auto"/>
          <w:highlight w:val="none"/>
        </w:rPr>
      </w:pPr>
    </w:p>
    <w:p w14:paraId="147743AA">
      <w:pPr>
        <w:spacing w:before="69" w:line="490" w:lineRule="auto"/>
        <w:ind w:right="1"/>
        <w:jc w:val="right"/>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经研究，对</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8"/>
          <w:sz w:val="21"/>
          <w:szCs w:val="21"/>
          <w:highlight w:val="none"/>
        </w:rPr>
        <w:t xml:space="preserve"> （标段名称）</w:t>
      </w:r>
      <w:r>
        <w:rPr>
          <w:rFonts w:ascii="宋体" w:hAnsi="宋体" w:eastAsia="宋体" w:cs="宋体"/>
          <w:color w:val="auto"/>
          <w:spacing w:val="-25"/>
          <w:sz w:val="21"/>
          <w:szCs w:val="21"/>
          <w:highlight w:val="none"/>
        </w:rPr>
        <w:t xml:space="preserve"> </w:t>
      </w:r>
      <w:r>
        <w:rPr>
          <w:rFonts w:ascii="宋体" w:hAnsi="宋体" w:eastAsia="宋体" w:cs="宋体"/>
          <w:color w:val="auto"/>
          <w:spacing w:val="-8"/>
          <w:sz w:val="21"/>
          <w:szCs w:val="21"/>
          <w:highlight w:val="none"/>
        </w:rPr>
        <w:t>项目（标段唯一标识码</w:t>
      </w:r>
      <w:r>
        <w:rPr>
          <w:rFonts w:ascii="宋体" w:hAnsi="宋体" w:eastAsia="宋体" w:cs="宋体"/>
          <w:color w:val="auto"/>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55"/>
          <w:sz w:val="21"/>
          <w:szCs w:val="21"/>
          <w:highlight w:val="none"/>
        </w:rPr>
        <w:t xml:space="preserve"> </w:t>
      </w:r>
      <w:r>
        <w:rPr>
          <w:rFonts w:ascii="宋体" w:hAnsi="宋体" w:eastAsia="宋体" w:cs="宋体"/>
          <w:color w:val="auto"/>
          <w:sz w:val="21"/>
          <w:szCs w:val="21"/>
          <w:highlight w:val="none"/>
        </w:rPr>
        <w:t>）</w:t>
      </w:r>
    </w:p>
    <w:p w14:paraId="5ACECA4B">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招标文件，</w:t>
      </w:r>
      <w:r>
        <w:rPr>
          <w:rFonts w:ascii="宋体" w:hAnsi="宋体" w:eastAsia="宋体" w:cs="宋体"/>
          <w:color w:val="auto"/>
          <w:spacing w:val="52"/>
          <w:sz w:val="21"/>
          <w:szCs w:val="21"/>
          <w:highlight w:val="none"/>
        </w:rPr>
        <w:t xml:space="preserve"> </w:t>
      </w:r>
      <w:r>
        <w:rPr>
          <w:rFonts w:ascii="宋体" w:hAnsi="宋体" w:eastAsia="宋体" w:cs="宋体"/>
          <w:color w:val="auto"/>
          <w:spacing w:val="-17"/>
          <w:sz w:val="21"/>
          <w:szCs w:val="21"/>
          <w:highlight w:val="none"/>
        </w:rPr>
        <w:t>作如下澄清：</w:t>
      </w:r>
    </w:p>
    <w:p w14:paraId="1DDF266F">
      <w:pPr>
        <w:pStyle w:val="3"/>
        <w:rPr>
          <w:color w:val="auto"/>
          <w:highlight w:val="none"/>
        </w:rPr>
      </w:pPr>
    </w:p>
    <w:p w14:paraId="33752DC0">
      <w:pPr>
        <w:spacing w:before="69" w:line="562" w:lineRule="exact"/>
        <w:ind w:left="456"/>
        <w:rPr>
          <w:rFonts w:ascii="宋体" w:hAnsi="宋体" w:eastAsia="宋体" w:cs="宋体"/>
          <w:color w:val="auto"/>
          <w:sz w:val="21"/>
          <w:szCs w:val="21"/>
          <w:highlight w:val="none"/>
        </w:rPr>
      </w:pPr>
      <w:r>
        <w:rPr>
          <w:rFonts w:ascii="宋体" w:hAnsi="宋体" w:eastAsia="宋体" w:cs="宋体"/>
          <w:color w:val="auto"/>
          <w:spacing w:val="-6"/>
          <w:position w:val="27"/>
          <w:sz w:val="21"/>
          <w:szCs w:val="21"/>
          <w:highlight w:val="none"/>
        </w:rPr>
        <w:t>1.……</w:t>
      </w:r>
    </w:p>
    <w:p w14:paraId="023E1156">
      <w:pPr>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7C14DF6E">
      <w:pPr>
        <w:spacing w:before="284"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2DEC5107">
      <w:pPr>
        <w:pStyle w:val="3"/>
        <w:spacing w:line="268" w:lineRule="auto"/>
        <w:rPr>
          <w:color w:val="auto"/>
          <w:highlight w:val="none"/>
        </w:rPr>
      </w:pPr>
    </w:p>
    <w:p w14:paraId="59D8D7E7">
      <w:pPr>
        <w:pStyle w:val="3"/>
        <w:spacing w:line="268" w:lineRule="auto"/>
        <w:rPr>
          <w:color w:val="auto"/>
          <w:highlight w:val="none"/>
        </w:rPr>
      </w:pPr>
    </w:p>
    <w:p w14:paraId="3AFCD841">
      <w:pPr>
        <w:pStyle w:val="3"/>
        <w:spacing w:line="268" w:lineRule="auto"/>
        <w:rPr>
          <w:color w:val="auto"/>
          <w:highlight w:val="none"/>
        </w:rPr>
      </w:pPr>
    </w:p>
    <w:p w14:paraId="7D3BBC70">
      <w:pPr>
        <w:pStyle w:val="3"/>
        <w:spacing w:line="269" w:lineRule="auto"/>
        <w:rPr>
          <w:color w:val="auto"/>
          <w:highlight w:val="none"/>
        </w:rPr>
      </w:pPr>
    </w:p>
    <w:p w14:paraId="1F3E507A">
      <w:pPr>
        <w:pStyle w:val="3"/>
        <w:spacing w:line="269" w:lineRule="auto"/>
        <w:rPr>
          <w:color w:val="auto"/>
          <w:highlight w:val="none"/>
        </w:rPr>
      </w:pPr>
    </w:p>
    <w:p w14:paraId="00FFF670">
      <w:pPr>
        <w:pStyle w:val="3"/>
        <w:spacing w:line="269" w:lineRule="auto"/>
        <w:rPr>
          <w:color w:val="auto"/>
          <w:highlight w:val="none"/>
        </w:rPr>
      </w:pPr>
    </w:p>
    <w:p w14:paraId="7B036FA6">
      <w:pPr>
        <w:pStyle w:val="3"/>
        <w:spacing w:line="269" w:lineRule="auto"/>
        <w:rPr>
          <w:color w:val="auto"/>
          <w:highlight w:val="none"/>
        </w:rPr>
      </w:pPr>
    </w:p>
    <w:p w14:paraId="79B1B079">
      <w:pPr>
        <w:pStyle w:val="3"/>
        <w:spacing w:line="269" w:lineRule="auto"/>
        <w:rPr>
          <w:color w:val="auto"/>
          <w:highlight w:val="none"/>
        </w:rPr>
      </w:pPr>
    </w:p>
    <w:p w14:paraId="6E6BC8A6">
      <w:pPr>
        <w:spacing w:before="69" w:line="220" w:lineRule="auto"/>
        <w:ind w:right="15"/>
        <w:jc w:val="righ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招标人</w:t>
      </w:r>
      <w:r>
        <w:rPr>
          <w:rFonts w:ascii="宋体" w:hAnsi="宋体" w:eastAsia="宋体" w:cs="宋体"/>
          <w:color w:val="auto"/>
          <w:spacing w:val="-1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2"/>
          <w:sz w:val="21"/>
          <w:szCs w:val="21"/>
          <w:highlight w:val="none"/>
        </w:rPr>
        <w:t>盖单位章）</w:t>
      </w:r>
    </w:p>
    <w:p w14:paraId="2586F508">
      <w:pPr>
        <w:pStyle w:val="3"/>
        <w:spacing w:line="249" w:lineRule="auto"/>
        <w:rPr>
          <w:color w:val="auto"/>
          <w:highlight w:val="none"/>
        </w:rPr>
      </w:pPr>
    </w:p>
    <w:p w14:paraId="443D1E62">
      <w:pPr>
        <w:pStyle w:val="3"/>
        <w:spacing w:line="249" w:lineRule="auto"/>
        <w:rPr>
          <w:color w:val="auto"/>
          <w:highlight w:val="none"/>
        </w:rPr>
      </w:pPr>
    </w:p>
    <w:p w14:paraId="2E0BCCE8">
      <w:pPr>
        <w:pStyle w:val="3"/>
        <w:spacing w:line="249" w:lineRule="auto"/>
        <w:rPr>
          <w:color w:val="auto"/>
          <w:highlight w:val="none"/>
        </w:rPr>
      </w:pPr>
    </w:p>
    <w:p w14:paraId="14951412">
      <w:pPr>
        <w:tabs>
          <w:tab w:val="left" w:pos="6842"/>
        </w:tabs>
        <w:spacing w:before="69" w:line="221" w:lineRule="auto"/>
        <w:ind w:left="589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6A2E0916">
      <w:pPr>
        <w:spacing w:line="221" w:lineRule="auto"/>
        <w:rPr>
          <w:rFonts w:ascii="宋体" w:hAnsi="宋体" w:eastAsia="宋体" w:cs="宋体"/>
          <w:color w:val="auto"/>
          <w:sz w:val="21"/>
          <w:szCs w:val="21"/>
          <w:highlight w:val="none"/>
        </w:rPr>
        <w:sectPr>
          <w:footerReference r:id="rId33" w:type="default"/>
          <w:pgSz w:w="11905" w:h="16839"/>
          <w:pgMar w:top="1431" w:right="1785" w:bottom="1036" w:left="1785" w:header="0" w:footer="847" w:gutter="0"/>
          <w:pgNumType w:fmt="decimal"/>
          <w:cols w:space="720" w:num="1"/>
        </w:sectPr>
      </w:pPr>
    </w:p>
    <w:p w14:paraId="563F1AE4">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11"/>
          <w:sz w:val="24"/>
          <w:szCs w:val="24"/>
          <w:highlight w:val="none"/>
        </w:rPr>
        <w:t>附表三： 招标文件修改通知</w:t>
      </w:r>
    </w:p>
    <w:p w14:paraId="693C0BC4">
      <w:pPr>
        <w:pStyle w:val="3"/>
        <w:spacing w:line="266" w:lineRule="auto"/>
        <w:rPr>
          <w:color w:val="auto"/>
          <w:highlight w:val="none"/>
        </w:rPr>
      </w:pPr>
    </w:p>
    <w:p w14:paraId="21AEED6D">
      <w:pPr>
        <w:pStyle w:val="3"/>
        <w:spacing w:line="266" w:lineRule="auto"/>
        <w:rPr>
          <w:color w:val="auto"/>
          <w:highlight w:val="none"/>
        </w:rPr>
      </w:pPr>
    </w:p>
    <w:p w14:paraId="184BBE96">
      <w:pPr>
        <w:pStyle w:val="3"/>
        <w:spacing w:line="266" w:lineRule="auto"/>
        <w:rPr>
          <w:color w:val="auto"/>
          <w:highlight w:val="none"/>
        </w:rPr>
      </w:pPr>
    </w:p>
    <w:p w14:paraId="75E364D5">
      <w:pPr>
        <w:pStyle w:val="3"/>
        <w:spacing w:line="266" w:lineRule="auto"/>
        <w:rPr>
          <w:color w:val="auto"/>
          <w:highlight w:val="none"/>
        </w:rPr>
      </w:pPr>
    </w:p>
    <w:p w14:paraId="273BD93B">
      <w:pPr>
        <w:pStyle w:val="3"/>
        <w:spacing w:line="266" w:lineRule="auto"/>
        <w:rPr>
          <w:color w:val="auto"/>
          <w:highlight w:val="none"/>
        </w:rPr>
      </w:pPr>
    </w:p>
    <w:p w14:paraId="44E6F080">
      <w:pPr>
        <w:pStyle w:val="3"/>
        <w:spacing w:line="266" w:lineRule="auto"/>
        <w:rPr>
          <w:color w:val="auto"/>
          <w:highlight w:val="none"/>
        </w:rPr>
      </w:pPr>
    </w:p>
    <w:p w14:paraId="2F555BF3">
      <w:pPr>
        <w:spacing w:before="87" w:line="225" w:lineRule="auto"/>
        <w:ind w:left="3054"/>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招标文件修改通知</w:t>
      </w:r>
    </w:p>
    <w:p w14:paraId="556DA3DA">
      <w:pPr>
        <w:pStyle w:val="3"/>
        <w:spacing w:line="248" w:lineRule="auto"/>
        <w:rPr>
          <w:color w:val="auto"/>
          <w:highlight w:val="none"/>
        </w:rPr>
      </w:pPr>
    </w:p>
    <w:p w14:paraId="42C9316C">
      <w:pPr>
        <w:pStyle w:val="3"/>
        <w:spacing w:line="248" w:lineRule="auto"/>
        <w:rPr>
          <w:color w:val="auto"/>
          <w:highlight w:val="none"/>
        </w:rPr>
      </w:pPr>
    </w:p>
    <w:p w14:paraId="345116AB">
      <w:pPr>
        <w:pStyle w:val="3"/>
        <w:spacing w:line="249" w:lineRule="auto"/>
        <w:rPr>
          <w:color w:val="auto"/>
          <w:highlight w:val="none"/>
        </w:rPr>
      </w:pPr>
    </w:p>
    <w:p w14:paraId="1CF0FE23">
      <w:pPr>
        <w:spacing w:before="69" w:line="221" w:lineRule="auto"/>
        <w:ind w:left="6007"/>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1E810188">
      <w:pPr>
        <w:pStyle w:val="3"/>
        <w:spacing w:line="465" w:lineRule="auto"/>
        <w:rPr>
          <w:color w:val="auto"/>
          <w:highlight w:val="none"/>
        </w:rPr>
      </w:pPr>
    </w:p>
    <w:p w14:paraId="08044655">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各投标人：</w:t>
      </w:r>
    </w:p>
    <w:p w14:paraId="0B8A6D64">
      <w:pPr>
        <w:spacing w:before="305" w:line="220"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经研究，对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（标段名称）项目（标段唯一标识</w:t>
      </w:r>
    </w:p>
    <w:p w14:paraId="3BDDEFB8">
      <w:pPr>
        <w:pStyle w:val="3"/>
        <w:spacing w:line="241" w:lineRule="auto"/>
        <w:rPr>
          <w:color w:val="auto"/>
          <w:highlight w:val="none"/>
        </w:rPr>
      </w:pPr>
    </w:p>
    <w:p w14:paraId="122F877C">
      <w:pPr>
        <w:spacing w:before="69" w:line="221" w:lineRule="auto"/>
        <w:ind w:left="17"/>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码</w:t>
      </w:r>
      <w:r>
        <w:rPr>
          <w:rFonts w:ascii="宋体" w:hAnsi="宋体" w:eastAsia="宋体" w:cs="宋体"/>
          <w:color w:val="auto"/>
          <w:spacing w:val="-6"/>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11"/>
          <w:sz w:val="21"/>
          <w:szCs w:val="21"/>
          <w:highlight w:val="none"/>
        </w:rPr>
        <w:t>招标文件，作如下修改：</w:t>
      </w:r>
    </w:p>
    <w:p w14:paraId="70A9FE2E">
      <w:pPr>
        <w:pStyle w:val="3"/>
        <w:rPr>
          <w:color w:val="auto"/>
          <w:highlight w:val="none"/>
        </w:rPr>
      </w:pPr>
    </w:p>
    <w:p w14:paraId="0592693D">
      <w:pPr>
        <w:spacing w:before="69" w:line="557" w:lineRule="exact"/>
        <w:ind w:left="456"/>
        <w:rPr>
          <w:rFonts w:ascii="宋体" w:hAnsi="宋体" w:eastAsia="宋体" w:cs="宋体"/>
          <w:color w:val="auto"/>
          <w:sz w:val="21"/>
          <w:szCs w:val="21"/>
          <w:highlight w:val="none"/>
        </w:rPr>
      </w:pPr>
      <w:r>
        <w:rPr>
          <w:rFonts w:ascii="宋体" w:hAnsi="宋体" w:eastAsia="宋体" w:cs="宋体"/>
          <w:color w:val="auto"/>
          <w:spacing w:val="-6"/>
          <w:position w:val="27"/>
          <w:sz w:val="21"/>
          <w:szCs w:val="21"/>
          <w:highlight w:val="none"/>
        </w:rPr>
        <w:t>1.……</w:t>
      </w:r>
    </w:p>
    <w:p w14:paraId="32115267">
      <w:pPr>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18D2DD37">
      <w:pPr>
        <w:spacing w:before="28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1023C9F0">
      <w:pPr>
        <w:pStyle w:val="3"/>
        <w:spacing w:line="268" w:lineRule="auto"/>
        <w:rPr>
          <w:color w:val="auto"/>
          <w:highlight w:val="none"/>
        </w:rPr>
      </w:pPr>
    </w:p>
    <w:p w14:paraId="66F56D50">
      <w:pPr>
        <w:pStyle w:val="3"/>
        <w:spacing w:line="268" w:lineRule="auto"/>
        <w:rPr>
          <w:color w:val="auto"/>
          <w:highlight w:val="none"/>
        </w:rPr>
      </w:pPr>
    </w:p>
    <w:p w14:paraId="799F82C2">
      <w:pPr>
        <w:pStyle w:val="3"/>
        <w:spacing w:line="268" w:lineRule="auto"/>
        <w:rPr>
          <w:color w:val="auto"/>
          <w:highlight w:val="none"/>
        </w:rPr>
      </w:pPr>
    </w:p>
    <w:p w14:paraId="611F5877">
      <w:pPr>
        <w:pStyle w:val="3"/>
        <w:spacing w:line="268" w:lineRule="auto"/>
        <w:rPr>
          <w:color w:val="auto"/>
          <w:highlight w:val="none"/>
        </w:rPr>
      </w:pPr>
    </w:p>
    <w:p w14:paraId="474AE601">
      <w:pPr>
        <w:pStyle w:val="3"/>
        <w:spacing w:line="268" w:lineRule="auto"/>
        <w:rPr>
          <w:color w:val="auto"/>
          <w:highlight w:val="none"/>
        </w:rPr>
      </w:pPr>
    </w:p>
    <w:p w14:paraId="546803B1">
      <w:pPr>
        <w:pStyle w:val="3"/>
        <w:spacing w:line="268" w:lineRule="auto"/>
        <w:rPr>
          <w:color w:val="auto"/>
          <w:highlight w:val="none"/>
        </w:rPr>
      </w:pPr>
    </w:p>
    <w:p w14:paraId="49B6A4C7">
      <w:pPr>
        <w:pStyle w:val="3"/>
        <w:spacing w:line="268" w:lineRule="auto"/>
        <w:rPr>
          <w:color w:val="auto"/>
          <w:highlight w:val="none"/>
        </w:rPr>
      </w:pPr>
    </w:p>
    <w:p w14:paraId="1C2E8DAC">
      <w:pPr>
        <w:pStyle w:val="3"/>
        <w:spacing w:line="269" w:lineRule="auto"/>
        <w:rPr>
          <w:color w:val="auto"/>
          <w:highlight w:val="none"/>
        </w:rPr>
      </w:pPr>
    </w:p>
    <w:p w14:paraId="3E248820">
      <w:pPr>
        <w:spacing w:before="69" w:line="220" w:lineRule="auto"/>
        <w:ind w:right="15"/>
        <w:jc w:val="righ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招标人</w:t>
      </w:r>
      <w:r>
        <w:rPr>
          <w:rFonts w:ascii="宋体" w:hAnsi="宋体" w:eastAsia="宋体" w:cs="宋体"/>
          <w:color w:val="auto"/>
          <w:spacing w:val="-1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2"/>
          <w:sz w:val="21"/>
          <w:szCs w:val="21"/>
          <w:highlight w:val="none"/>
        </w:rPr>
        <w:t>盖单位章）</w:t>
      </w:r>
    </w:p>
    <w:p w14:paraId="7E00AACB">
      <w:pPr>
        <w:pStyle w:val="3"/>
        <w:spacing w:line="250" w:lineRule="auto"/>
        <w:rPr>
          <w:color w:val="auto"/>
          <w:highlight w:val="none"/>
        </w:rPr>
      </w:pPr>
    </w:p>
    <w:p w14:paraId="54CA8210">
      <w:pPr>
        <w:pStyle w:val="3"/>
        <w:spacing w:line="251" w:lineRule="auto"/>
        <w:rPr>
          <w:color w:val="auto"/>
          <w:highlight w:val="none"/>
        </w:rPr>
      </w:pPr>
    </w:p>
    <w:p w14:paraId="1A1F7847">
      <w:pPr>
        <w:pStyle w:val="3"/>
        <w:spacing w:line="251" w:lineRule="auto"/>
        <w:rPr>
          <w:color w:val="auto"/>
          <w:highlight w:val="none"/>
        </w:rPr>
      </w:pPr>
    </w:p>
    <w:p w14:paraId="7C58C2FF">
      <w:pPr>
        <w:tabs>
          <w:tab w:val="left" w:pos="6737"/>
        </w:tabs>
        <w:spacing w:before="68" w:line="221" w:lineRule="auto"/>
        <w:ind w:left="5791"/>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4"/>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516A5212">
      <w:pPr>
        <w:spacing w:line="221" w:lineRule="auto"/>
        <w:rPr>
          <w:rFonts w:ascii="宋体" w:hAnsi="宋体" w:eastAsia="宋体" w:cs="宋体"/>
          <w:color w:val="auto"/>
          <w:sz w:val="21"/>
          <w:szCs w:val="21"/>
          <w:highlight w:val="none"/>
        </w:rPr>
        <w:sectPr>
          <w:footerReference r:id="rId34" w:type="default"/>
          <w:pgSz w:w="11905" w:h="16839"/>
          <w:pgMar w:top="1431" w:right="1785" w:bottom="1036" w:left="1785" w:header="0" w:footer="847" w:gutter="0"/>
          <w:pgNumType w:fmt="decimal"/>
          <w:cols w:space="720" w:num="1"/>
        </w:sectPr>
      </w:pPr>
    </w:p>
    <w:p w14:paraId="2C9CF26D">
      <w:pPr>
        <w:spacing w:before="48" w:line="218" w:lineRule="auto"/>
        <w:ind w:left="32"/>
        <w:rPr>
          <w:rFonts w:ascii="黑体" w:hAnsi="黑体" w:eastAsia="黑体" w:cs="黑体"/>
          <w:color w:val="auto"/>
          <w:sz w:val="24"/>
          <w:szCs w:val="24"/>
          <w:highlight w:val="none"/>
        </w:rPr>
      </w:pPr>
      <w:r>
        <w:rPr>
          <w:rFonts w:ascii="黑体" w:hAnsi="黑体" w:eastAsia="黑体" w:cs="黑体"/>
          <w:color w:val="auto"/>
          <w:spacing w:val="-9"/>
          <w:sz w:val="24"/>
          <w:szCs w:val="24"/>
          <w:highlight w:val="none"/>
        </w:rPr>
        <w:t>附表四： 投标文件递交电子签收凭证</w:t>
      </w:r>
    </w:p>
    <w:p w14:paraId="47432984">
      <w:pPr>
        <w:pStyle w:val="3"/>
        <w:spacing w:line="249" w:lineRule="auto"/>
        <w:rPr>
          <w:color w:val="auto"/>
          <w:highlight w:val="none"/>
        </w:rPr>
      </w:pPr>
    </w:p>
    <w:p w14:paraId="12CF7734">
      <w:pPr>
        <w:pStyle w:val="3"/>
        <w:spacing w:line="250" w:lineRule="auto"/>
        <w:rPr>
          <w:color w:val="auto"/>
          <w:highlight w:val="none"/>
        </w:rPr>
      </w:pPr>
    </w:p>
    <w:p w14:paraId="3B1207D8">
      <w:pPr>
        <w:pStyle w:val="3"/>
        <w:spacing w:line="250" w:lineRule="auto"/>
        <w:rPr>
          <w:color w:val="auto"/>
          <w:highlight w:val="none"/>
        </w:rPr>
      </w:pPr>
    </w:p>
    <w:p w14:paraId="4B35A800">
      <w:pPr>
        <w:pStyle w:val="3"/>
        <w:spacing w:line="250" w:lineRule="auto"/>
        <w:rPr>
          <w:color w:val="auto"/>
          <w:highlight w:val="none"/>
        </w:rPr>
      </w:pPr>
    </w:p>
    <w:p w14:paraId="2CAB9D5A">
      <w:pPr>
        <w:pStyle w:val="3"/>
        <w:spacing w:line="250" w:lineRule="auto"/>
        <w:rPr>
          <w:color w:val="auto"/>
          <w:highlight w:val="none"/>
        </w:rPr>
      </w:pPr>
    </w:p>
    <w:p w14:paraId="413ED445">
      <w:pPr>
        <w:spacing w:before="87" w:line="224" w:lineRule="auto"/>
        <w:ind w:left="2496"/>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投标文件递交电子签收凭证</w:t>
      </w:r>
    </w:p>
    <w:p w14:paraId="036B6B2B">
      <w:pPr>
        <w:pStyle w:val="3"/>
        <w:spacing w:line="273" w:lineRule="auto"/>
        <w:rPr>
          <w:color w:val="auto"/>
          <w:highlight w:val="none"/>
        </w:rPr>
      </w:pPr>
    </w:p>
    <w:p w14:paraId="46AA39AA">
      <w:pPr>
        <w:pStyle w:val="3"/>
        <w:spacing w:line="273" w:lineRule="auto"/>
        <w:rPr>
          <w:color w:val="auto"/>
          <w:highlight w:val="none"/>
        </w:rPr>
      </w:pPr>
    </w:p>
    <w:p w14:paraId="6E28B388">
      <w:pPr>
        <w:pStyle w:val="3"/>
        <w:spacing w:line="273" w:lineRule="auto"/>
        <w:rPr>
          <w:color w:val="auto"/>
          <w:highlight w:val="none"/>
        </w:rPr>
      </w:pPr>
    </w:p>
    <w:p w14:paraId="1263957B">
      <w:pPr>
        <w:tabs>
          <w:tab w:val="left" w:pos="1801"/>
        </w:tabs>
        <w:spacing w:before="68"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0"/>
          <w:sz w:val="21"/>
          <w:szCs w:val="21"/>
          <w:highlight w:val="none"/>
        </w:rPr>
        <w:t>（投标人名称</w:t>
      </w:r>
      <w:r>
        <w:rPr>
          <w:rFonts w:ascii="宋体" w:hAnsi="宋体" w:eastAsia="宋体" w:cs="宋体"/>
          <w:color w:val="auto"/>
          <w:spacing w:val="-31"/>
          <w:sz w:val="21"/>
          <w:szCs w:val="21"/>
          <w:highlight w:val="none"/>
        </w:rPr>
        <w:t>）：</w:t>
      </w:r>
    </w:p>
    <w:p w14:paraId="57E925D5">
      <w:pPr>
        <w:spacing w:before="295" w:line="359"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您单位参与的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
          <w:sz w:val="21"/>
          <w:szCs w:val="21"/>
          <w:highlight w:val="none"/>
        </w:rPr>
        <w:t>（标段名称）项目（标段唯一标识码</w:t>
      </w:r>
      <w:r>
        <w:rPr>
          <w:rFonts w:ascii="宋体" w:hAnsi="宋体" w:eastAsia="宋体" w:cs="宋体"/>
          <w:color w:val="auto"/>
          <w:spacing w:val="-3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0"/>
          <w:sz w:val="21"/>
          <w:szCs w:val="21"/>
          <w:highlight w:val="none"/>
        </w:rPr>
        <w:t xml:space="preserve"> </w:t>
      </w:r>
      <w:r>
        <w:rPr>
          <w:rFonts w:ascii="宋体" w:hAnsi="宋体" w:eastAsia="宋体" w:cs="宋体"/>
          <w:color w:val="auto"/>
          <w:spacing w:val="-35"/>
          <w:sz w:val="21"/>
          <w:szCs w:val="21"/>
          <w:highlight w:val="none"/>
        </w:rPr>
        <w:t>），</w:t>
      </w:r>
      <w:r>
        <w:rPr>
          <w:rFonts w:ascii="宋体" w:hAnsi="宋体" w:eastAsia="宋体" w:cs="宋体"/>
          <w:color w:val="auto"/>
          <w:spacing w:val="-1"/>
          <w:sz w:val="21"/>
          <w:szCs w:val="21"/>
          <w:highlight w:val="none"/>
        </w:rPr>
        <w:t>投</w:t>
      </w:r>
    </w:p>
    <w:p w14:paraId="29A13BB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标文件于</w:t>
      </w:r>
      <w:r>
        <w:rPr>
          <w:rFonts w:ascii="宋体" w:hAnsi="宋体" w:eastAsia="宋体" w:cs="宋体"/>
          <w:color w:val="auto"/>
          <w:spacing w:val="-90"/>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年</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6"/>
          <w:sz w:val="21"/>
          <w:szCs w:val="21"/>
          <w:highlight w:val="none"/>
        </w:rPr>
        <w:t>月</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6"/>
          <w:sz w:val="21"/>
          <w:szCs w:val="21"/>
          <w:highlight w:val="none"/>
        </w:rPr>
        <w:t>日</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6"/>
          <w:sz w:val="21"/>
          <w:szCs w:val="21"/>
          <w:highlight w:val="none"/>
        </w:rPr>
        <w:t>时</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6"/>
          <w:sz w:val="21"/>
          <w:szCs w:val="21"/>
          <w:highlight w:val="none"/>
        </w:rPr>
        <w:t>分</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6"/>
          <w:sz w:val="21"/>
          <w:szCs w:val="21"/>
          <w:highlight w:val="none"/>
        </w:rPr>
        <w:t>秒上传成功。</w:t>
      </w:r>
    </w:p>
    <w:p w14:paraId="171589E1">
      <w:pPr>
        <w:pStyle w:val="3"/>
        <w:spacing w:line="247" w:lineRule="auto"/>
        <w:rPr>
          <w:color w:val="auto"/>
          <w:highlight w:val="none"/>
        </w:rPr>
      </w:pPr>
    </w:p>
    <w:p w14:paraId="26B93541">
      <w:pPr>
        <w:pStyle w:val="3"/>
        <w:spacing w:line="248" w:lineRule="auto"/>
        <w:rPr>
          <w:color w:val="auto"/>
          <w:highlight w:val="none"/>
        </w:rPr>
      </w:pPr>
    </w:p>
    <w:p w14:paraId="2903CE16">
      <w:pPr>
        <w:spacing w:before="69" w:line="422" w:lineRule="auto"/>
        <w:ind w:left="444"/>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项目经理：</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73B66169">
      <w:pPr>
        <w:spacing w:line="220" w:lineRule="auto"/>
        <w:ind w:left="461"/>
        <w:rPr>
          <w:rFonts w:ascii="宋体" w:hAnsi="宋体" w:eastAsia="宋体" w:cs="宋体"/>
          <w:color w:val="auto"/>
          <w:sz w:val="21"/>
          <w:szCs w:val="21"/>
          <w:highlight w:val="none"/>
        </w:rPr>
      </w:pPr>
      <w:r>
        <w:rPr>
          <w:rFonts w:ascii="宋体" w:hAnsi="宋体" w:eastAsia="宋体" w:cs="宋体"/>
          <w:color w:val="auto"/>
          <w:spacing w:val="-31"/>
          <w:w w:val="98"/>
          <w:sz w:val="21"/>
          <w:szCs w:val="21"/>
          <w:highlight w:val="none"/>
        </w:rPr>
        <w:t>回执码：</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u w:val="single" w:color="auto"/>
        </w:rPr>
        <w:t xml:space="preserve">                                 </w:t>
      </w:r>
    </w:p>
    <w:p w14:paraId="16FF7454">
      <w:pPr>
        <w:spacing w:line="220" w:lineRule="auto"/>
        <w:rPr>
          <w:rFonts w:ascii="宋体" w:hAnsi="宋体" w:eastAsia="宋体" w:cs="宋体"/>
          <w:color w:val="auto"/>
          <w:sz w:val="21"/>
          <w:szCs w:val="21"/>
          <w:highlight w:val="none"/>
        </w:rPr>
        <w:sectPr>
          <w:footerReference r:id="rId35" w:type="default"/>
          <w:pgSz w:w="11905" w:h="16839"/>
          <w:pgMar w:top="1431" w:right="1785" w:bottom="1036" w:left="1785" w:header="0" w:footer="847" w:gutter="0"/>
          <w:pgNumType w:fmt="decimal"/>
          <w:cols w:space="720" w:num="1"/>
        </w:sectPr>
      </w:pPr>
    </w:p>
    <w:p w14:paraId="64AEB5AB">
      <w:pPr>
        <w:pStyle w:val="3"/>
        <w:spacing w:line="246" w:lineRule="auto"/>
        <w:rPr>
          <w:color w:val="auto"/>
          <w:highlight w:val="none"/>
        </w:rPr>
      </w:pPr>
    </w:p>
    <w:p w14:paraId="6C3B13B3">
      <w:pPr>
        <w:pStyle w:val="3"/>
        <w:spacing w:line="247" w:lineRule="auto"/>
        <w:rPr>
          <w:color w:val="auto"/>
          <w:highlight w:val="none"/>
        </w:rPr>
      </w:pPr>
    </w:p>
    <w:p w14:paraId="1DE409E1">
      <w:pPr>
        <w:pStyle w:val="3"/>
        <w:spacing w:line="247" w:lineRule="auto"/>
        <w:rPr>
          <w:color w:val="auto"/>
          <w:highlight w:val="none"/>
        </w:rPr>
      </w:pPr>
    </w:p>
    <w:p w14:paraId="7CC24A44">
      <w:pPr>
        <w:spacing w:before="78" w:line="219"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附表五：开标记录表</w:t>
      </w:r>
    </w:p>
    <w:p w14:paraId="1A90642E">
      <w:pPr>
        <w:pStyle w:val="3"/>
        <w:spacing w:line="469" w:lineRule="auto"/>
        <w:rPr>
          <w:color w:val="auto"/>
          <w:highlight w:val="none"/>
        </w:rPr>
      </w:pPr>
    </w:p>
    <w:p w14:paraId="02C8961C">
      <w:pPr>
        <w:tabs>
          <w:tab w:val="left" w:pos="7840"/>
        </w:tabs>
        <w:spacing w:before="88" w:line="225" w:lineRule="auto"/>
        <w:ind w:left="4623"/>
        <w:rPr>
          <w:rFonts w:ascii="黑体" w:hAnsi="黑体" w:eastAsia="黑体" w:cs="黑体"/>
          <w:color w:val="auto"/>
          <w:sz w:val="27"/>
          <w:szCs w:val="27"/>
          <w:highlight w:val="none"/>
        </w:rPr>
      </w:pPr>
      <w:r>
        <w:rPr>
          <w:rFonts w:ascii="黑体" w:hAnsi="黑体" w:eastAsia="黑体" w:cs="黑体"/>
          <w:color w:val="auto"/>
          <w:sz w:val="27"/>
          <w:szCs w:val="27"/>
          <w:highlight w:val="none"/>
          <w:u w:val="single" w:color="auto"/>
        </w:rPr>
        <w:tab/>
      </w:r>
      <w:r>
        <w:rPr>
          <w:rFonts w:ascii="黑体" w:hAnsi="黑体" w:eastAsia="黑体" w:cs="黑体"/>
          <w:color w:val="auto"/>
          <w:spacing w:val="-46"/>
          <w:sz w:val="27"/>
          <w:szCs w:val="27"/>
          <w:highlight w:val="none"/>
        </w:rPr>
        <w:t xml:space="preserve"> </w:t>
      </w:r>
      <w:r>
        <w:rPr>
          <w:rFonts w:ascii="黑体" w:hAnsi="黑体" w:eastAsia="黑体" w:cs="黑体"/>
          <w:color w:val="auto"/>
          <w:spacing w:val="2"/>
          <w:sz w:val="27"/>
          <w:szCs w:val="27"/>
          <w:highlight w:val="none"/>
        </w:rPr>
        <w:t>（标段名称）项目开标记录表</w:t>
      </w:r>
    </w:p>
    <w:p w14:paraId="0C6FE100">
      <w:pPr>
        <w:pStyle w:val="3"/>
        <w:spacing w:line="297" w:lineRule="auto"/>
        <w:rPr>
          <w:color w:val="auto"/>
          <w:highlight w:val="none"/>
        </w:rPr>
      </w:pPr>
    </w:p>
    <w:p w14:paraId="0BC86EE5">
      <w:pPr>
        <w:spacing w:before="68" w:line="221" w:lineRule="auto"/>
        <w:ind w:left="114"/>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开标时间：</w:t>
      </w:r>
      <w:r>
        <w:rPr>
          <w:rFonts w:ascii="宋体" w:hAnsi="宋体" w:eastAsia="宋体" w:cs="宋体"/>
          <w:color w:val="auto"/>
          <w:spacing w:val="56"/>
          <w:sz w:val="21"/>
          <w:szCs w:val="21"/>
          <w:highlight w:val="none"/>
        </w:rPr>
        <w:t xml:space="preserve"> </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4"/>
          <w:sz w:val="21"/>
          <w:szCs w:val="21"/>
          <w:highlight w:val="none"/>
        </w:rPr>
        <w:t>日</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24"/>
          <w:sz w:val="21"/>
          <w:szCs w:val="21"/>
          <w:highlight w:val="none"/>
        </w:rPr>
        <w:t>时</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4"/>
          <w:sz w:val="21"/>
          <w:szCs w:val="21"/>
          <w:highlight w:val="none"/>
        </w:rPr>
        <w:t>分</w:t>
      </w:r>
      <w:r>
        <w:rPr>
          <w:rFonts w:ascii="宋体" w:hAnsi="宋体" w:eastAsia="宋体" w:cs="宋体"/>
          <w:color w:val="auto"/>
          <w:sz w:val="21"/>
          <w:szCs w:val="21"/>
          <w:highlight w:val="none"/>
        </w:rPr>
        <w:t xml:space="preserve">     </w:t>
      </w:r>
      <w:r>
        <w:rPr>
          <w:rFonts w:ascii="宋体" w:hAnsi="宋体" w:eastAsia="宋体" w:cs="宋体"/>
          <w:color w:val="auto"/>
          <w:spacing w:val="-24"/>
          <w:sz w:val="21"/>
          <w:szCs w:val="21"/>
          <w:highlight w:val="none"/>
        </w:rPr>
        <w:t>开标地点：</w:t>
      </w:r>
      <w:r>
        <w:rPr>
          <w:rFonts w:ascii="宋体" w:hAnsi="宋体" w:eastAsia="宋体" w:cs="宋体"/>
          <w:color w:val="auto"/>
          <w:spacing w:val="4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开标方式：</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u w:val="single" w:color="auto"/>
        </w:rPr>
        <w:t xml:space="preserve">                </w:t>
      </w:r>
    </w:p>
    <w:p w14:paraId="61762206">
      <w:pPr>
        <w:spacing w:line="126" w:lineRule="auto"/>
        <w:rPr>
          <w:rFonts w:ascii="Arial"/>
          <w:color w:val="auto"/>
          <w:sz w:val="2"/>
          <w:highlight w:val="none"/>
        </w:rPr>
      </w:pPr>
    </w:p>
    <w:tbl>
      <w:tblPr>
        <w:tblStyle w:val="10"/>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14:paraId="73C3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14:paraId="03AF3BAD">
            <w:pPr>
              <w:pStyle w:val="11"/>
              <w:spacing w:before="307" w:line="222" w:lineRule="auto"/>
              <w:ind w:left="131"/>
              <w:rPr>
                <w:color w:val="auto"/>
                <w:highlight w:val="none"/>
              </w:rPr>
            </w:pPr>
            <w:r>
              <w:rPr>
                <w:color w:val="auto"/>
                <w:spacing w:val="-2"/>
                <w:highlight w:val="none"/>
              </w:rPr>
              <w:t>序号</w:t>
            </w:r>
          </w:p>
        </w:tc>
        <w:tc>
          <w:tcPr>
            <w:tcW w:w="2482" w:type="dxa"/>
            <w:vMerge w:val="restart"/>
            <w:tcBorders>
              <w:bottom w:val="nil"/>
            </w:tcBorders>
            <w:vAlign w:val="top"/>
          </w:tcPr>
          <w:p w14:paraId="3E18C7E0">
            <w:pPr>
              <w:pStyle w:val="11"/>
              <w:spacing w:before="308" w:line="221" w:lineRule="auto"/>
              <w:ind w:left="722"/>
              <w:rPr>
                <w:color w:val="auto"/>
                <w:highlight w:val="none"/>
              </w:rPr>
            </w:pPr>
            <w:r>
              <w:rPr>
                <w:color w:val="auto"/>
                <w:spacing w:val="-1"/>
                <w:highlight w:val="none"/>
              </w:rPr>
              <w:t>投标人名称</w:t>
            </w:r>
          </w:p>
        </w:tc>
        <w:tc>
          <w:tcPr>
            <w:tcW w:w="988" w:type="dxa"/>
            <w:vMerge w:val="restart"/>
            <w:tcBorders>
              <w:bottom w:val="nil"/>
            </w:tcBorders>
            <w:vAlign w:val="top"/>
          </w:tcPr>
          <w:p w14:paraId="66FAA88C">
            <w:pPr>
              <w:pStyle w:val="11"/>
              <w:spacing w:before="173" w:line="231" w:lineRule="auto"/>
              <w:ind w:left="193" w:right="64" w:hanging="109"/>
              <w:rPr>
                <w:color w:val="auto"/>
                <w:highlight w:val="none"/>
              </w:rPr>
            </w:pPr>
            <w:r>
              <w:rPr>
                <w:color w:val="auto"/>
                <w:spacing w:val="-2"/>
                <w:highlight w:val="none"/>
              </w:rPr>
              <w:t>投标报价</w:t>
            </w:r>
            <w:r>
              <w:rPr>
                <w:color w:val="auto"/>
                <w:spacing w:val="1"/>
                <w:highlight w:val="none"/>
              </w:rPr>
              <w:t xml:space="preserve"> </w:t>
            </w:r>
            <w:r>
              <w:rPr>
                <w:color w:val="auto"/>
                <w:spacing w:val="-6"/>
                <w:highlight w:val="none"/>
              </w:rPr>
              <w:t>（元）</w:t>
            </w:r>
          </w:p>
        </w:tc>
        <w:tc>
          <w:tcPr>
            <w:tcW w:w="1138" w:type="dxa"/>
            <w:vMerge w:val="restart"/>
            <w:tcBorders>
              <w:bottom w:val="nil"/>
            </w:tcBorders>
            <w:vAlign w:val="top"/>
          </w:tcPr>
          <w:p w14:paraId="21776CAF">
            <w:pPr>
              <w:pStyle w:val="11"/>
              <w:spacing w:before="173" w:line="221" w:lineRule="auto"/>
              <w:ind w:left="368"/>
              <w:rPr>
                <w:color w:val="auto"/>
                <w:highlight w:val="none"/>
              </w:rPr>
            </w:pPr>
            <w:r>
              <w:rPr>
                <w:color w:val="auto"/>
                <w:spacing w:val="-3"/>
                <w:highlight w:val="none"/>
              </w:rPr>
              <w:t>工期</w:t>
            </w:r>
          </w:p>
          <w:p w14:paraId="2479C0FD">
            <w:pPr>
              <w:pStyle w:val="11"/>
              <w:spacing w:before="22" w:line="221" w:lineRule="auto"/>
              <w:ind w:left="55"/>
              <w:rPr>
                <w:color w:val="auto"/>
                <w:highlight w:val="none"/>
              </w:rPr>
            </w:pPr>
            <w:r>
              <w:rPr>
                <w:color w:val="auto"/>
                <w:spacing w:val="-4"/>
                <w:highlight w:val="none"/>
              </w:rPr>
              <w:t>（日历天）</w:t>
            </w:r>
          </w:p>
        </w:tc>
        <w:tc>
          <w:tcPr>
            <w:tcW w:w="1132" w:type="dxa"/>
            <w:vMerge w:val="restart"/>
            <w:tcBorders>
              <w:bottom w:val="nil"/>
            </w:tcBorders>
            <w:vAlign w:val="top"/>
          </w:tcPr>
          <w:p w14:paraId="4C3A665A">
            <w:pPr>
              <w:pStyle w:val="11"/>
              <w:spacing w:before="308" w:line="221" w:lineRule="auto"/>
              <w:ind w:left="150"/>
              <w:rPr>
                <w:color w:val="auto"/>
                <w:highlight w:val="none"/>
              </w:rPr>
            </w:pPr>
            <w:r>
              <w:rPr>
                <w:color w:val="auto"/>
                <w:spacing w:val="-1"/>
                <w:highlight w:val="none"/>
              </w:rPr>
              <w:t>质量目标</w:t>
            </w:r>
          </w:p>
        </w:tc>
        <w:tc>
          <w:tcPr>
            <w:tcW w:w="1133" w:type="dxa"/>
            <w:vMerge w:val="restart"/>
            <w:tcBorders>
              <w:bottom w:val="nil"/>
            </w:tcBorders>
            <w:vAlign w:val="top"/>
          </w:tcPr>
          <w:p w14:paraId="7DE3152C">
            <w:pPr>
              <w:pStyle w:val="11"/>
              <w:spacing w:before="173" w:line="231" w:lineRule="auto"/>
              <w:ind w:left="153" w:right="140"/>
              <w:rPr>
                <w:color w:val="auto"/>
                <w:highlight w:val="none"/>
              </w:rPr>
            </w:pPr>
            <w:r>
              <w:rPr>
                <w:color w:val="auto"/>
                <w:spacing w:val="-2"/>
                <w:highlight w:val="none"/>
              </w:rPr>
              <w:t>投标有效</w:t>
            </w:r>
            <w:r>
              <w:rPr>
                <w:color w:val="auto"/>
                <w:spacing w:val="1"/>
                <w:highlight w:val="none"/>
              </w:rPr>
              <w:t xml:space="preserve"> </w:t>
            </w:r>
            <w:r>
              <w:rPr>
                <w:color w:val="auto"/>
                <w:spacing w:val="-4"/>
                <w:highlight w:val="none"/>
              </w:rPr>
              <w:t>期（天）</w:t>
            </w:r>
          </w:p>
        </w:tc>
        <w:tc>
          <w:tcPr>
            <w:tcW w:w="1133" w:type="dxa"/>
            <w:vMerge w:val="restart"/>
            <w:tcBorders>
              <w:bottom w:val="nil"/>
            </w:tcBorders>
            <w:vAlign w:val="top"/>
          </w:tcPr>
          <w:p w14:paraId="1BAB9531">
            <w:pPr>
              <w:pStyle w:val="11"/>
              <w:spacing w:before="172" w:line="231" w:lineRule="auto"/>
              <w:ind w:left="365" w:right="135" w:hanging="207"/>
              <w:rPr>
                <w:color w:val="auto"/>
                <w:highlight w:val="none"/>
              </w:rPr>
            </w:pPr>
            <w:r>
              <w:rPr>
                <w:color w:val="auto"/>
                <w:spacing w:val="-2"/>
                <w:highlight w:val="none"/>
              </w:rPr>
              <w:t>项目经理</w:t>
            </w:r>
            <w:r>
              <w:rPr>
                <w:color w:val="auto"/>
                <w:highlight w:val="none"/>
              </w:rPr>
              <w:t xml:space="preserve"> </w:t>
            </w:r>
            <w:r>
              <w:rPr>
                <w:color w:val="auto"/>
                <w:spacing w:val="-2"/>
                <w:highlight w:val="none"/>
              </w:rPr>
              <w:t>姓名</w:t>
            </w:r>
          </w:p>
        </w:tc>
        <w:tc>
          <w:tcPr>
            <w:tcW w:w="2409" w:type="dxa"/>
            <w:gridSpan w:val="2"/>
            <w:vAlign w:val="top"/>
          </w:tcPr>
          <w:p w14:paraId="39879E33">
            <w:pPr>
              <w:pStyle w:val="11"/>
              <w:spacing w:before="29" w:line="210" w:lineRule="auto"/>
              <w:ind w:left="691"/>
              <w:rPr>
                <w:color w:val="auto"/>
                <w:highlight w:val="none"/>
              </w:rPr>
            </w:pPr>
            <w:r>
              <w:rPr>
                <w:color w:val="auto"/>
                <w:spacing w:val="-1"/>
                <w:highlight w:val="none"/>
              </w:rPr>
              <w:t>投标保证金</w:t>
            </w:r>
          </w:p>
        </w:tc>
        <w:tc>
          <w:tcPr>
            <w:tcW w:w="1704" w:type="dxa"/>
            <w:vMerge w:val="restart"/>
            <w:tcBorders>
              <w:bottom w:val="nil"/>
            </w:tcBorders>
            <w:vAlign w:val="top"/>
          </w:tcPr>
          <w:p w14:paraId="5F5E86E6">
            <w:pPr>
              <w:pStyle w:val="11"/>
              <w:spacing w:before="172" w:line="231" w:lineRule="auto"/>
              <w:ind w:left="227" w:right="110" w:hanging="103"/>
              <w:rPr>
                <w:color w:val="auto"/>
                <w:highlight w:val="none"/>
              </w:rPr>
            </w:pPr>
            <w:r>
              <w:rPr>
                <w:color w:val="auto"/>
                <w:spacing w:val="-1"/>
                <w:highlight w:val="none"/>
              </w:rPr>
              <w:t>法定代表人或授</w:t>
            </w:r>
            <w:r>
              <w:rPr>
                <w:color w:val="auto"/>
                <w:highlight w:val="none"/>
              </w:rPr>
              <w:t xml:space="preserve"> </w:t>
            </w:r>
            <w:r>
              <w:rPr>
                <w:color w:val="auto"/>
                <w:spacing w:val="-1"/>
                <w:highlight w:val="none"/>
              </w:rPr>
              <w:t>权委托人确认</w:t>
            </w:r>
          </w:p>
        </w:tc>
        <w:tc>
          <w:tcPr>
            <w:tcW w:w="1282" w:type="dxa"/>
            <w:vMerge w:val="restart"/>
            <w:tcBorders>
              <w:bottom w:val="nil"/>
            </w:tcBorders>
            <w:vAlign w:val="top"/>
          </w:tcPr>
          <w:p w14:paraId="7FDC6FF3">
            <w:pPr>
              <w:pStyle w:val="11"/>
              <w:spacing w:before="307" w:line="223" w:lineRule="auto"/>
              <w:ind w:left="225"/>
              <w:rPr>
                <w:color w:val="auto"/>
                <w:highlight w:val="none"/>
              </w:rPr>
            </w:pPr>
            <w:r>
              <w:rPr>
                <w:color w:val="auto"/>
                <w:spacing w:val="-1"/>
                <w:highlight w:val="none"/>
              </w:rPr>
              <w:t>联系电话</w:t>
            </w:r>
          </w:p>
        </w:tc>
      </w:tr>
      <w:tr w14:paraId="6C348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14:paraId="52125256">
            <w:pPr>
              <w:rPr>
                <w:rFonts w:ascii="Arial"/>
                <w:color w:val="auto"/>
                <w:sz w:val="21"/>
                <w:highlight w:val="none"/>
              </w:rPr>
            </w:pPr>
          </w:p>
        </w:tc>
        <w:tc>
          <w:tcPr>
            <w:tcW w:w="2482" w:type="dxa"/>
            <w:vMerge w:val="continue"/>
            <w:tcBorders>
              <w:top w:val="nil"/>
            </w:tcBorders>
            <w:vAlign w:val="top"/>
          </w:tcPr>
          <w:p w14:paraId="1993E77E">
            <w:pPr>
              <w:rPr>
                <w:rFonts w:ascii="Arial"/>
                <w:color w:val="auto"/>
                <w:sz w:val="21"/>
                <w:highlight w:val="none"/>
              </w:rPr>
            </w:pPr>
          </w:p>
        </w:tc>
        <w:tc>
          <w:tcPr>
            <w:tcW w:w="988" w:type="dxa"/>
            <w:vMerge w:val="continue"/>
            <w:tcBorders>
              <w:top w:val="nil"/>
            </w:tcBorders>
            <w:vAlign w:val="top"/>
          </w:tcPr>
          <w:p w14:paraId="50C198BF">
            <w:pPr>
              <w:rPr>
                <w:rFonts w:ascii="Arial"/>
                <w:color w:val="auto"/>
                <w:sz w:val="21"/>
                <w:highlight w:val="none"/>
              </w:rPr>
            </w:pPr>
          </w:p>
        </w:tc>
        <w:tc>
          <w:tcPr>
            <w:tcW w:w="1138" w:type="dxa"/>
            <w:vMerge w:val="continue"/>
            <w:tcBorders>
              <w:top w:val="nil"/>
            </w:tcBorders>
            <w:vAlign w:val="top"/>
          </w:tcPr>
          <w:p w14:paraId="5C732450">
            <w:pPr>
              <w:rPr>
                <w:rFonts w:ascii="Arial"/>
                <w:color w:val="auto"/>
                <w:sz w:val="21"/>
                <w:highlight w:val="none"/>
              </w:rPr>
            </w:pPr>
          </w:p>
        </w:tc>
        <w:tc>
          <w:tcPr>
            <w:tcW w:w="1132" w:type="dxa"/>
            <w:vMerge w:val="continue"/>
            <w:tcBorders>
              <w:top w:val="nil"/>
            </w:tcBorders>
            <w:vAlign w:val="top"/>
          </w:tcPr>
          <w:p w14:paraId="299FEA37">
            <w:pPr>
              <w:rPr>
                <w:rFonts w:ascii="Arial"/>
                <w:color w:val="auto"/>
                <w:sz w:val="21"/>
                <w:highlight w:val="none"/>
              </w:rPr>
            </w:pPr>
          </w:p>
        </w:tc>
        <w:tc>
          <w:tcPr>
            <w:tcW w:w="1133" w:type="dxa"/>
            <w:vMerge w:val="continue"/>
            <w:tcBorders>
              <w:top w:val="nil"/>
            </w:tcBorders>
            <w:vAlign w:val="top"/>
          </w:tcPr>
          <w:p w14:paraId="3C8FE0F5">
            <w:pPr>
              <w:rPr>
                <w:rFonts w:ascii="Arial"/>
                <w:color w:val="auto"/>
                <w:sz w:val="21"/>
                <w:highlight w:val="none"/>
              </w:rPr>
            </w:pPr>
          </w:p>
        </w:tc>
        <w:tc>
          <w:tcPr>
            <w:tcW w:w="1133" w:type="dxa"/>
            <w:vMerge w:val="continue"/>
            <w:tcBorders>
              <w:top w:val="nil"/>
            </w:tcBorders>
            <w:vAlign w:val="top"/>
          </w:tcPr>
          <w:p w14:paraId="4F6CA2BB">
            <w:pPr>
              <w:rPr>
                <w:rFonts w:ascii="Arial"/>
                <w:color w:val="auto"/>
                <w:sz w:val="21"/>
                <w:highlight w:val="none"/>
              </w:rPr>
            </w:pPr>
          </w:p>
        </w:tc>
        <w:tc>
          <w:tcPr>
            <w:tcW w:w="1137" w:type="dxa"/>
            <w:vAlign w:val="top"/>
          </w:tcPr>
          <w:p w14:paraId="08FB9A60">
            <w:pPr>
              <w:pStyle w:val="11"/>
              <w:spacing w:before="29" w:line="241" w:lineRule="auto"/>
              <w:ind w:left="368"/>
              <w:rPr>
                <w:color w:val="auto"/>
                <w:highlight w:val="none"/>
              </w:rPr>
            </w:pPr>
            <w:r>
              <w:rPr>
                <w:color w:val="auto"/>
                <w:spacing w:val="-2"/>
                <w:highlight w:val="none"/>
              </w:rPr>
              <w:t>金额</w:t>
            </w:r>
          </w:p>
          <w:p w14:paraId="2625D5CF">
            <w:pPr>
              <w:pStyle w:val="11"/>
              <w:spacing w:line="209" w:lineRule="auto"/>
              <w:ind w:left="267"/>
              <w:rPr>
                <w:color w:val="auto"/>
                <w:highlight w:val="none"/>
              </w:rPr>
            </w:pPr>
            <w:r>
              <w:rPr>
                <w:color w:val="auto"/>
                <w:spacing w:val="-6"/>
                <w:highlight w:val="none"/>
              </w:rPr>
              <w:t>（元）</w:t>
            </w:r>
          </w:p>
        </w:tc>
        <w:tc>
          <w:tcPr>
            <w:tcW w:w="1272" w:type="dxa"/>
            <w:vAlign w:val="top"/>
          </w:tcPr>
          <w:p w14:paraId="54300B7A">
            <w:pPr>
              <w:pStyle w:val="11"/>
              <w:spacing w:before="168" w:line="221" w:lineRule="auto"/>
              <w:ind w:left="217"/>
              <w:rPr>
                <w:color w:val="auto"/>
                <w:highlight w:val="none"/>
              </w:rPr>
            </w:pPr>
            <w:r>
              <w:rPr>
                <w:color w:val="auto"/>
                <w:spacing w:val="-1"/>
                <w:highlight w:val="none"/>
              </w:rPr>
              <w:t>缴纳方式</w:t>
            </w:r>
          </w:p>
        </w:tc>
        <w:tc>
          <w:tcPr>
            <w:tcW w:w="1704" w:type="dxa"/>
            <w:vMerge w:val="continue"/>
            <w:tcBorders>
              <w:top w:val="nil"/>
            </w:tcBorders>
            <w:vAlign w:val="top"/>
          </w:tcPr>
          <w:p w14:paraId="059B1DCF">
            <w:pPr>
              <w:rPr>
                <w:rFonts w:ascii="Arial"/>
                <w:color w:val="auto"/>
                <w:sz w:val="21"/>
                <w:highlight w:val="none"/>
              </w:rPr>
            </w:pPr>
          </w:p>
        </w:tc>
        <w:tc>
          <w:tcPr>
            <w:tcW w:w="1282" w:type="dxa"/>
            <w:vMerge w:val="continue"/>
            <w:tcBorders>
              <w:top w:val="nil"/>
            </w:tcBorders>
            <w:vAlign w:val="top"/>
          </w:tcPr>
          <w:p w14:paraId="48EB270D">
            <w:pPr>
              <w:rPr>
                <w:rFonts w:ascii="Arial"/>
                <w:color w:val="auto"/>
                <w:sz w:val="21"/>
                <w:highlight w:val="none"/>
              </w:rPr>
            </w:pPr>
          </w:p>
        </w:tc>
      </w:tr>
      <w:tr w14:paraId="45D68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57478286">
            <w:pPr>
              <w:rPr>
                <w:rFonts w:ascii="Arial"/>
                <w:color w:val="auto"/>
                <w:sz w:val="21"/>
                <w:highlight w:val="none"/>
              </w:rPr>
            </w:pPr>
          </w:p>
        </w:tc>
        <w:tc>
          <w:tcPr>
            <w:tcW w:w="2482" w:type="dxa"/>
            <w:vAlign w:val="top"/>
          </w:tcPr>
          <w:p w14:paraId="37A3EFED">
            <w:pPr>
              <w:rPr>
                <w:rFonts w:ascii="Arial"/>
                <w:color w:val="auto"/>
                <w:sz w:val="21"/>
                <w:highlight w:val="none"/>
              </w:rPr>
            </w:pPr>
          </w:p>
        </w:tc>
        <w:tc>
          <w:tcPr>
            <w:tcW w:w="988" w:type="dxa"/>
            <w:vAlign w:val="top"/>
          </w:tcPr>
          <w:p w14:paraId="40F67269">
            <w:pPr>
              <w:rPr>
                <w:rFonts w:ascii="Arial"/>
                <w:color w:val="auto"/>
                <w:sz w:val="21"/>
                <w:highlight w:val="none"/>
              </w:rPr>
            </w:pPr>
          </w:p>
        </w:tc>
        <w:tc>
          <w:tcPr>
            <w:tcW w:w="1138" w:type="dxa"/>
            <w:vAlign w:val="top"/>
          </w:tcPr>
          <w:p w14:paraId="6B183013">
            <w:pPr>
              <w:rPr>
                <w:rFonts w:ascii="Arial"/>
                <w:color w:val="auto"/>
                <w:sz w:val="21"/>
                <w:highlight w:val="none"/>
              </w:rPr>
            </w:pPr>
          </w:p>
        </w:tc>
        <w:tc>
          <w:tcPr>
            <w:tcW w:w="1132" w:type="dxa"/>
            <w:vAlign w:val="top"/>
          </w:tcPr>
          <w:p w14:paraId="65234917">
            <w:pPr>
              <w:rPr>
                <w:rFonts w:ascii="Arial"/>
                <w:color w:val="auto"/>
                <w:sz w:val="21"/>
                <w:highlight w:val="none"/>
              </w:rPr>
            </w:pPr>
          </w:p>
        </w:tc>
        <w:tc>
          <w:tcPr>
            <w:tcW w:w="1133" w:type="dxa"/>
            <w:vAlign w:val="top"/>
          </w:tcPr>
          <w:p w14:paraId="7BA5BF4D">
            <w:pPr>
              <w:rPr>
                <w:rFonts w:ascii="Arial"/>
                <w:color w:val="auto"/>
                <w:sz w:val="21"/>
                <w:highlight w:val="none"/>
              </w:rPr>
            </w:pPr>
          </w:p>
        </w:tc>
        <w:tc>
          <w:tcPr>
            <w:tcW w:w="1133" w:type="dxa"/>
            <w:vAlign w:val="top"/>
          </w:tcPr>
          <w:p w14:paraId="151326E9">
            <w:pPr>
              <w:rPr>
                <w:rFonts w:ascii="Arial"/>
                <w:color w:val="auto"/>
                <w:sz w:val="21"/>
                <w:highlight w:val="none"/>
              </w:rPr>
            </w:pPr>
          </w:p>
        </w:tc>
        <w:tc>
          <w:tcPr>
            <w:tcW w:w="1137" w:type="dxa"/>
            <w:vAlign w:val="top"/>
          </w:tcPr>
          <w:p w14:paraId="3A8C9DFD">
            <w:pPr>
              <w:rPr>
                <w:rFonts w:ascii="Arial"/>
                <w:color w:val="auto"/>
                <w:sz w:val="21"/>
                <w:highlight w:val="none"/>
              </w:rPr>
            </w:pPr>
          </w:p>
        </w:tc>
        <w:tc>
          <w:tcPr>
            <w:tcW w:w="1272" w:type="dxa"/>
            <w:vAlign w:val="top"/>
          </w:tcPr>
          <w:p w14:paraId="039AE516">
            <w:pPr>
              <w:rPr>
                <w:rFonts w:ascii="Arial"/>
                <w:color w:val="auto"/>
                <w:sz w:val="21"/>
                <w:highlight w:val="none"/>
              </w:rPr>
            </w:pPr>
          </w:p>
        </w:tc>
        <w:tc>
          <w:tcPr>
            <w:tcW w:w="1704" w:type="dxa"/>
            <w:vAlign w:val="top"/>
          </w:tcPr>
          <w:p w14:paraId="78AD583C">
            <w:pPr>
              <w:rPr>
                <w:rFonts w:ascii="Arial"/>
                <w:color w:val="auto"/>
                <w:sz w:val="21"/>
                <w:highlight w:val="none"/>
              </w:rPr>
            </w:pPr>
          </w:p>
        </w:tc>
        <w:tc>
          <w:tcPr>
            <w:tcW w:w="1282" w:type="dxa"/>
            <w:vAlign w:val="top"/>
          </w:tcPr>
          <w:p w14:paraId="64BF7EA5">
            <w:pPr>
              <w:rPr>
                <w:rFonts w:ascii="Arial"/>
                <w:color w:val="auto"/>
                <w:sz w:val="21"/>
                <w:highlight w:val="none"/>
              </w:rPr>
            </w:pPr>
          </w:p>
        </w:tc>
      </w:tr>
      <w:tr w14:paraId="037EC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5278EA2D">
            <w:pPr>
              <w:rPr>
                <w:rFonts w:ascii="Arial"/>
                <w:color w:val="auto"/>
                <w:sz w:val="21"/>
                <w:highlight w:val="none"/>
              </w:rPr>
            </w:pPr>
          </w:p>
        </w:tc>
        <w:tc>
          <w:tcPr>
            <w:tcW w:w="2482" w:type="dxa"/>
            <w:vAlign w:val="top"/>
          </w:tcPr>
          <w:p w14:paraId="75EC74B3">
            <w:pPr>
              <w:rPr>
                <w:rFonts w:ascii="Arial"/>
                <w:color w:val="auto"/>
                <w:sz w:val="21"/>
                <w:highlight w:val="none"/>
              </w:rPr>
            </w:pPr>
          </w:p>
        </w:tc>
        <w:tc>
          <w:tcPr>
            <w:tcW w:w="988" w:type="dxa"/>
            <w:vAlign w:val="top"/>
          </w:tcPr>
          <w:p w14:paraId="48777A63">
            <w:pPr>
              <w:rPr>
                <w:rFonts w:ascii="Arial"/>
                <w:color w:val="auto"/>
                <w:sz w:val="21"/>
                <w:highlight w:val="none"/>
              </w:rPr>
            </w:pPr>
          </w:p>
        </w:tc>
        <w:tc>
          <w:tcPr>
            <w:tcW w:w="1138" w:type="dxa"/>
            <w:vAlign w:val="top"/>
          </w:tcPr>
          <w:p w14:paraId="0638A946">
            <w:pPr>
              <w:rPr>
                <w:rFonts w:ascii="Arial"/>
                <w:color w:val="auto"/>
                <w:sz w:val="21"/>
                <w:highlight w:val="none"/>
              </w:rPr>
            </w:pPr>
          </w:p>
        </w:tc>
        <w:tc>
          <w:tcPr>
            <w:tcW w:w="1132" w:type="dxa"/>
            <w:vAlign w:val="top"/>
          </w:tcPr>
          <w:p w14:paraId="661A99C0">
            <w:pPr>
              <w:rPr>
                <w:rFonts w:ascii="Arial"/>
                <w:color w:val="auto"/>
                <w:sz w:val="21"/>
                <w:highlight w:val="none"/>
              </w:rPr>
            </w:pPr>
          </w:p>
        </w:tc>
        <w:tc>
          <w:tcPr>
            <w:tcW w:w="1133" w:type="dxa"/>
            <w:vAlign w:val="top"/>
          </w:tcPr>
          <w:p w14:paraId="06CD9D9F">
            <w:pPr>
              <w:rPr>
                <w:rFonts w:ascii="Arial"/>
                <w:color w:val="auto"/>
                <w:sz w:val="21"/>
                <w:highlight w:val="none"/>
              </w:rPr>
            </w:pPr>
          </w:p>
        </w:tc>
        <w:tc>
          <w:tcPr>
            <w:tcW w:w="1133" w:type="dxa"/>
            <w:vAlign w:val="top"/>
          </w:tcPr>
          <w:p w14:paraId="19B42105">
            <w:pPr>
              <w:rPr>
                <w:rFonts w:ascii="Arial"/>
                <w:color w:val="auto"/>
                <w:sz w:val="21"/>
                <w:highlight w:val="none"/>
              </w:rPr>
            </w:pPr>
          </w:p>
        </w:tc>
        <w:tc>
          <w:tcPr>
            <w:tcW w:w="1137" w:type="dxa"/>
            <w:vAlign w:val="top"/>
          </w:tcPr>
          <w:p w14:paraId="4AD14DC1">
            <w:pPr>
              <w:rPr>
                <w:rFonts w:ascii="Arial"/>
                <w:color w:val="auto"/>
                <w:sz w:val="21"/>
                <w:highlight w:val="none"/>
              </w:rPr>
            </w:pPr>
          </w:p>
        </w:tc>
        <w:tc>
          <w:tcPr>
            <w:tcW w:w="1272" w:type="dxa"/>
            <w:vAlign w:val="top"/>
          </w:tcPr>
          <w:p w14:paraId="3E7D7FC5">
            <w:pPr>
              <w:rPr>
                <w:rFonts w:ascii="Arial"/>
                <w:color w:val="auto"/>
                <w:sz w:val="21"/>
                <w:highlight w:val="none"/>
              </w:rPr>
            </w:pPr>
          </w:p>
        </w:tc>
        <w:tc>
          <w:tcPr>
            <w:tcW w:w="1704" w:type="dxa"/>
            <w:vAlign w:val="top"/>
          </w:tcPr>
          <w:p w14:paraId="43B1CBA8">
            <w:pPr>
              <w:rPr>
                <w:rFonts w:ascii="Arial"/>
                <w:color w:val="auto"/>
                <w:sz w:val="21"/>
                <w:highlight w:val="none"/>
              </w:rPr>
            </w:pPr>
          </w:p>
        </w:tc>
        <w:tc>
          <w:tcPr>
            <w:tcW w:w="1282" w:type="dxa"/>
            <w:vAlign w:val="top"/>
          </w:tcPr>
          <w:p w14:paraId="2086F621">
            <w:pPr>
              <w:rPr>
                <w:rFonts w:ascii="Arial"/>
                <w:color w:val="auto"/>
                <w:sz w:val="21"/>
                <w:highlight w:val="none"/>
              </w:rPr>
            </w:pPr>
          </w:p>
        </w:tc>
      </w:tr>
      <w:tr w14:paraId="681F6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14:paraId="5C474BB6">
            <w:pPr>
              <w:rPr>
                <w:rFonts w:ascii="Arial"/>
                <w:color w:val="auto"/>
                <w:sz w:val="21"/>
                <w:highlight w:val="none"/>
              </w:rPr>
            </w:pPr>
          </w:p>
        </w:tc>
        <w:tc>
          <w:tcPr>
            <w:tcW w:w="2482" w:type="dxa"/>
            <w:vAlign w:val="top"/>
          </w:tcPr>
          <w:p w14:paraId="72AAC84B">
            <w:pPr>
              <w:rPr>
                <w:rFonts w:ascii="Arial"/>
                <w:color w:val="auto"/>
                <w:sz w:val="21"/>
                <w:highlight w:val="none"/>
              </w:rPr>
            </w:pPr>
          </w:p>
        </w:tc>
        <w:tc>
          <w:tcPr>
            <w:tcW w:w="988" w:type="dxa"/>
            <w:vAlign w:val="top"/>
          </w:tcPr>
          <w:p w14:paraId="09F15B28">
            <w:pPr>
              <w:rPr>
                <w:rFonts w:ascii="Arial"/>
                <w:color w:val="auto"/>
                <w:sz w:val="21"/>
                <w:highlight w:val="none"/>
              </w:rPr>
            </w:pPr>
          </w:p>
        </w:tc>
        <w:tc>
          <w:tcPr>
            <w:tcW w:w="1138" w:type="dxa"/>
            <w:vAlign w:val="top"/>
          </w:tcPr>
          <w:p w14:paraId="0D9749DB">
            <w:pPr>
              <w:rPr>
                <w:rFonts w:ascii="Arial"/>
                <w:color w:val="auto"/>
                <w:sz w:val="21"/>
                <w:highlight w:val="none"/>
              </w:rPr>
            </w:pPr>
          </w:p>
        </w:tc>
        <w:tc>
          <w:tcPr>
            <w:tcW w:w="1132" w:type="dxa"/>
            <w:vAlign w:val="top"/>
          </w:tcPr>
          <w:p w14:paraId="3621824A">
            <w:pPr>
              <w:rPr>
                <w:rFonts w:ascii="Arial"/>
                <w:color w:val="auto"/>
                <w:sz w:val="21"/>
                <w:highlight w:val="none"/>
              </w:rPr>
            </w:pPr>
          </w:p>
        </w:tc>
        <w:tc>
          <w:tcPr>
            <w:tcW w:w="1133" w:type="dxa"/>
            <w:vAlign w:val="top"/>
          </w:tcPr>
          <w:p w14:paraId="2DD087DA">
            <w:pPr>
              <w:rPr>
                <w:rFonts w:ascii="Arial"/>
                <w:color w:val="auto"/>
                <w:sz w:val="21"/>
                <w:highlight w:val="none"/>
              </w:rPr>
            </w:pPr>
          </w:p>
        </w:tc>
        <w:tc>
          <w:tcPr>
            <w:tcW w:w="1133" w:type="dxa"/>
            <w:vAlign w:val="top"/>
          </w:tcPr>
          <w:p w14:paraId="195FCE02">
            <w:pPr>
              <w:rPr>
                <w:rFonts w:ascii="Arial"/>
                <w:color w:val="auto"/>
                <w:sz w:val="21"/>
                <w:highlight w:val="none"/>
              </w:rPr>
            </w:pPr>
          </w:p>
        </w:tc>
        <w:tc>
          <w:tcPr>
            <w:tcW w:w="1137" w:type="dxa"/>
            <w:vAlign w:val="top"/>
          </w:tcPr>
          <w:p w14:paraId="074B2791">
            <w:pPr>
              <w:rPr>
                <w:rFonts w:ascii="Arial"/>
                <w:color w:val="auto"/>
                <w:sz w:val="21"/>
                <w:highlight w:val="none"/>
              </w:rPr>
            </w:pPr>
          </w:p>
        </w:tc>
        <w:tc>
          <w:tcPr>
            <w:tcW w:w="1272" w:type="dxa"/>
            <w:vAlign w:val="top"/>
          </w:tcPr>
          <w:p w14:paraId="12A0D611">
            <w:pPr>
              <w:rPr>
                <w:rFonts w:ascii="Arial"/>
                <w:color w:val="auto"/>
                <w:sz w:val="21"/>
                <w:highlight w:val="none"/>
              </w:rPr>
            </w:pPr>
          </w:p>
        </w:tc>
        <w:tc>
          <w:tcPr>
            <w:tcW w:w="1704" w:type="dxa"/>
            <w:vAlign w:val="top"/>
          </w:tcPr>
          <w:p w14:paraId="17210ABE">
            <w:pPr>
              <w:rPr>
                <w:rFonts w:ascii="Arial"/>
                <w:color w:val="auto"/>
                <w:sz w:val="21"/>
                <w:highlight w:val="none"/>
              </w:rPr>
            </w:pPr>
          </w:p>
        </w:tc>
        <w:tc>
          <w:tcPr>
            <w:tcW w:w="1282" w:type="dxa"/>
            <w:vAlign w:val="top"/>
          </w:tcPr>
          <w:p w14:paraId="13AF8B8C">
            <w:pPr>
              <w:rPr>
                <w:rFonts w:ascii="Arial"/>
                <w:color w:val="auto"/>
                <w:sz w:val="21"/>
                <w:highlight w:val="none"/>
              </w:rPr>
            </w:pPr>
          </w:p>
        </w:tc>
      </w:tr>
      <w:tr w14:paraId="24173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14:paraId="703FE215">
            <w:pPr>
              <w:rPr>
                <w:rFonts w:ascii="Arial"/>
                <w:color w:val="auto"/>
                <w:sz w:val="21"/>
                <w:highlight w:val="none"/>
              </w:rPr>
            </w:pPr>
          </w:p>
        </w:tc>
        <w:tc>
          <w:tcPr>
            <w:tcW w:w="2482" w:type="dxa"/>
            <w:vAlign w:val="top"/>
          </w:tcPr>
          <w:p w14:paraId="6D22707F">
            <w:pPr>
              <w:rPr>
                <w:rFonts w:ascii="Arial"/>
                <w:color w:val="auto"/>
                <w:sz w:val="21"/>
                <w:highlight w:val="none"/>
              </w:rPr>
            </w:pPr>
          </w:p>
        </w:tc>
        <w:tc>
          <w:tcPr>
            <w:tcW w:w="988" w:type="dxa"/>
            <w:vAlign w:val="top"/>
          </w:tcPr>
          <w:p w14:paraId="760B65A6">
            <w:pPr>
              <w:rPr>
                <w:rFonts w:ascii="Arial"/>
                <w:color w:val="auto"/>
                <w:sz w:val="21"/>
                <w:highlight w:val="none"/>
              </w:rPr>
            </w:pPr>
          </w:p>
        </w:tc>
        <w:tc>
          <w:tcPr>
            <w:tcW w:w="1138" w:type="dxa"/>
            <w:vAlign w:val="top"/>
          </w:tcPr>
          <w:p w14:paraId="31CB4C93">
            <w:pPr>
              <w:rPr>
                <w:rFonts w:ascii="Arial"/>
                <w:color w:val="auto"/>
                <w:sz w:val="21"/>
                <w:highlight w:val="none"/>
              </w:rPr>
            </w:pPr>
          </w:p>
        </w:tc>
        <w:tc>
          <w:tcPr>
            <w:tcW w:w="1132" w:type="dxa"/>
            <w:vAlign w:val="top"/>
          </w:tcPr>
          <w:p w14:paraId="09759238">
            <w:pPr>
              <w:rPr>
                <w:rFonts w:ascii="Arial"/>
                <w:color w:val="auto"/>
                <w:sz w:val="21"/>
                <w:highlight w:val="none"/>
              </w:rPr>
            </w:pPr>
          </w:p>
        </w:tc>
        <w:tc>
          <w:tcPr>
            <w:tcW w:w="1133" w:type="dxa"/>
            <w:vAlign w:val="top"/>
          </w:tcPr>
          <w:p w14:paraId="111B36FD">
            <w:pPr>
              <w:rPr>
                <w:rFonts w:ascii="Arial"/>
                <w:color w:val="auto"/>
                <w:sz w:val="21"/>
                <w:highlight w:val="none"/>
              </w:rPr>
            </w:pPr>
          </w:p>
        </w:tc>
        <w:tc>
          <w:tcPr>
            <w:tcW w:w="1133" w:type="dxa"/>
            <w:vAlign w:val="top"/>
          </w:tcPr>
          <w:p w14:paraId="7E4F31AB">
            <w:pPr>
              <w:rPr>
                <w:rFonts w:ascii="Arial"/>
                <w:color w:val="auto"/>
                <w:sz w:val="21"/>
                <w:highlight w:val="none"/>
              </w:rPr>
            </w:pPr>
          </w:p>
        </w:tc>
        <w:tc>
          <w:tcPr>
            <w:tcW w:w="1137" w:type="dxa"/>
            <w:vAlign w:val="top"/>
          </w:tcPr>
          <w:p w14:paraId="32896FCE">
            <w:pPr>
              <w:rPr>
                <w:rFonts w:ascii="Arial"/>
                <w:color w:val="auto"/>
                <w:sz w:val="21"/>
                <w:highlight w:val="none"/>
              </w:rPr>
            </w:pPr>
          </w:p>
        </w:tc>
        <w:tc>
          <w:tcPr>
            <w:tcW w:w="1272" w:type="dxa"/>
            <w:vAlign w:val="top"/>
          </w:tcPr>
          <w:p w14:paraId="5A2A9E35">
            <w:pPr>
              <w:rPr>
                <w:rFonts w:ascii="Arial"/>
                <w:color w:val="auto"/>
                <w:sz w:val="21"/>
                <w:highlight w:val="none"/>
              </w:rPr>
            </w:pPr>
          </w:p>
        </w:tc>
        <w:tc>
          <w:tcPr>
            <w:tcW w:w="1704" w:type="dxa"/>
            <w:vAlign w:val="top"/>
          </w:tcPr>
          <w:p w14:paraId="6E7FDB40">
            <w:pPr>
              <w:rPr>
                <w:rFonts w:ascii="Arial"/>
                <w:color w:val="auto"/>
                <w:sz w:val="21"/>
                <w:highlight w:val="none"/>
              </w:rPr>
            </w:pPr>
          </w:p>
        </w:tc>
        <w:tc>
          <w:tcPr>
            <w:tcW w:w="1282" w:type="dxa"/>
            <w:vAlign w:val="top"/>
          </w:tcPr>
          <w:p w14:paraId="7005CF1D">
            <w:pPr>
              <w:rPr>
                <w:rFonts w:ascii="Arial"/>
                <w:color w:val="auto"/>
                <w:sz w:val="21"/>
                <w:highlight w:val="none"/>
              </w:rPr>
            </w:pPr>
          </w:p>
        </w:tc>
      </w:tr>
      <w:tr w14:paraId="05C4B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14:paraId="0DADF91C">
            <w:pPr>
              <w:rPr>
                <w:rFonts w:ascii="Arial"/>
                <w:color w:val="auto"/>
                <w:sz w:val="21"/>
                <w:highlight w:val="none"/>
              </w:rPr>
            </w:pPr>
          </w:p>
        </w:tc>
        <w:tc>
          <w:tcPr>
            <w:tcW w:w="2482" w:type="dxa"/>
            <w:tcBorders>
              <w:bottom w:val="single" w:color="000000" w:sz="4" w:space="0"/>
            </w:tcBorders>
            <w:vAlign w:val="top"/>
          </w:tcPr>
          <w:p w14:paraId="5853EF9B">
            <w:pPr>
              <w:rPr>
                <w:rFonts w:ascii="Arial"/>
                <w:color w:val="auto"/>
                <w:sz w:val="21"/>
                <w:highlight w:val="none"/>
              </w:rPr>
            </w:pPr>
          </w:p>
        </w:tc>
        <w:tc>
          <w:tcPr>
            <w:tcW w:w="988" w:type="dxa"/>
            <w:tcBorders>
              <w:bottom w:val="single" w:color="000000" w:sz="4" w:space="0"/>
            </w:tcBorders>
            <w:vAlign w:val="top"/>
          </w:tcPr>
          <w:p w14:paraId="0CBC9E10">
            <w:pPr>
              <w:rPr>
                <w:rFonts w:ascii="Arial"/>
                <w:color w:val="auto"/>
                <w:sz w:val="21"/>
                <w:highlight w:val="none"/>
              </w:rPr>
            </w:pPr>
          </w:p>
        </w:tc>
        <w:tc>
          <w:tcPr>
            <w:tcW w:w="1138" w:type="dxa"/>
            <w:tcBorders>
              <w:bottom w:val="single" w:color="000000" w:sz="4" w:space="0"/>
            </w:tcBorders>
            <w:vAlign w:val="top"/>
          </w:tcPr>
          <w:p w14:paraId="33E3B45B">
            <w:pPr>
              <w:rPr>
                <w:rFonts w:ascii="Arial"/>
                <w:color w:val="auto"/>
                <w:sz w:val="21"/>
                <w:highlight w:val="none"/>
              </w:rPr>
            </w:pPr>
          </w:p>
        </w:tc>
        <w:tc>
          <w:tcPr>
            <w:tcW w:w="1132" w:type="dxa"/>
            <w:tcBorders>
              <w:bottom w:val="single" w:color="000000" w:sz="4" w:space="0"/>
            </w:tcBorders>
            <w:vAlign w:val="top"/>
          </w:tcPr>
          <w:p w14:paraId="74D00255">
            <w:pPr>
              <w:rPr>
                <w:rFonts w:ascii="Arial"/>
                <w:color w:val="auto"/>
                <w:sz w:val="21"/>
                <w:highlight w:val="none"/>
              </w:rPr>
            </w:pPr>
          </w:p>
        </w:tc>
        <w:tc>
          <w:tcPr>
            <w:tcW w:w="1133" w:type="dxa"/>
            <w:tcBorders>
              <w:bottom w:val="single" w:color="000000" w:sz="4" w:space="0"/>
            </w:tcBorders>
            <w:vAlign w:val="top"/>
          </w:tcPr>
          <w:p w14:paraId="60E86463">
            <w:pPr>
              <w:rPr>
                <w:rFonts w:ascii="Arial"/>
                <w:color w:val="auto"/>
                <w:sz w:val="21"/>
                <w:highlight w:val="none"/>
              </w:rPr>
            </w:pPr>
          </w:p>
        </w:tc>
        <w:tc>
          <w:tcPr>
            <w:tcW w:w="1133" w:type="dxa"/>
            <w:tcBorders>
              <w:bottom w:val="single" w:color="000000" w:sz="4" w:space="0"/>
            </w:tcBorders>
            <w:vAlign w:val="top"/>
          </w:tcPr>
          <w:p w14:paraId="5FE0FBDD">
            <w:pPr>
              <w:rPr>
                <w:rFonts w:ascii="Arial"/>
                <w:color w:val="auto"/>
                <w:sz w:val="21"/>
                <w:highlight w:val="none"/>
              </w:rPr>
            </w:pPr>
          </w:p>
        </w:tc>
        <w:tc>
          <w:tcPr>
            <w:tcW w:w="1137" w:type="dxa"/>
            <w:tcBorders>
              <w:bottom w:val="single" w:color="000000" w:sz="4" w:space="0"/>
            </w:tcBorders>
            <w:vAlign w:val="top"/>
          </w:tcPr>
          <w:p w14:paraId="70B03E36">
            <w:pPr>
              <w:rPr>
                <w:rFonts w:ascii="Arial"/>
                <w:color w:val="auto"/>
                <w:sz w:val="21"/>
                <w:highlight w:val="none"/>
              </w:rPr>
            </w:pPr>
          </w:p>
        </w:tc>
        <w:tc>
          <w:tcPr>
            <w:tcW w:w="1272" w:type="dxa"/>
            <w:tcBorders>
              <w:bottom w:val="single" w:color="000000" w:sz="4" w:space="0"/>
            </w:tcBorders>
            <w:vAlign w:val="top"/>
          </w:tcPr>
          <w:p w14:paraId="24DD2FFC">
            <w:pPr>
              <w:rPr>
                <w:rFonts w:ascii="Arial"/>
                <w:color w:val="auto"/>
                <w:sz w:val="21"/>
                <w:highlight w:val="none"/>
              </w:rPr>
            </w:pPr>
          </w:p>
        </w:tc>
        <w:tc>
          <w:tcPr>
            <w:tcW w:w="1704" w:type="dxa"/>
            <w:tcBorders>
              <w:bottom w:val="single" w:color="000000" w:sz="4" w:space="0"/>
            </w:tcBorders>
            <w:vAlign w:val="top"/>
          </w:tcPr>
          <w:p w14:paraId="6904EDA1">
            <w:pPr>
              <w:rPr>
                <w:rFonts w:ascii="Arial"/>
                <w:color w:val="auto"/>
                <w:sz w:val="21"/>
                <w:highlight w:val="none"/>
              </w:rPr>
            </w:pPr>
          </w:p>
        </w:tc>
        <w:tc>
          <w:tcPr>
            <w:tcW w:w="1282" w:type="dxa"/>
            <w:tcBorders>
              <w:bottom w:val="single" w:color="000000" w:sz="4" w:space="0"/>
            </w:tcBorders>
            <w:vAlign w:val="top"/>
          </w:tcPr>
          <w:p w14:paraId="0291F290">
            <w:pPr>
              <w:rPr>
                <w:rFonts w:ascii="Arial"/>
                <w:color w:val="auto"/>
                <w:sz w:val="21"/>
                <w:highlight w:val="none"/>
              </w:rPr>
            </w:pPr>
          </w:p>
        </w:tc>
      </w:tr>
      <w:tr w14:paraId="192AF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14:paraId="3413088F">
            <w:pPr>
              <w:rPr>
                <w:rFonts w:ascii="Arial"/>
                <w:color w:val="auto"/>
                <w:sz w:val="21"/>
                <w:highlight w:val="none"/>
              </w:rPr>
            </w:pPr>
          </w:p>
        </w:tc>
        <w:tc>
          <w:tcPr>
            <w:tcW w:w="2482" w:type="dxa"/>
            <w:tcBorders>
              <w:top w:val="single" w:color="000000" w:sz="4" w:space="0"/>
            </w:tcBorders>
            <w:vAlign w:val="top"/>
          </w:tcPr>
          <w:p w14:paraId="49A2773C">
            <w:pPr>
              <w:rPr>
                <w:rFonts w:ascii="Arial"/>
                <w:color w:val="auto"/>
                <w:sz w:val="21"/>
                <w:highlight w:val="none"/>
              </w:rPr>
            </w:pPr>
          </w:p>
        </w:tc>
        <w:tc>
          <w:tcPr>
            <w:tcW w:w="988" w:type="dxa"/>
            <w:tcBorders>
              <w:top w:val="single" w:color="000000" w:sz="4" w:space="0"/>
            </w:tcBorders>
            <w:vAlign w:val="top"/>
          </w:tcPr>
          <w:p w14:paraId="400A6D5B">
            <w:pPr>
              <w:rPr>
                <w:rFonts w:ascii="Arial"/>
                <w:color w:val="auto"/>
                <w:sz w:val="21"/>
                <w:highlight w:val="none"/>
              </w:rPr>
            </w:pPr>
          </w:p>
        </w:tc>
        <w:tc>
          <w:tcPr>
            <w:tcW w:w="1138" w:type="dxa"/>
            <w:tcBorders>
              <w:top w:val="single" w:color="000000" w:sz="4" w:space="0"/>
            </w:tcBorders>
            <w:vAlign w:val="top"/>
          </w:tcPr>
          <w:p w14:paraId="031A7C77">
            <w:pPr>
              <w:rPr>
                <w:rFonts w:ascii="Arial"/>
                <w:color w:val="auto"/>
                <w:sz w:val="21"/>
                <w:highlight w:val="none"/>
              </w:rPr>
            </w:pPr>
          </w:p>
        </w:tc>
        <w:tc>
          <w:tcPr>
            <w:tcW w:w="1132" w:type="dxa"/>
            <w:tcBorders>
              <w:top w:val="single" w:color="000000" w:sz="4" w:space="0"/>
            </w:tcBorders>
            <w:vAlign w:val="top"/>
          </w:tcPr>
          <w:p w14:paraId="42D47B10">
            <w:pPr>
              <w:rPr>
                <w:rFonts w:ascii="Arial"/>
                <w:color w:val="auto"/>
                <w:sz w:val="21"/>
                <w:highlight w:val="none"/>
              </w:rPr>
            </w:pPr>
          </w:p>
        </w:tc>
        <w:tc>
          <w:tcPr>
            <w:tcW w:w="1133" w:type="dxa"/>
            <w:tcBorders>
              <w:top w:val="single" w:color="000000" w:sz="4" w:space="0"/>
            </w:tcBorders>
            <w:vAlign w:val="top"/>
          </w:tcPr>
          <w:p w14:paraId="6A6E2203">
            <w:pPr>
              <w:rPr>
                <w:rFonts w:ascii="Arial"/>
                <w:color w:val="auto"/>
                <w:sz w:val="21"/>
                <w:highlight w:val="none"/>
              </w:rPr>
            </w:pPr>
          </w:p>
        </w:tc>
        <w:tc>
          <w:tcPr>
            <w:tcW w:w="1133" w:type="dxa"/>
            <w:tcBorders>
              <w:top w:val="single" w:color="000000" w:sz="4" w:space="0"/>
            </w:tcBorders>
            <w:vAlign w:val="top"/>
          </w:tcPr>
          <w:p w14:paraId="2D7C041E">
            <w:pPr>
              <w:rPr>
                <w:rFonts w:ascii="Arial"/>
                <w:color w:val="auto"/>
                <w:sz w:val="21"/>
                <w:highlight w:val="none"/>
              </w:rPr>
            </w:pPr>
          </w:p>
        </w:tc>
        <w:tc>
          <w:tcPr>
            <w:tcW w:w="1137" w:type="dxa"/>
            <w:tcBorders>
              <w:top w:val="single" w:color="000000" w:sz="4" w:space="0"/>
            </w:tcBorders>
            <w:vAlign w:val="top"/>
          </w:tcPr>
          <w:p w14:paraId="1E9B9B76">
            <w:pPr>
              <w:rPr>
                <w:rFonts w:ascii="Arial"/>
                <w:color w:val="auto"/>
                <w:sz w:val="21"/>
                <w:highlight w:val="none"/>
              </w:rPr>
            </w:pPr>
          </w:p>
        </w:tc>
        <w:tc>
          <w:tcPr>
            <w:tcW w:w="1272" w:type="dxa"/>
            <w:tcBorders>
              <w:top w:val="single" w:color="000000" w:sz="4" w:space="0"/>
            </w:tcBorders>
            <w:vAlign w:val="top"/>
          </w:tcPr>
          <w:p w14:paraId="5BE457FD">
            <w:pPr>
              <w:rPr>
                <w:rFonts w:ascii="Arial"/>
                <w:color w:val="auto"/>
                <w:sz w:val="21"/>
                <w:highlight w:val="none"/>
              </w:rPr>
            </w:pPr>
          </w:p>
        </w:tc>
        <w:tc>
          <w:tcPr>
            <w:tcW w:w="1704" w:type="dxa"/>
            <w:tcBorders>
              <w:top w:val="single" w:color="000000" w:sz="4" w:space="0"/>
            </w:tcBorders>
            <w:vAlign w:val="top"/>
          </w:tcPr>
          <w:p w14:paraId="71E20974">
            <w:pPr>
              <w:rPr>
                <w:rFonts w:ascii="Arial"/>
                <w:color w:val="auto"/>
                <w:sz w:val="21"/>
                <w:highlight w:val="none"/>
              </w:rPr>
            </w:pPr>
          </w:p>
        </w:tc>
        <w:tc>
          <w:tcPr>
            <w:tcW w:w="1282" w:type="dxa"/>
            <w:tcBorders>
              <w:top w:val="single" w:color="000000" w:sz="4" w:space="0"/>
            </w:tcBorders>
            <w:vAlign w:val="top"/>
          </w:tcPr>
          <w:p w14:paraId="6AAEB61D">
            <w:pPr>
              <w:rPr>
                <w:rFonts w:ascii="Arial"/>
                <w:color w:val="auto"/>
                <w:sz w:val="21"/>
                <w:highlight w:val="none"/>
              </w:rPr>
            </w:pPr>
          </w:p>
        </w:tc>
      </w:tr>
      <w:tr w14:paraId="21945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0B63C843">
            <w:pPr>
              <w:rPr>
                <w:rFonts w:ascii="Arial"/>
                <w:color w:val="auto"/>
                <w:sz w:val="21"/>
                <w:highlight w:val="none"/>
              </w:rPr>
            </w:pPr>
          </w:p>
        </w:tc>
        <w:tc>
          <w:tcPr>
            <w:tcW w:w="2482" w:type="dxa"/>
            <w:vAlign w:val="top"/>
          </w:tcPr>
          <w:p w14:paraId="702E99E3">
            <w:pPr>
              <w:rPr>
                <w:rFonts w:ascii="Arial"/>
                <w:color w:val="auto"/>
                <w:sz w:val="21"/>
                <w:highlight w:val="none"/>
              </w:rPr>
            </w:pPr>
          </w:p>
        </w:tc>
        <w:tc>
          <w:tcPr>
            <w:tcW w:w="988" w:type="dxa"/>
            <w:vAlign w:val="top"/>
          </w:tcPr>
          <w:p w14:paraId="777BEC70">
            <w:pPr>
              <w:rPr>
                <w:rFonts w:ascii="Arial"/>
                <w:color w:val="auto"/>
                <w:sz w:val="21"/>
                <w:highlight w:val="none"/>
              </w:rPr>
            </w:pPr>
          </w:p>
        </w:tc>
        <w:tc>
          <w:tcPr>
            <w:tcW w:w="1138" w:type="dxa"/>
            <w:vAlign w:val="top"/>
          </w:tcPr>
          <w:p w14:paraId="43437ACE">
            <w:pPr>
              <w:rPr>
                <w:rFonts w:ascii="Arial"/>
                <w:color w:val="auto"/>
                <w:sz w:val="21"/>
                <w:highlight w:val="none"/>
              </w:rPr>
            </w:pPr>
          </w:p>
        </w:tc>
        <w:tc>
          <w:tcPr>
            <w:tcW w:w="1132" w:type="dxa"/>
            <w:vAlign w:val="top"/>
          </w:tcPr>
          <w:p w14:paraId="1F8DC7A8">
            <w:pPr>
              <w:rPr>
                <w:rFonts w:ascii="Arial"/>
                <w:color w:val="auto"/>
                <w:sz w:val="21"/>
                <w:highlight w:val="none"/>
              </w:rPr>
            </w:pPr>
          </w:p>
        </w:tc>
        <w:tc>
          <w:tcPr>
            <w:tcW w:w="1133" w:type="dxa"/>
            <w:vAlign w:val="top"/>
          </w:tcPr>
          <w:p w14:paraId="41D0AB18">
            <w:pPr>
              <w:rPr>
                <w:rFonts w:ascii="Arial"/>
                <w:color w:val="auto"/>
                <w:sz w:val="21"/>
                <w:highlight w:val="none"/>
              </w:rPr>
            </w:pPr>
          </w:p>
        </w:tc>
        <w:tc>
          <w:tcPr>
            <w:tcW w:w="1133" w:type="dxa"/>
            <w:vAlign w:val="top"/>
          </w:tcPr>
          <w:p w14:paraId="1492E300">
            <w:pPr>
              <w:rPr>
                <w:rFonts w:ascii="Arial"/>
                <w:color w:val="auto"/>
                <w:sz w:val="21"/>
                <w:highlight w:val="none"/>
              </w:rPr>
            </w:pPr>
          </w:p>
        </w:tc>
        <w:tc>
          <w:tcPr>
            <w:tcW w:w="1137" w:type="dxa"/>
            <w:vAlign w:val="top"/>
          </w:tcPr>
          <w:p w14:paraId="77289BF0">
            <w:pPr>
              <w:rPr>
                <w:rFonts w:ascii="Arial"/>
                <w:color w:val="auto"/>
                <w:sz w:val="21"/>
                <w:highlight w:val="none"/>
              </w:rPr>
            </w:pPr>
          </w:p>
        </w:tc>
        <w:tc>
          <w:tcPr>
            <w:tcW w:w="1272" w:type="dxa"/>
            <w:vAlign w:val="top"/>
          </w:tcPr>
          <w:p w14:paraId="4AED7CA8">
            <w:pPr>
              <w:rPr>
                <w:rFonts w:ascii="Arial"/>
                <w:color w:val="auto"/>
                <w:sz w:val="21"/>
                <w:highlight w:val="none"/>
              </w:rPr>
            </w:pPr>
          </w:p>
        </w:tc>
        <w:tc>
          <w:tcPr>
            <w:tcW w:w="1704" w:type="dxa"/>
            <w:vAlign w:val="top"/>
          </w:tcPr>
          <w:p w14:paraId="329AF43C">
            <w:pPr>
              <w:rPr>
                <w:rFonts w:ascii="Arial"/>
                <w:color w:val="auto"/>
                <w:sz w:val="21"/>
                <w:highlight w:val="none"/>
              </w:rPr>
            </w:pPr>
          </w:p>
        </w:tc>
        <w:tc>
          <w:tcPr>
            <w:tcW w:w="1282" w:type="dxa"/>
            <w:vAlign w:val="top"/>
          </w:tcPr>
          <w:p w14:paraId="7F21DED2">
            <w:pPr>
              <w:rPr>
                <w:rFonts w:ascii="Arial"/>
                <w:color w:val="auto"/>
                <w:sz w:val="21"/>
                <w:highlight w:val="none"/>
              </w:rPr>
            </w:pPr>
          </w:p>
        </w:tc>
      </w:tr>
      <w:tr w14:paraId="749EA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14:paraId="147DE65D">
            <w:pPr>
              <w:rPr>
                <w:rFonts w:ascii="Arial"/>
                <w:color w:val="auto"/>
                <w:sz w:val="21"/>
                <w:highlight w:val="none"/>
              </w:rPr>
            </w:pPr>
          </w:p>
        </w:tc>
        <w:tc>
          <w:tcPr>
            <w:tcW w:w="2482" w:type="dxa"/>
            <w:vAlign w:val="top"/>
          </w:tcPr>
          <w:p w14:paraId="2DC4F866">
            <w:pPr>
              <w:rPr>
                <w:rFonts w:ascii="Arial"/>
                <w:color w:val="auto"/>
                <w:sz w:val="21"/>
                <w:highlight w:val="none"/>
              </w:rPr>
            </w:pPr>
          </w:p>
        </w:tc>
        <w:tc>
          <w:tcPr>
            <w:tcW w:w="988" w:type="dxa"/>
            <w:vAlign w:val="top"/>
          </w:tcPr>
          <w:p w14:paraId="65E3B1B4">
            <w:pPr>
              <w:rPr>
                <w:rFonts w:ascii="Arial"/>
                <w:color w:val="auto"/>
                <w:sz w:val="21"/>
                <w:highlight w:val="none"/>
              </w:rPr>
            </w:pPr>
          </w:p>
        </w:tc>
        <w:tc>
          <w:tcPr>
            <w:tcW w:w="1138" w:type="dxa"/>
            <w:vAlign w:val="top"/>
          </w:tcPr>
          <w:p w14:paraId="4C82AF5A">
            <w:pPr>
              <w:rPr>
                <w:rFonts w:ascii="Arial"/>
                <w:color w:val="auto"/>
                <w:sz w:val="21"/>
                <w:highlight w:val="none"/>
              </w:rPr>
            </w:pPr>
          </w:p>
        </w:tc>
        <w:tc>
          <w:tcPr>
            <w:tcW w:w="1132" w:type="dxa"/>
            <w:vAlign w:val="top"/>
          </w:tcPr>
          <w:p w14:paraId="4A880856">
            <w:pPr>
              <w:rPr>
                <w:rFonts w:ascii="Arial"/>
                <w:color w:val="auto"/>
                <w:sz w:val="21"/>
                <w:highlight w:val="none"/>
              </w:rPr>
            </w:pPr>
          </w:p>
        </w:tc>
        <w:tc>
          <w:tcPr>
            <w:tcW w:w="1133" w:type="dxa"/>
            <w:vAlign w:val="top"/>
          </w:tcPr>
          <w:p w14:paraId="075CD3E2">
            <w:pPr>
              <w:rPr>
                <w:rFonts w:ascii="Arial"/>
                <w:color w:val="auto"/>
                <w:sz w:val="21"/>
                <w:highlight w:val="none"/>
              </w:rPr>
            </w:pPr>
          </w:p>
        </w:tc>
        <w:tc>
          <w:tcPr>
            <w:tcW w:w="1133" w:type="dxa"/>
            <w:vAlign w:val="top"/>
          </w:tcPr>
          <w:p w14:paraId="56C52835">
            <w:pPr>
              <w:rPr>
                <w:rFonts w:ascii="Arial"/>
                <w:color w:val="auto"/>
                <w:sz w:val="21"/>
                <w:highlight w:val="none"/>
              </w:rPr>
            </w:pPr>
          </w:p>
        </w:tc>
        <w:tc>
          <w:tcPr>
            <w:tcW w:w="1137" w:type="dxa"/>
            <w:vAlign w:val="top"/>
          </w:tcPr>
          <w:p w14:paraId="0C1E86D1">
            <w:pPr>
              <w:rPr>
                <w:rFonts w:ascii="Arial"/>
                <w:color w:val="auto"/>
                <w:sz w:val="21"/>
                <w:highlight w:val="none"/>
              </w:rPr>
            </w:pPr>
          </w:p>
        </w:tc>
        <w:tc>
          <w:tcPr>
            <w:tcW w:w="1272" w:type="dxa"/>
            <w:vAlign w:val="top"/>
          </w:tcPr>
          <w:p w14:paraId="4F21858B">
            <w:pPr>
              <w:rPr>
                <w:rFonts w:ascii="Arial"/>
                <w:color w:val="auto"/>
                <w:sz w:val="21"/>
                <w:highlight w:val="none"/>
              </w:rPr>
            </w:pPr>
          </w:p>
        </w:tc>
        <w:tc>
          <w:tcPr>
            <w:tcW w:w="1704" w:type="dxa"/>
            <w:vAlign w:val="top"/>
          </w:tcPr>
          <w:p w14:paraId="44E9C595">
            <w:pPr>
              <w:rPr>
                <w:rFonts w:ascii="Arial"/>
                <w:color w:val="auto"/>
                <w:sz w:val="21"/>
                <w:highlight w:val="none"/>
              </w:rPr>
            </w:pPr>
          </w:p>
        </w:tc>
        <w:tc>
          <w:tcPr>
            <w:tcW w:w="1282" w:type="dxa"/>
            <w:vAlign w:val="top"/>
          </w:tcPr>
          <w:p w14:paraId="7A76E22F">
            <w:pPr>
              <w:rPr>
                <w:rFonts w:ascii="Arial"/>
                <w:color w:val="auto"/>
                <w:sz w:val="21"/>
                <w:highlight w:val="none"/>
              </w:rPr>
            </w:pPr>
          </w:p>
        </w:tc>
      </w:tr>
      <w:tr w14:paraId="19805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14:paraId="0A904181">
            <w:pPr>
              <w:pStyle w:val="11"/>
              <w:spacing w:before="159" w:line="219" w:lineRule="auto"/>
              <w:ind w:left="639"/>
              <w:rPr>
                <w:color w:val="auto"/>
                <w:highlight w:val="none"/>
              </w:rPr>
            </w:pPr>
            <w:r>
              <w:rPr>
                <w:color w:val="auto"/>
                <w:spacing w:val="-2"/>
                <w:highlight w:val="none"/>
              </w:rPr>
              <w:t>最高投标限价（元）</w:t>
            </w:r>
          </w:p>
        </w:tc>
        <w:tc>
          <w:tcPr>
            <w:tcW w:w="10919" w:type="dxa"/>
            <w:gridSpan w:val="9"/>
            <w:vAlign w:val="top"/>
          </w:tcPr>
          <w:p w14:paraId="4BAC59DC">
            <w:pPr>
              <w:rPr>
                <w:rFonts w:ascii="Arial"/>
                <w:color w:val="auto"/>
                <w:sz w:val="21"/>
                <w:highlight w:val="none"/>
              </w:rPr>
            </w:pPr>
          </w:p>
        </w:tc>
      </w:tr>
      <w:tr w14:paraId="3E13D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14:paraId="4D2C21F2">
            <w:pPr>
              <w:pStyle w:val="11"/>
              <w:spacing w:before="160" w:line="221" w:lineRule="auto"/>
              <w:ind w:left="320"/>
              <w:rPr>
                <w:color w:val="auto"/>
                <w:highlight w:val="none"/>
              </w:rPr>
            </w:pPr>
            <w:r>
              <w:rPr>
                <w:color w:val="auto"/>
                <w:spacing w:val="-1"/>
                <w:highlight w:val="none"/>
              </w:rPr>
              <w:t>开标过程需记录的其他事项</w:t>
            </w:r>
          </w:p>
        </w:tc>
        <w:tc>
          <w:tcPr>
            <w:tcW w:w="10919" w:type="dxa"/>
            <w:gridSpan w:val="9"/>
            <w:vAlign w:val="top"/>
          </w:tcPr>
          <w:p w14:paraId="323AD038">
            <w:pPr>
              <w:rPr>
                <w:rFonts w:ascii="Arial"/>
                <w:color w:val="auto"/>
                <w:sz w:val="21"/>
                <w:highlight w:val="none"/>
              </w:rPr>
            </w:pPr>
          </w:p>
        </w:tc>
      </w:tr>
    </w:tbl>
    <w:p w14:paraId="7FF3DDD8">
      <w:pPr>
        <w:spacing w:before="140" w:line="221" w:lineRule="auto"/>
        <w:ind w:left="736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主持人：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 xml:space="preserve">招标人代表：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6"/>
          <w:sz w:val="21"/>
          <w:szCs w:val="21"/>
          <w:highlight w:val="none"/>
        </w:rPr>
        <w:t>监标</w:t>
      </w:r>
      <w:r>
        <w:rPr>
          <w:rFonts w:ascii="宋体" w:hAnsi="宋体" w:eastAsia="宋体" w:cs="宋体"/>
          <w:color w:val="auto"/>
          <w:spacing w:val="-7"/>
          <w:sz w:val="21"/>
          <w:szCs w:val="21"/>
          <w:highlight w:val="none"/>
        </w:rPr>
        <w:t>人：</w:t>
      </w:r>
      <w:r>
        <w:rPr>
          <w:rFonts w:ascii="宋体" w:hAnsi="宋体" w:eastAsia="宋体" w:cs="宋体"/>
          <w:color w:val="auto"/>
          <w:spacing w:val="-7"/>
          <w:sz w:val="21"/>
          <w:szCs w:val="21"/>
          <w:highlight w:val="none"/>
          <w:u w:val="single" w:color="auto"/>
        </w:rPr>
        <w:t xml:space="preserve">                 </w:t>
      </w:r>
    </w:p>
    <w:p w14:paraId="36EE425F">
      <w:pPr>
        <w:spacing w:line="221" w:lineRule="auto"/>
        <w:rPr>
          <w:rFonts w:ascii="宋体" w:hAnsi="宋体" w:eastAsia="宋体" w:cs="宋体"/>
          <w:color w:val="auto"/>
          <w:sz w:val="21"/>
          <w:szCs w:val="21"/>
          <w:highlight w:val="none"/>
        </w:rPr>
        <w:sectPr>
          <w:footerReference r:id="rId36" w:type="default"/>
          <w:pgSz w:w="16839" w:h="11905"/>
          <w:pgMar w:top="1011" w:right="1320" w:bottom="1034" w:left="1440" w:header="0" w:footer="832" w:gutter="0"/>
          <w:pgNumType w:fmt="decimal"/>
          <w:cols w:space="720" w:num="1"/>
        </w:sectPr>
      </w:pPr>
    </w:p>
    <w:p w14:paraId="21D104F9">
      <w:pPr>
        <w:spacing w:before="306" w:line="219"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附表六：投标文件问题澄清通知</w:t>
      </w:r>
    </w:p>
    <w:p w14:paraId="7AD69857">
      <w:pPr>
        <w:pStyle w:val="3"/>
        <w:spacing w:line="315" w:lineRule="auto"/>
        <w:rPr>
          <w:color w:val="auto"/>
          <w:highlight w:val="none"/>
        </w:rPr>
      </w:pPr>
    </w:p>
    <w:p w14:paraId="6F32E223">
      <w:pPr>
        <w:pStyle w:val="3"/>
        <w:spacing w:line="316" w:lineRule="auto"/>
        <w:rPr>
          <w:color w:val="auto"/>
          <w:highlight w:val="none"/>
        </w:rPr>
      </w:pPr>
    </w:p>
    <w:p w14:paraId="06118423">
      <w:pPr>
        <w:pStyle w:val="3"/>
        <w:spacing w:line="316" w:lineRule="auto"/>
        <w:rPr>
          <w:color w:val="auto"/>
          <w:highlight w:val="none"/>
        </w:rPr>
      </w:pPr>
    </w:p>
    <w:p w14:paraId="7261CC7B">
      <w:pPr>
        <w:spacing w:before="88" w:line="225" w:lineRule="auto"/>
        <w:ind w:left="2775"/>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投标文件问题澄清通知</w:t>
      </w:r>
    </w:p>
    <w:p w14:paraId="0533D2CF">
      <w:pPr>
        <w:pStyle w:val="3"/>
        <w:spacing w:line="297" w:lineRule="auto"/>
        <w:rPr>
          <w:color w:val="auto"/>
          <w:highlight w:val="none"/>
        </w:rPr>
      </w:pPr>
    </w:p>
    <w:p w14:paraId="16A57D4E">
      <w:pPr>
        <w:spacing w:before="68" w:line="221" w:lineRule="auto"/>
        <w:ind w:left="537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4F352B8F">
      <w:pPr>
        <w:tabs>
          <w:tab w:val="left" w:pos="1901"/>
        </w:tabs>
        <w:spacing w:before="215"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5"/>
          <w:sz w:val="21"/>
          <w:szCs w:val="21"/>
          <w:highlight w:val="none"/>
        </w:rPr>
        <w:t xml:space="preserve"> </w:t>
      </w:r>
      <w:r>
        <w:rPr>
          <w:rFonts w:ascii="宋体" w:hAnsi="宋体" w:eastAsia="宋体" w:cs="宋体"/>
          <w:color w:val="auto"/>
          <w:spacing w:val="-23"/>
          <w:w w:val="95"/>
          <w:sz w:val="21"/>
          <w:szCs w:val="21"/>
          <w:highlight w:val="none"/>
        </w:rPr>
        <w:t>（投标人名称</w:t>
      </w:r>
      <w:r>
        <w:rPr>
          <w:rFonts w:ascii="宋体" w:hAnsi="宋体" w:eastAsia="宋体" w:cs="宋体"/>
          <w:color w:val="auto"/>
          <w:spacing w:val="-18"/>
          <w:sz w:val="21"/>
          <w:szCs w:val="21"/>
          <w:highlight w:val="none"/>
        </w:rPr>
        <w:t>）：</w:t>
      </w:r>
    </w:p>
    <w:p w14:paraId="515F8106">
      <w:pPr>
        <w:pStyle w:val="3"/>
        <w:spacing w:line="318" w:lineRule="auto"/>
        <w:rPr>
          <w:color w:val="auto"/>
          <w:highlight w:val="none"/>
        </w:rPr>
      </w:pPr>
    </w:p>
    <w:p w14:paraId="09C7AF94">
      <w:pPr>
        <w:pStyle w:val="3"/>
        <w:spacing w:line="318" w:lineRule="auto"/>
        <w:rPr>
          <w:color w:val="auto"/>
          <w:highlight w:val="none"/>
        </w:rPr>
      </w:pPr>
    </w:p>
    <w:p w14:paraId="1E4D5706">
      <w:pPr>
        <w:tabs>
          <w:tab w:val="left" w:pos="1378"/>
        </w:tabs>
        <w:spacing w:before="68" w:line="422" w:lineRule="auto"/>
        <w:ind w:left="23" w:firstLine="5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6"/>
          <w:sz w:val="21"/>
          <w:szCs w:val="21"/>
          <w:highlight w:val="none"/>
        </w:rPr>
        <w:t>（标段名称）项目（标段唯一标识码</w:t>
      </w:r>
      <w:r>
        <w:rPr>
          <w:rFonts w:ascii="宋体" w:hAnsi="宋体" w:eastAsia="宋体" w:cs="宋体"/>
          <w:color w:val="auto"/>
          <w:spacing w:val="1"/>
          <w:sz w:val="21"/>
          <w:szCs w:val="21"/>
          <w:highlight w:val="none"/>
        </w:rPr>
        <w:t>：</w:t>
      </w:r>
      <w:r>
        <w:rPr>
          <w:rFonts w:ascii="宋体" w:hAnsi="宋体" w:eastAsia="宋体" w:cs="宋体"/>
          <w:color w:val="auto"/>
          <w:spacing w:val="8"/>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6"/>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6"/>
          <w:sz w:val="21"/>
          <w:szCs w:val="21"/>
          <w:highlight w:val="none"/>
        </w:rPr>
        <w:t xml:space="preserve">招标的评标委员会，对你方  </w:t>
      </w:r>
      <w:r>
        <w:rPr>
          <w:rFonts w:ascii="宋体" w:hAnsi="宋体" w:eastAsia="宋体" w:cs="宋体"/>
          <w:color w:val="auto"/>
          <w:spacing w:val="2"/>
          <w:sz w:val="21"/>
          <w:szCs w:val="21"/>
          <w:highlight w:val="none"/>
        </w:rPr>
        <w:t>的投标文件进行了仔细的审查，现需你方对下</w:t>
      </w:r>
      <w:r>
        <w:rPr>
          <w:rFonts w:ascii="宋体" w:hAnsi="宋体" w:eastAsia="宋体" w:cs="宋体"/>
          <w:color w:val="auto"/>
          <w:spacing w:val="1"/>
          <w:sz w:val="21"/>
          <w:szCs w:val="21"/>
          <w:highlight w:val="none"/>
        </w:rPr>
        <w:t>列问题以书面形式予以澄清、说明或者补正，</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并将投标文件的澄清、说明或者补正于</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ascii="宋体" w:hAnsi="宋体" w:eastAsia="宋体" w:cs="宋体"/>
          <w:color w:val="auto"/>
          <w:spacing w:val="-2"/>
          <w:sz w:val="21"/>
          <w:szCs w:val="21"/>
          <w:highlight w:val="none"/>
        </w:rPr>
        <w:t>年</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
          <w:sz w:val="21"/>
          <w:szCs w:val="21"/>
          <w:highlight w:val="none"/>
        </w:rPr>
        <w:t>日</w:t>
      </w:r>
      <w:r>
        <w:rPr>
          <w:rFonts w:ascii="宋体" w:hAnsi="宋体" w:eastAsia="宋体" w:cs="宋体"/>
          <w:color w:val="auto"/>
          <w:spacing w:val="62"/>
          <w:sz w:val="21"/>
          <w:szCs w:val="21"/>
          <w:highlight w:val="none"/>
          <w:u w:val="single" w:color="auto"/>
        </w:rPr>
        <w:t xml:space="preserve"> </w:t>
      </w:r>
      <w:r>
        <w:rPr>
          <w:rFonts w:ascii="宋体" w:hAnsi="宋体" w:eastAsia="宋体" w:cs="宋体"/>
          <w:color w:val="auto"/>
          <w:spacing w:val="-2"/>
          <w:sz w:val="21"/>
          <w:szCs w:val="21"/>
          <w:highlight w:val="none"/>
        </w:rPr>
        <w:t>时</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2"/>
          <w:sz w:val="21"/>
          <w:szCs w:val="21"/>
          <w:highlight w:val="none"/>
        </w:rPr>
        <w:t>分前，通过电子招标投标</w:t>
      </w:r>
    </w:p>
    <w:p w14:paraId="6B97E8C2">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系统（辽宁省工程建设项目数字化开标评标系统）提交给本评标委员会。</w:t>
      </w:r>
    </w:p>
    <w:p w14:paraId="15C71B01">
      <w:pPr>
        <w:spacing w:before="196" w:line="237"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w:t>
      </w:r>
    </w:p>
    <w:p w14:paraId="16B53B5E">
      <w:pPr>
        <w:spacing w:before="172" w:line="442"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8"/>
          <w:sz w:val="21"/>
          <w:szCs w:val="21"/>
          <w:highlight w:val="none"/>
        </w:rPr>
        <w:t>2.</w:t>
      </w:r>
      <w:r>
        <w:rPr>
          <w:rFonts w:ascii="宋体" w:hAnsi="宋体" w:eastAsia="宋体" w:cs="宋体"/>
          <w:color w:val="auto"/>
          <w:spacing w:val="-1"/>
          <w:position w:val="18"/>
          <w:sz w:val="21"/>
          <w:szCs w:val="21"/>
          <w:highlight w:val="none"/>
        </w:rPr>
        <w:t>……</w:t>
      </w:r>
    </w:p>
    <w:p w14:paraId="1347A913">
      <w:pPr>
        <w:spacing w:line="332" w:lineRule="exact"/>
        <w:ind w:left="243"/>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B329F0F">
      <w:pPr>
        <w:pStyle w:val="3"/>
        <w:spacing w:line="273" w:lineRule="auto"/>
        <w:rPr>
          <w:color w:val="auto"/>
          <w:highlight w:val="none"/>
        </w:rPr>
      </w:pPr>
    </w:p>
    <w:p w14:paraId="11DCC2EA">
      <w:pPr>
        <w:pStyle w:val="3"/>
        <w:spacing w:line="273" w:lineRule="auto"/>
        <w:rPr>
          <w:color w:val="auto"/>
          <w:highlight w:val="none"/>
        </w:rPr>
      </w:pPr>
    </w:p>
    <w:p w14:paraId="1C93D483">
      <w:pPr>
        <w:tabs>
          <w:tab w:val="left" w:pos="4005"/>
        </w:tabs>
        <w:spacing w:before="69" w:line="220" w:lineRule="auto"/>
        <w:ind w:left="274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5"/>
          <w:sz w:val="21"/>
          <w:szCs w:val="21"/>
          <w:highlight w:val="none"/>
        </w:rPr>
        <w:t xml:space="preserve"> </w:t>
      </w:r>
      <w:r>
        <w:rPr>
          <w:rFonts w:ascii="宋体" w:hAnsi="宋体" w:eastAsia="宋体" w:cs="宋体"/>
          <w:color w:val="auto"/>
          <w:spacing w:val="-12"/>
          <w:sz w:val="21"/>
          <w:szCs w:val="21"/>
          <w:highlight w:val="none"/>
        </w:rPr>
        <w:t>（标段名称） 项目招标评标委员会</w:t>
      </w:r>
    </w:p>
    <w:p w14:paraId="592D8DE0">
      <w:pPr>
        <w:pStyle w:val="3"/>
        <w:spacing w:line="278" w:lineRule="auto"/>
        <w:rPr>
          <w:color w:val="auto"/>
          <w:highlight w:val="none"/>
        </w:rPr>
      </w:pPr>
    </w:p>
    <w:p w14:paraId="6C35F1DA">
      <w:pPr>
        <w:pStyle w:val="3"/>
        <w:spacing w:line="278" w:lineRule="auto"/>
        <w:rPr>
          <w:color w:val="auto"/>
          <w:highlight w:val="none"/>
        </w:rPr>
      </w:pPr>
    </w:p>
    <w:p w14:paraId="125E277F">
      <w:pPr>
        <w:pStyle w:val="3"/>
        <w:spacing w:line="279" w:lineRule="auto"/>
        <w:rPr>
          <w:color w:val="auto"/>
          <w:highlight w:val="none"/>
        </w:rPr>
      </w:pPr>
    </w:p>
    <w:p w14:paraId="6BA14A58">
      <w:pPr>
        <w:pStyle w:val="3"/>
        <w:spacing w:line="279" w:lineRule="auto"/>
        <w:rPr>
          <w:color w:val="auto"/>
          <w:highlight w:val="none"/>
        </w:rPr>
      </w:pPr>
    </w:p>
    <w:p w14:paraId="3D5FC079">
      <w:pPr>
        <w:tabs>
          <w:tab w:val="left" w:pos="5997"/>
        </w:tabs>
        <w:spacing w:before="69" w:line="221" w:lineRule="auto"/>
        <w:ind w:left="557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7"/>
          <w:sz w:val="21"/>
          <w:szCs w:val="21"/>
          <w:highlight w:val="none"/>
        </w:rPr>
        <w:t>日</w:t>
      </w:r>
    </w:p>
    <w:p w14:paraId="542D79CA">
      <w:pPr>
        <w:spacing w:line="221" w:lineRule="auto"/>
        <w:rPr>
          <w:rFonts w:ascii="宋体" w:hAnsi="宋体" w:eastAsia="宋体" w:cs="宋体"/>
          <w:color w:val="auto"/>
          <w:sz w:val="21"/>
          <w:szCs w:val="21"/>
          <w:highlight w:val="none"/>
        </w:rPr>
        <w:sectPr>
          <w:footerReference r:id="rId37" w:type="default"/>
          <w:pgSz w:w="11905" w:h="16839"/>
          <w:pgMar w:top="1431" w:right="1633" w:bottom="996" w:left="1785" w:header="0" w:footer="791" w:gutter="0"/>
          <w:pgNumType w:fmt="decimal"/>
          <w:cols w:space="720" w:num="1"/>
        </w:sectPr>
      </w:pPr>
    </w:p>
    <w:p w14:paraId="53E86545">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附表七：投标文件问题的澄清</w:t>
      </w:r>
    </w:p>
    <w:p w14:paraId="791EA27F">
      <w:pPr>
        <w:pStyle w:val="3"/>
        <w:spacing w:line="249" w:lineRule="auto"/>
        <w:rPr>
          <w:color w:val="auto"/>
          <w:highlight w:val="none"/>
        </w:rPr>
      </w:pPr>
    </w:p>
    <w:p w14:paraId="3F568C36">
      <w:pPr>
        <w:pStyle w:val="3"/>
        <w:spacing w:line="249" w:lineRule="auto"/>
        <w:rPr>
          <w:color w:val="auto"/>
          <w:highlight w:val="none"/>
        </w:rPr>
      </w:pPr>
    </w:p>
    <w:p w14:paraId="5FA8A4B4">
      <w:pPr>
        <w:pStyle w:val="3"/>
        <w:spacing w:line="250" w:lineRule="auto"/>
        <w:rPr>
          <w:color w:val="auto"/>
          <w:highlight w:val="none"/>
        </w:rPr>
      </w:pPr>
    </w:p>
    <w:p w14:paraId="21146411">
      <w:pPr>
        <w:pStyle w:val="3"/>
        <w:spacing w:line="250" w:lineRule="auto"/>
        <w:rPr>
          <w:color w:val="auto"/>
          <w:highlight w:val="none"/>
        </w:rPr>
      </w:pPr>
    </w:p>
    <w:p w14:paraId="6BF01C2D">
      <w:pPr>
        <w:pStyle w:val="3"/>
        <w:spacing w:line="250" w:lineRule="auto"/>
        <w:rPr>
          <w:color w:val="auto"/>
          <w:highlight w:val="none"/>
        </w:rPr>
      </w:pPr>
    </w:p>
    <w:p w14:paraId="0D828813">
      <w:pPr>
        <w:spacing w:before="88" w:line="224" w:lineRule="auto"/>
        <w:ind w:left="2074"/>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投标文件问题的澄清、说明或补正</w:t>
      </w:r>
    </w:p>
    <w:p w14:paraId="30FC38C3">
      <w:pPr>
        <w:pStyle w:val="3"/>
        <w:spacing w:line="317" w:lineRule="auto"/>
        <w:rPr>
          <w:color w:val="auto"/>
          <w:highlight w:val="none"/>
        </w:rPr>
      </w:pPr>
    </w:p>
    <w:p w14:paraId="5B47B8A2">
      <w:pPr>
        <w:spacing w:before="68" w:line="221" w:lineRule="auto"/>
        <w:ind w:left="537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0572B45C">
      <w:pPr>
        <w:tabs>
          <w:tab w:val="left" w:pos="960"/>
        </w:tabs>
        <w:spacing w:before="210" w:line="220" w:lineRule="auto"/>
        <w:ind w:left="11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
          <w:sz w:val="21"/>
          <w:szCs w:val="21"/>
          <w:highlight w:val="none"/>
        </w:rPr>
        <w:t>（标段名称）项目招标评标委员会：</w:t>
      </w:r>
    </w:p>
    <w:p w14:paraId="369A029C">
      <w:pPr>
        <w:spacing w:before="229" w:line="422"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投标文件问题澄清通知（编号</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71"/>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rPr>
        <w:t>已收悉，现澄清、</w:t>
      </w:r>
      <w:r>
        <w:rPr>
          <w:rFonts w:ascii="宋体" w:hAnsi="宋体" w:eastAsia="宋体" w:cs="宋体"/>
          <w:color w:val="auto"/>
          <w:spacing w:val="-3"/>
          <w:sz w:val="21"/>
          <w:szCs w:val="21"/>
          <w:highlight w:val="none"/>
        </w:rPr>
        <w:t>说明或者补正如下：</w:t>
      </w:r>
    </w:p>
    <w:p w14:paraId="45304487">
      <w:pPr>
        <w:spacing w:before="1" w:line="236"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w:t>
      </w:r>
    </w:p>
    <w:p w14:paraId="6B6859C6">
      <w:pPr>
        <w:spacing w:before="210" w:line="237"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w:t>
      </w:r>
    </w:p>
    <w:p w14:paraId="36AA20DE">
      <w:pPr>
        <w:pStyle w:val="3"/>
        <w:spacing w:line="309" w:lineRule="auto"/>
        <w:rPr>
          <w:color w:val="auto"/>
          <w:highlight w:val="none"/>
        </w:rPr>
      </w:pPr>
    </w:p>
    <w:p w14:paraId="33FA675E">
      <w:pPr>
        <w:pStyle w:val="3"/>
        <w:spacing w:line="310" w:lineRule="auto"/>
        <w:rPr>
          <w:color w:val="auto"/>
          <w:highlight w:val="none"/>
        </w:rPr>
      </w:pPr>
    </w:p>
    <w:p w14:paraId="54D8A9C4">
      <w:pPr>
        <w:spacing w:before="6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DDFA557">
      <w:pPr>
        <w:pStyle w:val="3"/>
        <w:spacing w:line="245" w:lineRule="auto"/>
        <w:rPr>
          <w:color w:val="auto"/>
          <w:highlight w:val="none"/>
        </w:rPr>
      </w:pPr>
    </w:p>
    <w:p w14:paraId="78576ABF">
      <w:pPr>
        <w:pStyle w:val="3"/>
        <w:spacing w:line="245" w:lineRule="auto"/>
        <w:rPr>
          <w:color w:val="auto"/>
          <w:highlight w:val="none"/>
        </w:rPr>
      </w:pPr>
    </w:p>
    <w:p w14:paraId="3218C05B">
      <w:pPr>
        <w:pStyle w:val="3"/>
        <w:spacing w:line="245" w:lineRule="auto"/>
        <w:rPr>
          <w:color w:val="auto"/>
          <w:highlight w:val="none"/>
        </w:rPr>
      </w:pPr>
    </w:p>
    <w:p w14:paraId="1E8A0839">
      <w:pPr>
        <w:pStyle w:val="3"/>
        <w:spacing w:line="245" w:lineRule="auto"/>
        <w:rPr>
          <w:color w:val="auto"/>
          <w:highlight w:val="none"/>
        </w:rPr>
      </w:pPr>
    </w:p>
    <w:p w14:paraId="10955415">
      <w:pPr>
        <w:pStyle w:val="3"/>
        <w:spacing w:line="245" w:lineRule="auto"/>
        <w:rPr>
          <w:color w:val="auto"/>
          <w:highlight w:val="none"/>
        </w:rPr>
      </w:pPr>
    </w:p>
    <w:p w14:paraId="0B1C9871">
      <w:pPr>
        <w:pStyle w:val="3"/>
        <w:spacing w:line="245" w:lineRule="auto"/>
        <w:rPr>
          <w:color w:val="auto"/>
          <w:highlight w:val="none"/>
        </w:rPr>
      </w:pPr>
    </w:p>
    <w:p w14:paraId="33F088B8">
      <w:pPr>
        <w:pStyle w:val="3"/>
        <w:spacing w:line="245" w:lineRule="auto"/>
        <w:rPr>
          <w:color w:val="auto"/>
          <w:highlight w:val="none"/>
        </w:rPr>
      </w:pPr>
    </w:p>
    <w:p w14:paraId="7B759CA8">
      <w:pPr>
        <w:pStyle w:val="3"/>
        <w:spacing w:line="245" w:lineRule="auto"/>
        <w:rPr>
          <w:color w:val="auto"/>
          <w:highlight w:val="none"/>
        </w:rPr>
      </w:pPr>
    </w:p>
    <w:p w14:paraId="6D206F03">
      <w:pPr>
        <w:pStyle w:val="3"/>
        <w:spacing w:line="245" w:lineRule="auto"/>
        <w:rPr>
          <w:color w:val="auto"/>
          <w:highlight w:val="none"/>
        </w:rPr>
      </w:pPr>
    </w:p>
    <w:p w14:paraId="0F306EDD">
      <w:pPr>
        <w:pStyle w:val="3"/>
        <w:spacing w:line="246" w:lineRule="auto"/>
        <w:rPr>
          <w:color w:val="auto"/>
          <w:highlight w:val="none"/>
        </w:rPr>
      </w:pPr>
    </w:p>
    <w:p w14:paraId="257D51D5">
      <w:pPr>
        <w:pStyle w:val="3"/>
        <w:spacing w:line="246" w:lineRule="auto"/>
        <w:rPr>
          <w:color w:val="auto"/>
          <w:highlight w:val="none"/>
        </w:rPr>
      </w:pPr>
    </w:p>
    <w:p w14:paraId="33BB8769">
      <w:pPr>
        <w:pStyle w:val="3"/>
        <w:spacing w:line="246" w:lineRule="auto"/>
        <w:rPr>
          <w:color w:val="auto"/>
          <w:highlight w:val="none"/>
        </w:rPr>
      </w:pPr>
    </w:p>
    <w:p w14:paraId="03891A33">
      <w:pPr>
        <w:spacing w:before="68" w:line="527" w:lineRule="auto"/>
        <w:ind w:left="3188" w:right="125" w:firstLine="1"/>
        <w:jc w:val="right"/>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z w:val="21"/>
          <w:szCs w:val="21"/>
          <w:highlight w:val="none"/>
        </w:rPr>
        <w:t>：</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3"/>
          <w:w w:val="98"/>
          <w:sz w:val="21"/>
          <w:szCs w:val="21"/>
          <w:highlight w:val="none"/>
        </w:rPr>
        <w:t>盖单位章）</w:t>
      </w:r>
      <w:r>
        <w:rPr>
          <w:rFonts w:ascii="宋体" w:hAnsi="宋体" w:eastAsia="宋体" w:cs="宋体"/>
          <w:color w:val="auto"/>
          <w:sz w:val="21"/>
          <w:szCs w:val="21"/>
          <w:highlight w:val="none"/>
        </w:rPr>
        <w:t xml:space="preserve"> 法定代表人</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签章）</w:t>
      </w:r>
    </w:p>
    <w:p w14:paraId="31B33865">
      <w:pPr>
        <w:tabs>
          <w:tab w:val="left" w:pos="6420"/>
        </w:tabs>
        <w:spacing w:before="1" w:line="220" w:lineRule="auto"/>
        <w:ind w:left="578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日</w:t>
      </w:r>
    </w:p>
    <w:p w14:paraId="609DB477">
      <w:pPr>
        <w:spacing w:line="220" w:lineRule="auto"/>
        <w:rPr>
          <w:rFonts w:ascii="宋体" w:hAnsi="宋体" w:eastAsia="宋体" w:cs="宋体"/>
          <w:color w:val="auto"/>
          <w:sz w:val="21"/>
          <w:szCs w:val="21"/>
          <w:highlight w:val="none"/>
        </w:rPr>
        <w:sectPr>
          <w:footerReference r:id="rId38" w:type="default"/>
          <w:pgSz w:w="11905" w:h="16839"/>
          <w:pgMar w:top="1431" w:right="1785" w:bottom="996" w:left="1785" w:header="0" w:footer="791" w:gutter="0"/>
          <w:pgNumType w:fmt="decimal"/>
          <w:cols w:space="720" w:num="1"/>
        </w:sectPr>
      </w:pPr>
    </w:p>
    <w:p w14:paraId="7A695814">
      <w:pPr>
        <w:pStyle w:val="3"/>
        <w:spacing w:line="281" w:lineRule="auto"/>
        <w:rPr>
          <w:color w:val="auto"/>
          <w:highlight w:val="none"/>
        </w:rPr>
      </w:pPr>
    </w:p>
    <w:p w14:paraId="2826DCAF">
      <w:pPr>
        <w:spacing w:before="78" w:line="220"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附表八：中标通知书</w:t>
      </w:r>
    </w:p>
    <w:p w14:paraId="302EEB43">
      <w:pPr>
        <w:spacing w:before="326" w:line="219" w:lineRule="auto"/>
        <w:ind w:left="5410"/>
        <w:rPr>
          <w:rFonts w:ascii="黑体" w:hAnsi="黑体" w:eastAsia="黑体" w:cs="黑体"/>
          <w:color w:val="auto"/>
          <w:sz w:val="32"/>
          <w:szCs w:val="32"/>
          <w:highlight w:val="none"/>
        </w:rPr>
      </w:pPr>
      <w:r>
        <w:rPr>
          <w:rFonts w:ascii="黑体" w:hAnsi="黑体" w:eastAsia="黑体" w:cs="黑体"/>
          <w:color w:val="auto"/>
          <w:spacing w:val="-5"/>
          <w:sz w:val="32"/>
          <w:szCs w:val="32"/>
          <w:highlight w:val="none"/>
          <w14:textOutline w14:w="5834" w14:cap="flat" w14:cmpd="sng">
            <w14:solidFill>
              <w14:srgbClr w14:val="000000"/>
            </w14:solidFill>
            <w14:prstDash w14:val="solid"/>
            <w14:miter w14:val="0"/>
          </w14:textOutline>
        </w:rPr>
        <w:t>中标通知书（工程类）</w:t>
      </w:r>
    </w:p>
    <w:p w14:paraId="4DE1B542">
      <w:pPr>
        <w:tabs>
          <w:tab w:val="left" w:pos="1366"/>
        </w:tabs>
        <w:spacing w:before="223" w:line="221" w:lineRule="auto"/>
        <w:ind w:left="10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76"/>
          <w:sz w:val="21"/>
          <w:szCs w:val="21"/>
          <w:highlight w:val="none"/>
        </w:rPr>
        <w:t xml:space="preserve"> </w:t>
      </w:r>
      <w:r>
        <w:rPr>
          <w:rFonts w:ascii="宋体" w:hAnsi="宋体" w:eastAsia="宋体" w:cs="宋体"/>
          <w:color w:val="auto"/>
          <w:spacing w:val="-34"/>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34"/>
          <w:sz w:val="21"/>
          <w:szCs w:val="21"/>
          <w:highlight w:val="none"/>
        </w:rPr>
        <w:t>编号：</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p>
    <w:p w14:paraId="17ABA671">
      <w:pPr>
        <w:spacing w:before="157" w:line="359" w:lineRule="auto"/>
        <w:ind w:left="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你方于</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3"/>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3"/>
          <w:sz w:val="21"/>
          <w:szCs w:val="21"/>
          <w:highlight w:val="none"/>
        </w:rPr>
        <w:t>月</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3"/>
          <w:sz w:val="21"/>
          <w:szCs w:val="21"/>
          <w:highlight w:val="none"/>
        </w:rPr>
        <w:t>日所递交的</w:t>
      </w:r>
      <w:r>
        <w:rPr>
          <w:rFonts w:ascii="宋体" w:hAnsi="宋体" w:eastAsia="宋体" w:cs="宋体"/>
          <w:color w:val="auto"/>
          <w:spacing w:val="-3"/>
          <w:sz w:val="21"/>
          <w:szCs w:val="21"/>
          <w:highlight w:val="none"/>
          <w:u w:val="single" w:color="auto"/>
        </w:rPr>
        <w:t xml:space="preserve">    （标段名称）     </w:t>
      </w:r>
      <w:r>
        <w:rPr>
          <w:rFonts w:ascii="宋体" w:hAnsi="宋体" w:eastAsia="宋体" w:cs="宋体"/>
          <w:color w:val="auto"/>
          <w:spacing w:val="-79"/>
          <w:sz w:val="21"/>
          <w:szCs w:val="21"/>
          <w:highlight w:val="none"/>
        </w:rPr>
        <w:t xml:space="preserve"> </w:t>
      </w:r>
      <w:r>
        <w:rPr>
          <w:rFonts w:ascii="宋体" w:hAnsi="宋体" w:eastAsia="宋体" w:cs="宋体"/>
          <w:color w:val="auto"/>
          <w:spacing w:val="-3"/>
          <w:sz w:val="21"/>
          <w:szCs w:val="21"/>
          <w:highlight w:val="none"/>
        </w:rPr>
        <w:t>的投标文件已被我方接受，被确定为中标人，请你单位派代表持本通知书及相关资料在</w:t>
      </w:r>
    </w:p>
    <w:p w14:paraId="2572BEE4">
      <w:pPr>
        <w:spacing w:line="219" w:lineRule="auto"/>
        <w:ind w:left="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接到本通知书后</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30 日内到</w:t>
      </w:r>
      <w:r>
        <w:rPr>
          <w:rFonts w:ascii="宋体" w:hAnsi="宋体" w:eastAsia="宋体" w:cs="宋体"/>
          <w:color w:val="auto"/>
          <w:spacing w:val="-105"/>
          <w:sz w:val="21"/>
          <w:szCs w:val="21"/>
          <w:highlight w:val="none"/>
        </w:rPr>
        <w:t xml:space="preserve"> </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2"/>
          <w:sz w:val="21"/>
          <w:szCs w:val="21"/>
          <w:highlight w:val="none"/>
        </w:rPr>
        <w:t>与我方签订承包合同。在此之前按照招标文件规定向我方提交履约担保。</w:t>
      </w:r>
    </w:p>
    <w:p w14:paraId="6BB0FF5B">
      <w:pPr>
        <w:spacing w:before="158" w:line="221" w:lineRule="auto"/>
        <w:ind w:left="6041"/>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工程概况及中标内容</w:t>
      </w:r>
    </w:p>
    <w:p w14:paraId="39CB8733">
      <w:pPr>
        <w:spacing w:line="127" w:lineRule="exact"/>
        <w:rPr>
          <w:color w:val="auto"/>
          <w:highlight w:val="none"/>
        </w:rPr>
      </w:pPr>
    </w:p>
    <w:tbl>
      <w:tblPr>
        <w:tblStyle w:val="10"/>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14:paraId="2CAE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7D241976">
            <w:pPr>
              <w:pStyle w:val="11"/>
              <w:spacing w:before="97" w:line="221" w:lineRule="auto"/>
              <w:ind w:left="563"/>
              <w:rPr>
                <w:color w:val="auto"/>
                <w:highlight w:val="none"/>
              </w:rPr>
            </w:pPr>
            <w:r>
              <w:rPr>
                <w:color w:val="auto"/>
                <w:spacing w:val="-2"/>
                <w:highlight w:val="none"/>
              </w:rPr>
              <w:t>项目名称</w:t>
            </w:r>
          </w:p>
        </w:tc>
        <w:tc>
          <w:tcPr>
            <w:tcW w:w="12196" w:type="dxa"/>
            <w:gridSpan w:val="5"/>
            <w:vAlign w:val="top"/>
          </w:tcPr>
          <w:p w14:paraId="662CBB0C">
            <w:pPr>
              <w:rPr>
                <w:rFonts w:ascii="Arial"/>
                <w:color w:val="auto"/>
                <w:sz w:val="21"/>
                <w:highlight w:val="none"/>
              </w:rPr>
            </w:pPr>
          </w:p>
        </w:tc>
      </w:tr>
      <w:tr w14:paraId="6FE9F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210955A">
            <w:pPr>
              <w:pStyle w:val="11"/>
              <w:spacing w:before="97" w:line="221" w:lineRule="auto"/>
              <w:ind w:left="560"/>
              <w:rPr>
                <w:color w:val="auto"/>
                <w:highlight w:val="none"/>
              </w:rPr>
            </w:pPr>
            <w:r>
              <w:rPr>
                <w:color w:val="auto"/>
                <w:spacing w:val="-1"/>
                <w:highlight w:val="none"/>
              </w:rPr>
              <w:t>标段名称</w:t>
            </w:r>
          </w:p>
        </w:tc>
        <w:tc>
          <w:tcPr>
            <w:tcW w:w="12196" w:type="dxa"/>
            <w:gridSpan w:val="5"/>
            <w:vAlign w:val="top"/>
          </w:tcPr>
          <w:p w14:paraId="1316DAA5">
            <w:pPr>
              <w:rPr>
                <w:rFonts w:ascii="Arial"/>
                <w:color w:val="auto"/>
                <w:sz w:val="21"/>
                <w:highlight w:val="none"/>
              </w:rPr>
            </w:pPr>
          </w:p>
        </w:tc>
      </w:tr>
      <w:tr w14:paraId="2748E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6B5A2342">
            <w:pPr>
              <w:pStyle w:val="11"/>
              <w:spacing w:before="93" w:line="221" w:lineRule="auto"/>
              <w:ind w:left="562"/>
              <w:rPr>
                <w:color w:val="auto"/>
                <w:highlight w:val="none"/>
              </w:rPr>
            </w:pPr>
            <w:r>
              <w:rPr>
                <w:color w:val="auto"/>
                <w:spacing w:val="-2"/>
                <w:highlight w:val="none"/>
              </w:rPr>
              <w:t>工程性质</w:t>
            </w:r>
          </w:p>
        </w:tc>
        <w:tc>
          <w:tcPr>
            <w:tcW w:w="5108" w:type="dxa"/>
            <w:gridSpan w:val="2"/>
            <w:vAlign w:val="top"/>
          </w:tcPr>
          <w:p w14:paraId="05DFA75B">
            <w:pPr>
              <w:rPr>
                <w:rFonts w:ascii="Arial"/>
                <w:color w:val="auto"/>
                <w:sz w:val="21"/>
                <w:highlight w:val="none"/>
              </w:rPr>
            </w:pPr>
          </w:p>
        </w:tc>
        <w:tc>
          <w:tcPr>
            <w:tcW w:w="2341" w:type="dxa"/>
            <w:vAlign w:val="top"/>
          </w:tcPr>
          <w:p w14:paraId="4CA7F623">
            <w:pPr>
              <w:pStyle w:val="11"/>
              <w:spacing w:before="92" w:line="221" w:lineRule="auto"/>
              <w:ind w:left="422"/>
              <w:rPr>
                <w:color w:val="auto"/>
                <w:highlight w:val="none"/>
              </w:rPr>
            </w:pPr>
            <w:r>
              <w:rPr>
                <w:color w:val="auto"/>
                <w:spacing w:val="-2"/>
                <w:highlight w:val="none"/>
              </w:rPr>
              <w:t>资金来源及比例</w:t>
            </w:r>
          </w:p>
        </w:tc>
        <w:tc>
          <w:tcPr>
            <w:tcW w:w="4747" w:type="dxa"/>
            <w:gridSpan w:val="2"/>
            <w:vAlign w:val="top"/>
          </w:tcPr>
          <w:p w14:paraId="71878D00">
            <w:pPr>
              <w:rPr>
                <w:rFonts w:ascii="Arial"/>
                <w:color w:val="auto"/>
                <w:sz w:val="21"/>
                <w:highlight w:val="none"/>
              </w:rPr>
            </w:pPr>
          </w:p>
        </w:tc>
      </w:tr>
      <w:tr w14:paraId="44DC4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63C84B4F">
            <w:pPr>
              <w:pStyle w:val="11"/>
              <w:spacing w:before="93" w:line="222" w:lineRule="auto"/>
              <w:ind w:left="562"/>
              <w:rPr>
                <w:color w:val="auto"/>
                <w:highlight w:val="none"/>
              </w:rPr>
            </w:pPr>
            <w:r>
              <w:rPr>
                <w:color w:val="auto"/>
                <w:spacing w:val="-2"/>
                <w:highlight w:val="none"/>
              </w:rPr>
              <w:t>建设地址</w:t>
            </w:r>
          </w:p>
        </w:tc>
        <w:tc>
          <w:tcPr>
            <w:tcW w:w="12196" w:type="dxa"/>
            <w:gridSpan w:val="5"/>
            <w:vAlign w:val="top"/>
          </w:tcPr>
          <w:p w14:paraId="6DD12FAC">
            <w:pPr>
              <w:rPr>
                <w:rFonts w:ascii="Arial"/>
                <w:color w:val="auto"/>
                <w:sz w:val="21"/>
                <w:highlight w:val="none"/>
              </w:rPr>
            </w:pPr>
          </w:p>
        </w:tc>
      </w:tr>
      <w:tr w14:paraId="7BAC1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32D25F04">
            <w:pPr>
              <w:pStyle w:val="11"/>
              <w:spacing w:before="92" w:line="221" w:lineRule="auto"/>
              <w:ind w:left="579"/>
              <w:rPr>
                <w:color w:val="auto"/>
                <w:highlight w:val="none"/>
              </w:rPr>
            </w:pPr>
            <w:r>
              <w:rPr>
                <w:color w:val="auto"/>
                <w:spacing w:val="-5"/>
                <w:highlight w:val="none"/>
              </w:rPr>
              <w:t>中标内容</w:t>
            </w:r>
          </w:p>
        </w:tc>
        <w:tc>
          <w:tcPr>
            <w:tcW w:w="12196" w:type="dxa"/>
            <w:gridSpan w:val="5"/>
            <w:vAlign w:val="top"/>
          </w:tcPr>
          <w:p w14:paraId="09FEBFF6">
            <w:pPr>
              <w:rPr>
                <w:rFonts w:ascii="Arial"/>
                <w:color w:val="auto"/>
                <w:sz w:val="21"/>
                <w:highlight w:val="none"/>
              </w:rPr>
            </w:pPr>
          </w:p>
        </w:tc>
      </w:tr>
      <w:tr w14:paraId="2A5C0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14:paraId="009D8D68">
            <w:pPr>
              <w:pStyle w:val="11"/>
              <w:spacing w:before="103" w:line="221" w:lineRule="auto"/>
              <w:ind w:left="560"/>
              <w:rPr>
                <w:color w:val="auto"/>
                <w:highlight w:val="none"/>
              </w:rPr>
            </w:pPr>
            <w:r>
              <w:rPr>
                <w:color w:val="auto"/>
                <w:spacing w:val="-1"/>
                <w:highlight w:val="none"/>
              </w:rPr>
              <w:t>计划工期</w:t>
            </w:r>
          </w:p>
        </w:tc>
        <w:tc>
          <w:tcPr>
            <w:tcW w:w="5108" w:type="dxa"/>
            <w:gridSpan w:val="2"/>
            <w:vAlign w:val="top"/>
          </w:tcPr>
          <w:p w14:paraId="6BEF5FDC">
            <w:pPr>
              <w:rPr>
                <w:rFonts w:ascii="Arial"/>
                <w:color w:val="auto"/>
                <w:sz w:val="21"/>
                <w:highlight w:val="none"/>
              </w:rPr>
            </w:pPr>
          </w:p>
        </w:tc>
        <w:tc>
          <w:tcPr>
            <w:tcW w:w="2361" w:type="dxa"/>
            <w:gridSpan w:val="2"/>
            <w:vAlign w:val="top"/>
          </w:tcPr>
          <w:p w14:paraId="5D091577">
            <w:pPr>
              <w:pStyle w:val="11"/>
              <w:spacing w:before="103" w:line="221" w:lineRule="auto"/>
              <w:ind w:left="361"/>
              <w:rPr>
                <w:color w:val="auto"/>
                <w:highlight w:val="none"/>
              </w:rPr>
            </w:pPr>
            <w:r>
              <w:rPr>
                <w:color w:val="auto"/>
                <w:spacing w:val="-3"/>
                <w:highlight w:val="none"/>
              </w:rPr>
              <w:t>总工期（日历天）</w:t>
            </w:r>
          </w:p>
        </w:tc>
        <w:tc>
          <w:tcPr>
            <w:tcW w:w="4727" w:type="dxa"/>
            <w:vAlign w:val="top"/>
          </w:tcPr>
          <w:p w14:paraId="24CD18AE">
            <w:pPr>
              <w:rPr>
                <w:rFonts w:ascii="Arial"/>
                <w:color w:val="auto"/>
                <w:sz w:val="21"/>
                <w:highlight w:val="none"/>
              </w:rPr>
            </w:pPr>
          </w:p>
        </w:tc>
      </w:tr>
      <w:tr w14:paraId="302EC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3D71710C">
            <w:pPr>
              <w:pStyle w:val="11"/>
              <w:spacing w:before="93" w:line="221" w:lineRule="auto"/>
              <w:ind w:left="569"/>
              <w:rPr>
                <w:color w:val="auto"/>
                <w:highlight w:val="none"/>
              </w:rPr>
            </w:pPr>
            <w:r>
              <w:rPr>
                <w:color w:val="auto"/>
                <w:spacing w:val="-3"/>
                <w:highlight w:val="none"/>
              </w:rPr>
              <w:t>资质等级</w:t>
            </w:r>
          </w:p>
        </w:tc>
        <w:tc>
          <w:tcPr>
            <w:tcW w:w="5108" w:type="dxa"/>
            <w:gridSpan w:val="2"/>
            <w:vAlign w:val="top"/>
          </w:tcPr>
          <w:p w14:paraId="1BB90AB6">
            <w:pPr>
              <w:rPr>
                <w:rFonts w:ascii="Arial"/>
                <w:color w:val="auto"/>
                <w:sz w:val="21"/>
                <w:highlight w:val="none"/>
              </w:rPr>
            </w:pPr>
          </w:p>
        </w:tc>
        <w:tc>
          <w:tcPr>
            <w:tcW w:w="2361" w:type="dxa"/>
            <w:gridSpan w:val="2"/>
            <w:vAlign w:val="top"/>
          </w:tcPr>
          <w:p w14:paraId="040CB358">
            <w:pPr>
              <w:pStyle w:val="11"/>
              <w:spacing w:before="94" w:line="221" w:lineRule="auto"/>
              <w:ind w:left="774"/>
              <w:rPr>
                <w:color w:val="auto"/>
                <w:highlight w:val="none"/>
              </w:rPr>
            </w:pPr>
            <w:r>
              <w:rPr>
                <w:color w:val="auto"/>
                <w:spacing w:val="-1"/>
                <w:highlight w:val="none"/>
              </w:rPr>
              <w:t>质量标准</w:t>
            </w:r>
          </w:p>
        </w:tc>
        <w:tc>
          <w:tcPr>
            <w:tcW w:w="4727" w:type="dxa"/>
            <w:vAlign w:val="top"/>
          </w:tcPr>
          <w:p w14:paraId="06D6C2AD">
            <w:pPr>
              <w:rPr>
                <w:rFonts w:ascii="Arial"/>
                <w:color w:val="auto"/>
                <w:sz w:val="21"/>
                <w:highlight w:val="none"/>
              </w:rPr>
            </w:pPr>
          </w:p>
        </w:tc>
      </w:tr>
      <w:tr w14:paraId="44BC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33456D7C">
            <w:pPr>
              <w:pStyle w:val="11"/>
              <w:spacing w:before="99" w:line="221" w:lineRule="auto"/>
              <w:ind w:left="563"/>
              <w:rPr>
                <w:color w:val="auto"/>
                <w:highlight w:val="none"/>
              </w:rPr>
            </w:pPr>
            <w:r>
              <w:rPr>
                <w:color w:val="auto"/>
                <w:spacing w:val="-2"/>
                <w:highlight w:val="none"/>
              </w:rPr>
              <w:t>项目经理</w:t>
            </w:r>
          </w:p>
        </w:tc>
        <w:tc>
          <w:tcPr>
            <w:tcW w:w="2764" w:type="dxa"/>
            <w:vAlign w:val="top"/>
          </w:tcPr>
          <w:p w14:paraId="40FD86F4">
            <w:pPr>
              <w:rPr>
                <w:rFonts w:ascii="Arial"/>
                <w:color w:val="auto"/>
                <w:sz w:val="21"/>
                <w:highlight w:val="none"/>
              </w:rPr>
            </w:pPr>
          </w:p>
        </w:tc>
        <w:tc>
          <w:tcPr>
            <w:tcW w:w="2344" w:type="dxa"/>
            <w:vAlign w:val="top"/>
          </w:tcPr>
          <w:p w14:paraId="3AE02559">
            <w:pPr>
              <w:pStyle w:val="11"/>
              <w:spacing w:before="98" w:line="220" w:lineRule="auto"/>
              <w:ind w:left="461"/>
              <w:rPr>
                <w:color w:val="auto"/>
                <w:highlight w:val="none"/>
              </w:rPr>
            </w:pPr>
            <w:r>
              <w:rPr>
                <w:color w:val="auto"/>
                <w:spacing w:val="-2"/>
                <w:highlight w:val="none"/>
              </w:rPr>
              <w:t>资格证书及编号</w:t>
            </w:r>
          </w:p>
        </w:tc>
        <w:tc>
          <w:tcPr>
            <w:tcW w:w="7088" w:type="dxa"/>
            <w:gridSpan w:val="3"/>
            <w:vAlign w:val="top"/>
          </w:tcPr>
          <w:p w14:paraId="14CF8B47">
            <w:pPr>
              <w:rPr>
                <w:rFonts w:ascii="Arial"/>
                <w:color w:val="auto"/>
                <w:sz w:val="21"/>
                <w:highlight w:val="none"/>
              </w:rPr>
            </w:pPr>
          </w:p>
        </w:tc>
      </w:tr>
      <w:tr w14:paraId="79293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14:paraId="49CA95A3">
            <w:pPr>
              <w:pStyle w:val="11"/>
              <w:spacing w:before="252" w:line="221" w:lineRule="auto"/>
              <w:ind w:left="579"/>
              <w:rPr>
                <w:color w:val="auto"/>
                <w:highlight w:val="none"/>
              </w:rPr>
            </w:pPr>
            <w:r>
              <w:rPr>
                <w:color w:val="auto"/>
                <w:spacing w:val="-5"/>
                <w:highlight w:val="none"/>
              </w:rPr>
              <w:t>中标金额</w:t>
            </w:r>
          </w:p>
        </w:tc>
        <w:tc>
          <w:tcPr>
            <w:tcW w:w="12196" w:type="dxa"/>
            <w:gridSpan w:val="5"/>
            <w:vAlign w:val="top"/>
          </w:tcPr>
          <w:p w14:paraId="2DF609B8">
            <w:pPr>
              <w:pStyle w:val="11"/>
              <w:spacing w:before="95" w:line="221" w:lineRule="auto"/>
              <w:ind w:left="117"/>
              <w:rPr>
                <w:color w:val="auto"/>
                <w:highlight w:val="none"/>
              </w:rPr>
            </w:pPr>
            <w:r>
              <w:rPr>
                <w:color w:val="auto"/>
                <w:spacing w:val="-13"/>
                <w:highlight w:val="none"/>
              </w:rPr>
              <w:t>大写：</w:t>
            </w:r>
          </w:p>
        </w:tc>
      </w:tr>
      <w:tr w14:paraId="7E977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14:paraId="7B6D9177">
            <w:pPr>
              <w:rPr>
                <w:rFonts w:ascii="Arial"/>
                <w:color w:val="auto"/>
                <w:sz w:val="21"/>
                <w:highlight w:val="none"/>
              </w:rPr>
            </w:pPr>
          </w:p>
        </w:tc>
        <w:tc>
          <w:tcPr>
            <w:tcW w:w="12196" w:type="dxa"/>
            <w:gridSpan w:val="5"/>
            <w:vAlign w:val="top"/>
          </w:tcPr>
          <w:p w14:paraId="5F42F366">
            <w:pPr>
              <w:pStyle w:val="11"/>
              <w:spacing w:before="52" w:line="219" w:lineRule="auto"/>
              <w:ind w:left="120"/>
              <w:rPr>
                <w:color w:val="auto"/>
                <w:highlight w:val="none"/>
              </w:rPr>
            </w:pPr>
            <w:r>
              <w:rPr>
                <w:color w:val="auto"/>
                <w:spacing w:val="-14"/>
                <w:highlight w:val="none"/>
              </w:rPr>
              <w:t>小写：</w:t>
            </w:r>
          </w:p>
        </w:tc>
      </w:tr>
      <w:tr w14:paraId="4F3BB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467CA2B2">
            <w:pPr>
              <w:pStyle w:val="11"/>
              <w:spacing w:before="94" w:line="221" w:lineRule="auto"/>
              <w:ind w:left="259"/>
              <w:rPr>
                <w:color w:val="auto"/>
                <w:highlight w:val="none"/>
              </w:rPr>
            </w:pPr>
            <w:r>
              <w:rPr>
                <w:color w:val="auto"/>
                <w:spacing w:val="-3"/>
                <w:highlight w:val="none"/>
              </w:rPr>
              <w:t>需要说明的事项</w:t>
            </w:r>
          </w:p>
        </w:tc>
        <w:tc>
          <w:tcPr>
            <w:tcW w:w="12196" w:type="dxa"/>
            <w:gridSpan w:val="5"/>
            <w:vAlign w:val="top"/>
          </w:tcPr>
          <w:p w14:paraId="1203B0A0">
            <w:pPr>
              <w:rPr>
                <w:rFonts w:ascii="Arial"/>
                <w:color w:val="auto"/>
                <w:sz w:val="21"/>
                <w:highlight w:val="none"/>
              </w:rPr>
            </w:pPr>
          </w:p>
        </w:tc>
      </w:tr>
      <w:tr w14:paraId="3974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14:paraId="40B84D26">
            <w:pPr>
              <w:spacing w:line="471" w:lineRule="auto"/>
              <w:rPr>
                <w:rFonts w:ascii="Arial"/>
                <w:color w:val="auto"/>
                <w:sz w:val="21"/>
                <w:highlight w:val="none"/>
              </w:rPr>
            </w:pPr>
          </w:p>
          <w:p w14:paraId="0B8E33DC">
            <w:pPr>
              <w:pStyle w:val="11"/>
              <w:spacing w:before="68" w:line="220" w:lineRule="auto"/>
              <w:ind w:left="748"/>
              <w:rPr>
                <w:color w:val="auto"/>
                <w:highlight w:val="none"/>
              </w:rPr>
            </w:pPr>
            <w:r>
              <w:rPr>
                <w:color w:val="auto"/>
                <w:spacing w:val="-2"/>
                <w:highlight w:val="none"/>
              </w:rPr>
              <w:t>招标人（盖章）</w:t>
            </w:r>
          </w:p>
          <w:p w14:paraId="0A5BB29E">
            <w:pPr>
              <w:pStyle w:val="11"/>
              <w:spacing w:before="152" w:line="220" w:lineRule="auto"/>
              <w:ind w:left="748"/>
              <w:rPr>
                <w:color w:val="auto"/>
                <w:highlight w:val="none"/>
              </w:rPr>
            </w:pPr>
            <w:r>
              <w:rPr>
                <w:color w:val="auto"/>
                <w:spacing w:val="-2"/>
                <w:highlight w:val="none"/>
              </w:rPr>
              <w:t>法定代表人（签章）</w:t>
            </w:r>
          </w:p>
          <w:p w14:paraId="18329ECE">
            <w:pPr>
              <w:pStyle w:val="11"/>
              <w:spacing w:before="147" w:line="221" w:lineRule="auto"/>
              <w:ind w:left="2735"/>
              <w:rPr>
                <w:color w:val="auto"/>
                <w:highlight w:val="none"/>
              </w:rPr>
            </w:pPr>
            <w:r>
              <w:rPr>
                <w:color w:val="auto"/>
                <w:spacing w:val="-7"/>
                <w:highlight w:val="none"/>
              </w:rPr>
              <w:t>年</w:t>
            </w:r>
            <w:r>
              <w:rPr>
                <w:color w:val="auto"/>
                <w:spacing w:val="5"/>
                <w:highlight w:val="none"/>
              </w:rPr>
              <w:t xml:space="preserve">  </w:t>
            </w:r>
            <w:r>
              <w:rPr>
                <w:color w:val="auto"/>
                <w:spacing w:val="-7"/>
                <w:highlight w:val="none"/>
              </w:rPr>
              <w:t>月</w:t>
            </w:r>
            <w:r>
              <w:rPr>
                <w:color w:val="auto"/>
                <w:spacing w:val="22"/>
                <w:highlight w:val="none"/>
              </w:rPr>
              <w:t xml:space="preserve">  </w:t>
            </w:r>
            <w:r>
              <w:rPr>
                <w:color w:val="auto"/>
                <w:spacing w:val="-7"/>
                <w:highlight w:val="none"/>
              </w:rPr>
              <w:t>日</w:t>
            </w:r>
          </w:p>
        </w:tc>
        <w:tc>
          <w:tcPr>
            <w:tcW w:w="4705" w:type="dxa"/>
            <w:gridSpan w:val="3"/>
            <w:vAlign w:val="top"/>
          </w:tcPr>
          <w:p w14:paraId="303D4545">
            <w:pPr>
              <w:spacing w:line="471" w:lineRule="auto"/>
              <w:rPr>
                <w:rFonts w:ascii="Arial"/>
                <w:color w:val="auto"/>
                <w:sz w:val="21"/>
                <w:highlight w:val="none"/>
              </w:rPr>
            </w:pPr>
          </w:p>
          <w:p w14:paraId="003815D7">
            <w:pPr>
              <w:pStyle w:val="11"/>
              <w:spacing w:before="68" w:line="220" w:lineRule="auto"/>
              <w:ind w:left="746"/>
              <w:rPr>
                <w:color w:val="auto"/>
                <w:highlight w:val="none"/>
              </w:rPr>
            </w:pPr>
            <w:r>
              <w:rPr>
                <w:color w:val="auto"/>
                <w:spacing w:val="-3"/>
                <w:highlight w:val="none"/>
              </w:rPr>
              <w:t>招标代理（盖章）</w:t>
            </w:r>
          </w:p>
          <w:p w14:paraId="7D5550C6">
            <w:pPr>
              <w:pStyle w:val="11"/>
              <w:spacing w:before="152" w:line="220" w:lineRule="auto"/>
              <w:ind w:left="746"/>
              <w:rPr>
                <w:color w:val="auto"/>
                <w:highlight w:val="none"/>
              </w:rPr>
            </w:pPr>
            <w:r>
              <w:rPr>
                <w:color w:val="auto"/>
                <w:spacing w:val="-2"/>
                <w:highlight w:val="none"/>
              </w:rPr>
              <w:t>法定代表人（签章）</w:t>
            </w:r>
          </w:p>
          <w:p w14:paraId="5A75C35E">
            <w:pPr>
              <w:pStyle w:val="11"/>
              <w:spacing w:before="147" w:line="221" w:lineRule="auto"/>
              <w:ind w:left="2786"/>
              <w:rPr>
                <w:color w:val="auto"/>
                <w:highlight w:val="none"/>
              </w:rPr>
            </w:pPr>
            <w:r>
              <w:rPr>
                <w:color w:val="auto"/>
                <w:spacing w:val="-7"/>
                <w:highlight w:val="none"/>
              </w:rPr>
              <w:t>年</w:t>
            </w:r>
            <w:r>
              <w:rPr>
                <w:color w:val="auto"/>
                <w:spacing w:val="7"/>
                <w:highlight w:val="none"/>
              </w:rPr>
              <w:t xml:space="preserve">  </w:t>
            </w:r>
            <w:r>
              <w:rPr>
                <w:color w:val="auto"/>
                <w:spacing w:val="-7"/>
                <w:highlight w:val="none"/>
              </w:rPr>
              <w:t>月</w:t>
            </w:r>
            <w:r>
              <w:rPr>
                <w:color w:val="auto"/>
                <w:spacing w:val="20"/>
                <w:highlight w:val="none"/>
              </w:rPr>
              <w:t xml:space="preserve">  </w:t>
            </w:r>
            <w:r>
              <w:rPr>
                <w:color w:val="auto"/>
                <w:spacing w:val="-7"/>
                <w:highlight w:val="none"/>
              </w:rPr>
              <w:t>日</w:t>
            </w:r>
          </w:p>
        </w:tc>
        <w:tc>
          <w:tcPr>
            <w:tcW w:w="4727" w:type="dxa"/>
            <w:vAlign w:val="top"/>
          </w:tcPr>
          <w:p w14:paraId="74A9DDD0">
            <w:pPr>
              <w:spacing w:line="471" w:lineRule="auto"/>
              <w:rPr>
                <w:rFonts w:ascii="Arial"/>
                <w:color w:val="auto"/>
                <w:sz w:val="21"/>
                <w:highlight w:val="none"/>
              </w:rPr>
            </w:pPr>
          </w:p>
          <w:p w14:paraId="74EF3157">
            <w:pPr>
              <w:pStyle w:val="11"/>
              <w:spacing w:before="69" w:line="403" w:lineRule="exact"/>
              <w:ind w:left="645"/>
              <w:rPr>
                <w:color w:val="auto"/>
                <w:highlight w:val="none"/>
              </w:rPr>
            </w:pPr>
            <w:r>
              <w:rPr>
                <w:color w:val="auto"/>
                <w:spacing w:val="-3"/>
                <w:position w:val="14"/>
                <w:highlight w:val="none"/>
              </w:rPr>
              <w:t>监管部门（盖章）</w:t>
            </w:r>
          </w:p>
          <w:p w14:paraId="6B623445">
            <w:pPr>
              <w:pStyle w:val="11"/>
              <w:spacing w:line="219" w:lineRule="auto"/>
              <w:ind w:left="646"/>
              <w:rPr>
                <w:color w:val="auto"/>
                <w:highlight w:val="none"/>
              </w:rPr>
            </w:pPr>
            <w:r>
              <w:rPr>
                <w:color w:val="auto"/>
                <w:spacing w:val="-2"/>
                <w:highlight w:val="none"/>
              </w:rPr>
              <w:t>经办人（签章）</w:t>
            </w:r>
          </w:p>
          <w:p w14:paraId="4CCD5D41">
            <w:pPr>
              <w:pStyle w:val="11"/>
              <w:spacing w:before="147" w:line="221" w:lineRule="auto"/>
              <w:ind w:left="2638"/>
              <w:rPr>
                <w:color w:val="auto"/>
                <w:highlight w:val="none"/>
              </w:rPr>
            </w:pPr>
            <w:r>
              <w:rPr>
                <w:color w:val="auto"/>
                <w:spacing w:val="-7"/>
                <w:highlight w:val="none"/>
              </w:rPr>
              <w:t>年</w:t>
            </w:r>
            <w:r>
              <w:rPr>
                <w:color w:val="auto"/>
                <w:spacing w:val="4"/>
                <w:highlight w:val="none"/>
              </w:rPr>
              <w:t xml:space="preserve">  </w:t>
            </w:r>
            <w:r>
              <w:rPr>
                <w:color w:val="auto"/>
                <w:spacing w:val="-7"/>
                <w:highlight w:val="none"/>
              </w:rPr>
              <w:t>月</w:t>
            </w:r>
            <w:r>
              <w:rPr>
                <w:color w:val="auto"/>
                <w:spacing w:val="23"/>
                <w:highlight w:val="none"/>
              </w:rPr>
              <w:t xml:space="preserve">  </w:t>
            </w:r>
            <w:r>
              <w:rPr>
                <w:color w:val="auto"/>
                <w:spacing w:val="-7"/>
                <w:highlight w:val="none"/>
              </w:rPr>
              <w:t>日</w:t>
            </w:r>
          </w:p>
        </w:tc>
      </w:tr>
    </w:tbl>
    <w:p w14:paraId="4AD705DD">
      <w:pPr>
        <w:pStyle w:val="3"/>
        <w:rPr>
          <w:color w:val="auto"/>
          <w:highlight w:val="none"/>
        </w:rPr>
      </w:pPr>
    </w:p>
    <w:p w14:paraId="2F6128E0">
      <w:pPr>
        <w:rPr>
          <w:color w:val="auto"/>
          <w:highlight w:val="none"/>
        </w:rPr>
        <w:sectPr>
          <w:footerReference r:id="rId39" w:type="default"/>
          <w:pgSz w:w="16839" w:h="11905"/>
          <w:pgMar w:top="1011" w:right="1248" w:bottom="991" w:left="1440" w:header="0" w:footer="786" w:gutter="0"/>
          <w:pgNumType w:fmt="decimal"/>
          <w:cols w:space="720" w:num="1"/>
        </w:sectPr>
      </w:pPr>
    </w:p>
    <w:p w14:paraId="59363DAD">
      <w:pPr>
        <w:pStyle w:val="3"/>
        <w:spacing w:line="465" w:lineRule="auto"/>
        <w:rPr>
          <w:color w:val="auto"/>
          <w:highlight w:val="none"/>
        </w:rPr>
      </w:pPr>
    </w:p>
    <w:p w14:paraId="0C5DB61B">
      <w:pPr>
        <w:spacing w:before="78" w:line="220"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附表九：中标结果通知书</w:t>
      </w:r>
    </w:p>
    <w:p w14:paraId="549F4453">
      <w:pPr>
        <w:pStyle w:val="3"/>
        <w:spacing w:line="266" w:lineRule="auto"/>
        <w:rPr>
          <w:color w:val="auto"/>
          <w:highlight w:val="none"/>
        </w:rPr>
      </w:pPr>
    </w:p>
    <w:p w14:paraId="24680C0C">
      <w:pPr>
        <w:pStyle w:val="3"/>
        <w:spacing w:line="266" w:lineRule="auto"/>
        <w:rPr>
          <w:color w:val="auto"/>
          <w:highlight w:val="none"/>
        </w:rPr>
      </w:pPr>
    </w:p>
    <w:p w14:paraId="3F985BD4">
      <w:pPr>
        <w:spacing w:before="88" w:line="225" w:lineRule="auto"/>
        <w:ind w:left="3221"/>
        <w:rPr>
          <w:rFonts w:ascii="黑体" w:hAnsi="黑体" w:eastAsia="黑体" w:cs="黑体"/>
          <w:color w:val="auto"/>
          <w:sz w:val="27"/>
          <w:szCs w:val="27"/>
          <w:highlight w:val="none"/>
        </w:rPr>
      </w:pPr>
      <w:r>
        <w:rPr>
          <w:rFonts w:ascii="黑体" w:hAnsi="黑体" w:eastAsia="黑体" w:cs="黑体"/>
          <w:color w:val="auto"/>
          <w:spacing w:val="4"/>
          <w:sz w:val="27"/>
          <w:szCs w:val="27"/>
          <w:highlight w:val="none"/>
        </w:rPr>
        <w:t>中标结果通知书</w:t>
      </w:r>
    </w:p>
    <w:p w14:paraId="4B5491ED">
      <w:pPr>
        <w:pStyle w:val="3"/>
        <w:spacing w:line="378" w:lineRule="auto"/>
        <w:rPr>
          <w:color w:val="auto"/>
          <w:highlight w:val="none"/>
        </w:rPr>
      </w:pPr>
    </w:p>
    <w:p w14:paraId="351563AD">
      <w:pPr>
        <w:tabs>
          <w:tab w:val="left" w:pos="1166"/>
        </w:tabs>
        <w:spacing w:before="68"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6"/>
          <w:sz w:val="21"/>
          <w:szCs w:val="21"/>
          <w:highlight w:val="none"/>
        </w:rPr>
        <w:t xml:space="preserve"> </w:t>
      </w:r>
      <w:r>
        <w:rPr>
          <w:rFonts w:ascii="宋体" w:hAnsi="宋体" w:eastAsia="宋体" w:cs="宋体"/>
          <w:color w:val="auto"/>
          <w:spacing w:val="-27"/>
          <w:w w:val="98"/>
          <w:sz w:val="21"/>
          <w:szCs w:val="21"/>
          <w:highlight w:val="none"/>
        </w:rPr>
        <w:t>（未中标人名称</w:t>
      </w:r>
      <w:r>
        <w:rPr>
          <w:rFonts w:ascii="宋体" w:hAnsi="宋体" w:eastAsia="宋体" w:cs="宋体"/>
          <w:color w:val="auto"/>
          <w:spacing w:val="-9"/>
          <w:sz w:val="21"/>
          <w:szCs w:val="21"/>
          <w:highlight w:val="none"/>
        </w:rPr>
        <w:t>）：</w:t>
      </w:r>
    </w:p>
    <w:p w14:paraId="16668FEE">
      <w:pPr>
        <w:pStyle w:val="3"/>
        <w:spacing w:line="318" w:lineRule="auto"/>
        <w:rPr>
          <w:color w:val="auto"/>
          <w:highlight w:val="none"/>
        </w:rPr>
      </w:pPr>
    </w:p>
    <w:p w14:paraId="32AE19EF">
      <w:pPr>
        <w:pStyle w:val="3"/>
        <w:spacing w:line="318" w:lineRule="auto"/>
        <w:rPr>
          <w:color w:val="auto"/>
          <w:highlight w:val="none"/>
        </w:rPr>
      </w:pPr>
    </w:p>
    <w:p w14:paraId="5BF95405">
      <w:pPr>
        <w:spacing w:before="68" w:line="422" w:lineRule="auto"/>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我方已接受</w:t>
      </w:r>
      <w:r>
        <w:rPr>
          <w:rFonts w:ascii="宋体" w:hAnsi="宋体" w:eastAsia="宋体" w:cs="宋体"/>
          <w:color w:val="auto"/>
          <w:spacing w:val="-88"/>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（中标人名称）于</w:t>
      </w:r>
      <w:r>
        <w:rPr>
          <w:rFonts w:ascii="宋体" w:hAnsi="宋体" w:eastAsia="宋体" w:cs="宋体"/>
          <w:color w:val="auto"/>
          <w:spacing w:val="-104"/>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 xml:space="preserve"> （投标日期）所递交的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44"/>
          <w:sz w:val="21"/>
          <w:szCs w:val="21"/>
          <w:highlight w:val="none"/>
        </w:rPr>
        <w:t xml:space="preserve"> </w:t>
      </w:r>
      <w:r>
        <w:rPr>
          <w:rFonts w:ascii="宋体" w:hAnsi="宋体" w:eastAsia="宋体" w:cs="宋体"/>
          <w:color w:val="auto"/>
          <w:spacing w:val="-6"/>
          <w:sz w:val="21"/>
          <w:szCs w:val="21"/>
          <w:highlight w:val="none"/>
        </w:rPr>
        <w:t>（标</w:t>
      </w:r>
    </w:p>
    <w:p w14:paraId="228FFC99">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段名称）项目（标段唯一标识码</w:t>
      </w:r>
      <w:r>
        <w:rPr>
          <w:rFonts w:ascii="宋体" w:hAnsi="宋体" w:eastAsia="宋体" w:cs="宋体"/>
          <w:color w:val="auto"/>
          <w:spacing w:val="-5"/>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6"/>
          <w:sz w:val="21"/>
          <w:szCs w:val="21"/>
          <w:highlight w:val="none"/>
        </w:rPr>
        <w:t>投标文件，</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确定</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7"/>
          <w:sz w:val="21"/>
          <w:szCs w:val="21"/>
          <w:highlight w:val="none"/>
        </w:rPr>
        <w:t>中标人名称）为中标人。</w:t>
      </w:r>
    </w:p>
    <w:p w14:paraId="741C414C">
      <w:pPr>
        <w:pStyle w:val="3"/>
        <w:spacing w:line="319" w:lineRule="auto"/>
        <w:rPr>
          <w:color w:val="auto"/>
          <w:highlight w:val="none"/>
        </w:rPr>
      </w:pPr>
    </w:p>
    <w:p w14:paraId="330DBBEF">
      <w:pPr>
        <w:pStyle w:val="3"/>
        <w:spacing w:line="319" w:lineRule="auto"/>
        <w:rPr>
          <w:color w:val="auto"/>
          <w:highlight w:val="none"/>
        </w:rPr>
      </w:pPr>
    </w:p>
    <w:p w14:paraId="73A4B57B">
      <w:pPr>
        <w:spacing w:before="68" w:line="234" w:lineRule="auto"/>
        <w:ind w:left="442"/>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感谢你单位对我方工作的大力支持</w:t>
      </w:r>
      <w:r>
        <w:rPr>
          <w:rFonts w:ascii="Times New Roman" w:hAnsi="Times New Roman" w:eastAsia="Times New Roman" w:cs="Times New Roman"/>
          <w:color w:val="auto"/>
          <w:spacing w:val="-1"/>
          <w:sz w:val="21"/>
          <w:szCs w:val="21"/>
          <w:highlight w:val="none"/>
        </w:rPr>
        <w:t>!</w:t>
      </w:r>
    </w:p>
    <w:p w14:paraId="5ECD6B64">
      <w:pPr>
        <w:pStyle w:val="3"/>
        <w:spacing w:line="256" w:lineRule="auto"/>
        <w:rPr>
          <w:color w:val="auto"/>
          <w:highlight w:val="none"/>
        </w:rPr>
      </w:pPr>
    </w:p>
    <w:p w14:paraId="193ECE70">
      <w:pPr>
        <w:pStyle w:val="3"/>
        <w:spacing w:line="256" w:lineRule="auto"/>
        <w:rPr>
          <w:color w:val="auto"/>
          <w:highlight w:val="none"/>
        </w:rPr>
      </w:pPr>
    </w:p>
    <w:p w14:paraId="531296F3">
      <w:pPr>
        <w:pStyle w:val="3"/>
        <w:spacing w:line="256" w:lineRule="auto"/>
        <w:rPr>
          <w:color w:val="auto"/>
          <w:highlight w:val="none"/>
        </w:rPr>
      </w:pPr>
    </w:p>
    <w:p w14:paraId="79A8F3D3">
      <w:pPr>
        <w:pStyle w:val="3"/>
        <w:spacing w:line="256" w:lineRule="auto"/>
        <w:rPr>
          <w:color w:val="auto"/>
          <w:highlight w:val="none"/>
        </w:rPr>
      </w:pPr>
    </w:p>
    <w:p w14:paraId="4F2BFC61">
      <w:pPr>
        <w:pStyle w:val="3"/>
        <w:spacing w:line="257" w:lineRule="auto"/>
        <w:rPr>
          <w:color w:val="auto"/>
          <w:highlight w:val="none"/>
        </w:rPr>
      </w:pPr>
    </w:p>
    <w:p w14:paraId="43A6F354">
      <w:pPr>
        <w:pStyle w:val="3"/>
        <w:spacing w:line="257" w:lineRule="auto"/>
        <w:rPr>
          <w:color w:val="auto"/>
          <w:highlight w:val="none"/>
        </w:rPr>
      </w:pPr>
    </w:p>
    <w:p w14:paraId="7A42F23A">
      <w:pPr>
        <w:pStyle w:val="3"/>
        <w:spacing w:line="257" w:lineRule="auto"/>
        <w:rPr>
          <w:color w:val="auto"/>
          <w:highlight w:val="none"/>
        </w:rPr>
      </w:pPr>
    </w:p>
    <w:p w14:paraId="1246E43B">
      <w:pPr>
        <w:pStyle w:val="3"/>
        <w:spacing w:line="257" w:lineRule="auto"/>
        <w:rPr>
          <w:color w:val="auto"/>
          <w:highlight w:val="none"/>
        </w:rPr>
      </w:pPr>
    </w:p>
    <w:p w14:paraId="396DE576">
      <w:pPr>
        <w:spacing w:before="69" w:line="422" w:lineRule="auto"/>
        <w:ind w:left="4557" w:right="116"/>
        <w:jc w:val="right"/>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招标人</w:t>
      </w:r>
      <w:r>
        <w:rPr>
          <w:rFonts w:ascii="宋体" w:hAnsi="宋体" w:eastAsia="宋体" w:cs="宋体"/>
          <w:color w:val="auto"/>
          <w:spacing w:val="1"/>
          <w:sz w:val="21"/>
          <w:szCs w:val="21"/>
          <w:highlight w:val="none"/>
        </w:rPr>
        <w:t>：</w:t>
      </w:r>
      <w:r>
        <w:rPr>
          <w:rFonts w:ascii="宋体" w:hAnsi="宋体" w:eastAsia="宋体" w:cs="宋体"/>
          <w:color w:val="auto"/>
          <w:spacing w:val="11"/>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24"/>
          <w:sz w:val="21"/>
          <w:szCs w:val="21"/>
          <w:highlight w:val="none"/>
        </w:rPr>
        <w:t>盖单位章）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法定代表人</w:t>
      </w:r>
      <w:r>
        <w:rPr>
          <w:rFonts w:ascii="宋体" w:hAnsi="宋体" w:eastAsia="宋体" w:cs="宋体"/>
          <w:color w:val="auto"/>
          <w:spacing w:val="-17"/>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w:t>
      </w:r>
      <w:r>
        <w:rPr>
          <w:rFonts w:ascii="宋体" w:hAnsi="宋体" w:eastAsia="宋体" w:cs="宋体"/>
          <w:color w:val="auto"/>
          <w:spacing w:val="2"/>
          <w:sz w:val="21"/>
          <w:szCs w:val="21"/>
          <w:highlight w:val="none"/>
        </w:rPr>
        <w:t>签章）</w:t>
      </w:r>
    </w:p>
    <w:p w14:paraId="1401BB0A">
      <w:pPr>
        <w:tabs>
          <w:tab w:val="left" w:pos="6020"/>
        </w:tabs>
        <w:spacing w:before="1" w:line="220" w:lineRule="auto"/>
        <w:ind w:left="528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7FF51DC7">
      <w:pPr>
        <w:spacing w:line="220" w:lineRule="auto"/>
        <w:rPr>
          <w:rFonts w:ascii="宋体" w:hAnsi="宋体" w:eastAsia="宋体" w:cs="宋体"/>
          <w:color w:val="auto"/>
          <w:sz w:val="21"/>
          <w:szCs w:val="21"/>
          <w:highlight w:val="none"/>
        </w:rPr>
        <w:sectPr>
          <w:footerReference r:id="rId40" w:type="default"/>
          <w:pgSz w:w="11905" w:h="16839"/>
          <w:pgMar w:top="1431" w:right="1785" w:bottom="996" w:left="1785" w:header="0" w:footer="791" w:gutter="0"/>
          <w:pgNumType w:fmt="decimal"/>
          <w:cols w:space="720" w:num="1"/>
        </w:sectPr>
      </w:pPr>
    </w:p>
    <w:p w14:paraId="3FE5B5AF">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附表十：异议书</w:t>
      </w:r>
    </w:p>
    <w:p w14:paraId="47A61B92">
      <w:pPr>
        <w:pStyle w:val="3"/>
        <w:spacing w:line="266" w:lineRule="auto"/>
        <w:rPr>
          <w:color w:val="auto"/>
          <w:highlight w:val="none"/>
        </w:rPr>
      </w:pPr>
    </w:p>
    <w:p w14:paraId="6F10D4E6">
      <w:pPr>
        <w:pStyle w:val="3"/>
        <w:spacing w:line="266" w:lineRule="auto"/>
        <w:rPr>
          <w:color w:val="auto"/>
          <w:highlight w:val="none"/>
        </w:rPr>
      </w:pPr>
    </w:p>
    <w:p w14:paraId="3E63F8C2">
      <w:pPr>
        <w:spacing w:before="88" w:line="225" w:lineRule="auto"/>
        <w:ind w:left="3762"/>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rPr>
        <w:t>异议书</w:t>
      </w:r>
    </w:p>
    <w:p w14:paraId="07913B9F">
      <w:pPr>
        <w:pStyle w:val="3"/>
        <w:spacing w:line="392" w:lineRule="auto"/>
        <w:rPr>
          <w:color w:val="auto"/>
          <w:highlight w:val="none"/>
        </w:rPr>
      </w:pPr>
    </w:p>
    <w:p w14:paraId="1B9FCD36">
      <w:pPr>
        <w:spacing w:before="69" w:line="220" w:lineRule="auto"/>
        <w:ind w:left="21"/>
        <w:outlineLvl w:val="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一、异议项目基本情况</w:t>
      </w:r>
    </w:p>
    <w:p w14:paraId="49D34861">
      <w:pPr>
        <w:tabs>
          <w:tab w:val="left" w:pos="8144"/>
          <w:tab w:val="left" w:pos="8149"/>
        </w:tabs>
        <w:spacing w:before="249" w:line="439" w:lineRule="auto"/>
        <w:ind w:left="442" w:right="183"/>
        <w:jc w:val="both"/>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 xml:space="preserve">标段唯一标识码：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招标人名称：</w:t>
      </w:r>
      <w:r>
        <w:rPr>
          <w:rFonts w:ascii="宋体" w:hAnsi="宋体" w:eastAsia="宋体" w:cs="宋体"/>
          <w:color w:val="auto"/>
          <w:spacing w:val="-1"/>
          <w:sz w:val="21"/>
          <w:szCs w:val="21"/>
          <w:highlight w:val="none"/>
          <w:u w:val="single" w:color="auto"/>
        </w:rPr>
        <w:t xml:space="preserve">                                                              </w:t>
      </w:r>
    </w:p>
    <w:p w14:paraId="75F064B7">
      <w:pPr>
        <w:spacing w:line="219" w:lineRule="auto"/>
        <w:ind w:left="442"/>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 xml:space="preserve">招标代理机构名称： </w:t>
      </w:r>
      <w:r>
        <w:rPr>
          <w:rFonts w:ascii="宋体" w:hAnsi="宋体" w:eastAsia="宋体" w:cs="宋体"/>
          <w:color w:val="auto"/>
          <w:sz w:val="21"/>
          <w:szCs w:val="21"/>
          <w:highlight w:val="none"/>
          <w:u w:val="single" w:color="auto"/>
        </w:rPr>
        <w:t xml:space="preserve">                                                        </w:t>
      </w:r>
    </w:p>
    <w:p w14:paraId="55944E01">
      <w:pPr>
        <w:spacing w:before="248" w:line="220" w:lineRule="auto"/>
        <w:ind w:left="21"/>
        <w:outlineLvl w:val="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二、异议人基本情况</w:t>
      </w:r>
    </w:p>
    <w:p w14:paraId="6DA04A75">
      <w:pPr>
        <w:tabs>
          <w:tab w:val="left" w:pos="8139"/>
          <w:tab w:val="left" w:pos="8149"/>
        </w:tabs>
        <w:spacing w:before="255" w:line="439" w:lineRule="auto"/>
        <w:ind w:left="440" w:right="183" w:firstLine="2"/>
        <w:jc w:val="both"/>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单位名称：</w:t>
      </w:r>
      <w:r>
        <w:rPr>
          <w:rFonts w:ascii="宋体" w:hAnsi="宋体" w:eastAsia="宋体" w:cs="宋体"/>
          <w:color w:val="auto"/>
          <w:spacing w:val="21"/>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1"/>
          <w:sz w:val="21"/>
          <w:szCs w:val="21"/>
          <w:highlight w:val="none"/>
        </w:rPr>
        <w:t>住所地：</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ascii="宋体" w:hAnsi="宋体" w:eastAsia="宋体" w:cs="宋体"/>
          <w:color w:val="auto"/>
          <w:spacing w:val="-21"/>
          <w:sz w:val="21"/>
          <w:szCs w:val="21"/>
          <w:highlight w:val="none"/>
        </w:rPr>
        <w:t>邮编：</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法定代表人：</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5"/>
          <w:sz w:val="21"/>
          <w:szCs w:val="21"/>
          <w:highlight w:val="none"/>
        </w:rPr>
        <w:t>联系电话：</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 xml:space="preserve">异议人授权代表：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12"/>
          <w:sz w:val="21"/>
          <w:szCs w:val="21"/>
          <w:highlight w:val="none"/>
        </w:rPr>
        <w:t xml:space="preserve">性别： </w:t>
      </w:r>
      <w:r>
        <w:rPr>
          <w:rFonts w:ascii="宋体" w:hAnsi="宋体" w:eastAsia="宋体" w:cs="宋体"/>
          <w:color w:val="auto"/>
          <w:sz w:val="21"/>
          <w:szCs w:val="21"/>
          <w:highlight w:val="none"/>
          <w:u w:val="single" w:color="auto"/>
        </w:rPr>
        <w:t xml:space="preserve">                      </w:t>
      </w:r>
    </w:p>
    <w:p w14:paraId="5021A790">
      <w:pPr>
        <w:spacing w:line="222" w:lineRule="auto"/>
        <w:ind w:left="441"/>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 xml:space="preserve">地址：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1"/>
          <w:sz w:val="21"/>
          <w:szCs w:val="21"/>
          <w:highlight w:val="none"/>
        </w:rPr>
        <w:t xml:space="preserve"> </w:t>
      </w:r>
      <w:r>
        <w:rPr>
          <w:rFonts w:ascii="宋体" w:hAnsi="宋体" w:eastAsia="宋体" w:cs="宋体"/>
          <w:color w:val="auto"/>
          <w:spacing w:val="-31"/>
          <w:sz w:val="21"/>
          <w:szCs w:val="21"/>
          <w:highlight w:val="none"/>
        </w:rPr>
        <w:t>联系电话：</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u w:val="single" w:color="auto"/>
        </w:rPr>
        <w:t xml:space="preserve">                 </w:t>
      </w:r>
    </w:p>
    <w:p w14:paraId="0FECD31E">
      <w:pPr>
        <w:spacing w:before="246" w:line="220" w:lineRule="auto"/>
        <w:ind w:left="18"/>
        <w:outlineLvl w:val="9"/>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三、异议事项基本事实</w:t>
      </w:r>
    </w:p>
    <w:p w14:paraId="009A0EF2">
      <w:pPr>
        <w:spacing w:before="254"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异议事项</w:t>
      </w:r>
      <w:r>
        <w:rPr>
          <w:rFonts w:ascii="宋体" w:hAnsi="宋体" w:eastAsia="宋体" w:cs="宋体"/>
          <w:color w:val="auto"/>
          <w:spacing w:val="-28"/>
          <w:sz w:val="21"/>
          <w:szCs w:val="21"/>
          <w:highlight w:val="none"/>
        </w:rPr>
        <w:t xml:space="preserve"> </w:t>
      </w:r>
      <w:r>
        <w:rPr>
          <w:rFonts w:ascii="宋体" w:hAnsi="宋体" w:eastAsia="宋体" w:cs="宋体"/>
          <w:color w:val="auto"/>
          <w:spacing w:val="-6"/>
          <w:sz w:val="21"/>
          <w:szCs w:val="21"/>
          <w:highlight w:val="none"/>
        </w:rPr>
        <w:t>1</w:t>
      </w:r>
      <w:r>
        <w:rPr>
          <w:rFonts w:ascii="宋体" w:hAnsi="宋体" w:eastAsia="宋体" w:cs="宋体"/>
          <w:color w:val="auto"/>
          <w:spacing w:val="-2"/>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w:t>
      </w:r>
    </w:p>
    <w:p w14:paraId="7D752BBF">
      <w:pPr>
        <w:spacing w:before="248"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异议事项</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2</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w:t>
      </w:r>
    </w:p>
    <w:p w14:paraId="0CE7C37C">
      <w:pPr>
        <w:spacing w:before="248"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异议事项</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w:t>
      </w:r>
    </w:p>
    <w:p w14:paraId="085160AC">
      <w:pPr>
        <w:spacing w:before="248" w:line="499" w:lineRule="exact"/>
        <w:ind w:left="38"/>
        <w:rPr>
          <w:rFonts w:ascii="宋体" w:hAnsi="宋体" w:eastAsia="宋体" w:cs="宋体"/>
          <w:color w:val="auto"/>
          <w:sz w:val="21"/>
          <w:szCs w:val="21"/>
          <w:highlight w:val="none"/>
        </w:rPr>
      </w:pPr>
      <w:r>
        <w:rPr>
          <w:rFonts w:ascii="宋体" w:hAnsi="宋体" w:eastAsia="宋体" w:cs="宋体"/>
          <w:color w:val="auto"/>
          <w:spacing w:val="-1"/>
          <w:position w:val="22"/>
          <w:sz w:val="21"/>
          <w:szCs w:val="21"/>
          <w:highlight w:val="none"/>
          <w14:textOutline w14:w="3831" w14:cap="flat" w14:cmpd="sng">
            <w14:solidFill>
              <w14:srgbClr w14:val="000000"/>
            </w14:solidFill>
            <w14:prstDash w14:val="solid"/>
            <w14:miter w14:val="0"/>
          </w14:textOutline>
        </w:rPr>
        <w:t>四、有效线索和相关证明材料：见附件</w:t>
      </w:r>
    </w:p>
    <w:p w14:paraId="59356E0C">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五、相关请求及主张：</w:t>
      </w:r>
    </w:p>
    <w:p w14:paraId="23D4C48D">
      <w:pPr>
        <w:spacing w:before="248" w:line="441" w:lineRule="auto"/>
        <w:ind w:left="447" w:right="118"/>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（一</w:t>
      </w:r>
      <w:r>
        <w:rPr>
          <w:rFonts w:ascii="宋体" w:hAnsi="宋体" w:eastAsia="宋体" w:cs="宋体"/>
          <w:color w:val="auto"/>
          <w:spacing w:val="-24"/>
          <w:sz w:val="21"/>
          <w:szCs w:val="21"/>
          <w:highlight w:val="none"/>
        </w:rPr>
        <w:t>）</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1"/>
          <w:w w:val="98"/>
          <w:sz w:val="21"/>
          <w:szCs w:val="21"/>
          <w:highlight w:val="none"/>
        </w:rPr>
        <w:t>（二</w:t>
      </w:r>
      <w:r>
        <w:rPr>
          <w:rFonts w:ascii="宋体" w:hAnsi="宋体" w:eastAsia="宋体" w:cs="宋体"/>
          <w:color w:val="auto"/>
          <w:spacing w:val="-24"/>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w:t>
      </w:r>
    </w:p>
    <w:p w14:paraId="0E3C5BAF">
      <w:pPr>
        <w:spacing w:before="1" w:line="232" w:lineRule="auto"/>
        <w:ind w:left="447"/>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（三）</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2"/>
          <w:sz w:val="21"/>
          <w:szCs w:val="21"/>
          <w:highlight w:val="none"/>
        </w:rPr>
        <w:t>。</w:t>
      </w:r>
    </w:p>
    <w:p w14:paraId="335402F1">
      <w:pPr>
        <w:pStyle w:val="3"/>
        <w:spacing w:line="475" w:lineRule="auto"/>
        <w:rPr>
          <w:color w:val="auto"/>
          <w:highlight w:val="none"/>
        </w:rPr>
      </w:pPr>
    </w:p>
    <w:p w14:paraId="60C653DC">
      <w:pPr>
        <w:spacing w:before="69" w:line="220" w:lineRule="auto"/>
        <w:ind w:left="43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异议人（公章</w:t>
      </w:r>
      <w:r>
        <w:rPr>
          <w:rFonts w:ascii="宋体" w:hAnsi="宋体" w:eastAsia="宋体" w:cs="宋体"/>
          <w:color w:val="auto"/>
          <w:spacing w:val="-2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p>
    <w:p w14:paraId="11288818">
      <w:pPr>
        <w:spacing w:before="158" w:line="220" w:lineRule="auto"/>
        <w:ind w:left="264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 xml:space="preserve">法定代表人或授权代表（签字或盖章） </w:t>
      </w:r>
      <w:r>
        <w:rPr>
          <w:rFonts w:ascii="宋体" w:hAnsi="宋体" w:eastAsia="宋体" w:cs="宋体"/>
          <w:color w:val="auto"/>
          <w:spacing w:val="-6"/>
          <w:sz w:val="21"/>
          <w:szCs w:val="21"/>
          <w:highlight w:val="none"/>
          <w:u w:val="single" w:color="auto"/>
        </w:rPr>
        <w:t xml:space="preserve">                    </w:t>
      </w:r>
    </w:p>
    <w:p w14:paraId="5C3F5ACE">
      <w:pPr>
        <w:spacing w:before="157" w:line="221" w:lineRule="auto"/>
        <w:ind w:left="4261"/>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13"/>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16"/>
          <w:sz w:val="21"/>
          <w:szCs w:val="21"/>
          <w:highlight w:val="none"/>
        </w:rPr>
        <w:t xml:space="preserve">   </w:t>
      </w:r>
      <w:r>
        <w:rPr>
          <w:rFonts w:ascii="宋体" w:hAnsi="宋体" w:eastAsia="宋体" w:cs="宋体"/>
          <w:color w:val="auto"/>
          <w:spacing w:val="-25"/>
          <w:sz w:val="21"/>
          <w:szCs w:val="21"/>
          <w:highlight w:val="none"/>
        </w:rPr>
        <w:t>日</w:t>
      </w:r>
    </w:p>
    <w:p w14:paraId="108B0F6D">
      <w:pPr>
        <w:spacing w:line="221" w:lineRule="auto"/>
        <w:rPr>
          <w:rFonts w:ascii="宋体" w:hAnsi="宋体" w:eastAsia="宋体" w:cs="宋体"/>
          <w:color w:val="auto"/>
          <w:sz w:val="21"/>
          <w:szCs w:val="21"/>
          <w:highlight w:val="none"/>
        </w:rPr>
        <w:sectPr>
          <w:footerReference r:id="rId41" w:type="default"/>
          <w:pgSz w:w="11905" w:h="16839"/>
          <w:pgMar w:top="1431" w:right="1785" w:bottom="996" w:left="1785" w:header="0" w:footer="791" w:gutter="0"/>
          <w:pgNumType w:fmt="decimal"/>
          <w:cols w:space="720" w:num="1"/>
        </w:sectPr>
      </w:pPr>
    </w:p>
    <w:p w14:paraId="43BAE0C2">
      <w:pPr>
        <w:pStyle w:val="3"/>
        <w:spacing w:line="249" w:lineRule="auto"/>
        <w:rPr>
          <w:color w:val="auto"/>
          <w:highlight w:val="none"/>
        </w:rPr>
      </w:pPr>
    </w:p>
    <w:p w14:paraId="5C72493B">
      <w:pPr>
        <w:pStyle w:val="3"/>
        <w:spacing w:line="250" w:lineRule="auto"/>
        <w:rPr>
          <w:color w:val="auto"/>
          <w:highlight w:val="none"/>
        </w:rPr>
      </w:pPr>
    </w:p>
    <w:p w14:paraId="44EE91BA">
      <w:pPr>
        <w:spacing w:before="78" w:line="219"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附表十一：异议答复函</w:t>
      </w:r>
    </w:p>
    <w:p w14:paraId="32AD9CAE">
      <w:pPr>
        <w:pStyle w:val="3"/>
        <w:spacing w:line="263" w:lineRule="auto"/>
        <w:rPr>
          <w:color w:val="auto"/>
          <w:highlight w:val="none"/>
        </w:rPr>
      </w:pPr>
    </w:p>
    <w:p w14:paraId="0462E03E">
      <w:pPr>
        <w:pStyle w:val="3"/>
        <w:spacing w:line="264" w:lineRule="auto"/>
        <w:rPr>
          <w:color w:val="auto"/>
          <w:highlight w:val="none"/>
        </w:rPr>
      </w:pPr>
    </w:p>
    <w:p w14:paraId="669A65FD">
      <w:pPr>
        <w:spacing w:before="88" w:line="225" w:lineRule="auto"/>
        <w:ind w:left="3484"/>
        <w:rPr>
          <w:rFonts w:ascii="黑体" w:hAnsi="黑体" w:eastAsia="黑体" w:cs="黑体"/>
          <w:color w:val="auto"/>
          <w:sz w:val="27"/>
          <w:szCs w:val="27"/>
          <w:highlight w:val="none"/>
        </w:rPr>
      </w:pPr>
      <w:bookmarkStart w:id="83" w:name="bookmark102"/>
      <w:bookmarkEnd w:id="83"/>
      <w:bookmarkStart w:id="84" w:name="bookmark105"/>
      <w:bookmarkEnd w:id="84"/>
      <w:bookmarkStart w:id="85" w:name="bookmark106"/>
      <w:bookmarkEnd w:id="85"/>
      <w:bookmarkStart w:id="86" w:name="bookmark108"/>
      <w:bookmarkEnd w:id="86"/>
      <w:bookmarkStart w:id="87" w:name="bookmark107"/>
      <w:bookmarkEnd w:id="87"/>
      <w:bookmarkStart w:id="88" w:name="bookmark104"/>
      <w:bookmarkEnd w:id="88"/>
      <w:bookmarkStart w:id="89" w:name="bookmark103"/>
      <w:bookmarkEnd w:id="89"/>
      <w:r>
        <w:rPr>
          <w:rFonts w:ascii="黑体" w:hAnsi="黑体" w:eastAsia="黑体" w:cs="黑体"/>
          <w:color w:val="auto"/>
          <w:spacing w:val="6"/>
          <w:sz w:val="27"/>
          <w:szCs w:val="27"/>
          <w:highlight w:val="none"/>
        </w:rPr>
        <w:t>异议答复函</w:t>
      </w:r>
    </w:p>
    <w:p w14:paraId="2AD79E9A">
      <w:pPr>
        <w:tabs>
          <w:tab w:val="left" w:pos="128"/>
        </w:tabs>
        <w:spacing w:before="276" w:line="212"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8"/>
          <w:sz w:val="21"/>
          <w:szCs w:val="21"/>
          <w:highlight w:val="none"/>
          <w:u w:val="single" w:color="auto"/>
        </w:rPr>
        <w:t>（</w:t>
      </w:r>
      <w:r>
        <w:rPr>
          <w:rFonts w:ascii="宋体" w:hAnsi="宋体" w:eastAsia="宋体" w:cs="宋体"/>
          <w:i/>
          <w:iCs/>
          <w:color w:val="auto"/>
          <w:spacing w:val="-18"/>
          <w:sz w:val="22"/>
          <w:szCs w:val="22"/>
          <w:highlight w:val="none"/>
          <w:u w:val="single" w:color="auto"/>
        </w:rPr>
        <w:t>异议人名称</w:t>
      </w:r>
      <w:r>
        <w:rPr>
          <w:rFonts w:ascii="宋体" w:hAnsi="宋体" w:eastAsia="宋体" w:cs="宋体"/>
          <w:color w:val="auto"/>
          <w:spacing w:val="-29"/>
          <w:sz w:val="21"/>
          <w:szCs w:val="21"/>
          <w:highlight w:val="none"/>
          <w:u w:val="single" w:color="auto"/>
        </w:rPr>
        <w:t>）</w:t>
      </w:r>
      <w:r>
        <w:rPr>
          <w:rFonts w:ascii="宋体" w:hAnsi="宋体" w:eastAsia="宋体" w:cs="宋体"/>
          <w:color w:val="auto"/>
          <w:spacing w:val="-29"/>
          <w:sz w:val="21"/>
          <w:szCs w:val="21"/>
          <w:highlight w:val="none"/>
        </w:rPr>
        <w:t>：</w:t>
      </w:r>
    </w:p>
    <w:p w14:paraId="5211A784">
      <w:pPr>
        <w:pStyle w:val="3"/>
        <w:spacing w:line="358" w:lineRule="auto"/>
        <w:rPr>
          <w:color w:val="auto"/>
          <w:highlight w:val="none"/>
        </w:rPr>
      </w:pPr>
    </w:p>
    <w:p w14:paraId="60BDDB84">
      <w:pPr>
        <w:spacing w:before="68" w:line="359"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您单位对</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（标段名称）项目（标段唯一标识码</w:t>
      </w:r>
      <w:r>
        <w:rPr>
          <w:rFonts w:ascii="宋体" w:hAnsi="宋体" w:eastAsia="宋体" w:cs="宋体"/>
          <w:color w:val="auto"/>
          <w:spacing w:val="2"/>
          <w:sz w:val="21"/>
          <w:szCs w:val="21"/>
          <w:highlight w:val="none"/>
        </w:rPr>
        <w:t>：</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75"/>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5"/>
          <w:sz w:val="21"/>
          <w:szCs w:val="21"/>
          <w:highlight w:val="none"/>
        </w:rPr>
        <w:t>的异议书于</w:t>
      </w:r>
      <w:r>
        <w:rPr>
          <w:rFonts w:ascii="宋体" w:hAnsi="宋体" w:eastAsia="宋体" w:cs="宋体"/>
          <w:color w:val="auto"/>
          <w:spacing w:val="-104"/>
          <w:sz w:val="21"/>
          <w:szCs w:val="21"/>
          <w:highlight w:val="none"/>
        </w:rPr>
        <w:t xml:space="preserve"> </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5"/>
          <w:sz w:val="21"/>
          <w:szCs w:val="21"/>
          <w:highlight w:val="none"/>
        </w:rPr>
        <w:t>年</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5"/>
          <w:sz w:val="21"/>
          <w:szCs w:val="21"/>
          <w:highlight w:val="none"/>
        </w:rPr>
        <w:t>月</w:t>
      </w:r>
    </w:p>
    <w:p w14:paraId="41A25A95">
      <w:pPr>
        <w:spacing w:line="220" w:lineRule="auto"/>
        <w:ind w:left="5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日收悉。经查，针对异议内容，现答复如下：</w:t>
      </w:r>
    </w:p>
    <w:p w14:paraId="31271B9C">
      <w:pPr>
        <w:spacing w:before="161" w:line="221" w:lineRule="auto"/>
        <w:ind w:left="4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异议事项</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1：</w:t>
      </w:r>
      <w:r>
        <w:rPr>
          <w:rFonts w:ascii="宋体" w:hAnsi="宋体" w:eastAsia="宋体" w:cs="宋体"/>
          <w:color w:val="auto"/>
          <w:sz w:val="21"/>
          <w:szCs w:val="21"/>
          <w:highlight w:val="none"/>
          <w:u w:val="single" w:color="auto"/>
        </w:rPr>
        <w:t xml:space="preserve">                                                                </w:t>
      </w:r>
    </w:p>
    <w:p w14:paraId="3F94FCEA">
      <w:pPr>
        <w:pStyle w:val="3"/>
        <w:spacing w:line="247" w:lineRule="auto"/>
        <w:rPr>
          <w:color w:val="auto"/>
          <w:highlight w:val="none"/>
        </w:rPr>
      </w:pPr>
    </w:p>
    <w:p w14:paraId="59222F89">
      <w:pPr>
        <w:pStyle w:val="3"/>
        <w:spacing w:line="247" w:lineRule="auto"/>
        <w:rPr>
          <w:color w:val="auto"/>
          <w:highlight w:val="none"/>
        </w:rPr>
      </w:pPr>
    </w:p>
    <w:p w14:paraId="2E240849">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答复</w:t>
      </w:r>
      <w:r>
        <w:rPr>
          <w:rFonts w:ascii="宋体" w:hAnsi="宋体" w:eastAsia="宋体" w:cs="宋体"/>
          <w:color w:val="auto"/>
          <w:spacing w:val="-29"/>
          <w:sz w:val="21"/>
          <w:szCs w:val="21"/>
          <w:highlight w:val="none"/>
        </w:rPr>
        <w:t xml:space="preserve"> </w:t>
      </w:r>
      <w:r>
        <w:rPr>
          <w:rFonts w:ascii="宋体" w:hAnsi="宋体" w:eastAsia="宋体" w:cs="宋体"/>
          <w:color w:val="auto"/>
          <w:spacing w:val="-7"/>
          <w:sz w:val="21"/>
          <w:szCs w:val="21"/>
          <w:highlight w:val="none"/>
        </w:rPr>
        <w:t>1：</w:t>
      </w:r>
      <w:r>
        <w:rPr>
          <w:rFonts w:ascii="宋体" w:hAnsi="宋体" w:eastAsia="宋体" w:cs="宋体"/>
          <w:color w:val="auto"/>
          <w:sz w:val="21"/>
          <w:szCs w:val="21"/>
          <w:highlight w:val="none"/>
          <w:u w:val="single" w:color="auto"/>
        </w:rPr>
        <w:t xml:space="preserve">                                                                    </w:t>
      </w:r>
    </w:p>
    <w:p w14:paraId="40E90AE4">
      <w:pPr>
        <w:pStyle w:val="3"/>
        <w:spacing w:line="246" w:lineRule="auto"/>
        <w:rPr>
          <w:color w:val="auto"/>
          <w:highlight w:val="none"/>
        </w:rPr>
      </w:pPr>
    </w:p>
    <w:p w14:paraId="329B62B6">
      <w:pPr>
        <w:pStyle w:val="3"/>
        <w:spacing w:line="247" w:lineRule="auto"/>
        <w:rPr>
          <w:color w:val="auto"/>
          <w:highlight w:val="none"/>
        </w:rPr>
      </w:pPr>
    </w:p>
    <w:p w14:paraId="7163731F">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异议事项</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2：</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p>
    <w:p w14:paraId="29EE8253">
      <w:pPr>
        <w:pStyle w:val="3"/>
        <w:spacing w:line="247" w:lineRule="auto"/>
        <w:rPr>
          <w:color w:val="auto"/>
          <w:highlight w:val="none"/>
        </w:rPr>
      </w:pPr>
    </w:p>
    <w:p w14:paraId="15B2D330">
      <w:pPr>
        <w:pStyle w:val="3"/>
        <w:spacing w:line="247" w:lineRule="auto"/>
        <w:rPr>
          <w:color w:val="auto"/>
          <w:highlight w:val="none"/>
        </w:rPr>
      </w:pPr>
    </w:p>
    <w:p w14:paraId="7CFA2A4F">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答复</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2：</w:t>
      </w:r>
      <w:r>
        <w:rPr>
          <w:rFonts w:ascii="宋体" w:hAnsi="宋体" w:eastAsia="宋体" w:cs="宋体"/>
          <w:color w:val="auto"/>
          <w:spacing w:val="-3"/>
          <w:sz w:val="21"/>
          <w:szCs w:val="21"/>
          <w:highlight w:val="none"/>
          <w:u w:val="single" w:color="auto"/>
        </w:rPr>
        <w:t xml:space="preserve">                                                                     </w:t>
      </w:r>
    </w:p>
    <w:p w14:paraId="1546BF81">
      <w:pPr>
        <w:pStyle w:val="3"/>
        <w:spacing w:line="246" w:lineRule="auto"/>
        <w:rPr>
          <w:color w:val="auto"/>
          <w:highlight w:val="none"/>
        </w:rPr>
      </w:pPr>
    </w:p>
    <w:p w14:paraId="02A3BA24">
      <w:pPr>
        <w:pStyle w:val="3"/>
        <w:spacing w:line="246" w:lineRule="auto"/>
        <w:rPr>
          <w:color w:val="auto"/>
          <w:highlight w:val="none"/>
        </w:rPr>
      </w:pPr>
    </w:p>
    <w:p w14:paraId="59CA27C9">
      <w:pPr>
        <w:spacing w:before="69" w:line="221"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异议事项</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p>
    <w:p w14:paraId="3BF5D996">
      <w:pPr>
        <w:pStyle w:val="3"/>
        <w:spacing w:line="249" w:lineRule="auto"/>
        <w:rPr>
          <w:color w:val="auto"/>
          <w:highlight w:val="none"/>
        </w:rPr>
      </w:pPr>
    </w:p>
    <w:p w14:paraId="0E88A39F">
      <w:pPr>
        <w:pStyle w:val="3"/>
        <w:spacing w:line="249" w:lineRule="auto"/>
        <w:rPr>
          <w:color w:val="auto"/>
          <w:highlight w:val="none"/>
        </w:rPr>
      </w:pPr>
    </w:p>
    <w:p w14:paraId="2AC50F75">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答复</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3：</w:t>
      </w:r>
      <w:r>
        <w:rPr>
          <w:rFonts w:ascii="宋体" w:hAnsi="宋体" w:eastAsia="宋体" w:cs="宋体"/>
          <w:color w:val="auto"/>
          <w:spacing w:val="-3"/>
          <w:sz w:val="21"/>
          <w:szCs w:val="21"/>
          <w:highlight w:val="none"/>
          <w:u w:val="single" w:color="auto"/>
        </w:rPr>
        <w:t xml:space="preserve">                                                                     </w:t>
      </w:r>
    </w:p>
    <w:p w14:paraId="2E9278AE">
      <w:pPr>
        <w:spacing w:before="156"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相关证明材料：见附件（如有）</w:t>
      </w:r>
    </w:p>
    <w:p w14:paraId="1C193FF0">
      <w:pPr>
        <w:pStyle w:val="3"/>
        <w:spacing w:line="361" w:lineRule="auto"/>
        <w:rPr>
          <w:color w:val="auto"/>
          <w:highlight w:val="none"/>
        </w:rPr>
      </w:pPr>
    </w:p>
    <w:p w14:paraId="0AB27742">
      <w:pPr>
        <w:spacing w:before="69" w:line="408" w:lineRule="exact"/>
        <w:ind w:right="1"/>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如您单位对本答复不满意， 可以在异议答复期满十日内向有关行政监督部门依法提起</w:t>
      </w:r>
    </w:p>
    <w:p w14:paraId="150933F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投诉。感谢您对我们工作的监督和支持。</w:t>
      </w:r>
    </w:p>
    <w:p w14:paraId="1D1692F2">
      <w:pPr>
        <w:pStyle w:val="3"/>
        <w:spacing w:line="261" w:lineRule="auto"/>
        <w:rPr>
          <w:color w:val="auto"/>
          <w:highlight w:val="none"/>
        </w:rPr>
      </w:pPr>
    </w:p>
    <w:p w14:paraId="153CB9FD">
      <w:pPr>
        <w:pStyle w:val="3"/>
        <w:spacing w:line="261" w:lineRule="auto"/>
        <w:rPr>
          <w:color w:val="auto"/>
          <w:highlight w:val="none"/>
        </w:rPr>
      </w:pPr>
    </w:p>
    <w:p w14:paraId="396DE815">
      <w:pPr>
        <w:pStyle w:val="3"/>
        <w:spacing w:line="261" w:lineRule="auto"/>
        <w:rPr>
          <w:color w:val="auto"/>
          <w:highlight w:val="none"/>
        </w:rPr>
      </w:pPr>
    </w:p>
    <w:p w14:paraId="745BE852">
      <w:pPr>
        <w:pStyle w:val="3"/>
        <w:spacing w:line="261" w:lineRule="auto"/>
        <w:rPr>
          <w:color w:val="auto"/>
          <w:highlight w:val="none"/>
        </w:rPr>
      </w:pPr>
    </w:p>
    <w:p w14:paraId="031B699F">
      <w:pPr>
        <w:pStyle w:val="3"/>
        <w:spacing w:line="261" w:lineRule="auto"/>
        <w:rPr>
          <w:color w:val="auto"/>
          <w:highlight w:val="none"/>
        </w:rPr>
      </w:pPr>
    </w:p>
    <w:p w14:paraId="50DDC1C8">
      <w:pPr>
        <w:spacing w:before="69" w:line="359" w:lineRule="auto"/>
        <w:ind w:left="42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招标人或招标代理机构（公章</w:t>
      </w:r>
      <w:r>
        <w:rPr>
          <w:rFonts w:ascii="宋体" w:hAnsi="宋体" w:eastAsia="宋体" w:cs="宋体"/>
          <w:color w:val="auto"/>
          <w:spacing w:val="-3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41624093">
      <w:pPr>
        <w:spacing w:before="1" w:line="219" w:lineRule="auto"/>
        <w:ind w:left="389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 xml:space="preserve">法定代表人或授权代表（签字或盖章） </w:t>
      </w:r>
      <w:r>
        <w:rPr>
          <w:rFonts w:ascii="宋体" w:hAnsi="宋体" w:eastAsia="宋体" w:cs="宋体"/>
          <w:color w:val="auto"/>
          <w:sz w:val="21"/>
          <w:szCs w:val="21"/>
          <w:highlight w:val="none"/>
          <w:u w:val="single" w:color="auto"/>
        </w:rPr>
        <w:t xml:space="preserve">    </w:t>
      </w:r>
    </w:p>
    <w:p w14:paraId="2090A8A9">
      <w:pPr>
        <w:spacing w:before="157" w:line="221" w:lineRule="auto"/>
        <w:ind w:left="4261"/>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1"/>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17"/>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15"/>
          <w:sz w:val="21"/>
          <w:szCs w:val="21"/>
          <w:highlight w:val="none"/>
        </w:rPr>
        <w:t xml:space="preserve">   </w:t>
      </w:r>
      <w:r>
        <w:rPr>
          <w:rFonts w:ascii="宋体" w:hAnsi="宋体" w:eastAsia="宋体" w:cs="宋体"/>
          <w:color w:val="auto"/>
          <w:spacing w:val="-25"/>
          <w:sz w:val="21"/>
          <w:szCs w:val="21"/>
          <w:highlight w:val="none"/>
        </w:rPr>
        <w:t>日</w:t>
      </w:r>
    </w:p>
    <w:p w14:paraId="6235F056">
      <w:pPr>
        <w:spacing w:line="221" w:lineRule="auto"/>
        <w:rPr>
          <w:rFonts w:ascii="宋体" w:hAnsi="宋体" w:eastAsia="宋体" w:cs="宋体"/>
          <w:color w:val="auto"/>
          <w:sz w:val="21"/>
          <w:szCs w:val="21"/>
          <w:highlight w:val="none"/>
        </w:rPr>
        <w:sectPr>
          <w:footerReference r:id="rId42" w:type="default"/>
          <w:pgSz w:w="11905" w:h="16839"/>
          <w:pgMar w:top="1431" w:right="1785" w:bottom="996" w:left="1785" w:header="0" w:footer="791" w:gutter="0"/>
          <w:pgNumType w:fmt="decimal"/>
          <w:cols w:space="720" w:num="1"/>
        </w:sectPr>
      </w:pPr>
    </w:p>
    <w:p w14:paraId="260EFB2B">
      <w:pPr>
        <w:pStyle w:val="3"/>
        <w:spacing w:line="248" w:lineRule="auto"/>
        <w:rPr>
          <w:color w:val="auto"/>
          <w:highlight w:val="none"/>
        </w:rPr>
      </w:pPr>
    </w:p>
    <w:p w14:paraId="01221CF0">
      <w:pPr>
        <w:pStyle w:val="3"/>
        <w:spacing w:line="248" w:lineRule="auto"/>
        <w:rPr>
          <w:color w:val="auto"/>
          <w:highlight w:val="none"/>
        </w:rPr>
      </w:pPr>
    </w:p>
    <w:p w14:paraId="1D0F6EF1">
      <w:pPr>
        <w:pStyle w:val="3"/>
        <w:spacing w:line="248" w:lineRule="auto"/>
        <w:rPr>
          <w:color w:val="auto"/>
          <w:highlight w:val="none"/>
        </w:rPr>
      </w:pPr>
    </w:p>
    <w:p w14:paraId="2835C90A">
      <w:pPr>
        <w:pStyle w:val="3"/>
        <w:spacing w:line="248" w:lineRule="auto"/>
        <w:rPr>
          <w:color w:val="auto"/>
          <w:highlight w:val="none"/>
        </w:rPr>
      </w:pPr>
    </w:p>
    <w:p w14:paraId="585F6681">
      <w:pPr>
        <w:pStyle w:val="3"/>
        <w:spacing w:line="248" w:lineRule="auto"/>
        <w:rPr>
          <w:color w:val="auto"/>
          <w:highlight w:val="none"/>
        </w:rPr>
      </w:pPr>
    </w:p>
    <w:p w14:paraId="6467E847">
      <w:pPr>
        <w:pStyle w:val="3"/>
        <w:spacing w:line="248" w:lineRule="auto"/>
        <w:rPr>
          <w:color w:val="auto"/>
          <w:highlight w:val="none"/>
        </w:rPr>
      </w:pPr>
    </w:p>
    <w:p w14:paraId="2E8CAE50">
      <w:pPr>
        <w:pStyle w:val="3"/>
        <w:spacing w:line="248" w:lineRule="auto"/>
        <w:rPr>
          <w:color w:val="auto"/>
          <w:highlight w:val="none"/>
        </w:rPr>
      </w:pPr>
    </w:p>
    <w:p w14:paraId="3EE41704">
      <w:pPr>
        <w:pStyle w:val="3"/>
        <w:spacing w:line="248" w:lineRule="auto"/>
        <w:rPr>
          <w:color w:val="auto"/>
          <w:highlight w:val="none"/>
        </w:rPr>
      </w:pPr>
    </w:p>
    <w:p w14:paraId="3EABB8EC">
      <w:pPr>
        <w:pStyle w:val="3"/>
        <w:spacing w:line="248" w:lineRule="auto"/>
        <w:rPr>
          <w:color w:val="auto"/>
          <w:highlight w:val="none"/>
        </w:rPr>
      </w:pPr>
    </w:p>
    <w:p w14:paraId="6CAF1BBB">
      <w:pPr>
        <w:pStyle w:val="3"/>
        <w:spacing w:line="248" w:lineRule="auto"/>
        <w:rPr>
          <w:color w:val="auto"/>
          <w:highlight w:val="none"/>
        </w:rPr>
      </w:pPr>
    </w:p>
    <w:p w14:paraId="063DCFE1">
      <w:pPr>
        <w:pStyle w:val="3"/>
        <w:spacing w:line="249" w:lineRule="auto"/>
        <w:rPr>
          <w:color w:val="auto"/>
          <w:highlight w:val="none"/>
        </w:rPr>
      </w:pPr>
    </w:p>
    <w:p w14:paraId="29CACF02">
      <w:pPr>
        <w:pStyle w:val="3"/>
        <w:spacing w:line="249" w:lineRule="auto"/>
        <w:rPr>
          <w:color w:val="auto"/>
          <w:highlight w:val="none"/>
        </w:rPr>
      </w:pPr>
    </w:p>
    <w:p w14:paraId="7E4643A5">
      <w:pPr>
        <w:pStyle w:val="3"/>
        <w:spacing w:line="249" w:lineRule="auto"/>
        <w:rPr>
          <w:color w:val="auto"/>
          <w:highlight w:val="none"/>
        </w:rPr>
      </w:pPr>
    </w:p>
    <w:p w14:paraId="2D8977BB">
      <w:pPr>
        <w:pStyle w:val="3"/>
        <w:spacing w:line="249" w:lineRule="auto"/>
        <w:rPr>
          <w:color w:val="auto"/>
          <w:highlight w:val="none"/>
        </w:rPr>
      </w:pPr>
    </w:p>
    <w:p w14:paraId="0AF3563F">
      <w:pPr>
        <w:pStyle w:val="3"/>
        <w:spacing w:line="249" w:lineRule="auto"/>
        <w:rPr>
          <w:color w:val="auto"/>
          <w:highlight w:val="none"/>
        </w:rPr>
      </w:pPr>
    </w:p>
    <w:p w14:paraId="1BC478D1">
      <w:pPr>
        <w:spacing w:before="104" w:line="219" w:lineRule="auto"/>
        <w:ind w:left="2899"/>
        <w:outlineLvl w:val="0"/>
        <w:rPr>
          <w:rFonts w:ascii="黑体" w:hAnsi="黑体" w:eastAsia="黑体" w:cs="黑体"/>
          <w:color w:val="auto"/>
          <w:sz w:val="32"/>
          <w:szCs w:val="32"/>
          <w:highlight w:val="none"/>
        </w:rPr>
      </w:pPr>
      <w:bookmarkStart w:id="90" w:name="bookmark109"/>
      <w:bookmarkEnd w:id="90"/>
      <w:r>
        <w:rPr>
          <w:rFonts w:ascii="黑体" w:hAnsi="黑体" w:eastAsia="黑体" w:cs="黑体"/>
          <w:color w:val="auto"/>
          <w:spacing w:val="-1"/>
          <w:sz w:val="32"/>
          <w:szCs w:val="32"/>
          <w:highlight w:val="none"/>
        </w:rPr>
        <w:t>第三章  评标办法</w:t>
      </w:r>
    </w:p>
    <w:p w14:paraId="27EBC167">
      <w:pPr>
        <w:spacing w:line="219" w:lineRule="auto"/>
        <w:rPr>
          <w:rFonts w:ascii="黑体" w:hAnsi="黑体" w:eastAsia="黑体" w:cs="黑体"/>
          <w:color w:val="auto"/>
          <w:sz w:val="32"/>
          <w:szCs w:val="32"/>
          <w:highlight w:val="none"/>
        </w:rPr>
        <w:sectPr>
          <w:footerReference r:id="rId43" w:type="default"/>
          <w:pgSz w:w="11905" w:h="16839"/>
          <w:pgMar w:top="1431" w:right="1785" w:bottom="996" w:left="1785" w:header="0" w:footer="791" w:gutter="0"/>
          <w:pgNumType w:fmt="decimal"/>
          <w:cols w:space="720" w:num="1"/>
        </w:sectPr>
      </w:pPr>
    </w:p>
    <w:p w14:paraId="287B96E5">
      <w:pPr>
        <w:spacing w:before="64" w:line="219" w:lineRule="auto"/>
        <w:ind w:left="3201"/>
        <w:rPr>
          <w:rFonts w:ascii="黑体" w:hAnsi="黑体" w:eastAsia="黑体" w:cs="黑体"/>
          <w:color w:val="auto"/>
          <w:sz w:val="32"/>
          <w:szCs w:val="32"/>
          <w:highlight w:val="none"/>
        </w:rPr>
      </w:pPr>
      <w:bookmarkStart w:id="91" w:name="bookmark111"/>
      <w:bookmarkEnd w:id="91"/>
      <w:bookmarkStart w:id="92" w:name="bookmark110"/>
      <w:bookmarkEnd w:id="92"/>
      <w:r>
        <w:rPr>
          <w:rFonts w:ascii="黑体" w:hAnsi="黑体" w:eastAsia="黑体" w:cs="黑体"/>
          <w:color w:val="auto"/>
          <w:spacing w:val="-1"/>
          <w:sz w:val="32"/>
          <w:szCs w:val="32"/>
          <w:highlight w:val="none"/>
        </w:rPr>
        <w:t>第三章  评标办法</w:t>
      </w:r>
    </w:p>
    <w:p w14:paraId="5D768B9C">
      <w:pPr>
        <w:pStyle w:val="3"/>
        <w:spacing w:line="426" w:lineRule="auto"/>
        <w:rPr>
          <w:color w:val="auto"/>
          <w:highlight w:val="none"/>
        </w:rPr>
      </w:pPr>
    </w:p>
    <w:p w14:paraId="2C08AF94">
      <w:pPr>
        <w:spacing w:before="88" w:line="224" w:lineRule="auto"/>
        <w:ind w:left="2516"/>
        <w:outlineLvl w:val="1"/>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评标办法前附表（综合评估法）</w:t>
      </w:r>
    </w:p>
    <w:p w14:paraId="777A6A13">
      <w:pPr>
        <w:spacing w:before="111"/>
        <w:rPr>
          <w:color w:val="auto"/>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228EF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4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C36A056">
            <w:pPr>
              <w:pStyle w:val="11"/>
              <w:spacing w:before="182" w:beforeLines="0" w:afterLines="0" w:line="221" w:lineRule="auto"/>
              <w:ind w:left="610"/>
              <w:rPr>
                <w:rFonts w:hint="default"/>
                <w:color w:val="auto"/>
                <w:sz w:val="21"/>
                <w:szCs w:val="21"/>
                <w:highlight w:val="none"/>
              </w:rPr>
            </w:pPr>
            <w:r>
              <w:rPr>
                <w:rFonts w:hint="default"/>
                <w:color w:val="auto"/>
                <w:spacing w:val="-2"/>
                <w:sz w:val="21"/>
                <w:szCs w:val="21"/>
                <w:highlight w:val="none"/>
              </w:rPr>
              <w:t>条款号</w:t>
            </w: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92808DA">
            <w:pPr>
              <w:pStyle w:val="11"/>
              <w:spacing w:before="182" w:beforeLines="0" w:afterLines="0" w:line="221" w:lineRule="auto"/>
              <w:ind w:left="728"/>
              <w:rPr>
                <w:rFonts w:hint="default"/>
                <w:color w:val="auto"/>
                <w:sz w:val="21"/>
                <w:szCs w:val="21"/>
                <w:highlight w:val="none"/>
              </w:rPr>
            </w:pPr>
            <w:r>
              <w:rPr>
                <w:rFonts w:hint="default"/>
                <w:color w:val="auto"/>
                <w:spacing w:val="-1"/>
                <w:sz w:val="21"/>
                <w:szCs w:val="21"/>
                <w:highlight w:val="none"/>
              </w:rPr>
              <w:t>评审因素</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4B588A">
            <w:pPr>
              <w:pStyle w:val="11"/>
              <w:spacing w:before="183" w:beforeLines="0" w:afterLines="0" w:line="221" w:lineRule="auto"/>
              <w:ind w:left="1973"/>
              <w:rPr>
                <w:rFonts w:hint="default"/>
                <w:color w:val="auto"/>
                <w:sz w:val="21"/>
                <w:szCs w:val="21"/>
                <w:highlight w:val="none"/>
              </w:rPr>
            </w:pPr>
            <w:r>
              <w:rPr>
                <w:rFonts w:hint="default"/>
                <w:color w:val="auto"/>
                <w:spacing w:val="-1"/>
                <w:sz w:val="21"/>
                <w:szCs w:val="21"/>
                <w:highlight w:val="none"/>
              </w:rPr>
              <w:t>评审标准</w:t>
            </w:r>
          </w:p>
        </w:tc>
      </w:tr>
      <w:tr w14:paraId="0B365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214E4246">
            <w:pPr>
              <w:spacing w:beforeLines="0" w:afterLines="0" w:line="255" w:lineRule="auto"/>
              <w:rPr>
                <w:rFonts w:hint="default"/>
                <w:color w:val="auto"/>
                <w:sz w:val="21"/>
                <w:szCs w:val="21"/>
                <w:highlight w:val="none"/>
              </w:rPr>
            </w:pPr>
          </w:p>
          <w:p w14:paraId="58A09DF9">
            <w:pPr>
              <w:spacing w:beforeLines="0" w:afterLines="0" w:line="255" w:lineRule="auto"/>
              <w:rPr>
                <w:rFonts w:hint="default"/>
                <w:color w:val="auto"/>
                <w:sz w:val="21"/>
                <w:szCs w:val="21"/>
                <w:highlight w:val="none"/>
              </w:rPr>
            </w:pPr>
          </w:p>
          <w:p w14:paraId="45652DA9">
            <w:pPr>
              <w:spacing w:beforeLines="0" w:afterLines="0" w:line="255" w:lineRule="auto"/>
              <w:rPr>
                <w:rFonts w:hint="default"/>
                <w:color w:val="auto"/>
                <w:sz w:val="21"/>
                <w:szCs w:val="21"/>
                <w:highlight w:val="none"/>
              </w:rPr>
            </w:pPr>
          </w:p>
          <w:p w14:paraId="61C93DEB">
            <w:pPr>
              <w:spacing w:beforeLines="0" w:afterLines="0" w:line="256" w:lineRule="auto"/>
              <w:rPr>
                <w:rFonts w:hint="default"/>
                <w:color w:val="auto"/>
                <w:sz w:val="21"/>
                <w:szCs w:val="21"/>
                <w:highlight w:val="none"/>
              </w:rPr>
            </w:pPr>
          </w:p>
          <w:p w14:paraId="0726A5EF">
            <w:pPr>
              <w:spacing w:beforeLines="0" w:afterLines="0" w:line="256" w:lineRule="auto"/>
              <w:rPr>
                <w:rFonts w:hint="default"/>
                <w:color w:val="auto"/>
                <w:sz w:val="21"/>
                <w:szCs w:val="21"/>
                <w:highlight w:val="none"/>
              </w:rPr>
            </w:pPr>
          </w:p>
          <w:p w14:paraId="73740E88">
            <w:pPr>
              <w:spacing w:beforeLines="0" w:afterLines="0" w:line="256" w:lineRule="auto"/>
              <w:rPr>
                <w:rFonts w:hint="default"/>
                <w:color w:val="auto"/>
                <w:sz w:val="21"/>
                <w:szCs w:val="21"/>
                <w:highlight w:val="none"/>
              </w:rPr>
            </w:pPr>
          </w:p>
          <w:p w14:paraId="33AB4673">
            <w:pPr>
              <w:spacing w:beforeLines="0" w:afterLines="0" w:line="256" w:lineRule="auto"/>
              <w:rPr>
                <w:rFonts w:hint="default"/>
                <w:color w:val="auto"/>
                <w:sz w:val="21"/>
                <w:szCs w:val="21"/>
                <w:highlight w:val="none"/>
              </w:rPr>
            </w:pPr>
          </w:p>
          <w:p w14:paraId="2C3D0E1F">
            <w:pPr>
              <w:spacing w:beforeLines="0" w:afterLines="0" w:line="256" w:lineRule="auto"/>
              <w:rPr>
                <w:rFonts w:hint="default"/>
                <w:color w:val="auto"/>
                <w:sz w:val="21"/>
                <w:szCs w:val="21"/>
                <w:highlight w:val="none"/>
              </w:rPr>
            </w:pPr>
          </w:p>
          <w:p w14:paraId="3B2FD82A">
            <w:pPr>
              <w:spacing w:beforeLines="0" w:afterLines="0" w:line="256" w:lineRule="auto"/>
              <w:rPr>
                <w:rFonts w:hint="default"/>
                <w:color w:val="auto"/>
                <w:sz w:val="21"/>
                <w:szCs w:val="21"/>
                <w:highlight w:val="none"/>
              </w:rPr>
            </w:pPr>
          </w:p>
          <w:p w14:paraId="40CF8114">
            <w:pPr>
              <w:spacing w:beforeLines="0" w:afterLines="0" w:line="256" w:lineRule="auto"/>
              <w:rPr>
                <w:rFonts w:hint="default"/>
                <w:color w:val="auto"/>
                <w:sz w:val="21"/>
                <w:szCs w:val="21"/>
                <w:highlight w:val="none"/>
              </w:rPr>
            </w:pPr>
          </w:p>
          <w:p w14:paraId="79621642">
            <w:pPr>
              <w:spacing w:beforeLines="0" w:afterLines="0" w:line="256" w:lineRule="auto"/>
              <w:rPr>
                <w:rFonts w:hint="default"/>
                <w:color w:val="auto"/>
                <w:sz w:val="21"/>
                <w:szCs w:val="21"/>
                <w:highlight w:val="none"/>
              </w:rPr>
            </w:pPr>
          </w:p>
          <w:p w14:paraId="7D4D3696">
            <w:pPr>
              <w:spacing w:beforeLines="0" w:afterLines="0" w:line="256" w:lineRule="auto"/>
              <w:rPr>
                <w:rFonts w:hint="default"/>
                <w:color w:val="auto"/>
                <w:sz w:val="21"/>
                <w:szCs w:val="21"/>
                <w:highlight w:val="none"/>
              </w:rPr>
            </w:pPr>
          </w:p>
          <w:p w14:paraId="64160908">
            <w:pPr>
              <w:spacing w:beforeLines="0" w:afterLines="0" w:line="256" w:lineRule="auto"/>
              <w:rPr>
                <w:rFonts w:hint="default"/>
                <w:color w:val="auto"/>
                <w:sz w:val="21"/>
                <w:szCs w:val="21"/>
                <w:highlight w:val="none"/>
              </w:rPr>
            </w:pPr>
          </w:p>
          <w:p w14:paraId="3B9ADF52">
            <w:pPr>
              <w:spacing w:beforeLines="0" w:afterLines="0" w:line="256" w:lineRule="auto"/>
              <w:rPr>
                <w:rFonts w:hint="default"/>
                <w:color w:val="auto"/>
                <w:sz w:val="21"/>
                <w:szCs w:val="21"/>
                <w:highlight w:val="none"/>
              </w:rPr>
            </w:pPr>
          </w:p>
          <w:p w14:paraId="60138436">
            <w:pPr>
              <w:spacing w:beforeLines="0" w:afterLines="0" w:line="256" w:lineRule="auto"/>
              <w:rPr>
                <w:rFonts w:hint="default"/>
                <w:color w:val="auto"/>
                <w:sz w:val="21"/>
                <w:szCs w:val="21"/>
                <w:highlight w:val="none"/>
              </w:rPr>
            </w:pPr>
          </w:p>
          <w:p w14:paraId="3EACF89A">
            <w:pPr>
              <w:spacing w:before="61" w:beforeLines="0" w:afterLines="0" w:line="189" w:lineRule="auto"/>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2.1.1</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1395CDEE">
            <w:pPr>
              <w:spacing w:beforeLines="0" w:afterLines="0" w:line="241" w:lineRule="auto"/>
              <w:rPr>
                <w:rFonts w:hint="default"/>
                <w:color w:val="auto"/>
                <w:sz w:val="21"/>
                <w:szCs w:val="21"/>
                <w:highlight w:val="none"/>
              </w:rPr>
            </w:pPr>
          </w:p>
          <w:p w14:paraId="767A9818">
            <w:pPr>
              <w:spacing w:beforeLines="0" w:afterLines="0" w:line="241" w:lineRule="auto"/>
              <w:rPr>
                <w:rFonts w:hint="default"/>
                <w:color w:val="auto"/>
                <w:sz w:val="21"/>
                <w:szCs w:val="21"/>
                <w:highlight w:val="none"/>
              </w:rPr>
            </w:pPr>
          </w:p>
          <w:p w14:paraId="1C5D781E">
            <w:pPr>
              <w:spacing w:beforeLines="0" w:afterLines="0" w:line="241" w:lineRule="auto"/>
              <w:rPr>
                <w:rFonts w:hint="default"/>
                <w:color w:val="auto"/>
                <w:sz w:val="21"/>
                <w:szCs w:val="21"/>
                <w:highlight w:val="none"/>
              </w:rPr>
            </w:pPr>
          </w:p>
          <w:p w14:paraId="3CBFF31C">
            <w:pPr>
              <w:spacing w:beforeLines="0" w:afterLines="0" w:line="241" w:lineRule="auto"/>
              <w:rPr>
                <w:rFonts w:hint="default"/>
                <w:color w:val="auto"/>
                <w:sz w:val="21"/>
                <w:szCs w:val="21"/>
                <w:highlight w:val="none"/>
              </w:rPr>
            </w:pPr>
          </w:p>
          <w:p w14:paraId="1CD0648C">
            <w:pPr>
              <w:spacing w:beforeLines="0" w:afterLines="0" w:line="241" w:lineRule="auto"/>
              <w:rPr>
                <w:rFonts w:hint="default"/>
                <w:color w:val="auto"/>
                <w:sz w:val="21"/>
                <w:szCs w:val="21"/>
                <w:highlight w:val="none"/>
              </w:rPr>
            </w:pPr>
          </w:p>
          <w:p w14:paraId="402F932D">
            <w:pPr>
              <w:spacing w:beforeLines="0" w:afterLines="0" w:line="241" w:lineRule="auto"/>
              <w:rPr>
                <w:rFonts w:hint="default"/>
                <w:color w:val="auto"/>
                <w:sz w:val="21"/>
                <w:szCs w:val="21"/>
                <w:highlight w:val="none"/>
              </w:rPr>
            </w:pPr>
          </w:p>
          <w:p w14:paraId="04C2445A">
            <w:pPr>
              <w:spacing w:beforeLines="0" w:afterLines="0" w:line="241" w:lineRule="auto"/>
              <w:rPr>
                <w:rFonts w:hint="default"/>
                <w:color w:val="auto"/>
                <w:sz w:val="21"/>
                <w:szCs w:val="21"/>
                <w:highlight w:val="none"/>
              </w:rPr>
            </w:pPr>
          </w:p>
          <w:p w14:paraId="49CC3245">
            <w:pPr>
              <w:spacing w:beforeLines="0" w:afterLines="0" w:line="241" w:lineRule="auto"/>
              <w:rPr>
                <w:rFonts w:hint="default"/>
                <w:color w:val="auto"/>
                <w:sz w:val="21"/>
                <w:szCs w:val="21"/>
                <w:highlight w:val="none"/>
              </w:rPr>
            </w:pPr>
          </w:p>
          <w:p w14:paraId="41F44A10">
            <w:pPr>
              <w:spacing w:beforeLines="0" w:afterLines="0" w:line="241" w:lineRule="auto"/>
              <w:rPr>
                <w:rFonts w:hint="default"/>
                <w:color w:val="auto"/>
                <w:sz w:val="21"/>
                <w:szCs w:val="21"/>
                <w:highlight w:val="none"/>
              </w:rPr>
            </w:pPr>
          </w:p>
          <w:p w14:paraId="1B87EAC5">
            <w:pPr>
              <w:spacing w:beforeLines="0" w:afterLines="0" w:line="241" w:lineRule="auto"/>
              <w:rPr>
                <w:rFonts w:hint="default"/>
                <w:color w:val="auto"/>
                <w:sz w:val="21"/>
                <w:szCs w:val="21"/>
                <w:highlight w:val="none"/>
              </w:rPr>
            </w:pPr>
          </w:p>
          <w:p w14:paraId="1DD1F7CA">
            <w:pPr>
              <w:spacing w:beforeLines="0" w:afterLines="0" w:line="242" w:lineRule="auto"/>
              <w:rPr>
                <w:rFonts w:hint="default"/>
                <w:color w:val="auto"/>
                <w:sz w:val="21"/>
                <w:szCs w:val="21"/>
                <w:highlight w:val="none"/>
              </w:rPr>
            </w:pPr>
          </w:p>
          <w:p w14:paraId="06C36FCC">
            <w:pPr>
              <w:spacing w:beforeLines="0" w:afterLines="0" w:line="242" w:lineRule="auto"/>
              <w:rPr>
                <w:rFonts w:hint="default"/>
                <w:color w:val="auto"/>
                <w:sz w:val="21"/>
                <w:szCs w:val="21"/>
                <w:highlight w:val="none"/>
              </w:rPr>
            </w:pPr>
          </w:p>
          <w:p w14:paraId="7E51D347">
            <w:pPr>
              <w:spacing w:beforeLines="0" w:afterLines="0" w:line="242" w:lineRule="auto"/>
              <w:rPr>
                <w:rFonts w:hint="default"/>
                <w:color w:val="auto"/>
                <w:sz w:val="21"/>
                <w:szCs w:val="21"/>
                <w:highlight w:val="none"/>
              </w:rPr>
            </w:pPr>
          </w:p>
          <w:p w14:paraId="6C7E3E43">
            <w:pPr>
              <w:spacing w:beforeLines="0" w:afterLines="0" w:line="242" w:lineRule="auto"/>
              <w:rPr>
                <w:rFonts w:hint="default"/>
                <w:color w:val="auto"/>
                <w:sz w:val="21"/>
                <w:szCs w:val="21"/>
                <w:highlight w:val="none"/>
              </w:rPr>
            </w:pPr>
          </w:p>
          <w:p w14:paraId="41FBB0BF">
            <w:pPr>
              <w:pStyle w:val="11"/>
              <w:spacing w:before="68" w:beforeLines="0" w:afterLines="0" w:line="418" w:lineRule="exact"/>
              <w:ind w:left="347"/>
              <w:rPr>
                <w:rFonts w:hint="default"/>
                <w:color w:val="auto"/>
                <w:sz w:val="21"/>
                <w:szCs w:val="21"/>
                <w:highlight w:val="none"/>
              </w:rPr>
            </w:pPr>
            <w:r>
              <w:rPr>
                <w:rFonts w:hint="default"/>
                <w:color w:val="auto"/>
                <w:spacing w:val="-3"/>
                <w:position w:val="15"/>
                <w:sz w:val="21"/>
                <w:szCs w:val="21"/>
                <w:highlight w:val="none"/>
              </w:rPr>
              <w:t>形式</w:t>
            </w:r>
          </w:p>
          <w:p w14:paraId="170ADEDB">
            <w:pPr>
              <w:pStyle w:val="11"/>
              <w:spacing w:beforeLines="0" w:afterLines="0" w:line="221" w:lineRule="auto"/>
              <w:ind w:left="343"/>
              <w:rPr>
                <w:rFonts w:hint="default"/>
                <w:color w:val="auto"/>
                <w:sz w:val="21"/>
                <w:szCs w:val="21"/>
                <w:highlight w:val="none"/>
              </w:rPr>
            </w:pPr>
            <w:r>
              <w:rPr>
                <w:rFonts w:hint="default"/>
                <w:color w:val="auto"/>
                <w:spacing w:val="-2"/>
                <w:sz w:val="21"/>
                <w:szCs w:val="21"/>
                <w:highlight w:val="none"/>
              </w:rPr>
              <w:t>评审</w:t>
            </w:r>
          </w:p>
          <w:p w14:paraId="749D4A50">
            <w:pPr>
              <w:pStyle w:val="11"/>
              <w:spacing w:before="171" w:beforeLines="0" w:afterLines="0" w:line="221" w:lineRule="auto"/>
              <w:ind w:left="345"/>
              <w:rPr>
                <w:rFonts w:hint="default"/>
                <w:color w:val="auto"/>
                <w:sz w:val="21"/>
                <w:szCs w:val="21"/>
                <w:highlight w:val="none"/>
              </w:rPr>
            </w:pPr>
            <w:r>
              <w:rPr>
                <w:rFonts w:hint="default"/>
                <w:color w:val="auto"/>
                <w:spacing w:val="-2"/>
                <w:sz w:val="21"/>
                <w:szCs w:val="21"/>
                <w:highlight w:val="none"/>
              </w:rPr>
              <w:t>标准</w:t>
            </w: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C19A694">
            <w:pPr>
              <w:pStyle w:val="11"/>
              <w:spacing w:before="174" w:beforeLines="0" w:afterLines="0" w:line="221" w:lineRule="auto"/>
              <w:ind w:left="630"/>
              <w:rPr>
                <w:rFonts w:hint="default"/>
                <w:color w:val="auto"/>
                <w:sz w:val="21"/>
                <w:szCs w:val="21"/>
                <w:highlight w:val="none"/>
              </w:rPr>
            </w:pPr>
            <w:r>
              <w:rPr>
                <w:rFonts w:hint="default"/>
                <w:color w:val="auto"/>
                <w:spacing w:val="-1"/>
                <w:sz w:val="21"/>
                <w:szCs w:val="21"/>
                <w:highlight w:val="none"/>
              </w:rPr>
              <w:t>投标人名称</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41044DD">
            <w:pPr>
              <w:pStyle w:val="11"/>
              <w:spacing w:before="173" w:beforeLines="0" w:afterLines="0" w:line="220" w:lineRule="auto"/>
              <w:ind w:left="116"/>
              <w:rPr>
                <w:rFonts w:hint="default"/>
                <w:color w:val="auto"/>
                <w:sz w:val="21"/>
                <w:szCs w:val="21"/>
                <w:highlight w:val="none"/>
              </w:rPr>
            </w:pPr>
            <w:r>
              <w:rPr>
                <w:rFonts w:hint="default"/>
                <w:color w:val="auto"/>
                <w:spacing w:val="-1"/>
                <w:sz w:val="21"/>
                <w:szCs w:val="21"/>
                <w:highlight w:val="none"/>
              </w:rPr>
              <w:t>与营业执照、资质证书、安全生产许可证一致</w:t>
            </w:r>
          </w:p>
        </w:tc>
      </w:tr>
      <w:tr w14:paraId="09614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AFB10E5">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6C48128E">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02B0A94">
            <w:pPr>
              <w:pStyle w:val="11"/>
              <w:spacing w:before="174" w:beforeLines="0" w:afterLines="0" w:line="220" w:lineRule="auto"/>
              <w:ind w:left="314"/>
              <w:rPr>
                <w:rFonts w:hint="default"/>
                <w:color w:val="auto"/>
                <w:sz w:val="21"/>
                <w:szCs w:val="21"/>
                <w:highlight w:val="none"/>
              </w:rPr>
            </w:pPr>
            <w:r>
              <w:rPr>
                <w:rFonts w:hint="default"/>
                <w:color w:val="auto"/>
                <w:spacing w:val="-1"/>
                <w:sz w:val="21"/>
                <w:szCs w:val="21"/>
                <w:highlight w:val="none"/>
              </w:rPr>
              <w:t>投标文件签字盖章</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8F81E3F">
            <w:pPr>
              <w:pStyle w:val="11"/>
              <w:spacing w:before="174"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符合第二章“投标人须知”第</w:t>
            </w:r>
            <w:r>
              <w:rPr>
                <w:rFonts w:hint="default"/>
                <w:color w:val="auto"/>
                <w:spacing w:val="-43"/>
                <w:sz w:val="21"/>
                <w:szCs w:val="21"/>
                <w:highlight w:val="none"/>
              </w:rPr>
              <w:t xml:space="preserve"> </w:t>
            </w:r>
            <w:r>
              <w:rPr>
                <w:rFonts w:hint="default"/>
                <w:color w:val="auto"/>
                <w:spacing w:val="-1"/>
                <w:sz w:val="21"/>
                <w:szCs w:val="21"/>
                <w:highlight w:val="none"/>
              </w:rPr>
              <w:t>3.7.3（4）目规定</w:t>
            </w:r>
          </w:p>
        </w:tc>
      </w:tr>
      <w:tr w14:paraId="706DD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E67CFD0">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F8D9074">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827CD4F">
            <w:pPr>
              <w:spacing w:beforeLines="0" w:afterLines="0" w:line="300" w:lineRule="auto"/>
              <w:rPr>
                <w:rFonts w:hint="default"/>
                <w:color w:val="auto"/>
                <w:sz w:val="21"/>
                <w:szCs w:val="21"/>
                <w:highlight w:val="none"/>
              </w:rPr>
            </w:pPr>
          </w:p>
          <w:p w14:paraId="406A6F14">
            <w:pPr>
              <w:pStyle w:val="11"/>
              <w:spacing w:before="69" w:beforeLines="0" w:afterLines="0" w:line="221" w:lineRule="auto"/>
              <w:ind w:left="208"/>
              <w:rPr>
                <w:rFonts w:hint="default"/>
                <w:color w:val="auto"/>
                <w:sz w:val="21"/>
                <w:szCs w:val="21"/>
                <w:highlight w:val="none"/>
              </w:rPr>
            </w:pPr>
            <w:r>
              <w:rPr>
                <w:rFonts w:hint="default"/>
                <w:color w:val="auto"/>
                <w:spacing w:val="-1"/>
                <w:sz w:val="21"/>
                <w:szCs w:val="21"/>
                <w:highlight w:val="none"/>
              </w:rPr>
              <w:t>投标文件格式、内容</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2E07CEA">
            <w:pPr>
              <w:pStyle w:val="11"/>
              <w:spacing w:before="160" w:beforeLines="0" w:afterLines="0" w:line="422" w:lineRule="exact"/>
              <w:ind w:left="113"/>
              <w:rPr>
                <w:rFonts w:hint="default"/>
                <w:color w:val="auto"/>
                <w:sz w:val="21"/>
                <w:szCs w:val="21"/>
                <w:highlight w:val="none"/>
              </w:rPr>
            </w:pPr>
            <w:r>
              <w:rPr>
                <w:rFonts w:hint="default"/>
                <w:color w:val="auto"/>
                <w:spacing w:val="7"/>
                <w:position w:val="16"/>
                <w:sz w:val="21"/>
                <w:szCs w:val="21"/>
                <w:highlight w:val="none"/>
              </w:rPr>
              <w:t>符合第八章“投标文件格式”的要求且实质性内</w:t>
            </w:r>
          </w:p>
          <w:p w14:paraId="75662757">
            <w:pPr>
              <w:pStyle w:val="11"/>
              <w:spacing w:beforeLines="0" w:afterLines="0" w:line="220" w:lineRule="auto"/>
              <w:ind w:left="114"/>
              <w:rPr>
                <w:rFonts w:hint="default"/>
                <w:color w:val="auto"/>
                <w:sz w:val="21"/>
                <w:szCs w:val="21"/>
                <w:highlight w:val="none"/>
              </w:rPr>
            </w:pPr>
            <w:r>
              <w:rPr>
                <w:rFonts w:hint="default"/>
                <w:color w:val="auto"/>
                <w:spacing w:val="-2"/>
                <w:sz w:val="21"/>
                <w:szCs w:val="21"/>
                <w:highlight w:val="none"/>
              </w:rPr>
              <w:t>容齐全</w:t>
            </w:r>
          </w:p>
        </w:tc>
      </w:tr>
      <w:tr w14:paraId="3C4B9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7EAC6FF">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6F58E959">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263EB4B">
            <w:pPr>
              <w:pStyle w:val="11"/>
              <w:spacing w:before="155" w:beforeLines="0" w:afterLines="0" w:line="423" w:lineRule="exact"/>
              <w:ind w:left="312"/>
              <w:rPr>
                <w:rFonts w:hint="default"/>
                <w:color w:val="auto"/>
                <w:sz w:val="21"/>
                <w:szCs w:val="21"/>
                <w:highlight w:val="none"/>
              </w:rPr>
            </w:pPr>
            <w:r>
              <w:rPr>
                <w:rFonts w:hint="default"/>
                <w:color w:val="auto"/>
                <w:spacing w:val="-1"/>
                <w:position w:val="16"/>
                <w:sz w:val="21"/>
                <w:szCs w:val="21"/>
                <w:highlight w:val="none"/>
              </w:rPr>
              <w:t>联合体投标人（如</w:t>
            </w:r>
          </w:p>
          <w:p w14:paraId="77963DA7">
            <w:pPr>
              <w:pStyle w:val="11"/>
              <w:spacing w:beforeLines="0" w:afterLines="0" w:line="221" w:lineRule="auto"/>
              <w:ind w:left="946"/>
              <w:rPr>
                <w:rFonts w:hint="default"/>
                <w:color w:val="auto"/>
                <w:sz w:val="21"/>
                <w:szCs w:val="21"/>
                <w:highlight w:val="none"/>
              </w:rPr>
            </w:pPr>
            <w:r>
              <w:rPr>
                <w:rFonts w:hint="default"/>
                <w:color w:val="auto"/>
                <w:spacing w:val="-6"/>
                <w:sz w:val="21"/>
                <w:szCs w:val="21"/>
                <w:highlight w:val="none"/>
              </w:rPr>
              <w:t>有）</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168791E">
            <w:pPr>
              <w:pStyle w:val="11"/>
              <w:spacing w:before="155" w:beforeLines="0" w:afterLines="0" w:line="423" w:lineRule="exact"/>
              <w:ind w:left="112"/>
              <w:rPr>
                <w:rFonts w:hint="default"/>
                <w:color w:val="auto"/>
                <w:sz w:val="21"/>
                <w:szCs w:val="21"/>
                <w:highlight w:val="none"/>
              </w:rPr>
            </w:pPr>
            <w:r>
              <w:rPr>
                <w:rFonts w:hint="default"/>
                <w:color w:val="auto"/>
                <w:spacing w:val="7"/>
                <w:position w:val="16"/>
                <w:sz w:val="21"/>
                <w:szCs w:val="21"/>
                <w:highlight w:val="none"/>
              </w:rPr>
              <w:t>提交联合体协议书，并明确联合体牵头人和各方</w:t>
            </w:r>
          </w:p>
          <w:p w14:paraId="5D9B12B8">
            <w:pPr>
              <w:pStyle w:val="11"/>
              <w:spacing w:beforeLines="0" w:afterLines="0" w:line="220" w:lineRule="auto"/>
              <w:ind w:left="129"/>
              <w:rPr>
                <w:rFonts w:hint="default"/>
                <w:color w:val="auto"/>
                <w:sz w:val="21"/>
                <w:szCs w:val="21"/>
                <w:highlight w:val="none"/>
              </w:rPr>
            </w:pPr>
            <w:r>
              <w:rPr>
                <w:rFonts w:hint="default"/>
                <w:color w:val="auto"/>
                <w:spacing w:val="-4"/>
                <w:sz w:val="21"/>
                <w:szCs w:val="21"/>
                <w:highlight w:val="none"/>
              </w:rPr>
              <w:t>的权利义务</w:t>
            </w:r>
          </w:p>
        </w:tc>
      </w:tr>
      <w:tr w14:paraId="2B1AD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3A01D95">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AEE2FD0">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AC14C8F">
            <w:pPr>
              <w:spacing w:beforeLines="0" w:afterLines="0" w:line="298" w:lineRule="auto"/>
              <w:rPr>
                <w:rFonts w:hint="default"/>
                <w:color w:val="auto"/>
                <w:sz w:val="21"/>
                <w:szCs w:val="21"/>
                <w:highlight w:val="none"/>
              </w:rPr>
            </w:pPr>
          </w:p>
          <w:p w14:paraId="26A2BB80">
            <w:pPr>
              <w:pStyle w:val="11"/>
              <w:spacing w:before="68" w:beforeLines="0" w:afterLines="0" w:line="219" w:lineRule="auto"/>
              <w:ind w:left="732"/>
              <w:rPr>
                <w:rFonts w:hint="default"/>
                <w:color w:val="auto"/>
                <w:sz w:val="21"/>
                <w:szCs w:val="21"/>
                <w:highlight w:val="none"/>
              </w:rPr>
            </w:pPr>
            <w:r>
              <w:rPr>
                <w:rFonts w:hint="default"/>
                <w:color w:val="auto"/>
                <w:spacing w:val="2"/>
                <w:sz w:val="21"/>
                <w:szCs w:val="21"/>
                <w:highlight w:val="none"/>
              </w:rPr>
              <w:t>报价唯一</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BEF9655">
            <w:pPr>
              <w:pStyle w:val="11"/>
              <w:spacing w:before="157" w:beforeLines="0" w:afterLines="0" w:line="422" w:lineRule="exact"/>
              <w:ind w:left="114"/>
              <w:rPr>
                <w:rFonts w:hint="default"/>
                <w:color w:val="auto"/>
                <w:sz w:val="21"/>
                <w:szCs w:val="21"/>
                <w:highlight w:val="none"/>
              </w:rPr>
            </w:pPr>
            <w:r>
              <w:rPr>
                <w:rFonts w:hint="default"/>
                <w:color w:val="auto"/>
                <w:spacing w:val="7"/>
                <w:position w:val="16"/>
                <w:sz w:val="21"/>
                <w:szCs w:val="21"/>
                <w:highlight w:val="none"/>
              </w:rPr>
              <w:t>投标报价文件（包括投标函）中的任何单价、合</w:t>
            </w:r>
          </w:p>
          <w:p w14:paraId="07092825">
            <w:pPr>
              <w:pStyle w:val="11"/>
              <w:spacing w:beforeLines="0" w:afterLines="0" w:line="219" w:lineRule="auto"/>
              <w:ind w:left="112"/>
              <w:rPr>
                <w:rFonts w:hint="default"/>
                <w:color w:val="auto"/>
                <w:sz w:val="21"/>
                <w:szCs w:val="21"/>
                <w:highlight w:val="none"/>
              </w:rPr>
            </w:pPr>
            <w:r>
              <w:rPr>
                <w:rFonts w:hint="default"/>
                <w:color w:val="auto"/>
                <w:spacing w:val="-1"/>
                <w:sz w:val="21"/>
                <w:szCs w:val="21"/>
                <w:highlight w:val="none"/>
              </w:rPr>
              <w:t>价或总价只能有一个有效报价</w:t>
            </w:r>
          </w:p>
        </w:tc>
      </w:tr>
      <w:tr w14:paraId="34BB0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99768C2">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6207FE9">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5B9CA47">
            <w:pPr>
              <w:pStyle w:val="11"/>
              <w:spacing w:before="176" w:beforeLines="0" w:afterLines="0" w:line="219" w:lineRule="auto"/>
              <w:ind w:left="309"/>
              <w:rPr>
                <w:rFonts w:hint="default"/>
                <w:color w:val="auto"/>
                <w:sz w:val="21"/>
                <w:szCs w:val="21"/>
                <w:highlight w:val="none"/>
              </w:rPr>
            </w:pPr>
            <w:r>
              <w:rPr>
                <w:rFonts w:hint="default"/>
                <w:color w:val="auto"/>
                <w:spacing w:val="-1"/>
                <w:sz w:val="21"/>
                <w:szCs w:val="21"/>
                <w:highlight w:val="none"/>
              </w:rPr>
              <w:t>报价表格的完整性</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6FD8C08">
            <w:pPr>
              <w:pStyle w:val="11"/>
              <w:spacing w:before="176" w:beforeLines="0" w:afterLines="0" w:line="219" w:lineRule="auto"/>
              <w:ind w:left="111"/>
              <w:rPr>
                <w:rFonts w:hint="default"/>
                <w:color w:val="auto"/>
                <w:sz w:val="21"/>
                <w:szCs w:val="21"/>
                <w:highlight w:val="none"/>
              </w:rPr>
            </w:pPr>
            <w:r>
              <w:rPr>
                <w:rFonts w:hint="default"/>
                <w:color w:val="auto"/>
                <w:spacing w:val="-1"/>
                <w:sz w:val="21"/>
                <w:szCs w:val="21"/>
                <w:highlight w:val="none"/>
              </w:rPr>
              <w:t>应按招标文件的要求完整报送投标报价应有表格</w:t>
            </w:r>
          </w:p>
        </w:tc>
      </w:tr>
      <w:tr w14:paraId="0135B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0652A02">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FD2DCD5">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9F49827">
            <w:pPr>
              <w:spacing w:beforeLines="0" w:afterLines="0" w:line="303" w:lineRule="auto"/>
              <w:rPr>
                <w:rFonts w:hint="default"/>
                <w:color w:val="auto"/>
                <w:sz w:val="21"/>
                <w:szCs w:val="21"/>
                <w:highlight w:val="none"/>
              </w:rPr>
            </w:pPr>
          </w:p>
          <w:p w14:paraId="5D255DF4">
            <w:pPr>
              <w:pStyle w:val="11"/>
              <w:spacing w:before="68" w:beforeLines="0" w:afterLines="0" w:line="221" w:lineRule="auto"/>
              <w:ind w:left="314"/>
              <w:rPr>
                <w:rFonts w:hint="default"/>
                <w:color w:val="auto"/>
                <w:sz w:val="21"/>
                <w:szCs w:val="21"/>
                <w:highlight w:val="none"/>
              </w:rPr>
            </w:pPr>
            <w:r>
              <w:rPr>
                <w:rFonts w:hint="default"/>
                <w:color w:val="auto"/>
                <w:spacing w:val="-1"/>
                <w:sz w:val="21"/>
                <w:szCs w:val="21"/>
                <w:highlight w:val="none"/>
              </w:rPr>
              <w:t>项目经理实名认证</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57A070B">
            <w:pPr>
              <w:pStyle w:val="11"/>
              <w:spacing w:before="161" w:beforeLines="0" w:afterLines="0" w:line="418" w:lineRule="exact"/>
              <w:ind w:left="115"/>
              <w:rPr>
                <w:rFonts w:hint="default"/>
                <w:color w:val="auto"/>
                <w:sz w:val="21"/>
                <w:szCs w:val="21"/>
                <w:highlight w:val="none"/>
              </w:rPr>
            </w:pPr>
            <w:r>
              <w:rPr>
                <w:rFonts w:hint="default"/>
                <w:color w:val="auto"/>
                <w:spacing w:val="7"/>
                <w:position w:val="15"/>
                <w:sz w:val="21"/>
                <w:szCs w:val="21"/>
                <w:highlight w:val="none"/>
              </w:rPr>
              <w:t>项目经理通过二次刷卡实名认证（无在建工程和</w:t>
            </w:r>
          </w:p>
          <w:p w14:paraId="0AC61F94">
            <w:pPr>
              <w:pStyle w:val="11"/>
              <w:spacing w:beforeLines="0" w:afterLines="0" w:line="221" w:lineRule="auto"/>
              <w:ind w:left="115"/>
              <w:rPr>
                <w:rFonts w:hint="default"/>
                <w:color w:val="auto"/>
                <w:sz w:val="21"/>
                <w:szCs w:val="21"/>
                <w:highlight w:val="none"/>
              </w:rPr>
            </w:pPr>
            <w:r>
              <w:rPr>
                <w:rFonts w:hint="default"/>
                <w:color w:val="auto"/>
                <w:spacing w:val="-4"/>
                <w:sz w:val="21"/>
                <w:szCs w:val="21"/>
                <w:highlight w:val="none"/>
              </w:rPr>
              <w:t>不良行为）</w:t>
            </w:r>
          </w:p>
        </w:tc>
      </w:tr>
      <w:tr w14:paraId="594DE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3197C0D">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C7CED0E">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0FD7600">
            <w:pPr>
              <w:spacing w:beforeLines="0" w:afterLines="0" w:line="302" w:lineRule="auto"/>
              <w:rPr>
                <w:rFonts w:hint="default"/>
                <w:color w:val="auto"/>
                <w:sz w:val="21"/>
                <w:szCs w:val="21"/>
                <w:highlight w:val="none"/>
              </w:rPr>
            </w:pPr>
          </w:p>
          <w:p w14:paraId="6B7832F3">
            <w:pPr>
              <w:pStyle w:val="11"/>
              <w:spacing w:before="69" w:beforeLines="0" w:afterLines="0" w:line="221" w:lineRule="auto"/>
              <w:ind w:left="525"/>
              <w:rPr>
                <w:rFonts w:hint="default"/>
                <w:color w:val="auto"/>
                <w:sz w:val="21"/>
                <w:szCs w:val="21"/>
                <w:highlight w:val="none"/>
              </w:rPr>
            </w:pPr>
            <w:r>
              <w:rPr>
                <w:rFonts w:hint="default"/>
                <w:color w:val="auto"/>
                <w:spacing w:val="-1"/>
                <w:sz w:val="21"/>
                <w:szCs w:val="21"/>
                <w:highlight w:val="none"/>
              </w:rPr>
              <w:t>备选投标方案</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AC379B2">
            <w:pPr>
              <w:pStyle w:val="11"/>
              <w:spacing w:before="161" w:beforeLines="0" w:afterLines="0" w:line="422" w:lineRule="exact"/>
              <w:ind w:left="124"/>
              <w:rPr>
                <w:rFonts w:hint="default"/>
                <w:color w:val="auto"/>
                <w:sz w:val="21"/>
                <w:szCs w:val="21"/>
                <w:highlight w:val="none"/>
              </w:rPr>
            </w:pPr>
            <w:r>
              <w:rPr>
                <w:rFonts w:hint="default"/>
                <w:color w:val="auto"/>
                <w:spacing w:val="6"/>
                <w:position w:val="16"/>
                <w:sz w:val="21"/>
                <w:szCs w:val="21"/>
                <w:highlight w:val="none"/>
              </w:rPr>
              <w:t>除招标文件明确允许提交备选投标方案外，投标</w:t>
            </w:r>
          </w:p>
          <w:p w14:paraId="2FA2B375">
            <w:pPr>
              <w:pStyle w:val="11"/>
              <w:spacing w:beforeLines="0" w:afterLines="0" w:line="220" w:lineRule="auto"/>
              <w:ind w:left="113"/>
              <w:rPr>
                <w:rFonts w:hint="default"/>
                <w:color w:val="auto"/>
                <w:sz w:val="21"/>
                <w:szCs w:val="21"/>
                <w:highlight w:val="none"/>
              </w:rPr>
            </w:pPr>
            <w:r>
              <w:rPr>
                <w:rFonts w:hint="default"/>
                <w:color w:val="auto"/>
                <w:spacing w:val="-1"/>
                <w:sz w:val="21"/>
                <w:szCs w:val="21"/>
                <w:highlight w:val="none"/>
              </w:rPr>
              <w:t>人不得提交备选投标方案</w:t>
            </w:r>
          </w:p>
        </w:tc>
      </w:tr>
      <w:tr w14:paraId="3EC2F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4009D4ED">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B455A3F">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09BA6D6">
            <w:pPr>
              <w:pStyle w:val="11"/>
              <w:spacing w:before="156" w:beforeLines="0" w:afterLines="0" w:line="423" w:lineRule="exact"/>
              <w:ind w:left="206"/>
              <w:rPr>
                <w:rFonts w:hint="default"/>
                <w:color w:val="auto"/>
                <w:sz w:val="21"/>
                <w:szCs w:val="21"/>
                <w:highlight w:val="none"/>
              </w:rPr>
            </w:pPr>
            <w:r>
              <w:rPr>
                <w:rFonts w:hint="default"/>
                <w:color w:val="auto"/>
                <w:spacing w:val="-1"/>
                <w:position w:val="16"/>
                <w:sz w:val="21"/>
                <w:szCs w:val="21"/>
                <w:highlight w:val="none"/>
              </w:rPr>
              <w:t>法定代表人或授权委</w:t>
            </w:r>
          </w:p>
          <w:p w14:paraId="646262B8">
            <w:pPr>
              <w:pStyle w:val="11"/>
              <w:spacing w:beforeLines="0" w:afterLines="0" w:line="221" w:lineRule="auto"/>
              <w:ind w:left="522"/>
              <w:rPr>
                <w:rFonts w:hint="default"/>
                <w:color w:val="auto"/>
                <w:sz w:val="21"/>
                <w:szCs w:val="21"/>
                <w:highlight w:val="none"/>
              </w:rPr>
            </w:pPr>
            <w:r>
              <w:rPr>
                <w:rFonts w:hint="default"/>
                <w:color w:val="auto"/>
                <w:spacing w:val="-1"/>
                <w:sz w:val="21"/>
                <w:szCs w:val="21"/>
                <w:highlight w:val="none"/>
              </w:rPr>
              <w:t>托人实名认证</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B48135">
            <w:pPr>
              <w:spacing w:beforeLines="0" w:afterLines="0" w:line="297" w:lineRule="auto"/>
              <w:rPr>
                <w:rFonts w:hint="default"/>
                <w:color w:val="auto"/>
                <w:sz w:val="21"/>
                <w:szCs w:val="21"/>
                <w:highlight w:val="none"/>
              </w:rPr>
            </w:pPr>
          </w:p>
          <w:p w14:paraId="6548C15E">
            <w:pPr>
              <w:pStyle w:val="11"/>
              <w:spacing w:before="68" w:beforeLines="0" w:afterLines="0" w:line="221" w:lineRule="auto"/>
              <w:ind w:left="112"/>
              <w:rPr>
                <w:rFonts w:hint="default"/>
                <w:color w:val="auto"/>
                <w:sz w:val="21"/>
                <w:szCs w:val="21"/>
                <w:highlight w:val="none"/>
              </w:rPr>
            </w:pPr>
            <w:r>
              <w:rPr>
                <w:rFonts w:hint="default"/>
                <w:color w:val="auto"/>
                <w:spacing w:val="-1"/>
                <w:sz w:val="21"/>
                <w:szCs w:val="21"/>
                <w:highlight w:val="none"/>
              </w:rPr>
              <w:t>法定代表人或授权委托人完成实名认证</w:t>
            </w:r>
          </w:p>
        </w:tc>
      </w:tr>
      <w:tr w14:paraId="72AE0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E501EE0">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09D35B75">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D8665AE">
            <w:pPr>
              <w:pStyle w:val="11"/>
              <w:spacing w:before="175" w:beforeLines="0" w:afterLines="0" w:line="221" w:lineRule="auto"/>
              <w:ind w:left="627"/>
              <w:rPr>
                <w:rFonts w:hint="default"/>
                <w:color w:val="auto"/>
                <w:sz w:val="21"/>
                <w:szCs w:val="21"/>
                <w:highlight w:val="none"/>
              </w:rPr>
            </w:pPr>
            <w:r>
              <w:rPr>
                <w:rFonts w:hint="default"/>
                <w:color w:val="auto"/>
                <w:spacing w:val="-1"/>
                <w:sz w:val="21"/>
                <w:szCs w:val="21"/>
                <w:highlight w:val="none"/>
              </w:rPr>
              <w:t>模块化暗标</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728D935">
            <w:pPr>
              <w:pStyle w:val="11"/>
              <w:spacing w:before="176"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符合第二章“投标人须知”第</w:t>
            </w:r>
            <w:r>
              <w:rPr>
                <w:rFonts w:hint="default"/>
                <w:color w:val="auto"/>
                <w:spacing w:val="-46"/>
                <w:sz w:val="21"/>
                <w:szCs w:val="21"/>
                <w:highlight w:val="none"/>
              </w:rPr>
              <w:t xml:space="preserve"> </w:t>
            </w:r>
            <w:r>
              <w:rPr>
                <w:rFonts w:hint="eastAsia" w:ascii="Times New Roman" w:hAnsi="Times New Roman" w:eastAsia="Times New Roman" w:cs="Times New Roman"/>
                <w:color w:val="auto"/>
                <w:spacing w:val="-1"/>
                <w:sz w:val="21"/>
                <w:szCs w:val="21"/>
                <w:highlight w:val="none"/>
              </w:rPr>
              <w:t xml:space="preserve">3.7.4 </w:t>
            </w:r>
            <w:r>
              <w:rPr>
                <w:rFonts w:hint="default"/>
                <w:color w:val="auto"/>
                <w:spacing w:val="-1"/>
                <w:sz w:val="21"/>
                <w:szCs w:val="21"/>
                <w:highlight w:val="none"/>
              </w:rPr>
              <w:t>项规定</w:t>
            </w:r>
          </w:p>
        </w:tc>
      </w:tr>
      <w:tr w14:paraId="47E6C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093B0A1">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36D722E">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40BA118">
            <w:pPr>
              <w:pStyle w:val="11"/>
              <w:spacing w:before="176" w:beforeLines="0" w:afterLines="0" w:line="221" w:lineRule="auto"/>
              <w:ind w:left="526"/>
              <w:rPr>
                <w:rFonts w:hint="default"/>
                <w:color w:val="auto"/>
                <w:sz w:val="21"/>
                <w:szCs w:val="21"/>
                <w:highlight w:val="none"/>
              </w:rPr>
            </w:pPr>
            <w:r>
              <w:rPr>
                <w:rFonts w:hint="default"/>
                <w:color w:val="auto"/>
                <w:spacing w:val="-1"/>
                <w:sz w:val="21"/>
                <w:szCs w:val="21"/>
                <w:highlight w:val="none"/>
              </w:rPr>
              <w:t>行为雷同分析</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CFC12D7">
            <w:pPr>
              <w:pStyle w:val="11"/>
              <w:spacing w:before="175" w:beforeLines="0" w:afterLines="0" w:line="221" w:lineRule="auto"/>
              <w:ind w:left="115"/>
              <w:rPr>
                <w:rFonts w:hint="default"/>
                <w:color w:val="auto"/>
                <w:sz w:val="21"/>
                <w:szCs w:val="21"/>
                <w:highlight w:val="none"/>
              </w:rPr>
            </w:pPr>
            <w:r>
              <w:rPr>
                <w:rFonts w:hint="default"/>
                <w:color w:val="auto"/>
                <w:spacing w:val="-1"/>
                <w:sz w:val="21"/>
                <w:szCs w:val="21"/>
                <w:highlight w:val="none"/>
              </w:rPr>
              <w:t>不存在投标行为雷同情形</w:t>
            </w:r>
          </w:p>
        </w:tc>
      </w:tr>
      <w:tr w14:paraId="56C46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0637F194">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0DABEE93">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B25ABE1">
            <w:pPr>
              <w:pStyle w:val="11"/>
              <w:spacing w:before="177" w:beforeLines="0" w:afterLines="0"/>
              <w:ind w:left="958"/>
              <w:rPr>
                <w:rFonts w:hint="default"/>
                <w:color w:val="auto"/>
                <w:sz w:val="21"/>
                <w:szCs w:val="21"/>
                <w:highlight w:val="none"/>
              </w:rPr>
            </w:pPr>
            <w:r>
              <w:rPr>
                <w:rFonts w:hint="default"/>
                <w:color w:val="auto"/>
                <w:spacing w:val="-5"/>
                <w:sz w:val="21"/>
                <w:szCs w:val="21"/>
                <w:highlight w:val="none"/>
              </w:rPr>
              <w:t>……</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61B865A">
            <w:pPr>
              <w:pStyle w:val="11"/>
              <w:spacing w:before="177" w:beforeLines="0" w:afterLines="0"/>
              <w:ind w:left="125"/>
              <w:rPr>
                <w:rFonts w:hint="default"/>
                <w:color w:val="auto"/>
                <w:sz w:val="21"/>
                <w:szCs w:val="21"/>
                <w:highlight w:val="none"/>
              </w:rPr>
            </w:pPr>
            <w:r>
              <w:rPr>
                <w:rFonts w:hint="default"/>
                <w:color w:val="auto"/>
                <w:spacing w:val="-5"/>
                <w:sz w:val="21"/>
                <w:szCs w:val="21"/>
                <w:highlight w:val="none"/>
              </w:rPr>
              <w:t>……</w:t>
            </w:r>
          </w:p>
        </w:tc>
      </w:tr>
      <w:tr w14:paraId="2B15C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57F5FD20">
            <w:pPr>
              <w:spacing w:beforeLines="0" w:afterLines="0" w:line="246" w:lineRule="auto"/>
              <w:rPr>
                <w:rFonts w:hint="default"/>
                <w:color w:val="auto"/>
                <w:sz w:val="21"/>
                <w:szCs w:val="21"/>
                <w:highlight w:val="none"/>
              </w:rPr>
            </w:pPr>
          </w:p>
          <w:p w14:paraId="5972C76D">
            <w:pPr>
              <w:spacing w:beforeLines="0" w:afterLines="0" w:line="246" w:lineRule="auto"/>
              <w:rPr>
                <w:rFonts w:hint="default"/>
                <w:color w:val="auto"/>
                <w:sz w:val="21"/>
                <w:szCs w:val="21"/>
                <w:highlight w:val="none"/>
              </w:rPr>
            </w:pPr>
          </w:p>
          <w:p w14:paraId="067C6125">
            <w:pPr>
              <w:spacing w:beforeLines="0" w:afterLines="0" w:line="247" w:lineRule="auto"/>
              <w:rPr>
                <w:rFonts w:hint="default"/>
                <w:color w:val="auto"/>
                <w:sz w:val="21"/>
                <w:szCs w:val="21"/>
                <w:highlight w:val="none"/>
              </w:rPr>
            </w:pPr>
          </w:p>
          <w:p w14:paraId="69E08DD0">
            <w:pPr>
              <w:spacing w:beforeLines="0" w:afterLines="0" w:line="247" w:lineRule="auto"/>
              <w:rPr>
                <w:rFonts w:hint="default"/>
                <w:color w:val="auto"/>
                <w:sz w:val="21"/>
                <w:szCs w:val="21"/>
                <w:highlight w:val="none"/>
              </w:rPr>
            </w:pPr>
          </w:p>
          <w:p w14:paraId="2018ACDC">
            <w:pPr>
              <w:spacing w:beforeLines="0" w:afterLines="0" w:line="247" w:lineRule="auto"/>
              <w:rPr>
                <w:rFonts w:hint="default"/>
                <w:color w:val="auto"/>
                <w:sz w:val="21"/>
                <w:szCs w:val="21"/>
                <w:highlight w:val="none"/>
              </w:rPr>
            </w:pPr>
          </w:p>
          <w:p w14:paraId="6ADC17FB">
            <w:pPr>
              <w:spacing w:beforeLines="0" w:afterLines="0" w:line="247" w:lineRule="auto"/>
              <w:rPr>
                <w:rFonts w:hint="default"/>
                <w:color w:val="auto"/>
                <w:sz w:val="21"/>
                <w:szCs w:val="21"/>
                <w:highlight w:val="none"/>
              </w:rPr>
            </w:pPr>
          </w:p>
          <w:p w14:paraId="14CC1C9B">
            <w:pPr>
              <w:spacing w:beforeLines="0" w:afterLines="0" w:line="247" w:lineRule="auto"/>
              <w:rPr>
                <w:rFonts w:hint="default"/>
                <w:color w:val="auto"/>
                <w:sz w:val="21"/>
                <w:szCs w:val="21"/>
                <w:highlight w:val="none"/>
              </w:rPr>
            </w:pPr>
          </w:p>
          <w:p w14:paraId="4A84A6BD">
            <w:pPr>
              <w:spacing w:before="61" w:beforeLines="0" w:afterLines="0" w:line="189" w:lineRule="auto"/>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2.1.2</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3799EA00">
            <w:pPr>
              <w:spacing w:beforeLines="0" w:afterLines="0" w:line="252" w:lineRule="auto"/>
              <w:rPr>
                <w:rFonts w:hint="default"/>
                <w:color w:val="auto"/>
                <w:sz w:val="21"/>
                <w:szCs w:val="21"/>
                <w:highlight w:val="none"/>
              </w:rPr>
            </w:pPr>
          </w:p>
          <w:p w14:paraId="2A6E6ED1">
            <w:pPr>
              <w:spacing w:beforeLines="0" w:afterLines="0" w:line="252" w:lineRule="auto"/>
              <w:rPr>
                <w:rFonts w:hint="default"/>
                <w:color w:val="auto"/>
                <w:sz w:val="21"/>
                <w:szCs w:val="21"/>
                <w:highlight w:val="none"/>
              </w:rPr>
            </w:pPr>
          </w:p>
          <w:p w14:paraId="62582556">
            <w:pPr>
              <w:spacing w:beforeLines="0" w:afterLines="0" w:line="253" w:lineRule="auto"/>
              <w:rPr>
                <w:rFonts w:hint="default"/>
                <w:color w:val="auto"/>
                <w:sz w:val="21"/>
                <w:szCs w:val="21"/>
                <w:highlight w:val="none"/>
              </w:rPr>
            </w:pPr>
          </w:p>
          <w:p w14:paraId="3E399E25">
            <w:pPr>
              <w:spacing w:beforeLines="0" w:afterLines="0" w:line="253" w:lineRule="auto"/>
              <w:rPr>
                <w:rFonts w:hint="default"/>
                <w:color w:val="auto"/>
                <w:sz w:val="21"/>
                <w:szCs w:val="21"/>
                <w:highlight w:val="none"/>
              </w:rPr>
            </w:pPr>
          </w:p>
          <w:p w14:paraId="1790B879">
            <w:pPr>
              <w:spacing w:beforeLines="0" w:afterLines="0" w:line="253" w:lineRule="auto"/>
              <w:rPr>
                <w:rFonts w:hint="default"/>
                <w:color w:val="auto"/>
                <w:sz w:val="21"/>
                <w:szCs w:val="21"/>
                <w:highlight w:val="none"/>
              </w:rPr>
            </w:pPr>
          </w:p>
          <w:p w14:paraId="1FFF49ED">
            <w:pPr>
              <w:pStyle w:val="11"/>
              <w:spacing w:before="68" w:beforeLines="0" w:afterLines="0" w:line="423" w:lineRule="exact"/>
              <w:ind w:left="353"/>
              <w:rPr>
                <w:rFonts w:hint="default"/>
                <w:color w:val="auto"/>
                <w:sz w:val="21"/>
                <w:szCs w:val="21"/>
                <w:highlight w:val="none"/>
              </w:rPr>
            </w:pPr>
            <w:r>
              <w:rPr>
                <w:rFonts w:hint="default"/>
                <w:color w:val="auto"/>
                <w:spacing w:val="-4"/>
                <w:position w:val="16"/>
                <w:sz w:val="21"/>
                <w:szCs w:val="21"/>
                <w:highlight w:val="none"/>
              </w:rPr>
              <w:t>资格</w:t>
            </w:r>
          </w:p>
          <w:p w14:paraId="1206052B">
            <w:pPr>
              <w:pStyle w:val="11"/>
              <w:spacing w:beforeLines="0" w:afterLines="0" w:line="221" w:lineRule="auto"/>
              <w:ind w:left="343"/>
              <w:rPr>
                <w:rFonts w:hint="default"/>
                <w:color w:val="auto"/>
                <w:sz w:val="21"/>
                <w:szCs w:val="21"/>
                <w:highlight w:val="none"/>
              </w:rPr>
            </w:pPr>
            <w:r>
              <w:rPr>
                <w:rFonts w:hint="default"/>
                <w:color w:val="auto"/>
                <w:spacing w:val="-2"/>
                <w:sz w:val="21"/>
                <w:szCs w:val="21"/>
                <w:highlight w:val="none"/>
              </w:rPr>
              <w:t>评审</w:t>
            </w:r>
          </w:p>
          <w:p w14:paraId="70F626AB">
            <w:pPr>
              <w:pStyle w:val="11"/>
              <w:spacing w:before="166" w:beforeLines="0" w:afterLines="0" w:line="221" w:lineRule="auto"/>
              <w:ind w:left="345"/>
              <w:rPr>
                <w:rFonts w:hint="default"/>
                <w:color w:val="auto"/>
                <w:sz w:val="21"/>
                <w:szCs w:val="21"/>
                <w:highlight w:val="none"/>
              </w:rPr>
            </w:pPr>
            <w:r>
              <w:rPr>
                <w:rFonts w:hint="default"/>
                <w:color w:val="auto"/>
                <w:spacing w:val="-2"/>
                <w:sz w:val="21"/>
                <w:szCs w:val="21"/>
                <w:highlight w:val="none"/>
              </w:rPr>
              <w:t>标准</w:t>
            </w: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AAFB753">
            <w:pPr>
              <w:pStyle w:val="11"/>
              <w:spacing w:before="177" w:beforeLines="0" w:afterLines="0" w:line="221" w:lineRule="auto"/>
              <w:ind w:left="740"/>
              <w:rPr>
                <w:rFonts w:hint="default"/>
                <w:color w:val="auto"/>
                <w:sz w:val="21"/>
                <w:szCs w:val="21"/>
                <w:highlight w:val="none"/>
              </w:rPr>
            </w:pPr>
            <w:r>
              <w:rPr>
                <w:rFonts w:hint="default"/>
                <w:color w:val="auto"/>
                <w:spacing w:val="-2"/>
                <w:sz w:val="21"/>
                <w:szCs w:val="21"/>
                <w:highlight w:val="none"/>
              </w:rPr>
              <w:t>营业执照</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6C234C9">
            <w:pPr>
              <w:pStyle w:val="11"/>
              <w:spacing w:before="177" w:beforeLines="0" w:afterLines="0" w:line="221" w:lineRule="auto"/>
              <w:ind w:left="116"/>
              <w:rPr>
                <w:rFonts w:hint="default"/>
                <w:color w:val="auto"/>
                <w:sz w:val="21"/>
                <w:szCs w:val="21"/>
                <w:highlight w:val="none"/>
              </w:rPr>
            </w:pPr>
            <w:r>
              <w:rPr>
                <w:rFonts w:hint="default"/>
                <w:color w:val="auto"/>
                <w:spacing w:val="-1"/>
                <w:sz w:val="21"/>
                <w:szCs w:val="21"/>
                <w:highlight w:val="none"/>
              </w:rPr>
              <w:t>具备有效的营业执照</w:t>
            </w:r>
          </w:p>
        </w:tc>
      </w:tr>
      <w:tr w14:paraId="1B23E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12A2373">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615E246">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8665817">
            <w:pPr>
              <w:pStyle w:val="11"/>
              <w:spacing w:before="177" w:beforeLines="0" w:afterLines="0" w:line="221" w:lineRule="auto"/>
              <w:ind w:left="421"/>
              <w:rPr>
                <w:rFonts w:hint="default"/>
                <w:color w:val="auto"/>
                <w:sz w:val="21"/>
                <w:szCs w:val="21"/>
                <w:highlight w:val="none"/>
              </w:rPr>
            </w:pPr>
            <w:r>
              <w:rPr>
                <w:rFonts w:hint="default"/>
                <w:color w:val="auto"/>
                <w:spacing w:val="-2"/>
                <w:sz w:val="21"/>
                <w:szCs w:val="21"/>
                <w:highlight w:val="none"/>
              </w:rPr>
              <w:t>安全生产许可证</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D73FB34">
            <w:pPr>
              <w:pStyle w:val="11"/>
              <w:spacing w:before="177" w:beforeLines="0" w:afterLines="0" w:line="221" w:lineRule="auto"/>
              <w:ind w:left="116"/>
              <w:rPr>
                <w:rFonts w:hint="default"/>
                <w:color w:val="auto"/>
                <w:sz w:val="21"/>
                <w:szCs w:val="21"/>
                <w:highlight w:val="none"/>
              </w:rPr>
            </w:pPr>
            <w:r>
              <w:rPr>
                <w:rFonts w:hint="default"/>
                <w:color w:val="auto"/>
                <w:spacing w:val="-1"/>
                <w:sz w:val="21"/>
                <w:szCs w:val="21"/>
                <w:highlight w:val="none"/>
              </w:rPr>
              <w:t>具备有效的安全生产许可证</w:t>
            </w:r>
          </w:p>
        </w:tc>
      </w:tr>
      <w:tr w14:paraId="77F1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7B48C620">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3EDE4CEC">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373F603">
            <w:pPr>
              <w:pStyle w:val="11"/>
              <w:spacing w:before="176" w:beforeLines="0" w:afterLines="0" w:line="221" w:lineRule="auto"/>
              <w:ind w:left="743"/>
              <w:rPr>
                <w:rFonts w:hint="default"/>
                <w:color w:val="auto"/>
                <w:sz w:val="21"/>
                <w:szCs w:val="21"/>
                <w:highlight w:val="none"/>
              </w:rPr>
            </w:pPr>
            <w:r>
              <w:rPr>
                <w:rFonts w:hint="default"/>
                <w:color w:val="auto"/>
                <w:spacing w:val="-3"/>
                <w:sz w:val="21"/>
                <w:szCs w:val="21"/>
                <w:highlight w:val="none"/>
              </w:rPr>
              <w:t>资质等级</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699C238">
            <w:pPr>
              <w:pStyle w:val="11"/>
              <w:spacing w:before="177"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27D5C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44259EAA">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15F419D">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6CAB2DB">
            <w:pPr>
              <w:pStyle w:val="11"/>
              <w:spacing w:before="177" w:beforeLines="0" w:afterLines="0" w:line="220" w:lineRule="auto"/>
              <w:ind w:left="945"/>
              <w:rPr>
                <w:rFonts w:hint="default"/>
                <w:color w:val="auto"/>
                <w:sz w:val="21"/>
                <w:szCs w:val="21"/>
                <w:highlight w:val="none"/>
              </w:rPr>
            </w:pPr>
            <w:r>
              <w:rPr>
                <w:rFonts w:hint="default"/>
                <w:color w:val="auto"/>
                <w:spacing w:val="-2"/>
                <w:sz w:val="21"/>
                <w:szCs w:val="21"/>
                <w:highlight w:val="none"/>
              </w:rPr>
              <w:t>信誉</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2D403AF">
            <w:pPr>
              <w:pStyle w:val="11"/>
              <w:spacing w:before="177"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0E01C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7E0DBF59">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3A69F17">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3175116">
            <w:pPr>
              <w:pStyle w:val="11"/>
              <w:spacing w:before="177" w:beforeLines="0" w:afterLines="0" w:line="221" w:lineRule="auto"/>
              <w:ind w:left="526"/>
              <w:rPr>
                <w:rFonts w:hint="default"/>
                <w:color w:val="auto"/>
                <w:sz w:val="21"/>
                <w:szCs w:val="21"/>
                <w:highlight w:val="none"/>
              </w:rPr>
            </w:pPr>
            <w:r>
              <w:rPr>
                <w:rFonts w:hint="default"/>
                <w:color w:val="auto"/>
                <w:spacing w:val="-2"/>
                <w:sz w:val="21"/>
                <w:szCs w:val="21"/>
                <w:highlight w:val="none"/>
              </w:rPr>
              <w:t>项目经理资格</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373B247">
            <w:pPr>
              <w:pStyle w:val="11"/>
              <w:spacing w:before="177"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6310D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210C40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5725946">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52CA81A">
            <w:pPr>
              <w:pStyle w:val="11"/>
              <w:spacing w:before="177" w:beforeLines="0" w:afterLines="0" w:line="221" w:lineRule="auto"/>
              <w:ind w:left="944"/>
              <w:rPr>
                <w:rFonts w:hint="default"/>
                <w:color w:val="auto"/>
                <w:sz w:val="21"/>
                <w:szCs w:val="21"/>
                <w:highlight w:val="none"/>
              </w:rPr>
            </w:pPr>
            <w:r>
              <w:rPr>
                <w:rFonts w:hint="default"/>
                <w:color w:val="auto"/>
                <w:spacing w:val="-2"/>
                <w:sz w:val="21"/>
                <w:szCs w:val="21"/>
                <w:highlight w:val="none"/>
              </w:rPr>
              <w:t>业绩</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21F6D0F">
            <w:pPr>
              <w:pStyle w:val="11"/>
              <w:spacing w:before="177"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0CEC0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06D15A97">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36B6DE99">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9A1C883">
            <w:pPr>
              <w:pStyle w:val="11"/>
              <w:spacing w:before="158" w:beforeLines="0" w:afterLines="0" w:line="423" w:lineRule="exact"/>
              <w:ind w:left="209"/>
              <w:rPr>
                <w:rFonts w:hint="default"/>
                <w:color w:val="auto"/>
                <w:sz w:val="21"/>
                <w:szCs w:val="21"/>
                <w:highlight w:val="none"/>
              </w:rPr>
            </w:pPr>
            <w:r>
              <w:rPr>
                <w:rFonts w:hint="default"/>
                <w:color w:val="auto"/>
                <w:spacing w:val="-1"/>
                <w:position w:val="16"/>
                <w:sz w:val="21"/>
                <w:szCs w:val="21"/>
                <w:highlight w:val="none"/>
              </w:rPr>
              <w:t>项目管理机构主要人</w:t>
            </w:r>
          </w:p>
          <w:p w14:paraId="5A9ECB67">
            <w:pPr>
              <w:pStyle w:val="11"/>
              <w:spacing w:beforeLines="0" w:afterLines="0" w:line="222" w:lineRule="auto"/>
              <w:ind w:left="847"/>
              <w:rPr>
                <w:rFonts w:hint="default"/>
                <w:color w:val="auto"/>
                <w:sz w:val="21"/>
                <w:szCs w:val="21"/>
                <w:highlight w:val="none"/>
              </w:rPr>
            </w:pPr>
            <w:r>
              <w:rPr>
                <w:rFonts w:hint="default"/>
                <w:color w:val="auto"/>
                <w:spacing w:val="-3"/>
                <w:sz w:val="21"/>
                <w:szCs w:val="21"/>
                <w:highlight w:val="none"/>
              </w:rPr>
              <w:t>员要求</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0451011">
            <w:pPr>
              <w:spacing w:beforeLines="0" w:afterLines="0" w:line="299" w:lineRule="auto"/>
              <w:rPr>
                <w:rFonts w:hint="default"/>
                <w:color w:val="auto"/>
                <w:sz w:val="21"/>
                <w:szCs w:val="21"/>
                <w:highlight w:val="none"/>
              </w:rPr>
            </w:pPr>
          </w:p>
          <w:p w14:paraId="6AF7EB9B">
            <w:pPr>
              <w:pStyle w:val="11"/>
              <w:spacing w:before="69"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bl>
    <w:p w14:paraId="03E16470">
      <w:pPr>
        <w:pStyle w:val="3"/>
        <w:spacing w:beforeLines="0" w:afterLines="0"/>
        <w:rPr>
          <w:rFonts w:hint="default"/>
          <w:color w:val="auto"/>
          <w:sz w:val="21"/>
          <w:szCs w:val="21"/>
          <w:highlight w:val="none"/>
        </w:rPr>
      </w:pPr>
    </w:p>
    <w:p w14:paraId="466EDB77">
      <w:pPr>
        <w:spacing w:beforeLines="0" w:afterLines="0"/>
        <w:rPr>
          <w:rFonts w:hint="default"/>
          <w:color w:val="auto"/>
          <w:sz w:val="21"/>
          <w:szCs w:val="21"/>
          <w:highlight w:val="none"/>
        </w:rPr>
        <w:sectPr>
          <w:footerReference r:id="rId44" w:type="default"/>
          <w:pgSz w:w="11905" w:h="16839"/>
          <w:pgMar w:top="1421" w:right="1474" w:bottom="996" w:left="1483" w:header="0" w:footer="793" w:gutter="0"/>
          <w:lnNumType w:countBy="0" w:distance="360"/>
          <w:pgNumType w:fmt="decimal"/>
          <w:cols w:space="720" w:num="1"/>
        </w:sectPr>
      </w:pPr>
    </w:p>
    <w:p w14:paraId="794A7137">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003DC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4DA7047C">
            <w:pPr>
              <w:spacing w:beforeLines="0" w:afterLines="0"/>
              <w:rPr>
                <w:rFonts w:hint="default"/>
                <w:color w:val="auto"/>
                <w:sz w:val="21"/>
                <w:szCs w:val="21"/>
                <w:highlight w:val="none"/>
              </w:rPr>
            </w:pP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2A07FACE">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A47A709">
            <w:pPr>
              <w:pStyle w:val="11"/>
              <w:spacing w:before="178" w:beforeLines="0" w:afterLines="0" w:line="221" w:lineRule="auto"/>
              <w:ind w:left="734"/>
              <w:rPr>
                <w:rFonts w:hint="default"/>
                <w:color w:val="auto"/>
                <w:sz w:val="21"/>
                <w:szCs w:val="21"/>
                <w:highlight w:val="none"/>
              </w:rPr>
            </w:pPr>
            <w:bookmarkStart w:id="93" w:name="bookmark115"/>
            <w:bookmarkEnd w:id="93"/>
            <w:bookmarkStart w:id="94" w:name="bookmark117"/>
            <w:bookmarkEnd w:id="94"/>
            <w:bookmarkStart w:id="95" w:name="bookmark114"/>
            <w:bookmarkEnd w:id="95"/>
            <w:bookmarkStart w:id="96" w:name="bookmark113"/>
            <w:bookmarkEnd w:id="96"/>
            <w:bookmarkStart w:id="97" w:name="bookmark112"/>
            <w:bookmarkEnd w:id="97"/>
            <w:bookmarkStart w:id="98" w:name="bookmark116"/>
            <w:bookmarkEnd w:id="98"/>
            <w:r>
              <w:rPr>
                <w:rFonts w:hint="default"/>
                <w:color w:val="auto"/>
                <w:spacing w:val="-1"/>
                <w:sz w:val="21"/>
                <w:szCs w:val="21"/>
                <w:highlight w:val="none"/>
              </w:rPr>
              <w:t>其他要求</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08FE18A">
            <w:pPr>
              <w:pStyle w:val="11"/>
              <w:spacing w:before="178"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29925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9A81CAF">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4319728">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12D9E8C">
            <w:pPr>
              <w:pStyle w:val="11"/>
              <w:spacing w:before="155" w:beforeLines="0" w:afterLines="0" w:line="221" w:lineRule="auto"/>
              <w:ind w:left="312"/>
              <w:rPr>
                <w:rFonts w:hint="default"/>
                <w:color w:val="auto"/>
                <w:sz w:val="21"/>
                <w:szCs w:val="21"/>
                <w:highlight w:val="none"/>
              </w:rPr>
            </w:pPr>
            <w:r>
              <w:rPr>
                <w:rFonts w:hint="default"/>
                <w:color w:val="auto"/>
                <w:spacing w:val="-2"/>
                <w:sz w:val="21"/>
                <w:szCs w:val="21"/>
                <w:highlight w:val="none"/>
              </w:rPr>
              <w:t>联合体投标人（如</w:t>
            </w:r>
          </w:p>
          <w:p w14:paraId="27A4973E">
            <w:pPr>
              <w:pStyle w:val="11"/>
              <w:spacing w:before="171" w:beforeLines="0" w:afterLines="0" w:line="221" w:lineRule="auto"/>
              <w:ind w:left="946"/>
              <w:rPr>
                <w:rFonts w:hint="default"/>
                <w:color w:val="auto"/>
                <w:sz w:val="21"/>
                <w:szCs w:val="21"/>
                <w:highlight w:val="none"/>
              </w:rPr>
            </w:pPr>
            <w:r>
              <w:rPr>
                <w:rFonts w:hint="default"/>
                <w:color w:val="auto"/>
                <w:spacing w:val="-6"/>
                <w:sz w:val="21"/>
                <w:szCs w:val="21"/>
                <w:highlight w:val="none"/>
              </w:rPr>
              <w:t>有）</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37D9F58">
            <w:pPr>
              <w:spacing w:beforeLines="0" w:afterLines="0" w:line="295" w:lineRule="auto"/>
              <w:rPr>
                <w:rFonts w:hint="default"/>
                <w:color w:val="auto"/>
                <w:sz w:val="21"/>
                <w:szCs w:val="21"/>
                <w:highlight w:val="none"/>
              </w:rPr>
            </w:pPr>
          </w:p>
          <w:p w14:paraId="4365DB52">
            <w:pPr>
              <w:pStyle w:val="11"/>
              <w:spacing w:before="68"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1.4.2 </w:t>
            </w:r>
            <w:r>
              <w:rPr>
                <w:rFonts w:hint="default"/>
                <w:color w:val="auto"/>
                <w:spacing w:val="-2"/>
                <w:sz w:val="21"/>
                <w:szCs w:val="21"/>
                <w:highlight w:val="none"/>
              </w:rPr>
              <w:t>项规定</w:t>
            </w:r>
          </w:p>
        </w:tc>
      </w:tr>
      <w:tr w14:paraId="3C441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3A48181">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3544B40B">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E7EDFE1">
            <w:pPr>
              <w:pStyle w:val="11"/>
              <w:spacing w:before="154" w:beforeLines="0" w:afterLines="0" w:line="423" w:lineRule="exact"/>
              <w:ind w:left="209"/>
              <w:rPr>
                <w:rFonts w:hint="default"/>
                <w:color w:val="auto"/>
                <w:sz w:val="21"/>
                <w:szCs w:val="21"/>
                <w:highlight w:val="none"/>
              </w:rPr>
            </w:pPr>
            <w:r>
              <w:rPr>
                <w:rFonts w:hint="default"/>
                <w:color w:val="auto"/>
                <w:spacing w:val="-1"/>
                <w:position w:val="16"/>
                <w:sz w:val="21"/>
                <w:szCs w:val="21"/>
                <w:highlight w:val="none"/>
              </w:rPr>
              <w:t>不存在禁止投标的情</w:t>
            </w:r>
          </w:p>
          <w:p w14:paraId="3E09880C">
            <w:pPr>
              <w:pStyle w:val="11"/>
              <w:spacing w:beforeLines="0" w:afterLines="0" w:line="222" w:lineRule="auto"/>
              <w:ind w:left="1049"/>
              <w:rPr>
                <w:rFonts w:hint="default"/>
                <w:color w:val="auto"/>
                <w:sz w:val="21"/>
                <w:szCs w:val="21"/>
                <w:highlight w:val="none"/>
              </w:rPr>
            </w:pPr>
            <w:r>
              <w:rPr>
                <w:rFonts w:hint="default"/>
                <w:color w:val="auto"/>
                <w:sz w:val="21"/>
                <w:szCs w:val="21"/>
                <w:highlight w:val="none"/>
              </w:rPr>
              <w:t>形</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EA248C4">
            <w:pPr>
              <w:pStyle w:val="11"/>
              <w:spacing w:before="154" w:beforeLines="0" w:afterLines="0" w:line="423" w:lineRule="exact"/>
              <w:ind w:left="115"/>
              <w:rPr>
                <w:rFonts w:hint="default"/>
                <w:color w:val="auto"/>
                <w:sz w:val="21"/>
                <w:szCs w:val="21"/>
                <w:highlight w:val="none"/>
              </w:rPr>
            </w:pPr>
            <w:r>
              <w:rPr>
                <w:rFonts w:hint="default"/>
                <w:color w:val="auto"/>
                <w:spacing w:val="-2"/>
                <w:position w:val="16"/>
                <w:sz w:val="21"/>
                <w:szCs w:val="21"/>
                <w:highlight w:val="none"/>
              </w:rPr>
              <w:t xml:space="preserve">不存在第二章“投标人须知”第 </w:t>
            </w:r>
            <w:r>
              <w:rPr>
                <w:rFonts w:hint="eastAsia" w:ascii="Times New Roman" w:hAnsi="Times New Roman" w:eastAsia="Times New Roman" w:cs="Times New Roman"/>
                <w:color w:val="auto"/>
                <w:spacing w:val="-2"/>
                <w:position w:val="16"/>
                <w:sz w:val="21"/>
                <w:szCs w:val="21"/>
                <w:highlight w:val="none"/>
              </w:rPr>
              <w:t>1.4.3</w:t>
            </w:r>
            <w:r>
              <w:rPr>
                <w:rFonts w:hint="eastAsia" w:ascii="Times New Roman" w:hAnsi="Times New Roman" w:eastAsia="Times New Roman" w:cs="Times New Roman"/>
                <w:color w:val="auto"/>
                <w:spacing w:val="50"/>
                <w:position w:val="16"/>
                <w:sz w:val="21"/>
                <w:szCs w:val="21"/>
                <w:highlight w:val="none"/>
              </w:rPr>
              <w:t xml:space="preserve"> </w:t>
            </w:r>
            <w:r>
              <w:rPr>
                <w:rFonts w:hint="default"/>
                <w:color w:val="auto"/>
                <w:spacing w:val="-2"/>
                <w:position w:val="16"/>
                <w:sz w:val="21"/>
                <w:szCs w:val="21"/>
                <w:highlight w:val="none"/>
              </w:rPr>
              <w:t>项规定的任</w:t>
            </w:r>
          </w:p>
          <w:p w14:paraId="4CD9105F">
            <w:pPr>
              <w:pStyle w:val="11"/>
              <w:spacing w:beforeLines="0" w:afterLines="0" w:line="221" w:lineRule="auto"/>
              <w:ind w:left="115"/>
              <w:rPr>
                <w:rFonts w:hint="default"/>
                <w:color w:val="auto"/>
                <w:sz w:val="21"/>
                <w:szCs w:val="21"/>
                <w:highlight w:val="none"/>
              </w:rPr>
            </w:pPr>
            <w:r>
              <w:rPr>
                <w:rFonts w:hint="default"/>
                <w:color w:val="auto"/>
                <w:spacing w:val="-2"/>
                <w:sz w:val="21"/>
                <w:szCs w:val="21"/>
                <w:highlight w:val="none"/>
              </w:rPr>
              <w:t>何一种情形</w:t>
            </w:r>
          </w:p>
        </w:tc>
      </w:tr>
      <w:tr w14:paraId="6FE3C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3AB9238C">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3E815EB1">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B7541B2">
            <w:pPr>
              <w:pStyle w:val="11"/>
              <w:spacing w:before="175" w:beforeLines="0" w:afterLines="0" w:line="238" w:lineRule="auto"/>
              <w:ind w:left="958"/>
              <w:rPr>
                <w:rFonts w:hint="default"/>
                <w:color w:val="auto"/>
                <w:sz w:val="21"/>
                <w:szCs w:val="21"/>
                <w:highlight w:val="none"/>
              </w:rPr>
            </w:pPr>
            <w:r>
              <w:rPr>
                <w:rFonts w:hint="default"/>
                <w:color w:val="auto"/>
                <w:spacing w:val="-5"/>
                <w:sz w:val="21"/>
                <w:szCs w:val="21"/>
                <w:highlight w:val="none"/>
              </w:rPr>
              <w:t>……</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04F991F">
            <w:pPr>
              <w:pStyle w:val="11"/>
              <w:spacing w:before="175" w:beforeLines="0" w:afterLines="0" w:line="238" w:lineRule="auto"/>
              <w:ind w:left="125"/>
              <w:rPr>
                <w:rFonts w:hint="default"/>
                <w:color w:val="auto"/>
                <w:sz w:val="21"/>
                <w:szCs w:val="21"/>
                <w:highlight w:val="none"/>
              </w:rPr>
            </w:pPr>
            <w:r>
              <w:rPr>
                <w:rFonts w:hint="default"/>
                <w:color w:val="auto"/>
                <w:spacing w:val="-5"/>
                <w:sz w:val="21"/>
                <w:szCs w:val="21"/>
                <w:highlight w:val="none"/>
              </w:rPr>
              <w:t>……</w:t>
            </w:r>
          </w:p>
        </w:tc>
      </w:tr>
      <w:tr w14:paraId="1D0D6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0446B893">
            <w:pPr>
              <w:spacing w:beforeLines="0" w:afterLines="0" w:line="248" w:lineRule="auto"/>
              <w:rPr>
                <w:rFonts w:hint="default"/>
                <w:color w:val="auto"/>
                <w:sz w:val="21"/>
                <w:szCs w:val="21"/>
                <w:highlight w:val="none"/>
              </w:rPr>
            </w:pPr>
          </w:p>
          <w:p w14:paraId="10FE6213">
            <w:pPr>
              <w:spacing w:beforeLines="0" w:afterLines="0" w:line="249" w:lineRule="auto"/>
              <w:rPr>
                <w:rFonts w:hint="default"/>
                <w:color w:val="auto"/>
                <w:sz w:val="21"/>
                <w:szCs w:val="21"/>
                <w:highlight w:val="none"/>
              </w:rPr>
            </w:pPr>
          </w:p>
          <w:p w14:paraId="10C4C00B">
            <w:pPr>
              <w:spacing w:beforeLines="0" w:afterLines="0" w:line="249" w:lineRule="auto"/>
              <w:rPr>
                <w:rFonts w:hint="default"/>
                <w:color w:val="auto"/>
                <w:sz w:val="21"/>
                <w:szCs w:val="21"/>
                <w:highlight w:val="none"/>
              </w:rPr>
            </w:pPr>
          </w:p>
          <w:p w14:paraId="34DD2D99">
            <w:pPr>
              <w:spacing w:beforeLines="0" w:afterLines="0" w:line="249" w:lineRule="auto"/>
              <w:rPr>
                <w:rFonts w:hint="default"/>
                <w:color w:val="auto"/>
                <w:sz w:val="21"/>
                <w:szCs w:val="21"/>
                <w:highlight w:val="none"/>
              </w:rPr>
            </w:pPr>
          </w:p>
          <w:p w14:paraId="4C86B06D">
            <w:pPr>
              <w:spacing w:beforeLines="0" w:afterLines="0" w:line="249" w:lineRule="auto"/>
              <w:rPr>
                <w:rFonts w:hint="default"/>
                <w:color w:val="auto"/>
                <w:sz w:val="21"/>
                <w:szCs w:val="21"/>
                <w:highlight w:val="none"/>
              </w:rPr>
            </w:pPr>
          </w:p>
          <w:p w14:paraId="47F7A83A">
            <w:pPr>
              <w:spacing w:beforeLines="0" w:afterLines="0" w:line="249" w:lineRule="auto"/>
              <w:rPr>
                <w:rFonts w:hint="default"/>
                <w:color w:val="auto"/>
                <w:sz w:val="21"/>
                <w:szCs w:val="21"/>
                <w:highlight w:val="none"/>
              </w:rPr>
            </w:pPr>
          </w:p>
          <w:p w14:paraId="3061C1A5">
            <w:pPr>
              <w:spacing w:beforeLines="0" w:afterLines="0" w:line="249" w:lineRule="auto"/>
              <w:rPr>
                <w:rFonts w:hint="default"/>
                <w:color w:val="auto"/>
                <w:sz w:val="21"/>
                <w:szCs w:val="21"/>
                <w:highlight w:val="none"/>
              </w:rPr>
            </w:pPr>
          </w:p>
          <w:p w14:paraId="5271CA5C">
            <w:pPr>
              <w:spacing w:beforeLines="0" w:afterLines="0" w:line="249" w:lineRule="auto"/>
              <w:rPr>
                <w:rFonts w:hint="default"/>
                <w:color w:val="auto"/>
                <w:sz w:val="21"/>
                <w:szCs w:val="21"/>
                <w:highlight w:val="none"/>
              </w:rPr>
            </w:pPr>
          </w:p>
          <w:p w14:paraId="4131EF2C">
            <w:pPr>
              <w:spacing w:beforeLines="0" w:afterLines="0" w:line="249" w:lineRule="auto"/>
              <w:rPr>
                <w:rFonts w:hint="default"/>
                <w:color w:val="auto"/>
                <w:sz w:val="21"/>
                <w:szCs w:val="21"/>
                <w:highlight w:val="none"/>
              </w:rPr>
            </w:pPr>
          </w:p>
          <w:p w14:paraId="5738E9EA">
            <w:pPr>
              <w:spacing w:beforeLines="0" w:afterLines="0" w:line="249" w:lineRule="auto"/>
              <w:rPr>
                <w:rFonts w:hint="default"/>
                <w:color w:val="auto"/>
                <w:sz w:val="21"/>
                <w:szCs w:val="21"/>
                <w:highlight w:val="none"/>
              </w:rPr>
            </w:pPr>
          </w:p>
          <w:p w14:paraId="6DAAE223">
            <w:pPr>
              <w:spacing w:beforeLines="0" w:afterLines="0" w:line="249" w:lineRule="auto"/>
              <w:rPr>
                <w:rFonts w:hint="default"/>
                <w:color w:val="auto"/>
                <w:sz w:val="21"/>
                <w:szCs w:val="21"/>
                <w:highlight w:val="none"/>
              </w:rPr>
            </w:pPr>
          </w:p>
          <w:p w14:paraId="219D6A6C">
            <w:pPr>
              <w:spacing w:beforeLines="0" w:afterLines="0" w:line="249" w:lineRule="auto"/>
              <w:rPr>
                <w:rFonts w:hint="default"/>
                <w:color w:val="auto"/>
                <w:sz w:val="21"/>
                <w:szCs w:val="21"/>
                <w:highlight w:val="none"/>
              </w:rPr>
            </w:pPr>
          </w:p>
          <w:p w14:paraId="043DFE9A">
            <w:pPr>
              <w:spacing w:beforeLines="0" w:afterLines="0" w:line="249" w:lineRule="auto"/>
              <w:rPr>
                <w:rFonts w:hint="default"/>
                <w:color w:val="auto"/>
                <w:sz w:val="21"/>
                <w:szCs w:val="21"/>
                <w:highlight w:val="none"/>
              </w:rPr>
            </w:pPr>
          </w:p>
          <w:p w14:paraId="091F54EB">
            <w:pPr>
              <w:spacing w:beforeLines="0" w:afterLines="0" w:line="249" w:lineRule="auto"/>
              <w:rPr>
                <w:rFonts w:hint="default"/>
                <w:color w:val="auto"/>
                <w:sz w:val="21"/>
                <w:szCs w:val="21"/>
                <w:highlight w:val="none"/>
              </w:rPr>
            </w:pPr>
          </w:p>
          <w:p w14:paraId="778CB586">
            <w:pPr>
              <w:spacing w:before="60" w:beforeLines="0" w:afterLines="0" w:line="189" w:lineRule="auto"/>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2.1.3</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336B60A5">
            <w:pPr>
              <w:spacing w:beforeLines="0" w:afterLines="0" w:line="248" w:lineRule="auto"/>
              <w:rPr>
                <w:rFonts w:hint="default"/>
                <w:color w:val="auto"/>
                <w:sz w:val="21"/>
                <w:szCs w:val="21"/>
                <w:highlight w:val="none"/>
              </w:rPr>
            </w:pPr>
          </w:p>
          <w:p w14:paraId="1FCA5D3A">
            <w:pPr>
              <w:spacing w:beforeLines="0" w:afterLines="0" w:line="248" w:lineRule="auto"/>
              <w:rPr>
                <w:rFonts w:hint="default"/>
                <w:color w:val="auto"/>
                <w:sz w:val="21"/>
                <w:szCs w:val="21"/>
                <w:highlight w:val="none"/>
              </w:rPr>
            </w:pPr>
          </w:p>
          <w:p w14:paraId="61C97B7E">
            <w:pPr>
              <w:spacing w:beforeLines="0" w:afterLines="0" w:line="248" w:lineRule="auto"/>
              <w:rPr>
                <w:rFonts w:hint="default"/>
                <w:color w:val="auto"/>
                <w:sz w:val="21"/>
                <w:szCs w:val="21"/>
                <w:highlight w:val="none"/>
              </w:rPr>
            </w:pPr>
          </w:p>
          <w:p w14:paraId="64D3A985">
            <w:pPr>
              <w:spacing w:beforeLines="0" w:afterLines="0" w:line="248" w:lineRule="auto"/>
              <w:rPr>
                <w:rFonts w:hint="default"/>
                <w:color w:val="auto"/>
                <w:sz w:val="21"/>
                <w:szCs w:val="21"/>
                <w:highlight w:val="none"/>
              </w:rPr>
            </w:pPr>
          </w:p>
          <w:p w14:paraId="4D5258CB">
            <w:pPr>
              <w:spacing w:beforeLines="0" w:afterLines="0" w:line="248" w:lineRule="auto"/>
              <w:rPr>
                <w:rFonts w:hint="default"/>
                <w:color w:val="auto"/>
                <w:sz w:val="21"/>
                <w:szCs w:val="21"/>
                <w:highlight w:val="none"/>
              </w:rPr>
            </w:pPr>
          </w:p>
          <w:p w14:paraId="686DF8C7">
            <w:pPr>
              <w:spacing w:beforeLines="0" w:afterLines="0" w:line="248" w:lineRule="auto"/>
              <w:rPr>
                <w:rFonts w:hint="default"/>
                <w:color w:val="auto"/>
                <w:sz w:val="21"/>
                <w:szCs w:val="21"/>
                <w:highlight w:val="none"/>
              </w:rPr>
            </w:pPr>
          </w:p>
          <w:p w14:paraId="1E7352DC">
            <w:pPr>
              <w:spacing w:beforeLines="0" w:afterLines="0" w:line="249" w:lineRule="auto"/>
              <w:rPr>
                <w:rFonts w:hint="default"/>
                <w:color w:val="auto"/>
                <w:sz w:val="21"/>
                <w:szCs w:val="21"/>
                <w:highlight w:val="none"/>
              </w:rPr>
            </w:pPr>
          </w:p>
          <w:p w14:paraId="63BF2065">
            <w:pPr>
              <w:spacing w:beforeLines="0" w:afterLines="0" w:line="249" w:lineRule="auto"/>
              <w:rPr>
                <w:rFonts w:hint="default"/>
                <w:color w:val="auto"/>
                <w:sz w:val="21"/>
                <w:szCs w:val="21"/>
                <w:highlight w:val="none"/>
              </w:rPr>
            </w:pPr>
          </w:p>
          <w:p w14:paraId="71F2051D">
            <w:pPr>
              <w:spacing w:beforeLines="0" w:afterLines="0" w:line="249" w:lineRule="auto"/>
              <w:rPr>
                <w:rFonts w:hint="default"/>
                <w:color w:val="auto"/>
                <w:sz w:val="21"/>
                <w:szCs w:val="21"/>
                <w:highlight w:val="none"/>
              </w:rPr>
            </w:pPr>
          </w:p>
          <w:p w14:paraId="3ED28387">
            <w:pPr>
              <w:spacing w:beforeLines="0" w:afterLines="0" w:line="249" w:lineRule="auto"/>
              <w:rPr>
                <w:rFonts w:hint="default"/>
                <w:color w:val="auto"/>
                <w:sz w:val="21"/>
                <w:szCs w:val="21"/>
                <w:highlight w:val="none"/>
              </w:rPr>
            </w:pPr>
          </w:p>
          <w:p w14:paraId="069A7399">
            <w:pPr>
              <w:spacing w:beforeLines="0" w:afterLines="0" w:line="249" w:lineRule="auto"/>
              <w:rPr>
                <w:rFonts w:hint="default"/>
                <w:color w:val="auto"/>
                <w:sz w:val="21"/>
                <w:szCs w:val="21"/>
                <w:highlight w:val="none"/>
              </w:rPr>
            </w:pPr>
          </w:p>
          <w:p w14:paraId="3301147A">
            <w:pPr>
              <w:spacing w:beforeLines="0" w:afterLines="0" w:line="249" w:lineRule="auto"/>
              <w:rPr>
                <w:rFonts w:hint="default"/>
                <w:color w:val="auto"/>
                <w:sz w:val="21"/>
                <w:szCs w:val="21"/>
                <w:highlight w:val="none"/>
              </w:rPr>
            </w:pPr>
          </w:p>
          <w:p w14:paraId="78003338">
            <w:pPr>
              <w:spacing w:beforeLines="0" w:afterLines="0" w:line="249" w:lineRule="auto"/>
              <w:rPr>
                <w:rFonts w:hint="default"/>
                <w:color w:val="auto"/>
                <w:sz w:val="21"/>
                <w:szCs w:val="21"/>
                <w:highlight w:val="none"/>
              </w:rPr>
            </w:pPr>
          </w:p>
          <w:p w14:paraId="3583E5BB">
            <w:pPr>
              <w:pStyle w:val="11"/>
              <w:spacing w:before="68" w:beforeLines="0" w:afterLines="0" w:line="423" w:lineRule="exact"/>
              <w:ind w:left="249"/>
              <w:rPr>
                <w:rFonts w:hint="default"/>
                <w:color w:val="auto"/>
                <w:sz w:val="21"/>
                <w:szCs w:val="21"/>
                <w:highlight w:val="none"/>
              </w:rPr>
            </w:pPr>
            <w:r>
              <w:rPr>
                <w:rFonts w:hint="default"/>
                <w:color w:val="auto"/>
                <w:spacing w:val="-4"/>
                <w:position w:val="16"/>
                <w:sz w:val="21"/>
                <w:szCs w:val="21"/>
                <w:highlight w:val="none"/>
              </w:rPr>
              <w:t>响应性</w:t>
            </w:r>
          </w:p>
          <w:p w14:paraId="71F3EE32">
            <w:pPr>
              <w:pStyle w:val="11"/>
              <w:spacing w:beforeLines="0" w:afterLines="0" w:line="221" w:lineRule="auto"/>
              <w:ind w:left="132"/>
              <w:rPr>
                <w:rFonts w:hint="default"/>
                <w:color w:val="auto"/>
                <w:sz w:val="21"/>
                <w:szCs w:val="21"/>
                <w:highlight w:val="none"/>
              </w:rPr>
            </w:pPr>
            <w:r>
              <w:rPr>
                <w:rFonts w:hint="default"/>
                <w:color w:val="auto"/>
                <w:spacing w:val="-1"/>
                <w:sz w:val="21"/>
                <w:szCs w:val="21"/>
                <w:highlight w:val="none"/>
              </w:rPr>
              <w:t>评审标准</w:t>
            </w: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4CC51DA">
            <w:pPr>
              <w:pStyle w:val="11"/>
              <w:spacing w:before="179" w:beforeLines="0" w:afterLines="0" w:line="221" w:lineRule="auto"/>
              <w:ind w:left="736"/>
              <w:rPr>
                <w:rFonts w:hint="default"/>
                <w:color w:val="auto"/>
                <w:sz w:val="21"/>
                <w:szCs w:val="21"/>
                <w:highlight w:val="none"/>
              </w:rPr>
            </w:pPr>
            <w:r>
              <w:rPr>
                <w:rFonts w:hint="default"/>
                <w:color w:val="auto"/>
                <w:spacing w:val="-2"/>
                <w:sz w:val="21"/>
                <w:szCs w:val="21"/>
                <w:highlight w:val="none"/>
              </w:rPr>
              <w:t>投标内容</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291DA93">
            <w:pPr>
              <w:pStyle w:val="11"/>
              <w:spacing w:before="179"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1.3.1 </w:t>
            </w:r>
            <w:r>
              <w:rPr>
                <w:rFonts w:hint="default"/>
                <w:color w:val="auto"/>
                <w:spacing w:val="-2"/>
                <w:sz w:val="21"/>
                <w:szCs w:val="21"/>
                <w:highlight w:val="none"/>
              </w:rPr>
              <w:t>项规定</w:t>
            </w:r>
          </w:p>
        </w:tc>
      </w:tr>
      <w:tr w14:paraId="22F29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A97645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9437D21">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B11B506">
            <w:pPr>
              <w:pStyle w:val="11"/>
              <w:spacing w:before="174" w:beforeLines="0" w:afterLines="0" w:line="221" w:lineRule="auto"/>
              <w:ind w:left="733"/>
              <w:rPr>
                <w:rFonts w:hint="default"/>
                <w:color w:val="auto"/>
                <w:sz w:val="21"/>
                <w:szCs w:val="21"/>
                <w:highlight w:val="none"/>
              </w:rPr>
            </w:pPr>
            <w:r>
              <w:rPr>
                <w:rFonts w:hint="default"/>
                <w:color w:val="auto"/>
                <w:spacing w:val="-1"/>
                <w:sz w:val="21"/>
                <w:szCs w:val="21"/>
                <w:highlight w:val="none"/>
              </w:rPr>
              <w:t>计划工期</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E3A0C64">
            <w:pPr>
              <w:pStyle w:val="11"/>
              <w:spacing w:before="174"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1.3.2 </w:t>
            </w:r>
            <w:r>
              <w:rPr>
                <w:rFonts w:hint="default"/>
                <w:color w:val="auto"/>
                <w:spacing w:val="-2"/>
                <w:sz w:val="21"/>
                <w:szCs w:val="21"/>
                <w:highlight w:val="none"/>
              </w:rPr>
              <w:t>项规定</w:t>
            </w:r>
          </w:p>
        </w:tc>
      </w:tr>
      <w:tr w14:paraId="29213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7B5F1A9">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865E2F9">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415A6BC">
            <w:pPr>
              <w:pStyle w:val="11"/>
              <w:spacing w:before="175" w:beforeLines="0" w:afterLines="0" w:line="221" w:lineRule="auto"/>
              <w:ind w:left="736"/>
              <w:rPr>
                <w:rFonts w:hint="default"/>
                <w:color w:val="auto"/>
                <w:sz w:val="21"/>
                <w:szCs w:val="21"/>
                <w:highlight w:val="none"/>
              </w:rPr>
            </w:pPr>
            <w:r>
              <w:rPr>
                <w:rFonts w:hint="default"/>
                <w:color w:val="auto"/>
                <w:spacing w:val="-2"/>
                <w:sz w:val="21"/>
                <w:szCs w:val="21"/>
                <w:highlight w:val="none"/>
              </w:rPr>
              <w:t>工程质量</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91F322">
            <w:pPr>
              <w:pStyle w:val="11"/>
              <w:spacing w:before="175"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1.3.3 </w:t>
            </w:r>
            <w:r>
              <w:rPr>
                <w:rFonts w:hint="default"/>
                <w:color w:val="auto"/>
                <w:spacing w:val="-2"/>
                <w:sz w:val="21"/>
                <w:szCs w:val="21"/>
                <w:highlight w:val="none"/>
              </w:rPr>
              <w:t>项规定</w:t>
            </w:r>
          </w:p>
        </w:tc>
      </w:tr>
      <w:tr w14:paraId="5A564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D677E2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92A045A">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71C74B8">
            <w:pPr>
              <w:pStyle w:val="11"/>
              <w:spacing w:before="180" w:beforeLines="0" w:afterLines="0" w:line="221" w:lineRule="auto"/>
              <w:ind w:left="630"/>
              <w:rPr>
                <w:rFonts w:hint="default"/>
                <w:color w:val="auto"/>
                <w:sz w:val="21"/>
                <w:szCs w:val="21"/>
                <w:highlight w:val="none"/>
              </w:rPr>
            </w:pPr>
            <w:r>
              <w:rPr>
                <w:rFonts w:hint="default"/>
                <w:color w:val="auto"/>
                <w:spacing w:val="-1"/>
                <w:sz w:val="21"/>
                <w:szCs w:val="21"/>
                <w:highlight w:val="none"/>
              </w:rPr>
              <w:t>投标有效期</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F28EEB5">
            <w:pPr>
              <w:pStyle w:val="11"/>
              <w:spacing w:before="179"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符合第二章“投标人须知”第</w:t>
            </w:r>
            <w:r>
              <w:rPr>
                <w:rFonts w:hint="default"/>
                <w:color w:val="auto"/>
                <w:spacing w:val="-46"/>
                <w:sz w:val="21"/>
                <w:szCs w:val="21"/>
                <w:highlight w:val="none"/>
              </w:rPr>
              <w:t xml:space="preserve"> </w:t>
            </w:r>
            <w:r>
              <w:rPr>
                <w:rFonts w:hint="eastAsia" w:ascii="Times New Roman" w:hAnsi="Times New Roman" w:eastAsia="Times New Roman" w:cs="Times New Roman"/>
                <w:color w:val="auto"/>
                <w:spacing w:val="-1"/>
                <w:sz w:val="21"/>
                <w:szCs w:val="21"/>
                <w:highlight w:val="none"/>
              </w:rPr>
              <w:t xml:space="preserve">3.3.1 </w:t>
            </w:r>
            <w:r>
              <w:rPr>
                <w:rFonts w:hint="default"/>
                <w:color w:val="auto"/>
                <w:spacing w:val="-1"/>
                <w:sz w:val="21"/>
                <w:szCs w:val="21"/>
                <w:highlight w:val="none"/>
              </w:rPr>
              <w:t>项规定</w:t>
            </w:r>
          </w:p>
        </w:tc>
      </w:tr>
      <w:tr w14:paraId="0476C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DA24415">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D7251B4">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ACDC10E">
            <w:pPr>
              <w:pStyle w:val="11"/>
              <w:spacing w:before="176" w:beforeLines="0" w:afterLines="0" w:line="221" w:lineRule="auto"/>
              <w:ind w:left="630"/>
              <w:rPr>
                <w:rFonts w:hint="default"/>
                <w:color w:val="auto"/>
                <w:sz w:val="21"/>
                <w:szCs w:val="21"/>
                <w:highlight w:val="none"/>
              </w:rPr>
            </w:pPr>
            <w:r>
              <w:rPr>
                <w:rFonts w:hint="default"/>
                <w:color w:val="auto"/>
                <w:spacing w:val="-1"/>
                <w:sz w:val="21"/>
                <w:szCs w:val="21"/>
                <w:highlight w:val="none"/>
              </w:rPr>
              <w:t>投标保证金</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43FF41E">
            <w:pPr>
              <w:pStyle w:val="11"/>
              <w:spacing w:before="176"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符合第二章“投标人须知”第</w:t>
            </w:r>
            <w:r>
              <w:rPr>
                <w:rFonts w:hint="default"/>
                <w:color w:val="auto"/>
                <w:spacing w:val="-46"/>
                <w:sz w:val="21"/>
                <w:szCs w:val="21"/>
                <w:highlight w:val="none"/>
              </w:rPr>
              <w:t xml:space="preserve"> </w:t>
            </w:r>
            <w:r>
              <w:rPr>
                <w:rFonts w:hint="eastAsia" w:ascii="Times New Roman" w:hAnsi="Times New Roman" w:eastAsia="Times New Roman" w:cs="Times New Roman"/>
                <w:color w:val="auto"/>
                <w:spacing w:val="-1"/>
                <w:sz w:val="21"/>
                <w:szCs w:val="21"/>
                <w:highlight w:val="none"/>
              </w:rPr>
              <w:t xml:space="preserve">3.4.1 </w:t>
            </w:r>
            <w:r>
              <w:rPr>
                <w:rFonts w:hint="default"/>
                <w:color w:val="auto"/>
                <w:spacing w:val="-1"/>
                <w:sz w:val="21"/>
                <w:szCs w:val="21"/>
                <w:highlight w:val="none"/>
              </w:rPr>
              <w:t>项规定</w:t>
            </w:r>
          </w:p>
        </w:tc>
      </w:tr>
      <w:tr w14:paraId="6C8C0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4353BEB">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6D2FCBF7">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8606FFA">
            <w:pPr>
              <w:spacing w:beforeLines="0" w:afterLines="0" w:line="297" w:lineRule="auto"/>
              <w:rPr>
                <w:rFonts w:hint="default"/>
                <w:color w:val="auto"/>
                <w:sz w:val="21"/>
                <w:szCs w:val="21"/>
                <w:highlight w:val="none"/>
              </w:rPr>
            </w:pPr>
          </w:p>
          <w:p w14:paraId="65669D0A">
            <w:pPr>
              <w:pStyle w:val="11"/>
              <w:spacing w:before="68" w:beforeLines="0" w:afterLines="0" w:line="221" w:lineRule="auto"/>
              <w:ind w:left="733"/>
              <w:rPr>
                <w:rFonts w:hint="default"/>
                <w:color w:val="auto"/>
                <w:sz w:val="21"/>
                <w:szCs w:val="21"/>
                <w:highlight w:val="none"/>
              </w:rPr>
            </w:pPr>
            <w:r>
              <w:rPr>
                <w:rFonts w:hint="default"/>
                <w:color w:val="auto"/>
                <w:spacing w:val="-1"/>
                <w:sz w:val="21"/>
                <w:szCs w:val="21"/>
                <w:highlight w:val="none"/>
              </w:rPr>
              <w:t>权利义务</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751BF75">
            <w:pPr>
              <w:pStyle w:val="11"/>
              <w:spacing w:before="156" w:beforeLines="0" w:afterLines="0" w:line="422" w:lineRule="exact"/>
              <w:ind w:left="114"/>
              <w:rPr>
                <w:rFonts w:hint="default"/>
                <w:color w:val="auto"/>
                <w:sz w:val="21"/>
                <w:szCs w:val="21"/>
                <w:highlight w:val="none"/>
              </w:rPr>
            </w:pPr>
            <w:r>
              <w:rPr>
                <w:rFonts w:hint="default"/>
                <w:color w:val="auto"/>
                <w:spacing w:val="7"/>
                <w:position w:val="16"/>
                <w:sz w:val="21"/>
                <w:szCs w:val="21"/>
                <w:highlight w:val="none"/>
              </w:rPr>
              <w:t>投标函附录中的相关承诺符合或优于第四章“合</w:t>
            </w:r>
          </w:p>
          <w:p w14:paraId="4224FF6E">
            <w:pPr>
              <w:pStyle w:val="11"/>
              <w:spacing w:beforeLines="0" w:afterLines="0" w:line="220" w:lineRule="auto"/>
              <w:ind w:left="132"/>
              <w:rPr>
                <w:rFonts w:hint="default"/>
                <w:color w:val="auto"/>
                <w:sz w:val="21"/>
                <w:szCs w:val="21"/>
                <w:highlight w:val="none"/>
              </w:rPr>
            </w:pPr>
            <w:r>
              <w:rPr>
                <w:rFonts w:hint="default"/>
                <w:color w:val="auto"/>
                <w:spacing w:val="-2"/>
                <w:sz w:val="21"/>
                <w:szCs w:val="21"/>
                <w:highlight w:val="none"/>
              </w:rPr>
              <w:t>同条款及格式”的相关规定</w:t>
            </w:r>
          </w:p>
        </w:tc>
      </w:tr>
      <w:tr w14:paraId="7BCC8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D30735C">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2AEF55C">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F387415">
            <w:pPr>
              <w:pStyle w:val="11"/>
              <w:spacing w:before="199" w:beforeLines="0" w:afterLines="0" w:line="221" w:lineRule="auto"/>
              <w:ind w:left="418"/>
              <w:rPr>
                <w:rFonts w:hint="default"/>
                <w:color w:val="auto"/>
                <w:sz w:val="21"/>
                <w:szCs w:val="21"/>
                <w:highlight w:val="none"/>
              </w:rPr>
            </w:pPr>
            <w:r>
              <w:rPr>
                <w:rFonts w:hint="default"/>
                <w:color w:val="auto"/>
                <w:spacing w:val="-1"/>
                <w:sz w:val="21"/>
                <w:szCs w:val="21"/>
                <w:highlight w:val="none"/>
              </w:rPr>
              <w:t>技术标准和要求</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35795BF">
            <w:pPr>
              <w:pStyle w:val="11"/>
              <w:spacing w:before="200"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符合第七章“技术标准和要求”规定</w:t>
            </w:r>
          </w:p>
        </w:tc>
      </w:tr>
      <w:tr w14:paraId="58B42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694AC3E">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29FDB2B">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F02783">
            <w:pPr>
              <w:spacing w:beforeLines="0" w:afterLines="0" w:line="298" w:lineRule="auto"/>
              <w:rPr>
                <w:rFonts w:hint="default"/>
                <w:color w:val="auto"/>
                <w:sz w:val="21"/>
                <w:szCs w:val="21"/>
                <w:highlight w:val="none"/>
              </w:rPr>
            </w:pPr>
          </w:p>
          <w:p w14:paraId="4143D94F">
            <w:pPr>
              <w:pStyle w:val="11"/>
              <w:spacing w:before="69" w:beforeLines="0" w:afterLines="0" w:line="221" w:lineRule="auto"/>
              <w:ind w:left="736"/>
              <w:rPr>
                <w:rFonts w:hint="default"/>
                <w:color w:val="auto"/>
                <w:sz w:val="21"/>
                <w:szCs w:val="21"/>
                <w:highlight w:val="none"/>
              </w:rPr>
            </w:pPr>
            <w:r>
              <w:rPr>
                <w:rFonts w:hint="default"/>
                <w:color w:val="auto"/>
                <w:spacing w:val="-2"/>
                <w:sz w:val="21"/>
                <w:szCs w:val="21"/>
                <w:highlight w:val="none"/>
              </w:rPr>
              <w:t>分包计划</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FB6E281">
            <w:pPr>
              <w:pStyle w:val="11"/>
              <w:spacing w:before="162" w:beforeLines="0" w:afterLines="0" w:line="417" w:lineRule="exact"/>
              <w:ind w:left="113"/>
              <w:rPr>
                <w:rFonts w:hint="default"/>
                <w:color w:val="auto"/>
                <w:sz w:val="21"/>
                <w:szCs w:val="21"/>
                <w:highlight w:val="none"/>
              </w:rPr>
            </w:pPr>
            <w:r>
              <w:rPr>
                <w:rFonts w:hint="default"/>
                <w:color w:val="auto"/>
                <w:spacing w:val="5"/>
                <w:position w:val="15"/>
                <w:sz w:val="21"/>
                <w:szCs w:val="21"/>
                <w:highlight w:val="none"/>
              </w:rPr>
              <w:t>符合第二章“投标人须知”第</w:t>
            </w:r>
            <w:r>
              <w:rPr>
                <w:rFonts w:hint="default"/>
                <w:color w:val="auto"/>
                <w:spacing w:val="43"/>
                <w:position w:val="15"/>
                <w:sz w:val="21"/>
                <w:szCs w:val="21"/>
                <w:highlight w:val="none"/>
              </w:rPr>
              <w:t xml:space="preserve"> </w:t>
            </w:r>
            <w:r>
              <w:rPr>
                <w:rFonts w:hint="default"/>
                <w:color w:val="auto"/>
                <w:spacing w:val="5"/>
                <w:position w:val="15"/>
                <w:sz w:val="21"/>
                <w:szCs w:val="21"/>
                <w:highlight w:val="none"/>
              </w:rPr>
              <w:t>1.11 款规定（如</w:t>
            </w:r>
          </w:p>
          <w:p w14:paraId="624D33E8">
            <w:pPr>
              <w:pStyle w:val="11"/>
              <w:spacing w:beforeLines="0" w:afterLines="0" w:line="221" w:lineRule="auto"/>
              <w:ind w:left="112"/>
              <w:rPr>
                <w:rFonts w:hint="default"/>
                <w:color w:val="auto"/>
                <w:sz w:val="21"/>
                <w:szCs w:val="21"/>
                <w:highlight w:val="none"/>
              </w:rPr>
            </w:pPr>
            <w:r>
              <w:rPr>
                <w:rFonts w:hint="default"/>
                <w:color w:val="auto"/>
                <w:spacing w:val="-6"/>
                <w:sz w:val="21"/>
                <w:szCs w:val="21"/>
                <w:highlight w:val="none"/>
              </w:rPr>
              <w:t>有）</w:t>
            </w:r>
          </w:p>
        </w:tc>
      </w:tr>
      <w:tr w14:paraId="434C1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089B50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314D6B9A">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5E9EF5A">
            <w:pPr>
              <w:pStyle w:val="11"/>
              <w:spacing w:before="199" w:beforeLines="0" w:afterLines="0" w:line="221" w:lineRule="auto"/>
              <w:ind w:left="524"/>
              <w:rPr>
                <w:rFonts w:hint="default"/>
                <w:color w:val="auto"/>
                <w:sz w:val="21"/>
                <w:szCs w:val="21"/>
                <w:highlight w:val="none"/>
              </w:rPr>
            </w:pPr>
            <w:r>
              <w:rPr>
                <w:rFonts w:hint="default"/>
                <w:color w:val="auto"/>
                <w:spacing w:val="-1"/>
                <w:sz w:val="21"/>
                <w:szCs w:val="21"/>
                <w:highlight w:val="none"/>
              </w:rPr>
              <w:t>算术错误修正</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6E2F33F">
            <w:pPr>
              <w:pStyle w:val="11"/>
              <w:spacing w:before="200" w:beforeLines="0" w:afterLines="0" w:line="219" w:lineRule="auto"/>
              <w:ind w:left="114"/>
              <w:rPr>
                <w:rFonts w:hint="default"/>
                <w:color w:val="auto"/>
                <w:sz w:val="21"/>
                <w:szCs w:val="21"/>
                <w:highlight w:val="none"/>
              </w:rPr>
            </w:pPr>
            <w:r>
              <w:rPr>
                <w:rFonts w:hint="default"/>
                <w:color w:val="auto"/>
                <w:spacing w:val="-1"/>
                <w:sz w:val="21"/>
                <w:szCs w:val="21"/>
                <w:highlight w:val="none"/>
              </w:rPr>
              <w:t>投标人接受算术错误修正后的报价</w:t>
            </w:r>
          </w:p>
        </w:tc>
      </w:tr>
      <w:tr w14:paraId="4CABD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7B190649">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D256FD0">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DA17525">
            <w:pPr>
              <w:spacing w:beforeLines="0" w:afterLines="0" w:line="302" w:lineRule="auto"/>
              <w:rPr>
                <w:rFonts w:hint="default"/>
                <w:color w:val="auto"/>
                <w:sz w:val="21"/>
                <w:szCs w:val="21"/>
                <w:highlight w:val="none"/>
              </w:rPr>
            </w:pPr>
          </w:p>
          <w:p w14:paraId="437A4401">
            <w:pPr>
              <w:pStyle w:val="11"/>
              <w:spacing w:before="69" w:beforeLines="0" w:afterLines="0" w:line="219" w:lineRule="auto"/>
              <w:ind w:left="736"/>
              <w:rPr>
                <w:rFonts w:hint="default"/>
                <w:color w:val="auto"/>
                <w:sz w:val="21"/>
                <w:szCs w:val="21"/>
                <w:highlight w:val="none"/>
              </w:rPr>
            </w:pPr>
            <w:r>
              <w:rPr>
                <w:rFonts w:hint="default"/>
                <w:color w:val="auto"/>
                <w:spacing w:val="-2"/>
                <w:sz w:val="21"/>
                <w:szCs w:val="21"/>
                <w:highlight w:val="none"/>
              </w:rPr>
              <w:t>投标价格</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757BB94">
            <w:pPr>
              <w:pStyle w:val="11"/>
              <w:spacing w:before="161" w:beforeLines="0" w:afterLines="0" w:line="423" w:lineRule="exact"/>
              <w:ind w:left="114"/>
              <w:rPr>
                <w:rFonts w:hint="default"/>
                <w:color w:val="auto"/>
                <w:sz w:val="21"/>
                <w:szCs w:val="21"/>
                <w:highlight w:val="none"/>
              </w:rPr>
            </w:pPr>
            <w:r>
              <w:rPr>
                <w:rFonts w:hint="default"/>
                <w:color w:val="auto"/>
                <w:spacing w:val="7"/>
                <w:position w:val="16"/>
                <w:sz w:val="21"/>
                <w:szCs w:val="21"/>
                <w:highlight w:val="none"/>
              </w:rPr>
              <w:t>投标报价（含修正后）不大于本标段最高投标限</w:t>
            </w:r>
          </w:p>
          <w:p w14:paraId="03A42BD1">
            <w:pPr>
              <w:pStyle w:val="11"/>
              <w:spacing w:beforeLines="0" w:afterLines="0" w:line="219" w:lineRule="auto"/>
              <w:ind w:left="112"/>
              <w:rPr>
                <w:rFonts w:hint="default"/>
                <w:color w:val="auto"/>
                <w:sz w:val="21"/>
                <w:szCs w:val="21"/>
                <w:highlight w:val="none"/>
              </w:rPr>
            </w:pPr>
            <w:r>
              <w:rPr>
                <w:rFonts w:hint="default"/>
                <w:color w:val="auto"/>
                <w:sz w:val="21"/>
                <w:szCs w:val="21"/>
                <w:highlight w:val="none"/>
              </w:rPr>
              <w:t>价</w:t>
            </w:r>
          </w:p>
        </w:tc>
      </w:tr>
      <w:tr w14:paraId="07797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422615A">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6665B62">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3A58676">
            <w:pPr>
              <w:spacing w:beforeLines="0" w:afterLines="0" w:line="298" w:lineRule="auto"/>
              <w:rPr>
                <w:rFonts w:hint="default"/>
                <w:color w:val="auto"/>
                <w:sz w:val="21"/>
                <w:szCs w:val="21"/>
                <w:highlight w:val="none"/>
              </w:rPr>
            </w:pPr>
          </w:p>
          <w:p w14:paraId="5A5FDAB9">
            <w:pPr>
              <w:pStyle w:val="11"/>
              <w:spacing w:before="69" w:beforeLines="0" w:afterLines="0" w:line="219" w:lineRule="auto"/>
              <w:ind w:left="334"/>
              <w:rPr>
                <w:rFonts w:hint="default"/>
                <w:color w:val="auto"/>
                <w:sz w:val="21"/>
                <w:szCs w:val="21"/>
                <w:highlight w:val="none"/>
              </w:rPr>
            </w:pPr>
            <w:r>
              <w:rPr>
                <w:rFonts w:hint="default"/>
                <w:color w:val="auto"/>
                <w:spacing w:val="-4"/>
                <w:sz w:val="21"/>
                <w:szCs w:val="21"/>
                <w:highlight w:val="none"/>
              </w:rPr>
              <w:t>已标价工程量清单</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4A1BEE0">
            <w:pPr>
              <w:pStyle w:val="11"/>
              <w:spacing w:before="157" w:beforeLines="0" w:afterLines="0" w:line="422" w:lineRule="exact"/>
              <w:ind w:left="113"/>
              <w:rPr>
                <w:rFonts w:hint="default"/>
                <w:color w:val="auto"/>
                <w:sz w:val="21"/>
                <w:szCs w:val="21"/>
                <w:highlight w:val="none"/>
              </w:rPr>
            </w:pPr>
            <w:r>
              <w:rPr>
                <w:rFonts w:hint="default"/>
                <w:color w:val="auto"/>
                <w:spacing w:val="7"/>
                <w:position w:val="16"/>
                <w:sz w:val="21"/>
                <w:szCs w:val="21"/>
                <w:highlight w:val="none"/>
              </w:rPr>
              <w:t>按照招标人提供的工程量清单及其报价要求进行</w:t>
            </w:r>
          </w:p>
          <w:p w14:paraId="53860B65">
            <w:pPr>
              <w:pStyle w:val="11"/>
              <w:spacing w:beforeLines="0" w:afterLines="0" w:line="219" w:lineRule="auto"/>
              <w:ind w:left="111"/>
              <w:rPr>
                <w:rFonts w:hint="default"/>
                <w:color w:val="auto"/>
                <w:sz w:val="21"/>
                <w:szCs w:val="21"/>
                <w:highlight w:val="none"/>
              </w:rPr>
            </w:pPr>
            <w:r>
              <w:rPr>
                <w:rFonts w:hint="default"/>
                <w:color w:val="auto"/>
                <w:spacing w:val="-1"/>
                <w:sz w:val="21"/>
                <w:szCs w:val="21"/>
                <w:highlight w:val="none"/>
              </w:rPr>
              <w:t>全面准确的报价</w:t>
            </w:r>
          </w:p>
        </w:tc>
      </w:tr>
      <w:tr w14:paraId="2F037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63B294D6">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73492B68">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BB51853">
            <w:pPr>
              <w:pStyle w:val="11"/>
              <w:spacing w:before="158" w:beforeLines="0" w:afterLines="0" w:line="223" w:lineRule="auto"/>
              <w:ind w:left="958"/>
              <w:rPr>
                <w:rFonts w:hint="default"/>
                <w:color w:val="auto"/>
                <w:sz w:val="21"/>
                <w:szCs w:val="21"/>
                <w:highlight w:val="none"/>
              </w:rPr>
            </w:pPr>
            <w:r>
              <w:rPr>
                <w:rFonts w:hint="default"/>
                <w:color w:val="auto"/>
                <w:spacing w:val="-5"/>
                <w:sz w:val="21"/>
                <w:szCs w:val="21"/>
                <w:highlight w:val="none"/>
              </w:rPr>
              <w:t>……</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1C8F297">
            <w:pPr>
              <w:pStyle w:val="11"/>
              <w:spacing w:before="158" w:beforeLines="0" w:afterLines="0" w:line="223" w:lineRule="auto"/>
              <w:ind w:left="125"/>
              <w:rPr>
                <w:rFonts w:hint="default"/>
                <w:color w:val="auto"/>
                <w:sz w:val="21"/>
                <w:szCs w:val="21"/>
                <w:highlight w:val="none"/>
              </w:rPr>
            </w:pPr>
            <w:r>
              <w:rPr>
                <w:rFonts w:hint="default"/>
                <w:color w:val="auto"/>
                <w:spacing w:val="-5"/>
                <w:sz w:val="21"/>
                <w:szCs w:val="21"/>
                <w:highlight w:val="none"/>
              </w:rPr>
              <w:t>……</w:t>
            </w:r>
          </w:p>
        </w:tc>
      </w:tr>
      <w:tr w14:paraId="0C9B7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D95147A">
            <w:pPr>
              <w:spacing w:beforeLines="0" w:afterLines="0" w:line="277" w:lineRule="auto"/>
              <w:rPr>
                <w:rFonts w:hint="default"/>
                <w:color w:val="auto"/>
                <w:sz w:val="21"/>
                <w:szCs w:val="21"/>
                <w:highlight w:val="none"/>
              </w:rPr>
            </w:pPr>
          </w:p>
          <w:p w14:paraId="0709909C">
            <w:pPr>
              <w:spacing w:beforeLines="0" w:afterLines="0" w:line="277" w:lineRule="auto"/>
              <w:rPr>
                <w:rFonts w:hint="default"/>
                <w:color w:val="auto"/>
                <w:sz w:val="21"/>
                <w:szCs w:val="21"/>
                <w:highlight w:val="none"/>
              </w:rPr>
            </w:pPr>
          </w:p>
          <w:p w14:paraId="5612F258">
            <w:pPr>
              <w:spacing w:before="60" w:beforeLines="0" w:afterLines="0" w:line="189" w:lineRule="auto"/>
              <w:ind w:left="714"/>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3.1.2</w:t>
            </w:r>
          </w:p>
        </w:tc>
        <w:tc>
          <w:tcPr>
            <w:tcW w:w="7097"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79652235">
            <w:pPr>
              <w:pStyle w:val="11"/>
              <w:spacing w:before="163" w:beforeLines="0" w:afterLines="0" w:line="221" w:lineRule="auto"/>
              <w:ind w:left="112"/>
              <w:rPr>
                <w:rFonts w:hint="default"/>
                <w:color w:val="auto"/>
                <w:sz w:val="21"/>
                <w:szCs w:val="21"/>
                <w:highlight w:val="none"/>
              </w:rPr>
            </w:pPr>
            <w:r>
              <w:rPr>
                <w:rFonts w:hint="default"/>
                <w:color w:val="auto"/>
                <w:spacing w:val="-4"/>
                <w:sz w:val="21"/>
                <w:szCs w:val="21"/>
                <w:highlight w:val="none"/>
              </w:rPr>
              <w:t>投标人不得存在的其他情形：</w:t>
            </w:r>
          </w:p>
          <w:p w14:paraId="38F03640">
            <w:pPr>
              <w:pStyle w:val="11"/>
              <w:spacing w:before="166" w:beforeLines="0" w:afterLines="0" w:line="220" w:lineRule="auto"/>
              <w:ind w:left="116"/>
              <w:rPr>
                <w:rFonts w:hint="default"/>
                <w:color w:val="auto"/>
                <w:sz w:val="21"/>
                <w:szCs w:val="21"/>
                <w:highlight w:val="none"/>
              </w:rPr>
            </w:pPr>
            <w:r>
              <w:rPr>
                <w:rFonts w:hint="default"/>
                <w:color w:val="auto"/>
                <w:spacing w:val="-3"/>
                <w:sz w:val="21"/>
                <w:szCs w:val="21"/>
                <w:highlight w:val="none"/>
              </w:rPr>
              <w:t>（1）不按评标委员会要求澄清、说明或补正；</w:t>
            </w:r>
          </w:p>
          <w:p w14:paraId="4EBE06EA">
            <w:pPr>
              <w:pStyle w:val="11"/>
              <w:spacing w:before="172" w:beforeLines="0" w:afterLines="0" w:line="220" w:lineRule="auto"/>
              <w:ind w:left="116"/>
              <w:rPr>
                <w:rFonts w:hint="default"/>
                <w:color w:val="auto"/>
                <w:sz w:val="21"/>
                <w:szCs w:val="21"/>
                <w:highlight w:val="none"/>
              </w:rPr>
            </w:pPr>
            <w:r>
              <w:rPr>
                <w:rFonts w:hint="default"/>
                <w:color w:val="auto"/>
                <w:spacing w:val="-1"/>
                <w:sz w:val="21"/>
                <w:szCs w:val="21"/>
                <w:highlight w:val="none"/>
              </w:rPr>
              <w:t>（2）有串通投标、弄虚作假、行贿或有其他</w:t>
            </w:r>
            <w:r>
              <w:rPr>
                <w:rFonts w:hint="default"/>
                <w:color w:val="auto"/>
                <w:spacing w:val="-2"/>
                <w:sz w:val="21"/>
                <w:szCs w:val="21"/>
                <w:highlight w:val="none"/>
              </w:rPr>
              <w:t>违法行为。</w:t>
            </w:r>
          </w:p>
        </w:tc>
      </w:tr>
      <w:tr w14:paraId="1C9AB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A3AF0D2">
            <w:pPr>
              <w:spacing w:beforeLines="0" w:afterLines="0" w:line="294" w:lineRule="auto"/>
              <w:rPr>
                <w:rFonts w:hint="default"/>
                <w:color w:val="auto"/>
                <w:sz w:val="21"/>
                <w:szCs w:val="21"/>
                <w:highlight w:val="none"/>
              </w:rPr>
            </w:pPr>
          </w:p>
          <w:p w14:paraId="48E130A5">
            <w:pPr>
              <w:spacing w:beforeLines="0" w:afterLines="0" w:line="295" w:lineRule="auto"/>
              <w:rPr>
                <w:rFonts w:hint="default"/>
                <w:color w:val="auto"/>
                <w:sz w:val="21"/>
                <w:szCs w:val="21"/>
                <w:highlight w:val="none"/>
              </w:rPr>
            </w:pPr>
          </w:p>
          <w:p w14:paraId="375225F6">
            <w:pPr>
              <w:spacing w:beforeLines="0" w:afterLines="0" w:line="295" w:lineRule="auto"/>
              <w:rPr>
                <w:rFonts w:hint="default"/>
                <w:color w:val="auto"/>
                <w:sz w:val="21"/>
                <w:szCs w:val="21"/>
                <w:highlight w:val="none"/>
              </w:rPr>
            </w:pPr>
          </w:p>
          <w:p w14:paraId="0B122F31">
            <w:pPr>
              <w:spacing w:beforeLines="0" w:afterLines="0" w:line="295" w:lineRule="auto"/>
              <w:rPr>
                <w:rFonts w:hint="default"/>
                <w:color w:val="auto"/>
                <w:sz w:val="21"/>
                <w:szCs w:val="21"/>
                <w:highlight w:val="none"/>
              </w:rPr>
            </w:pPr>
          </w:p>
          <w:p w14:paraId="484A4FA7">
            <w:pPr>
              <w:spacing w:before="60" w:beforeLines="0" w:afterLines="0" w:line="189" w:lineRule="auto"/>
              <w:ind w:left="714"/>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3.1.4</w:t>
            </w:r>
          </w:p>
        </w:tc>
        <w:tc>
          <w:tcPr>
            <w:tcW w:w="7097"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A05F3A8">
            <w:pPr>
              <w:pStyle w:val="11"/>
              <w:spacing w:before="159" w:beforeLines="0" w:afterLines="0" w:line="219" w:lineRule="auto"/>
              <w:ind w:left="110"/>
              <w:rPr>
                <w:rFonts w:hint="default"/>
                <w:color w:val="auto"/>
                <w:sz w:val="21"/>
                <w:szCs w:val="21"/>
                <w:highlight w:val="none"/>
              </w:rPr>
            </w:pPr>
            <w:r>
              <w:rPr>
                <w:rFonts w:hint="default"/>
                <w:color w:val="auto"/>
                <w:spacing w:val="-1"/>
                <w:sz w:val="21"/>
                <w:szCs w:val="21"/>
                <w:highlight w:val="none"/>
              </w:rPr>
              <w:t>合理最低价：</w:t>
            </w:r>
          </w:p>
          <w:p w14:paraId="7F6F0659">
            <w:pPr>
              <w:pStyle w:val="11"/>
              <w:spacing w:before="173" w:beforeLines="0" w:afterLines="0" w:line="219" w:lineRule="auto"/>
              <w:ind w:left="116"/>
              <w:rPr>
                <w:rFonts w:hint="default"/>
                <w:color w:val="auto"/>
                <w:sz w:val="21"/>
                <w:szCs w:val="21"/>
                <w:highlight w:val="none"/>
              </w:rPr>
            </w:pPr>
            <w:r>
              <w:rPr>
                <w:rFonts w:hint="default"/>
                <w:color w:val="auto"/>
                <w:spacing w:val="-1"/>
                <w:sz w:val="21"/>
                <w:szCs w:val="21"/>
                <w:highlight w:val="none"/>
              </w:rPr>
              <w:t>（1）合同方式：</w:t>
            </w:r>
            <w:r>
              <w:rPr>
                <w:rFonts w:hint="default"/>
                <w:color w:val="auto"/>
                <w:spacing w:val="-1"/>
                <w:sz w:val="21"/>
                <w:szCs w:val="21"/>
                <w:highlight w:val="none"/>
              </w:rPr>
              <w:sym w:font="Wingdings 2" w:char="0052"/>
            </w:r>
            <w:r>
              <w:rPr>
                <w:rFonts w:hint="default"/>
                <w:color w:val="auto"/>
                <w:spacing w:val="-1"/>
                <w:sz w:val="21"/>
                <w:szCs w:val="21"/>
                <w:highlight w:val="none"/>
              </w:rPr>
              <w:t>固定单价合同   □固定总价合同</w:t>
            </w:r>
          </w:p>
          <w:p w14:paraId="3FE72840">
            <w:pPr>
              <w:pStyle w:val="11"/>
              <w:spacing w:before="168" w:beforeLines="0" w:afterLines="0" w:line="423" w:lineRule="exact"/>
              <w:ind w:left="116"/>
              <w:rPr>
                <w:rFonts w:hint="default"/>
                <w:color w:val="auto"/>
                <w:sz w:val="21"/>
                <w:szCs w:val="21"/>
                <w:highlight w:val="none"/>
              </w:rPr>
            </w:pPr>
            <w:r>
              <w:rPr>
                <w:rFonts w:hint="default"/>
                <w:color w:val="auto"/>
                <w:spacing w:val="-2"/>
                <w:position w:val="16"/>
                <w:sz w:val="21"/>
                <w:szCs w:val="21"/>
                <w:highlight w:val="none"/>
              </w:rPr>
              <w:t>（2）计算方法：依据辽住建发【2020】4</w:t>
            </w:r>
            <w:r>
              <w:rPr>
                <w:rFonts w:hint="default"/>
                <w:color w:val="auto"/>
                <w:spacing w:val="-27"/>
                <w:position w:val="16"/>
                <w:sz w:val="21"/>
                <w:szCs w:val="21"/>
                <w:highlight w:val="none"/>
              </w:rPr>
              <w:t xml:space="preserve"> </w:t>
            </w:r>
            <w:r>
              <w:rPr>
                <w:rFonts w:hint="default"/>
                <w:color w:val="auto"/>
                <w:spacing w:val="-2"/>
                <w:position w:val="16"/>
                <w:sz w:val="21"/>
                <w:szCs w:val="21"/>
                <w:highlight w:val="none"/>
              </w:rPr>
              <w:t>号文件第十七条。</w:t>
            </w:r>
          </w:p>
          <w:p w14:paraId="5894E993">
            <w:pPr>
              <w:pStyle w:val="11"/>
              <w:spacing w:beforeLines="0" w:afterLines="0" w:line="222" w:lineRule="auto"/>
              <w:ind w:left="116"/>
              <w:rPr>
                <w:rFonts w:hint="default"/>
                <w:color w:val="auto"/>
                <w:sz w:val="21"/>
                <w:szCs w:val="21"/>
                <w:highlight w:val="none"/>
              </w:rPr>
            </w:pPr>
            <w:r>
              <w:rPr>
                <w:rFonts w:hint="default"/>
                <w:color w:val="auto"/>
                <w:spacing w:val="-10"/>
                <w:sz w:val="21"/>
                <w:szCs w:val="21"/>
                <w:highlight w:val="none"/>
              </w:rPr>
              <w:t>（3）下浮比例：</w:t>
            </w:r>
            <w:r>
              <w:rPr>
                <w:rFonts w:hint="default"/>
                <w:color w:val="auto"/>
                <w:spacing w:val="-18"/>
                <w:sz w:val="21"/>
                <w:szCs w:val="21"/>
                <w:highlight w:val="none"/>
              </w:rPr>
              <w:t xml:space="preserve"> </w:t>
            </w:r>
            <w:r>
              <w:rPr>
                <w:rFonts w:hint="default"/>
                <w:color w:val="auto"/>
                <w:sz w:val="21"/>
                <w:szCs w:val="21"/>
                <w:highlight w:val="none"/>
                <w:u w:val="single" w:color="auto"/>
              </w:rPr>
              <w:t xml:space="preserve">  </w:t>
            </w:r>
            <w:r>
              <w:rPr>
                <w:rFonts w:hint="default"/>
                <w:color w:val="auto"/>
                <w:sz w:val="21"/>
                <w:szCs w:val="21"/>
                <w:highlight w:val="none"/>
                <w:u w:val="single" w:color="auto"/>
                <w:lang w:eastAsia="zh-CN"/>
              </w:rPr>
              <w:t>0</w:t>
            </w:r>
            <w:r>
              <w:rPr>
                <w:rFonts w:hint="default"/>
                <w:color w:val="auto"/>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10"/>
                <w:sz w:val="21"/>
                <w:szCs w:val="21"/>
                <w:highlight w:val="none"/>
              </w:rPr>
              <w:t>%。</w:t>
            </w:r>
          </w:p>
          <w:p w14:paraId="77D1EAF1">
            <w:pPr>
              <w:pStyle w:val="11"/>
              <w:spacing w:beforeLines="0" w:afterLines="0" w:line="220" w:lineRule="auto"/>
              <w:rPr>
                <w:rFonts w:hint="default"/>
                <w:color w:val="auto"/>
                <w:sz w:val="21"/>
                <w:szCs w:val="21"/>
                <w:highlight w:val="none"/>
              </w:rPr>
            </w:pPr>
          </w:p>
        </w:tc>
      </w:tr>
    </w:tbl>
    <w:p w14:paraId="16F8B587">
      <w:pPr>
        <w:pStyle w:val="3"/>
        <w:spacing w:beforeLines="0" w:afterLines="0"/>
        <w:rPr>
          <w:rFonts w:hint="default"/>
          <w:color w:val="auto"/>
          <w:sz w:val="21"/>
          <w:szCs w:val="21"/>
          <w:highlight w:val="none"/>
        </w:rPr>
      </w:pPr>
    </w:p>
    <w:p w14:paraId="69A81B1D">
      <w:pPr>
        <w:spacing w:beforeLines="0" w:afterLines="0"/>
        <w:rPr>
          <w:rFonts w:hint="default"/>
          <w:color w:val="auto"/>
          <w:sz w:val="21"/>
          <w:szCs w:val="21"/>
          <w:highlight w:val="none"/>
        </w:rPr>
        <w:sectPr>
          <w:footerReference r:id="rId45" w:type="default"/>
          <w:pgSz w:w="11905" w:h="16839"/>
          <w:pgMar w:top="1431" w:right="1474" w:bottom="996" w:left="1483" w:header="0" w:footer="793" w:gutter="0"/>
          <w:lnNumType w:countBy="0" w:distance="360"/>
          <w:pgNumType w:fmt="decimal"/>
          <w:cols w:space="720" w:num="1"/>
        </w:sectPr>
      </w:pPr>
    </w:p>
    <w:p w14:paraId="43811161">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7097"/>
      </w:tblGrid>
      <w:tr w14:paraId="77F2E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5"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6C79649">
            <w:pPr>
              <w:spacing w:beforeLines="0" w:afterLines="0" w:line="243" w:lineRule="auto"/>
              <w:rPr>
                <w:rFonts w:hint="default"/>
                <w:color w:val="auto"/>
                <w:sz w:val="21"/>
                <w:szCs w:val="21"/>
                <w:highlight w:val="none"/>
              </w:rPr>
            </w:pPr>
          </w:p>
          <w:p w14:paraId="47E0051A">
            <w:pPr>
              <w:spacing w:beforeLines="0" w:afterLines="0" w:line="243" w:lineRule="auto"/>
              <w:rPr>
                <w:rFonts w:hint="default"/>
                <w:color w:val="auto"/>
                <w:sz w:val="21"/>
                <w:szCs w:val="21"/>
                <w:highlight w:val="none"/>
              </w:rPr>
            </w:pPr>
          </w:p>
          <w:p w14:paraId="04B7687C">
            <w:pPr>
              <w:spacing w:beforeLines="0" w:afterLines="0" w:line="243" w:lineRule="auto"/>
              <w:rPr>
                <w:rFonts w:hint="default"/>
                <w:color w:val="auto"/>
                <w:sz w:val="21"/>
                <w:szCs w:val="21"/>
                <w:highlight w:val="none"/>
              </w:rPr>
            </w:pPr>
          </w:p>
          <w:p w14:paraId="26468A9B">
            <w:pPr>
              <w:spacing w:beforeLines="0" w:afterLines="0" w:line="243" w:lineRule="auto"/>
              <w:rPr>
                <w:rFonts w:hint="default"/>
                <w:color w:val="auto"/>
                <w:sz w:val="21"/>
                <w:szCs w:val="21"/>
                <w:highlight w:val="none"/>
              </w:rPr>
            </w:pPr>
          </w:p>
          <w:p w14:paraId="31783B7F">
            <w:pPr>
              <w:spacing w:beforeLines="0" w:afterLines="0" w:line="243" w:lineRule="auto"/>
              <w:rPr>
                <w:rFonts w:hint="default"/>
                <w:color w:val="auto"/>
                <w:sz w:val="21"/>
                <w:szCs w:val="21"/>
                <w:highlight w:val="none"/>
              </w:rPr>
            </w:pPr>
          </w:p>
          <w:p w14:paraId="03350234">
            <w:pPr>
              <w:spacing w:beforeLines="0" w:afterLines="0" w:line="243" w:lineRule="auto"/>
              <w:rPr>
                <w:rFonts w:hint="default"/>
                <w:color w:val="auto"/>
                <w:sz w:val="21"/>
                <w:szCs w:val="21"/>
                <w:highlight w:val="none"/>
              </w:rPr>
            </w:pPr>
          </w:p>
          <w:p w14:paraId="554B7E27">
            <w:pPr>
              <w:spacing w:beforeLines="0" w:afterLines="0" w:line="243" w:lineRule="auto"/>
              <w:rPr>
                <w:rFonts w:hint="default"/>
                <w:color w:val="auto"/>
                <w:sz w:val="21"/>
                <w:szCs w:val="21"/>
                <w:highlight w:val="none"/>
              </w:rPr>
            </w:pPr>
          </w:p>
          <w:p w14:paraId="4C11FC0E">
            <w:pPr>
              <w:spacing w:beforeLines="0" w:afterLines="0" w:line="243" w:lineRule="auto"/>
              <w:rPr>
                <w:rFonts w:hint="default"/>
                <w:color w:val="auto"/>
                <w:sz w:val="21"/>
                <w:szCs w:val="21"/>
                <w:highlight w:val="none"/>
              </w:rPr>
            </w:pPr>
          </w:p>
          <w:p w14:paraId="588997DA">
            <w:pPr>
              <w:spacing w:beforeLines="0" w:afterLines="0" w:line="243" w:lineRule="auto"/>
              <w:rPr>
                <w:rFonts w:hint="default"/>
                <w:color w:val="auto"/>
                <w:sz w:val="21"/>
                <w:szCs w:val="21"/>
                <w:highlight w:val="none"/>
              </w:rPr>
            </w:pPr>
          </w:p>
          <w:p w14:paraId="695BDCB5">
            <w:pPr>
              <w:spacing w:beforeLines="0" w:afterLines="0" w:line="243" w:lineRule="auto"/>
              <w:rPr>
                <w:rFonts w:hint="default"/>
                <w:color w:val="auto"/>
                <w:sz w:val="21"/>
                <w:szCs w:val="21"/>
                <w:highlight w:val="none"/>
              </w:rPr>
            </w:pPr>
          </w:p>
          <w:p w14:paraId="6868AAA0">
            <w:pPr>
              <w:spacing w:beforeLines="0" w:afterLines="0" w:line="243" w:lineRule="auto"/>
              <w:rPr>
                <w:rFonts w:hint="default"/>
                <w:color w:val="auto"/>
                <w:sz w:val="21"/>
                <w:szCs w:val="21"/>
                <w:highlight w:val="none"/>
              </w:rPr>
            </w:pPr>
          </w:p>
          <w:p w14:paraId="5EFF0A7D">
            <w:pPr>
              <w:spacing w:beforeLines="0" w:afterLines="0" w:line="243" w:lineRule="auto"/>
              <w:rPr>
                <w:rFonts w:hint="default"/>
                <w:color w:val="auto"/>
                <w:sz w:val="21"/>
                <w:szCs w:val="21"/>
                <w:highlight w:val="none"/>
              </w:rPr>
            </w:pPr>
          </w:p>
          <w:p w14:paraId="70B479C3">
            <w:pPr>
              <w:spacing w:beforeLines="0" w:afterLines="0" w:line="244" w:lineRule="auto"/>
              <w:rPr>
                <w:rFonts w:hint="default"/>
                <w:color w:val="auto"/>
                <w:sz w:val="21"/>
                <w:szCs w:val="21"/>
                <w:highlight w:val="none"/>
              </w:rPr>
            </w:pPr>
          </w:p>
          <w:p w14:paraId="2A52DE4B">
            <w:pPr>
              <w:spacing w:beforeLines="0" w:afterLines="0" w:line="244" w:lineRule="auto"/>
              <w:rPr>
                <w:rFonts w:hint="default"/>
                <w:color w:val="auto"/>
                <w:sz w:val="21"/>
                <w:szCs w:val="21"/>
                <w:highlight w:val="none"/>
              </w:rPr>
            </w:pPr>
          </w:p>
          <w:p w14:paraId="2FFA710B">
            <w:pPr>
              <w:spacing w:beforeLines="0" w:afterLines="0" w:line="244" w:lineRule="auto"/>
              <w:rPr>
                <w:rFonts w:hint="default"/>
                <w:color w:val="auto"/>
                <w:sz w:val="21"/>
                <w:szCs w:val="21"/>
                <w:highlight w:val="none"/>
              </w:rPr>
            </w:pPr>
          </w:p>
          <w:p w14:paraId="2A6A98CA">
            <w:pPr>
              <w:spacing w:beforeLines="0" w:afterLines="0" w:line="244" w:lineRule="auto"/>
              <w:rPr>
                <w:rFonts w:hint="default"/>
                <w:color w:val="auto"/>
                <w:sz w:val="21"/>
                <w:szCs w:val="21"/>
                <w:highlight w:val="none"/>
              </w:rPr>
            </w:pPr>
          </w:p>
          <w:p w14:paraId="1A38313F">
            <w:pPr>
              <w:spacing w:beforeLines="0" w:afterLines="0" w:line="244" w:lineRule="auto"/>
              <w:rPr>
                <w:rFonts w:hint="default"/>
                <w:color w:val="auto"/>
                <w:sz w:val="21"/>
                <w:szCs w:val="21"/>
                <w:highlight w:val="none"/>
              </w:rPr>
            </w:pPr>
          </w:p>
          <w:p w14:paraId="4E718637">
            <w:pPr>
              <w:spacing w:beforeLines="0" w:afterLines="0" w:line="244" w:lineRule="auto"/>
              <w:rPr>
                <w:rFonts w:hint="default"/>
                <w:color w:val="auto"/>
                <w:sz w:val="21"/>
                <w:szCs w:val="21"/>
                <w:highlight w:val="none"/>
              </w:rPr>
            </w:pPr>
          </w:p>
          <w:p w14:paraId="24005DA8">
            <w:pPr>
              <w:spacing w:beforeLines="0" w:afterLines="0" w:line="244" w:lineRule="auto"/>
              <w:rPr>
                <w:rFonts w:hint="default"/>
                <w:color w:val="auto"/>
                <w:sz w:val="21"/>
                <w:szCs w:val="21"/>
                <w:highlight w:val="none"/>
              </w:rPr>
            </w:pPr>
          </w:p>
          <w:p w14:paraId="64861DC8">
            <w:pPr>
              <w:spacing w:beforeLines="0" w:afterLines="0" w:line="244" w:lineRule="auto"/>
              <w:rPr>
                <w:rFonts w:hint="default"/>
                <w:color w:val="auto"/>
                <w:sz w:val="21"/>
                <w:szCs w:val="21"/>
                <w:highlight w:val="none"/>
              </w:rPr>
            </w:pPr>
          </w:p>
          <w:p w14:paraId="72784FEF">
            <w:pPr>
              <w:spacing w:beforeLines="0" w:afterLines="0" w:line="244" w:lineRule="auto"/>
              <w:rPr>
                <w:rFonts w:hint="default"/>
                <w:color w:val="auto"/>
                <w:sz w:val="21"/>
                <w:szCs w:val="21"/>
                <w:highlight w:val="none"/>
              </w:rPr>
            </w:pPr>
          </w:p>
          <w:p w14:paraId="1B721945">
            <w:pPr>
              <w:spacing w:beforeLines="0" w:afterLines="0" w:line="244" w:lineRule="auto"/>
              <w:rPr>
                <w:rFonts w:hint="default"/>
                <w:color w:val="auto"/>
                <w:sz w:val="21"/>
                <w:szCs w:val="21"/>
                <w:highlight w:val="none"/>
              </w:rPr>
            </w:pPr>
          </w:p>
          <w:p w14:paraId="65E74E42">
            <w:pPr>
              <w:spacing w:beforeLines="0" w:afterLines="0" w:line="244" w:lineRule="auto"/>
              <w:rPr>
                <w:rFonts w:hint="default"/>
                <w:color w:val="auto"/>
                <w:sz w:val="21"/>
                <w:szCs w:val="21"/>
                <w:highlight w:val="none"/>
              </w:rPr>
            </w:pPr>
          </w:p>
          <w:p w14:paraId="7F489CCE">
            <w:pPr>
              <w:spacing w:beforeLines="0" w:afterLines="0" w:line="244" w:lineRule="auto"/>
              <w:rPr>
                <w:rFonts w:hint="default"/>
                <w:color w:val="auto"/>
                <w:sz w:val="21"/>
                <w:szCs w:val="21"/>
                <w:highlight w:val="none"/>
              </w:rPr>
            </w:pPr>
          </w:p>
          <w:p w14:paraId="5E4AFAE0">
            <w:pPr>
              <w:spacing w:beforeLines="0" w:afterLines="0" w:line="244" w:lineRule="auto"/>
              <w:rPr>
                <w:rFonts w:hint="default"/>
                <w:color w:val="auto"/>
                <w:sz w:val="21"/>
                <w:szCs w:val="21"/>
                <w:highlight w:val="none"/>
              </w:rPr>
            </w:pPr>
          </w:p>
          <w:p w14:paraId="2CFA75D3">
            <w:pPr>
              <w:spacing w:beforeLines="0" w:afterLines="0" w:line="244" w:lineRule="auto"/>
              <w:rPr>
                <w:rFonts w:hint="default"/>
                <w:color w:val="auto"/>
                <w:sz w:val="21"/>
                <w:szCs w:val="21"/>
                <w:highlight w:val="none"/>
              </w:rPr>
            </w:pPr>
          </w:p>
          <w:p w14:paraId="193FD395">
            <w:pPr>
              <w:spacing w:beforeLines="0" w:afterLines="0" w:line="244" w:lineRule="auto"/>
              <w:rPr>
                <w:rFonts w:hint="default"/>
                <w:color w:val="auto"/>
                <w:sz w:val="21"/>
                <w:szCs w:val="21"/>
                <w:highlight w:val="none"/>
              </w:rPr>
            </w:pPr>
          </w:p>
          <w:p w14:paraId="11E240F1">
            <w:pPr>
              <w:spacing w:beforeLines="0" w:afterLines="0" w:line="244" w:lineRule="auto"/>
              <w:rPr>
                <w:rFonts w:hint="default"/>
                <w:color w:val="auto"/>
                <w:sz w:val="21"/>
                <w:szCs w:val="21"/>
                <w:highlight w:val="none"/>
              </w:rPr>
            </w:pPr>
          </w:p>
          <w:p w14:paraId="7DEBF6B0">
            <w:pPr>
              <w:spacing w:before="60" w:beforeLines="0" w:afterLines="0" w:line="189" w:lineRule="auto"/>
              <w:ind w:left="714"/>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3.2.1</w:t>
            </w:r>
          </w:p>
        </w:tc>
        <w:tc>
          <w:tcPr>
            <w:tcW w:w="709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A849D7F">
            <w:pPr>
              <w:pStyle w:val="11"/>
              <w:spacing w:before="163" w:beforeLines="0" w:afterLines="0" w:line="220" w:lineRule="auto"/>
              <w:ind w:left="116"/>
              <w:rPr>
                <w:rFonts w:hint="default"/>
                <w:color w:val="auto"/>
                <w:sz w:val="21"/>
                <w:szCs w:val="21"/>
                <w:highlight w:val="none"/>
              </w:rPr>
            </w:pPr>
            <w:bookmarkStart w:id="99" w:name="bookmark119"/>
            <w:bookmarkEnd w:id="99"/>
            <w:bookmarkStart w:id="100" w:name="bookmark118"/>
            <w:bookmarkEnd w:id="100"/>
            <w:bookmarkStart w:id="101" w:name="bookmark120"/>
            <w:bookmarkEnd w:id="101"/>
            <w:r>
              <w:rPr>
                <w:rFonts w:hint="default"/>
                <w:color w:val="auto"/>
                <w:spacing w:val="-12"/>
                <w:sz w:val="21"/>
                <w:szCs w:val="21"/>
                <w:highlight w:val="none"/>
              </w:rPr>
              <w:t>（1）是否采用入围：</w:t>
            </w:r>
            <w:r>
              <w:rPr>
                <w:rFonts w:hint="default"/>
                <w:color w:val="auto"/>
                <w:spacing w:val="37"/>
                <w:sz w:val="21"/>
                <w:szCs w:val="21"/>
                <w:highlight w:val="none"/>
              </w:rPr>
              <w:t xml:space="preserve"> </w:t>
            </w:r>
            <w:r>
              <w:rPr>
                <w:rFonts w:hint="default"/>
                <w:color w:val="auto"/>
                <w:spacing w:val="-12"/>
                <w:sz w:val="21"/>
                <w:szCs w:val="21"/>
                <w:highlight w:val="none"/>
              </w:rPr>
              <w:sym w:font="Wingdings 2" w:char="00A3"/>
            </w:r>
            <w:r>
              <w:rPr>
                <w:rFonts w:hint="default"/>
                <w:color w:val="auto"/>
                <w:spacing w:val="-12"/>
                <w:sz w:val="21"/>
                <w:szCs w:val="21"/>
                <w:highlight w:val="none"/>
              </w:rPr>
              <w:t>是</w:t>
            </w:r>
            <w:r>
              <w:rPr>
                <w:rFonts w:hint="default"/>
                <w:color w:val="auto"/>
                <w:spacing w:val="9"/>
                <w:sz w:val="21"/>
                <w:szCs w:val="21"/>
                <w:highlight w:val="none"/>
              </w:rPr>
              <w:t xml:space="preserve">   </w:t>
            </w:r>
            <w:r>
              <w:rPr>
                <w:rFonts w:hint="default"/>
                <w:color w:val="auto"/>
                <w:spacing w:val="-12"/>
                <w:sz w:val="21"/>
                <w:szCs w:val="21"/>
                <w:highlight w:val="none"/>
                <w:lang w:eastAsia="zh-CN"/>
              </w:rPr>
              <w:t>☑</w:t>
            </w:r>
            <w:r>
              <w:rPr>
                <w:rFonts w:hint="default"/>
                <w:color w:val="auto"/>
                <w:spacing w:val="-12"/>
                <w:sz w:val="21"/>
                <w:szCs w:val="21"/>
                <w:highlight w:val="none"/>
              </w:rPr>
              <w:t>否</w:t>
            </w:r>
          </w:p>
          <w:p w14:paraId="3FB109BF">
            <w:pPr>
              <w:pStyle w:val="11"/>
              <w:spacing w:before="167" w:beforeLines="0" w:afterLines="0" w:line="219" w:lineRule="auto"/>
              <w:ind w:left="116"/>
              <w:rPr>
                <w:rFonts w:hint="default"/>
                <w:color w:val="auto"/>
                <w:sz w:val="21"/>
                <w:szCs w:val="21"/>
                <w:highlight w:val="none"/>
              </w:rPr>
            </w:pPr>
            <w:r>
              <w:rPr>
                <w:rFonts w:hint="default"/>
                <w:color w:val="auto"/>
                <w:spacing w:val="-1"/>
                <w:sz w:val="21"/>
                <w:szCs w:val="21"/>
                <w:highlight w:val="none"/>
              </w:rPr>
              <w:t>（2）入围方式：</w:t>
            </w:r>
            <w:r>
              <w:rPr>
                <w:rFonts w:hint="default"/>
                <w:color w:val="auto"/>
                <w:spacing w:val="-1"/>
                <w:sz w:val="21"/>
                <w:szCs w:val="21"/>
                <w:highlight w:val="none"/>
              </w:rPr>
              <w:sym w:font="Wingdings 2" w:char="00A3"/>
            </w:r>
            <w:r>
              <w:rPr>
                <w:rFonts w:hint="default"/>
                <w:color w:val="auto"/>
                <w:spacing w:val="-1"/>
                <w:sz w:val="21"/>
                <w:szCs w:val="21"/>
                <w:highlight w:val="none"/>
              </w:rPr>
              <w:t xml:space="preserve">投标报价入围  </w:t>
            </w:r>
            <w:r>
              <w:rPr>
                <w:rFonts w:hint="default"/>
                <w:color w:val="auto"/>
                <w:spacing w:val="-1"/>
                <w:sz w:val="21"/>
                <w:szCs w:val="21"/>
                <w:highlight w:val="none"/>
              </w:rPr>
              <w:sym w:font="Wingdings 2" w:char="00A3"/>
            </w:r>
            <w:r>
              <w:rPr>
                <w:rFonts w:hint="default"/>
                <w:color w:val="auto"/>
                <w:spacing w:val="-1"/>
                <w:sz w:val="21"/>
                <w:szCs w:val="21"/>
                <w:highlight w:val="none"/>
              </w:rPr>
              <w:t>技术标</w:t>
            </w:r>
            <w:r>
              <w:rPr>
                <w:rFonts w:hint="default"/>
                <w:color w:val="auto"/>
                <w:spacing w:val="-2"/>
                <w:sz w:val="21"/>
                <w:szCs w:val="21"/>
                <w:highlight w:val="none"/>
              </w:rPr>
              <w:t>入围</w:t>
            </w:r>
            <w:r>
              <w:rPr>
                <w:rFonts w:hint="default"/>
                <w:color w:val="auto"/>
                <w:spacing w:val="9"/>
                <w:sz w:val="21"/>
                <w:szCs w:val="21"/>
                <w:highlight w:val="none"/>
              </w:rPr>
              <w:t xml:space="preserve">   </w:t>
            </w:r>
            <w:r>
              <w:rPr>
                <w:rFonts w:hint="default"/>
                <w:color w:val="auto"/>
                <w:spacing w:val="-2"/>
                <w:sz w:val="21"/>
                <w:szCs w:val="21"/>
                <w:highlight w:val="none"/>
              </w:rPr>
              <w:sym w:font="Wingdings 2" w:char="00A3"/>
            </w:r>
            <w:r>
              <w:rPr>
                <w:rFonts w:hint="default"/>
                <w:color w:val="auto"/>
                <w:spacing w:val="-2"/>
                <w:sz w:val="21"/>
                <w:szCs w:val="21"/>
                <w:highlight w:val="none"/>
              </w:rPr>
              <w:t>综合性入围</w:t>
            </w:r>
          </w:p>
          <w:p w14:paraId="6FAADEF9">
            <w:pPr>
              <w:pStyle w:val="11"/>
              <w:spacing w:before="173" w:beforeLines="0" w:afterLines="0" w:line="221" w:lineRule="auto"/>
              <w:ind w:left="116"/>
              <w:rPr>
                <w:rFonts w:hint="default"/>
                <w:color w:val="auto"/>
                <w:sz w:val="21"/>
                <w:szCs w:val="21"/>
                <w:highlight w:val="none"/>
              </w:rPr>
            </w:pPr>
            <w:r>
              <w:rPr>
                <w:rFonts w:hint="default"/>
                <w:color w:val="auto"/>
                <w:spacing w:val="-1"/>
                <w:sz w:val="21"/>
                <w:szCs w:val="21"/>
                <w:highlight w:val="none"/>
              </w:rPr>
              <w:t>（3）入围数量：共计</w:t>
            </w:r>
            <w:r>
              <w:rPr>
                <w:rFonts w:hint="default"/>
                <w:color w:val="auto"/>
                <w:spacing w:val="-1"/>
                <w:sz w:val="21"/>
                <w:szCs w:val="21"/>
                <w:highlight w:val="none"/>
                <w:u w:val="single" w:color="auto"/>
                <w:lang w:eastAsia="zh-CN"/>
              </w:rPr>
              <w:t xml:space="preserve"> </w:t>
            </w:r>
            <w:r>
              <w:rPr>
                <w:rFonts w:hint="default"/>
                <w:color w:val="auto"/>
                <w:spacing w:val="-1"/>
                <w:sz w:val="21"/>
                <w:szCs w:val="21"/>
                <w:highlight w:val="none"/>
                <w:u w:val="single" w:color="auto"/>
              </w:rPr>
              <w:t xml:space="preserve"> </w:t>
            </w:r>
            <w:r>
              <w:rPr>
                <w:rFonts w:hint="default"/>
                <w:color w:val="auto"/>
                <w:spacing w:val="-89"/>
                <w:sz w:val="21"/>
                <w:szCs w:val="21"/>
                <w:highlight w:val="none"/>
              </w:rPr>
              <w:t xml:space="preserve"> </w:t>
            </w:r>
            <w:r>
              <w:rPr>
                <w:rFonts w:hint="default"/>
                <w:color w:val="auto"/>
                <w:spacing w:val="-1"/>
                <w:sz w:val="21"/>
                <w:szCs w:val="21"/>
                <w:highlight w:val="none"/>
              </w:rPr>
              <w:t>家</w:t>
            </w:r>
          </w:p>
          <w:p w14:paraId="719CC2C8">
            <w:pPr>
              <w:pStyle w:val="11"/>
              <w:spacing w:before="167" w:beforeLines="0" w:afterLines="0" w:line="369" w:lineRule="auto"/>
              <w:ind w:left="109" w:right="106" w:firstLine="544"/>
              <w:jc w:val="both"/>
              <w:rPr>
                <w:rFonts w:hint="default"/>
                <w:color w:val="auto"/>
                <w:sz w:val="21"/>
                <w:szCs w:val="21"/>
                <w:highlight w:val="none"/>
              </w:rPr>
            </w:pPr>
            <w:r>
              <w:rPr>
                <w:rFonts w:hint="default"/>
                <w:color w:val="auto"/>
                <w:spacing w:val="-5"/>
                <w:sz w:val="21"/>
                <w:szCs w:val="21"/>
                <w:highlight w:val="none"/>
              </w:rPr>
              <w:t>□报价入围基准值以上</w:t>
            </w:r>
            <w:r>
              <w:rPr>
                <w:rFonts w:hint="default"/>
                <w:color w:val="auto"/>
                <w:spacing w:val="-104"/>
                <w:sz w:val="21"/>
                <w:szCs w:val="21"/>
                <w:highlight w:val="none"/>
              </w:rPr>
              <w:t xml:space="preserve"> </w:t>
            </w:r>
            <w:r>
              <w:rPr>
                <w:rFonts w:hint="default"/>
                <w:color w:val="auto"/>
                <w:spacing w:val="5"/>
                <w:sz w:val="21"/>
                <w:szCs w:val="21"/>
                <w:highlight w:val="none"/>
                <w:u w:val="single" w:color="auto"/>
              </w:rPr>
              <w:t xml:space="preserve"> </w:t>
            </w:r>
            <w:r>
              <w:rPr>
                <w:rFonts w:hint="default"/>
                <w:color w:val="auto"/>
                <w:spacing w:val="-94"/>
                <w:sz w:val="21"/>
                <w:szCs w:val="21"/>
                <w:highlight w:val="none"/>
              </w:rPr>
              <w:t xml:space="preserve"> </w:t>
            </w:r>
            <w:r>
              <w:rPr>
                <w:rFonts w:hint="default"/>
                <w:color w:val="auto"/>
                <w:spacing w:val="-5"/>
                <w:sz w:val="21"/>
                <w:szCs w:val="21"/>
                <w:highlight w:val="none"/>
              </w:rPr>
              <w:t>家，</w:t>
            </w:r>
            <w:r>
              <w:rPr>
                <w:rFonts w:hint="default"/>
                <w:color w:val="auto"/>
                <w:spacing w:val="-29"/>
                <w:sz w:val="21"/>
                <w:szCs w:val="21"/>
                <w:highlight w:val="none"/>
              </w:rPr>
              <w:t xml:space="preserve"> </w:t>
            </w:r>
            <w:r>
              <w:rPr>
                <w:rFonts w:hint="default"/>
                <w:color w:val="auto"/>
                <w:spacing w:val="-5"/>
                <w:sz w:val="21"/>
                <w:szCs w:val="21"/>
                <w:highlight w:val="none"/>
              </w:rPr>
              <w:t>基准值以下</w:t>
            </w:r>
            <w:r>
              <w:rPr>
                <w:rFonts w:hint="default"/>
                <w:color w:val="auto"/>
                <w:spacing w:val="-104"/>
                <w:sz w:val="21"/>
                <w:szCs w:val="21"/>
                <w:highlight w:val="none"/>
              </w:rPr>
              <w:t xml:space="preserve"> </w:t>
            </w:r>
            <w:r>
              <w:rPr>
                <w:rFonts w:hint="default"/>
                <w:color w:val="auto"/>
                <w:spacing w:val="5"/>
                <w:sz w:val="21"/>
                <w:szCs w:val="21"/>
                <w:highlight w:val="none"/>
                <w:u w:val="single" w:color="auto"/>
              </w:rPr>
              <w:t xml:space="preserve">     </w:t>
            </w:r>
            <w:r>
              <w:rPr>
                <w:rFonts w:hint="default"/>
                <w:color w:val="auto"/>
                <w:spacing w:val="-93"/>
                <w:sz w:val="21"/>
                <w:szCs w:val="21"/>
                <w:highlight w:val="none"/>
              </w:rPr>
              <w:t xml:space="preserve"> </w:t>
            </w:r>
            <w:r>
              <w:rPr>
                <w:rFonts w:hint="default"/>
                <w:color w:val="auto"/>
                <w:spacing w:val="-5"/>
                <w:sz w:val="21"/>
                <w:szCs w:val="21"/>
                <w:highlight w:val="none"/>
              </w:rPr>
              <w:t>家，投标报价等于</w:t>
            </w:r>
            <w:r>
              <w:rPr>
                <w:rFonts w:hint="default"/>
                <w:color w:val="auto"/>
                <w:sz w:val="21"/>
                <w:szCs w:val="21"/>
                <w:highlight w:val="none"/>
              </w:rPr>
              <w:t xml:space="preserve"> </w:t>
            </w:r>
            <w:r>
              <w:rPr>
                <w:rFonts w:hint="default"/>
                <w:color w:val="auto"/>
                <w:spacing w:val="5"/>
                <w:sz w:val="21"/>
                <w:szCs w:val="21"/>
                <w:highlight w:val="none"/>
              </w:rPr>
              <w:t>基准值的或最后一名报价相同的，则同时入围，若基准值上</w:t>
            </w:r>
            <w:r>
              <w:rPr>
                <w:rFonts w:hint="default"/>
                <w:color w:val="auto"/>
                <w:spacing w:val="4"/>
                <w:sz w:val="21"/>
                <w:szCs w:val="21"/>
                <w:highlight w:val="none"/>
              </w:rPr>
              <w:t>下选取数量不</w:t>
            </w:r>
          </w:p>
          <w:p w14:paraId="5A4CEB74">
            <w:pPr>
              <w:pStyle w:val="11"/>
              <w:spacing w:beforeLines="0" w:afterLines="0" w:line="219" w:lineRule="auto"/>
              <w:ind w:left="113"/>
              <w:rPr>
                <w:rFonts w:hint="default"/>
                <w:color w:val="auto"/>
                <w:sz w:val="21"/>
                <w:szCs w:val="21"/>
                <w:highlight w:val="none"/>
              </w:rPr>
            </w:pPr>
            <w:r>
              <w:rPr>
                <w:rFonts w:hint="default"/>
                <w:color w:val="auto"/>
                <w:spacing w:val="-6"/>
                <w:sz w:val="21"/>
                <w:szCs w:val="21"/>
                <w:highlight w:val="none"/>
              </w:rPr>
              <w:t>足时， 按照与基准价离散度由小到大依次补齐。</w:t>
            </w:r>
          </w:p>
          <w:p w14:paraId="45304994">
            <w:pPr>
              <w:pStyle w:val="11"/>
              <w:spacing w:before="172" w:beforeLines="0" w:afterLines="0" w:line="221" w:lineRule="auto"/>
              <w:ind w:left="654"/>
              <w:rPr>
                <w:rFonts w:hint="default"/>
                <w:color w:val="auto"/>
                <w:sz w:val="21"/>
                <w:szCs w:val="21"/>
                <w:highlight w:val="none"/>
              </w:rPr>
            </w:pPr>
            <w:r>
              <w:rPr>
                <w:rFonts w:hint="default"/>
                <w:color w:val="auto"/>
                <w:spacing w:val="-3"/>
                <w:sz w:val="21"/>
                <w:szCs w:val="21"/>
                <w:highlight w:val="none"/>
              </w:rPr>
              <w:sym w:font="Wingdings 2" w:char="00A3"/>
            </w:r>
            <w:r>
              <w:rPr>
                <w:rFonts w:hint="default"/>
                <w:color w:val="auto"/>
                <w:spacing w:val="-3"/>
                <w:sz w:val="21"/>
                <w:szCs w:val="21"/>
                <w:highlight w:val="none"/>
              </w:rPr>
              <w:t>技术标入围按照得分高低排序取前</w:t>
            </w:r>
            <w:r>
              <w:rPr>
                <w:rFonts w:hint="default"/>
                <w:color w:val="auto"/>
                <w:spacing w:val="-104"/>
                <w:sz w:val="21"/>
                <w:szCs w:val="21"/>
                <w:highlight w:val="none"/>
              </w:rPr>
              <w:t xml:space="preserve"> </w:t>
            </w:r>
            <w:r>
              <w:rPr>
                <w:rFonts w:hint="default"/>
                <w:color w:val="auto"/>
                <w:spacing w:val="25"/>
                <w:sz w:val="21"/>
                <w:szCs w:val="21"/>
                <w:highlight w:val="none"/>
                <w:u w:val="single" w:color="auto"/>
              </w:rPr>
              <w:t xml:space="preserve">  </w:t>
            </w:r>
            <w:r>
              <w:rPr>
                <w:rFonts w:hint="default"/>
                <w:color w:val="auto"/>
                <w:spacing w:val="-3"/>
                <w:sz w:val="21"/>
                <w:szCs w:val="21"/>
                <w:highlight w:val="none"/>
              </w:rPr>
              <w:t>家；</w:t>
            </w:r>
          </w:p>
          <w:p w14:paraId="1C265D83">
            <w:pPr>
              <w:pStyle w:val="11"/>
              <w:spacing w:before="167" w:beforeLines="0" w:afterLines="0" w:line="221" w:lineRule="auto"/>
              <w:ind w:left="654"/>
              <w:rPr>
                <w:rFonts w:hint="default"/>
                <w:color w:val="auto"/>
                <w:sz w:val="21"/>
                <w:szCs w:val="21"/>
                <w:highlight w:val="none"/>
              </w:rPr>
            </w:pPr>
            <w:r>
              <w:rPr>
                <w:rFonts w:hint="default"/>
                <w:color w:val="auto"/>
                <w:spacing w:val="-5"/>
                <w:sz w:val="21"/>
                <w:szCs w:val="21"/>
                <w:highlight w:val="none"/>
              </w:rPr>
              <w:sym w:font="Wingdings 2" w:char="00A3"/>
            </w:r>
            <w:r>
              <w:rPr>
                <w:rFonts w:hint="default"/>
                <w:color w:val="auto"/>
                <w:spacing w:val="-5"/>
                <w:sz w:val="21"/>
                <w:szCs w:val="21"/>
                <w:highlight w:val="none"/>
              </w:rPr>
              <w:t>综合性入围（技术标+资信标+其他） 按照得分高低排序取前</w:t>
            </w:r>
            <w:r>
              <w:rPr>
                <w:rFonts w:hint="default"/>
                <w:color w:val="auto"/>
                <w:spacing w:val="2"/>
                <w:sz w:val="21"/>
                <w:szCs w:val="21"/>
                <w:highlight w:val="none"/>
                <w:u w:val="single" w:color="auto"/>
              </w:rPr>
              <w:t xml:space="preserve"> </w:t>
            </w:r>
            <w:r>
              <w:rPr>
                <w:rFonts w:hint="default"/>
                <w:color w:val="auto"/>
                <w:spacing w:val="2"/>
                <w:sz w:val="21"/>
                <w:szCs w:val="21"/>
                <w:highlight w:val="none"/>
                <w:u w:val="single" w:color="auto"/>
                <w:lang w:eastAsia="zh-CN"/>
              </w:rPr>
              <w:t xml:space="preserve"> </w:t>
            </w:r>
            <w:r>
              <w:rPr>
                <w:rFonts w:hint="default"/>
                <w:color w:val="auto"/>
                <w:spacing w:val="2"/>
                <w:sz w:val="21"/>
                <w:szCs w:val="21"/>
                <w:highlight w:val="none"/>
                <w:u w:val="single" w:color="auto"/>
              </w:rPr>
              <w:t xml:space="preserve"> </w:t>
            </w:r>
          </w:p>
          <w:p w14:paraId="01CB62C3">
            <w:pPr>
              <w:pStyle w:val="11"/>
              <w:spacing w:before="172" w:beforeLines="0" w:afterLines="0" w:line="221" w:lineRule="auto"/>
              <w:ind w:left="111"/>
              <w:rPr>
                <w:rFonts w:hint="default"/>
                <w:color w:val="auto"/>
                <w:sz w:val="21"/>
                <w:szCs w:val="21"/>
                <w:highlight w:val="none"/>
              </w:rPr>
            </w:pPr>
            <w:r>
              <w:rPr>
                <w:rFonts w:hint="default"/>
                <w:color w:val="auto"/>
                <w:spacing w:val="-10"/>
                <w:sz w:val="21"/>
                <w:szCs w:val="21"/>
                <w:highlight w:val="none"/>
              </w:rPr>
              <w:t>家。</w:t>
            </w:r>
          </w:p>
          <w:p w14:paraId="1351DF0D">
            <w:pPr>
              <w:pStyle w:val="11"/>
              <w:spacing w:before="166" w:beforeLines="0" w:afterLines="0" w:line="219" w:lineRule="auto"/>
              <w:ind w:left="116"/>
              <w:rPr>
                <w:rFonts w:hint="default"/>
                <w:color w:val="auto"/>
                <w:sz w:val="21"/>
                <w:szCs w:val="21"/>
                <w:highlight w:val="none"/>
              </w:rPr>
            </w:pPr>
            <w:r>
              <w:rPr>
                <w:rFonts w:hint="default"/>
                <w:color w:val="auto"/>
                <w:spacing w:val="-1"/>
                <w:sz w:val="21"/>
                <w:szCs w:val="21"/>
                <w:highlight w:val="none"/>
              </w:rPr>
              <w:t>（4）报价入围基准值计算方法：</w:t>
            </w:r>
          </w:p>
          <w:p w14:paraId="0FE14BDC">
            <w:pPr>
              <w:pStyle w:val="11"/>
              <w:spacing w:before="175" w:beforeLines="0" w:afterLines="0" w:line="369" w:lineRule="auto"/>
              <w:ind w:left="109" w:right="104" w:firstLine="443"/>
              <w:rPr>
                <w:rFonts w:hint="default"/>
                <w:color w:val="auto"/>
                <w:sz w:val="21"/>
                <w:szCs w:val="21"/>
                <w:highlight w:val="none"/>
              </w:rPr>
            </w:pPr>
            <w:r>
              <w:rPr>
                <w:rFonts w:hint="default"/>
                <w:color w:val="auto"/>
                <w:spacing w:val="-1"/>
                <w:sz w:val="21"/>
                <w:szCs w:val="21"/>
                <w:highlight w:val="none"/>
                <w:lang w:eastAsia="zh-CN"/>
              </w:rPr>
              <w:t>□</w:t>
            </w:r>
            <w:r>
              <w:rPr>
                <w:rFonts w:hint="default"/>
                <w:color w:val="auto"/>
                <w:spacing w:val="-1"/>
                <w:sz w:val="21"/>
                <w:szCs w:val="21"/>
                <w:highlight w:val="none"/>
              </w:rPr>
              <w:t>通过初步评审且投标报价不低于合理最低价的投</w:t>
            </w:r>
            <w:r>
              <w:rPr>
                <w:rFonts w:hint="default"/>
                <w:color w:val="auto"/>
                <w:spacing w:val="-2"/>
                <w:sz w:val="21"/>
                <w:szCs w:val="21"/>
                <w:highlight w:val="none"/>
              </w:rPr>
              <w:t>标人超过</w:t>
            </w:r>
            <w:r>
              <w:rPr>
                <w:rFonts w:hint="default"/>
                <w:color w:val="auto"/>
                <w:spacing w:val="-102"/>
                <w:sz w:val="21"/>
                <w:szCs w:val="21"/>
                <w:highlight w:val="none"/>
              </w:rPr>
              <w:t xml:space="preserve"> </w:t>
            </w:r>
            <w:r>
              <w:rPr>
                <w:rFonts w:hint="default"/>
                <w:color w:val="auto"/>
                <w:spacing w:val="16"/>
                <w:sz w:val="21"/>
                <w:szCs w:val="21"/>
                <w:highlight w:val="none"/>
                <w:u w:val="single" w:color="auto"/>
              </w:rPr>
              <w:t xml:space="preserve">   </w:t>
            </w:r>
            <w:r>
              <w:rPr>
                <w:rFonts w:hint="default"/>
                <w:color w:val="auto"/>
                <w:spacing w:val="-93"/>
                <w:sz w:val="21"/>
                <w:szCs w:val="21"/>
                <w:highlight w:val="none"/>
              </w:rPr>
              <w:t xml:space="preserve"> </w:t>
            </w:r>
            <w:r>
              <w:rPr>
                <w:rFonts w:hint="default"/>
                <w:color w:val="auto"/>
                <w:spacing w:val="-2"/>
                <w:sz w:val="21"/>
                <w:szCs w:val="21"/>
                <w:highlight w:val="none"/>
              </w:rPr>
              <w:t>家（包</w:t>
            </w:r>
            <w:r>
              <w:rPr>
                <w:rFonts w:hint="default"/>
                <w:color w:val="auto"/>
                <w:sz w:val="21"/>
                <w:szCs w:val="21"/>
                <w:highlight w:val="none"/>
              </w:rPr>
              <w:t xml:space="preserve"> </w:t>
            </w:r>
            <w:r>
              <w:rPr>
                <w:rFonts w:hint="default"/>
                <w:color w:val="auto"/>
                <w:spacing w:val="-3"/>
                <w:sz w:val="21"/>
                <w:szCs w:val="21"/>
                <w:highlight w:val="none"/>
              </w:rPr>
              <w:t>含</w:t>
            </w:r>
            <w:r>
              <w:rPr>
                <w:rFonts w:hint="default"/>
                <w:color w:val="auto"/>
                <w:spacing w:val="18"/>
                <w:sz w:val="21"/>
                <w:szCs w:val="21"/>
                <w:highlight w:val="none"/>
                <w:u w:val="single" w:color="auto"/>
              </w:rPr>
              <w:t xml:space="preserve">   </w:t>
            </w:r>
            <w:r>
              <w:rPr>
                <w:rFonts w:hint="default"/>
                <w:color w:val="auto"/>
                <w:spacing w:val="-94"/>
                <w:sz w:val="21"/>
                <w:szCs w:val="21"/>
                <w:highlight w:val="none"/>
              </w:rPr>
              <w:t xml:space="preserve"> </w:t>
            </w:r>
            <w:r>
              <w:rPr>
                <w:rFonts w:hint="default"/>
                <w:color w:val="auto"/>
                <w:spacing w:val="-3"/>
                <w:sz w:val="21"/>
                <w:szCs w:val="21"/>
                <w:highlight w:val="none"/>
              </w:rPr>
              <w:t>家</w:t>
            </w:r>
            <w:r>
              <w:rPr>
                <w:rFonts w:hint="default"/>
                <w:color w:val="auto"/>
                <w:spacing w:val="-21"/>
                <w:sz w:val="21"/>
                <w:szCs w:val="21"/>
                <w:highlight w:val="none"/>
              </w:rPr>
              <w:t>），</w:t>
            </w:r>
            <w:r>
              <w:rPr>
                <w:rFonts w:hint="default"/>
                <w:color w:val="auto"/>
                <w:spacing w:val="-3"/>
                <w:sz w:val="21"/>
                <w:szCs w:val="21"/>
                <w:highlight w:val="none"/>
              </w:rPr>
              <w:t>去掉报价最高</w:t>
            </w:r>
            <w:r>
              <w:rPr>
                <w:rFonts w:hint="default"/>
                <w:color w:val="auto"/>
                <w:spacing w:val="-40"/>
                <w:sz w:val="21"/>
                <w:szCs w:val="21"/>
                <w:highlight w:val="none"/>
              </w:rPr>
              <w:t xml:space="preserve"> </w:t>
            </w:r>
            <w:r>
              <w:rPr>
                <w:rFonts w:hint="default"/>
                <w:color w:val="auto"/>
                <w:spacing w:val="-3"/>
                <w:sz w:val="21"/>
                <w:szCs w:val="21"/>
                <w:highlight w:val="none"/>
              </w:rPr>
              <w:t>20%家和报价最低</w:t>
            </w:r>
            <w:r>
              <w:rPr>
                <w:rFonts w:hint="default"/>
                <w:color w:val="auto"/>
                <w:spacing w:val="-41"/>
                <w:sz w:val="21"/>
                <w:szCs w:val="21"/>
                <w:highlight w:val="none"/>
              </w:rPr>
              <w:t xml:space="preserve"> </w:t>
            </w:r>
            <w:r>
              <w:rPr>
                <w:rFonts w:hint="default"/>
                <w:color w:val="auto"/>
                <w:spacing w:val="-3"/>
                <w:sz w:val="21"/>
                <w:szCs w:val="21"/>
                <w:highlight w:val="none"/>
              </w:rPr>
              <w:t>20%家投</w:t>
            </w:r>
            <w:r>
              <w:rPr>
                <w:rFonts w:hint="default"/>
                <w:color w:val="auto"/>
                <w:spacing w:val="-4"/>
                <w:sz w:val="21"/>
                <w:szCs w:val="21"/>
                <w:highlight w:val="none"/>
              </w:rPr>
              <w:t>标报价（小数点后不保</w:t>
            </w:r>
            <w:r>
              <w:rPr>
                <w:rFonts w:hint="default"/>
                <w:color w:val="auto"/>
                <w:sz w:val="21"/>
                <w:szCs w:val="21"/>
                <w:highlight w:val="none"/>
              </w:rPr>
              <w:t xml:space="preserve"> </w:t>
            </w:r>
            <w:r>
              <w:rPr>
                <w:rFonts w:hint="default"/>
                <w:color w:val="auto"/>
                <w:spacing w:val="-7"/>
                <w:sz w:val="21"/>
                <w:szCs w:val="21"/>
                <w:highlight w:val="none"/>
              </w:rPr>
              <w:t>留有效数字，个位数向下取整</w:t>
            </w:r>
            <w:r>
              <w:rPr>
                <w:rFonts w:hint="default"/>
                <w:color w:val="auto"/>
                <w:spacing w:val="-11"/>
                <w:sz w:val="21"/>
                <w:szCs w:val="21"/>
                <w:highlight w:val="none"/>
              </w:rPr>
              <w:t>）；</w:t>
            </w:r>
            <w:r>
              <w:rPr>
                <w:rFonts w:hint="default"/>
                <w:color w:val="auto"/>
                <w:spacing w:val="-7"/>
                <w:sz w:val="21"/>
                <w:szCs w:val="21"/>
                <w:highlight w:val="none"/>
              </w:rPr>
              <w:t>若小于</w:t>
            </w:r>
            <w:r>
              <w:rPr>
                <w:rFonts w:hint="default"/>
                <w:color w:val="auto"/>
                <w:spacing w:val="-97"/>
                <w:sz w:val="21"/>
                <w:szCs w:val="21"/>
                <w:highlight w:val="none"/>
              </w:rPr>
              <w:t xml:space="preserve"> </w:t>
            </w:r>
            <w:r>
              <w:rPr>
                <w:rFonts w:hint="default"/>
                <w:color w:val="auto"/>
                <w:spacing w:val="14"/>
                <w:sz w:val="21"/>
                <w:szCs w:val="21"/>
                <w:highlight w:val="none"/>
                <w:u w:val="single" w:color="auto"/>
              </w:rPr>
              <w:t xml:space="preserve">    </w:t>
            </w:r>
            <w:r>
              <w:rPr>
                <w:rFonts w:hint="default"/>
                <w:color w:val="auto"/>
                <w:spacing w:val="-95"/>
                <w:sz w:val="21"/>
                <w:szCs w:val="21"/>
                <w:highlight w:val="none"/>
              </w:rPr>
              <w:t xml:space="preserve"> </w:t>
            </w:r>
            <w:r>
              <w:rPr>
                <w:rFonts w:hint="default"/>
                <w:color w:val="auto"/>
                <w:spacing w:val="-7"/>
                <w:sz w:val="21"/>
                <w:szCs w:val="21"/>
                <w:highlight w:val="none"/>
              </w:rPr>
              <w:t>家，则不去； 取</w:t>
            </w:r>
            <w:r>
              <w:rPr>
                <w:rFonts w:hint="default"/>
                <w:color w:val="auto"/>
                <w:spacing w:val="-8"/>
                <w:sz w:val="21"/>
                <w:szCs w:val="21"/>
                <w:highlight w:val="none"/>
              </w:rPr>
              <w:t>其投标报价算</w:t>
            </w:r>
            <w:r>
              <w:rPr>
                <w:rFonts w:hint="default"/>
                <w:color w:val="auto"/>
                <w:sz w:val="21"/>
                <w:szCs w:val="21"/>
                <w:highlight w:val="none"/>
              </w:rPr>
              <w:t xml:space="preserve"> </w:t>
            </w:r>
            <w:r>
              <w:rPr>
                <w:rFonts w:hint="default"/>
                <w:color w:val="auto"/>
                <w:spacing w:val="-2"/>
                <w:sz w:val="21"/>
                <w:szCs w:val="21"/>
                <w:highlight w:val="none"/>
              </w:rPr>
              <w:t>术平均值的</w:t>
            </w:r>
            <w:r>
              <w:rPr>
                <w:rFonts w:hint="default"/>
                <w:color w:val="auto"/>
                <w:spacing w:val="-105"/>
                <w:sz w:val="21"/>
                <w:szCs w:val="21"/>
                <w:highlight w:val="none"/>
              </w:rPr>
              <w:t xml:space="preserve"> </w:t>
            </w:r>
            <w:r>
              <w:rPr>
                <w:rFonts w:hint="default"/>
                <w:color w:val="auto"/>
                <w:spacing w:val="26"/>
                <w:sz w:val="21"/>
                <w:szCs w:val="21"/>
                <w:highlight w:val="none"/>
                <w:u w:val="single" w:color="auto"/>
              </w:rPr>
              <w:t xml:space="preserve">    </w:t>
            </w:r>
            <w:r>
              <w:rPr>
                <w:rFonts w:hint="default"/>
                <w:color w:val="auto"/>
                <w:spacing w:val="-103"/>
                <w:sz w:val="21"/>
                <w:szCs w:val="21"/>
                <w:highlight w:val="none"/>
              </w:rPr>
              <w:t xml:space="preserve"> </w:t>
            </w:r>
            <w:r>
              <w:rPr>
                <w:rFonts w:hint="default"/>
                <w:color w:val="auto"/>
                <w:spacing w:val="-2"/>
                <w:sz w:val="21"/>
                <w:szCs w:val="21"/>
                <w:highlight w:val="none"/>
              </w:rPr>
              <w:t>%与□最高投标限价</w:t>
            </w:r>
            <w:r>
              <w:rPr>
                <w:rFonts w:hint="default"/>
                <w:color w:val="auto"/>
                <w:spacing w:val="27"/>
                <w:sz w:val="21"/>
                <w:szCs w:val="21"/>
                <w:highlight w:val="none"/>
              </w:rPr>
              <w:t xml:space="preserve"> </w:t>
            </w:r>
            <w:r>
              <w:rPr>
                <w:rFonts w:hint="default"/>
                <w:color w:val="auto"/>
                <w:spacing w:val="-2"/>
                <w:sz w:val="21"/>
                <w:szCs w:val="21"/>
                <w:highlight w:val="none"/>
              </w:rPr>
              <w:t>□报价最高</w:t>
            </w:r>
            <w:r>
              <w:rPr>
                <w:rFonts w:hint="default"/>
                <w:color w:val="auto"/>
                <w:spacing w:val="-41"/>
                <w:sz w:val="21"/>
                <w:szCs w:val="21"/>
                <w:highlight w:val="none"/>
              </w:rPr>
              <w:t xml:space="preserve"> </w:t>
            </w:r>
            <w:r>
              <w:rPr>
                <w:rFonts w:hint="default"/>
                <w:color w:val="auto"/>
                <w:spacing w:val="-2"/>
                <w:sz w:val="21"/>
                <w:szCs w:val="21"/>
                <w:highlight w:val="none"/>
              </w:rPr>
              <w:t>20%家的平均</w:t>
            </w:r>
            <w:r>
              <w:rPr>
                <w:rFonts w:hint="default"/>
                <w:color w:val="auto"/>
                <w:spacing w:val="-3"/>
                <w:sz w:val="21"/>
                <w:szCs w:val="21"/>
                <w:highlight w:val="none"/>
              </w:rPr>
              <w:t>值</w:t>
            </w:r>
            <w:r>
              <w:rPr>
                <w:rFonts w:hint="default"/>
                <w:color w:val="auto"/>
                <w:spacing w:val="26"/>
                <w:sz w:val="21"/>
                <w:szCs w:val="21"/>
                <w:highlight w:val="none"/>
              </w:rPr>
              <w:t xml:space="preserve"> </w:t>
            </w:r>
            <w:r>
              <w:rPr>
                <w:rFonts w:hint="default"/>
                <w:color w:val="auto"/>
                <w:spacing w:val="-3"/>
                <w:sz w:val="21"/>
                <w:szCs w:val="21"/>
                <w:highlight w:val="none"/>
              </w:rPr>
              <w:t>□报价最</w:t>
            </w:r>
          </w:p>
          <w:p w14:paraId="598AFEEE">
            <w:pPr>
              <w:pStyle w:val="11"/>
              <w:spacing w:beforeLines="0" w:afterLines="0" w:line="220" w:lineRule="auto"/>
              <w:ind w:left="109"/>
              <w:rPr>
                <w:rFonts w:hint="default"/>
                <w:color w:val="auto"/>
                <w:sz w:val="21"/>
                <w:szCs w:val="21"/>
                <w:highlight w:val="none"/>
              </w:rPr>
            </w:pPr>
            <w:r>
              <w:rPr>
                <w:rFonts w:hint="default"/>
                <w:color w:val="auto"/>
                <w:spacing w:val="-1"/>
                <w:sz w:val="21"/>
                <w:szCs w:val="21"/>
                <w:highlight w:val="none"/>
              </w:rPr>
              <w:t>低</w:t>
            </w:r>
            <w:r>
              <w:rPr>
                <w:rFonts w:hint="default"/>
                <w:color w:val="auto"/>
                <w:spacing w:val="-42"/>
                <w:sz w:val="21"/>
                <w:szCs w:val="21"/>
                <w:highlight w:val="none"/>
              </w:rPr>
              <w:t xml:space="preserve"> </w:t>
            </w:r>
            <w:r>
              <w:rPr>
                <w:rFonts w:hint="default"/>
                <w:color w:val="auto"/>
                <w:spacing w:val="-1"/>
                <w:sz w:val="21"/>
                <w:szCs w:val="21"/>
                <w:highlight w:val="none"/>
              </w:rPr>
              <w:t>20%家的平均值的</w:t>
            </w:r>
            <w:r>
              <w:rPr>
                <w:rFonts w:hint="default"/>
                <w:color w:val="auto"/>
                <w:spacing w:val="-1"/>
                <w:sz w:val="21"/>
                <w:szCs w:val="21"/>
                <w:highlight w:val="none"/>
                <w:u w:val="single" w:color="auto"/>
              </w:rPr>
              <w:t xml:space="preserve">     </w:t>
            </w:r>
            <w:r>
              <w:rPr>
                <w:rFonts w:hint="default"/>
                <w:color w:val="auto"/>
                <w:spacing w:val="-102"/>
                <w:sz w:val="21"/>
                <w:szCs w:val="21"/>
                <w:highlight w:val="none"/>
              </w:rPr>
              <w:t xml:space="preserve"> </w:t>
            </w:r>
            <w:r>
              <w:rPr>
                <w:rFonts w:hint="default"/>
                <w:color w:val="auto"/>
                <w:spacing w:val="-1"/>
                <w:sz w:val="21"/>
                <w:szCs w:val="21"/>
                <w:highlight w:val="none"/>
              </w:rPr>
              <w:t>%之和。</w:t>
            </w:r>
          </w:p>
          <w:p w14:paraId="70C1A5CD">
            <w:pPr>
              <w:pStyle w:val="11"/>
              <w:spacing w:before="168" w:beforeLines="0" w:afterLines="0" w:line="369" w:lineRule="auto"/>
              <w:ind w:left="109" w:right="104" w:firstLine="443"/>
              <w:rPr>
                <w:rFonts w:hint="default"/>
                <w:color w:val="auto"/>
                <w:sz w:val="21"/>
                <w:szCs w:val="21"/>
                <w:highlight w:val="none"/>
              </w:rPr>
            </w:pPr>
            <w:r>
              <w:rPr>
                <w:rFonts w:hint="default"/>
                <w:color w:val="auto"/>
                <w:spacing w:val="-1"/>
                <w:sz w:val="21"/>
                <w:szCs w:val="21"/>
                <w:highlight w:val="none"/>
                <w:lang w:eastAsia="zh-CN"/>
              </w:rPr>
              <w:t>□</w:t>
            </w:r>
            <w:r>
              <w:rPr>
                <w:rFonts w:hint="default"/>
                <w:color w:val="auto"/>
                <w:spacing w:val="-1"/>
                <w:sz w:val="21"/>
                <w:szCs w:val="21"/>
                <w:highlight w:val="none"/>
              </w:rPr>
              <w:t>通过初步评审且投标报价不低于合理最低价的投</w:t>
            </w:r>
            <w:r>
              <w:rPr>
                <w:rFonts w:hint="default"/>
                <w:color w:val="auto"/>
                <w:spacing w:val="-2"/>
                <w:sz w:val="21"/>
                <w:szCs w:val="21"/>
                <w:highlight w:val="none"/>
              </w:rPr>
              <w:t>标人超过</w:t>
            </w:r>
            <w:r>
              <w:rPr>
                <w:rFonts w:hint="default"/>
                <w:color w:val="auto"/>
                <w:spacing w:val="-102"/>
                <w:sz w:val="21"/>
                <w:szCs w:val="21"/>
                <w:highlight w:val="none"/>
              </w:rPr>
              <w:t xml:space="preserve"> </w:t>
            </w:r>
            <w:r>
              <w:rPr>
                <w:rFonts w:hint="default"/>
                <w:color w:val="auto"/>
                <w:spacing w:val="16"/>
                <w:sz w:val="21"/>
                <w:szCs w:val="21"/>
                <w:highlight w:val="none"/>
                <w:u w:val="single" w:color="auto"/>
              </w:rPr>
              <w:t xml:space="preserve"> </w:t>
            </w:r>
            <w:r>
              <w:rPr>
                <w:rFonts w:hint="default"/>
                <w:color w:val="auto"/>
                <w:spacing w:val="16"/>
                <w:sz w:val="21"/>
                <w:szCs w:val="21"/>
                <w:highlight w:val="none"/>
                <w:u w:val="single" w:color="auto"/>
                <w:lang w:eastAsia="zh-CN"/>
              </w:rPr>
              <w:t xml:space="preserve"> </w:t>
            </w:r>
            <w:r>
              <w:rPr>
                <w:rFonts w:hint="default"/>
                <w:color w:val="auto"/>
                <w:spacing w:val="16"/>
                <w:sz w:val="21"/>
                <w:szCs w:val="21"/>
                <w:highlight w:val="none"/>
                <w:u w:val="single" w:color="auto"/>
              </w:rPr>
              <w:t xml:space="preserve">  </w:t>
            </w:r>
            <w:r>
              <w:rPr>
                <w:rFonts w:hint="default"/>
                <w:color w:val="auto"/>
                <w:spacing w:val="-93"/>
                <w:sz w:val="21"/>
                <w:szCs w:val="21"/>
                <w:highlight w:val="none"/>
              </w:rPr>
              <w:t xml:space="preserve"> </w:t>
            </w:r>
            <w:r>
              <w:rPr>
                <w:rFonts w:hint="default"/>
                <w:color w:val="auto"/>
                <w:spacing w:val="-2"/>
                <w:sz w:val="21"/>
                <w:szCs w:val="21"/>
                <w:highlight w:val="none"/>
              </w:rPr>
              <w:t>家（包</w:t>
            </w:r>
            <w:r>
              <w:rPr>
                <w:rFonts w:hint="default"/>
                <w:color w:val="auto"/>
                <w:sz w:val="21"/>
                <w:szCs w:val="21"/>
                <w:highlight w:val="none"/>
              </w:rPr>
              <w:t xml:space="preserve"> </w:t>
            </w:r>
            <w:r>
              <w:rPr>
                <w:rFonts w:hint="default"/>
                <w:color w:val="auto"/>
                <w:spacing w:val="-7"/>
                <w:sz w:val="21"/>
                <w:szCs w:val="21"/>
                <w:highlight w:val="none"/>
              </w:rPr>
              <w:t>含</w:t>
            </w:r>
            <w:r>
              <w:rPr>
                <w:rFonts w:hint="default"/>
                <w:color w:val="auto"/>
                <w:spacing w:val="32"/>
                <w:sz w:val="21"/>
                <w:szCs w:val="21"/>
                <w:highlight w:val="none"/>
                <w:u w:val="single" w:color="auto"/>
              </w:rPr>
              <w:t xml:space="preserve"> </w:t>
            </w:r>
            <w:r>
              <w:rPr>
                <w:rFonts w:hint="default"/>
                <w:color w:val="auto"/>
                <w:spacing w:val="32"/>
                <w:sz w:val="21"/>
                <w:szCs w:val="21"/>
                <w:highlight w:val="none"/>
                <w:u w:val="single" w:color="auto"/>
                <w:lang w:eastAsia="zh-CN"/>
              </w:rPr>
              <w:t xml:space="preserve"> </w:t>
            </w:r>
            <w:r>
              <w:rPr>
                <w:rFonts w:hint="default"/>
                <w:color w:val="auto"/>
                <w:spacing w:val="32"/>
                <w:sz w:val="21"/>
                <w:szCs w:val="21"/>
                <w:highlight w:val="none"/>
                <w:u w:val="single" w:color="auto"/>
              </w:rPr>
              <w:t xml:space="preserve"> </w:t>
            </w:r>
            <w:r>
              <w:rPr>
                <w:rFonts w:hint="default"/>
                <w:color w:val="auto"/>
                <w:spacing w:val="-95"/>
                <w:sz w:val="21"/>
                <w:szCs w:val="21"/>
                <w:highlight w:val="none"/>
              </w:rPr>
              <w:t xml:space="preserve"> </w:t>
            </w:r>
            <w:r>
              <w:rPr>
                <w:rFonts w:hint="default"/>
                <w:color w:val="auto"/>
                <w:spacing w:val="-7"/>
                <w:sz w:val="21"/>
                <w:szCs w:val="21"/>
                <w:highlight w:val="none"/>
              </w:rPr>
              <w:t>家</w:t>
            </w:r>
            <w:r>
              <w:rPr>
                <w:rFonts w:hint="default"/>
                <w:color w:val="auto"/>
                <w:spacing w:val="-31"/>
                <w:sz w:val="21"/>
                <w:szCs w:val="21"/>
                <w:highlight w:val="none"/>
              </w:rPr>
              <w:t>），</w:t>
            </w:r>
            <w:r>
              <w:rPr>
                <w:rFonts w:hint="default"/>
                <w:color w:val="auto"/>
                <w:spacing w:val="-7"/>
                <w:sz w:val="21"/>
                <w:szCs w:val="21"/>
                <w:highlight w:val="none"/>
              </w:rPr>
              <w:t>则去掉</w:t>
            </w:r>
            <w:r>
              <w:rPr>
                <w:rFonts w:hint="default"/>
                <w:color w:val="auto"/>
                <w:spacing w:val="-94"/>
                <w:sz w:val="21"/>
                <w:szCs w:val="21"/>
                <w:highlight w:val="none"/>
              </w:rPr>
              <w:t xml:space="preserve"> </w:t>
            </w:r>
            <w:r>
              <w:rPr>
                <w:rFonts w:hint="default"/>
                <w:color w:val="auto"/>
                <w:spacing w:val="31"/>
                <w:sz w:val="21"/>
                <w:szCs w:val="21"/>
                <w:highlight w:val="none"/>
                <w:u w:val="single" w:color="auto"/>
              </w:rPr>
              <w:t xml:space="preserve"> </w:t>
            </w:r>
            <w:r>
              <w:rPr>
                <w:rFonts w:hint="default"/>
                <w:color w:val="auto"/>
                <w:spacing w:val="31"/>
                <w:sz w:val="21"/>
                <w:szCs w:val="21"/>
                <w:highlight w:val="none"/>
                <w:u w:val="single" w:color="auto"/>
                <w:lang w:eastAsia="zh-CN"/>
              </w:rPr>
              <w:t xml:space="preserve"> </w:t>
            </w:r>
            <w:r>
              <w:rPr>
                <w:rFonts w:hint="default"/>
                <w:color w:val="auto"/>
                <w:spacing w:val="31"/>
                <w:sz w:val="21"/>
                <w:szCs w:val="21"/>
                <w:highlight w:val="none"/>
                <w:u w:val="single" w:color="auto"/>
              </w:rPr>
              <w:t xml:space="preserve"> </w:t>
            </w:r>
            <w:r>
              <w:rPr>
                <w:rFonts w:hint="default"/>
                <w:color w:val="auto"/>
                <w:spacing w:val="-96"/>
                <w:sz w:val="21"/>
                <w:szCs w:val="21"/>
                <w:highlight w:val="none"/>
              </w:rPr>
              <w:t xml:space="preserve"> </w:t>
            </w:r>
            <w:r>
              <w:rPr>
                <w:rFonts w:hint="default"/>
                <w:color w:val="auto"/>
                <w:spacing w:val="-7"/>
                <w:sz w:val="21"/>
                <w:szCs w:val="21"/>
                <w:highlight w:val="none"/>
              </w:rPr>
              <w:t>个最高投标报价，</w:t>
            </w:r>
            <w:r>
              <w:rPr>
                <w:rFonts w:hint="default"/>
                <w:color w:val="auto"/>
                <w:spacing w:val="-29"/>
                <w:sz w:val="21"/>
                <w:szCs w:val="21"/>
                <w:highlight w:val="none"/>
              </w:rPr>
              <w:t xml:space="preserve"> </w:t>
            </w:r>
            <w:r>
              <w:rPr>
                <w:rFonts w:hint="default"/>
                <w:color w:val="auto"/>
                <w:spacing w:val="32"/>
                <w:sz w:val="21"/>
                <w:szCs w:val="21"/>
                <w:highlight w:val="none"/>
                <w:u w:val="single" w:color="auto"/>
              </w:rPr>
              <w:t xml:space="preserve"> </w:t>
            </w:r>
            <w:r>
              <w:rPr>
                <w:rFonts w:hint="default"/>
                <w:color w:val="auto"/>
                <w:spacing w:val="32"/>
                <w:sz w:val="21"/>
                <w:szCs w:val="21"/>
                <w:highlight w:val="none"/>
                <w:u w:val="single" w:color="auto"/>
                <w:lang w:eastAsia="zh-CN"/>
              </w:rPr>
              <w:t xml:space="preserve"> </w:t>
            </w:r>
            <w:r>
              <w:rPr>
                <w:rFonts w:hint="default"/>
                <w:color w:val="auto"/>
                <w:spacing w:val="32"/>
                <w:sz w:val="21"/>
                <w:szCs w:val="21"/>
                <w:highlight w:val="none"/>
                <w:u w:val="single" w:color="auto"/>
              </w:rPr>
              <w:t xml:space="preserve"> </w:t>
            </w:r>
            <w:r>
              <w:rPr>
                <w:rFonts w:hint="default"/>
                <w:color w:val="auto"/>
                <w:spacing w:val="-97"/>
                <w:sz w:val="21"/>
                <w:szCs w:val="21"/>
                <w:highlight w:val="none"/>
              </w:rPr>
              <w:t xml:space="preserve"> </w:t>
            </w:r>
            <w:r>
              <w:rPr>
                <w:rFonts w:hint="default"/>
                <w:color w:val="auto"/>
                <w:spacing w:val="-7"/>
                <w:sz w:val="21"/>
                <w:szCs w:val="21"/>
                <w:highlight w:val="none"/>
              </w:rPr>
              <w:t>个最低投标报价；若</w:t>
            </w:r>
            <w:r>
              <w:rPr>
                <w:rFonts w:hint="default"/>
                <w:color w:val="auto"/>
                <w:spacing w:val="-8"/>
                <w:sz w:val="21"/>
                <w:szCs w:val="21"/>
                <w:highlight w:val="none"/>
              </w:rPr>
              <w:t>小于</w:t>
            </w:r>
            <w:r>
              <w:rPr>
                <w:rFonts w:hint="default"/>
                <w:color w:val="auto"/>
                <w:spacing w:val="-104"/>
                <w:sz w:val="21"/>
                <w:szCs w:val="21"/>
                <w:highlight w:val="none"/>
              </w:rPr>
              <w:t xml:space="preserve"> </w:t>
            </w:r>
            <w:r>
              <w:rPr>
                <w:rFonts w:hint="default"/>
                <w:color w:val="auto"/>
                <w:spacing w:val="32"/>
                <w:sz w:val="21"/>
                <w:szCs w:val="21"/>
                <w:highlight w:val="none"/>
                <w:u w:val="single" w:color="auto"/>
              </w:rPr>
              <w:t xml:space="preserve"> </w:t>
            </w:r>
            <w:r>
              <w:rPr>
                <w:rFonts w:hint="default"/>
                <w:color w:val="auto"/>
                <w:spacing w:val="32"/>
                <w:sz w:val="21"/>
                <w:szCs w:val="21"/>
                <w:highlight w:val="none"/>
                <w:u w:val="single" w:color="auto"/>
                <w:lang w:eastAsia="zh-CN"/>
              </w:rPr>
              <w:t xml:space="preserve"> </w:t>
            </w:r>
            <w:r>
              <w:rPr>
                <w:rFonts w:hint="default"/>
                <w:color w:val="auto"/>
                <w:spacing w:val="32"/>
                <w:sz w:val="21"/>
                <w:szCs w:val="21"/>
                <w:highlight w:val="none"/>
                <w:u w:val="single" w:color="auto"/>
              </w:rPr>
              <w:t xml:space="preserve"> </w:t>
            </w:r>
            <w:r>
              <w:rPr>
                <w:rFonts w:hint="default"/>
                <w:color w:val="auto"/>
                <w:spacing w:val="-95"/>
                <w:sz w:val="21"/>
                <w:szCs w:val="21"/>
                <w:highlight w:val="none"/>
              </w:rPr>
              <w:t xml:space="preserve"> </w:t>
            </w:r>
            <w:r>
              <w:rPr>
                <w:rFonts w:hint="default"/>
                <w:color w:val="auto"/>
                <w:spacing w:val="-8"/>
                <w:sz w:val="21"/>
                <w:szCs w:val="21"/>
                <w:highlight w:val="none"/>
              </w:rPr>
              <w:t>家，</w:t>
            </w:r>
            <w:r>
              <w:rPr>
                <w:rFonts w:hint="default"/>
                <w:color w:val="auto"/>
                <w:spacing w:val="-1"/>
                <w:sz w:val="21"/>
                <w:szCs w:val="21"/>
                <w:highlight w:val="none"/>
              </w:rPr>
              <w:t>则不去；将其投标报价取算术平均值下浮</w:t>
            </w:r>
            <w:r>
              <w:rPr>
                <w:rFonts w:hint="default"/>
                <w:color w:val="auto"/>
                <w:spacing w:val="-97"/>
                <w:sz w:val="21"/>
                <w:szCs w:val="21"/>
                <w:highlight w:val="none"/>
              </w:rPr>
              <w:t xml:space="preserve"> </w:t>
            </w:r>
            <w:r>
              <w:rPr>
                <w:rFonts w:hint="default"/>
                <w:color w:val="auto"/>
                <w:sz w:val="21"/>
                <w:szCs w:val="21"/>
                <w:highlight w:val="none"/>
                <w:u w:val="single" w:color="auto"/>
              </w:rPr>
              <w:t xml:space="preserve">  </w:t>
            </w:r>
            <w:r>
              <w:rPr>
                <w:rFonts w:hint="default"/>
                <w:color w:val="auto"/>
                <w:sz w:val="21"/>
                <w:szCs w:val="21"/>
                <w:highlight w:val="none"/>
                <w:u w:val="single" w:color="auto"/>
                <w:lang w:eastAsia="zh-CN"/>
              </w:rPr>
              <w:t xml:space="preserve"> </w:t>
            </w:r>
            <w:r>
              <w:rPr>
                <w:rFonts w:hint="default"/>
                <w:color w:val="auto"/>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1"/>
                <w:sz w:val="21"/>
                <w:szCs w:val="21"/>
                <w:highlight w:val="none"/>
              </w:rPr>
              <w:t>%。</w:t>
            </w:r>
          </w:p>
          <w:p w14:paraId="78C4E8D7">
            <w:pPr>
              <w:pStyle w:val="11"/>
              <w:spacing w:before="173" w:beforeLines="0" w:afterLines="0" w:line="418" w:lineRule="exact"/>
              <w:ind w:left="553"/>
              <w:rPr>
                <w:rFonts w:hint="default"/>
                <w:color w:val="auto"/>
                <w:sz w:val="21"/>
                <w:szCs w:val="21"/>
                <w:highlight w:val="none"/>
              </w:rPr>
            </w:pPr>
            <w:r>
              <w:rPr>
                <w:rFonts w:hint="default"/>
                <w:color w:val="auto"/>
                <w:spacing w:val="4"/>
                <w:position w:val="15"/>
                <w:sz w:val="21"/>
                <w:szCs w:val="21"/>
                <w:highlight w:val="none"/>
              </w:rPr>
              <w:t>□通过初步评审且投标报价不低于合理最低价的投标人投标报价的算</w:t>
            </w:r>
          </w:p>
          <w:p w14:paraId="514F6CBA">
            <w:pPr>
              <w:pStyle w:val="11"/>
              <w:spacing w:before="1" w:beforeLines="0" w:afterLines="0" w:line="220" w:lineRule="auto"/>
              <w:ind w:left="111"/>
              <w:rPr>
                <w:rFonts w:hint="default"/>
                <w:color w:val="auto"/>
                <w:sz w:val="21"/>
                <w:szCs w:val="21"/>
                <w:highlight w:val="none"/>
              </w:rPr>
            </w:pPr>
            <w:r>
              <w:rPr>
                <w:rFonts w:hint="default"/>
                <w:color w:val="auto"/>
                <w:spacing w:val="-2"/>
                <w:sz w:val="21"/>
                <w:szCs w:val="21"/>
                <w:highlight w:val="none"/>
              </w:rPr>
              <w:t>术平均值下浮</w:t>
            </w:r>
            <w:r>
              <w:rPr>
                <w:rFonts w:hint="default"/>
                <w:color w:val="auto"/>
                <w:spacing w:val="-99"/>
                <w:sz w:val="21"/>
                <w:szCs w:val="21"/>
                <w:highlight w:val="none"/>
              </w:rPr>
              <w:t xml:space="preserve"> </w:t>
            </w:r>
            <w:r>
              <w:rPr>
                <w:rFonts w:hint="default"/>
                <w:color w:val="auto"/>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2"/>
                <w:sz w:val="21"/>
                <w:szCs w:val="21"/>
                <w:highlight w:val="none"/>
              </w:rPr>
              <w:t>%。</w:t>
            </w:r>
          </w:p>
          <w:p w14:paraId="5DBDBB0B">
            <w:pPr>
              <w:pStyle w:val="11"/>
              <w:spacing w:before="171" w:beforeLines="0" w:afterLines="0" w:line="418" w:lineRule="exact"/>
              <w:ind w:left="553"/>
              <w:rPr>
                <w:rFonts w:hint="default"/>
                <w:color w:val="auto"/>
                <w:sz w:val="21"/>
                <w:szCs w:val="21"/>
                <w:highlight w:val="none"/>
              </w:rPr>
            </w:pPr>
            <w:r>
              <w:rPr>
                <w:rFonts w:hint="default"/>
                <w:color w:val="auto"/>
                <w:spacing w:val="4"/>
                <w:position w:val="15"/>
                <w:sz w:val="21"/>
                <w:szCs w:val="21"/>
                <w:highlight w:val="none"/>
              </w:rPr>
              <w:t>□通过初步评审且投标报价不低于合理最低价的投标人投标报价的算</w:t>
            </w:r>
          </w:p>
          <w:p w14:paraId="478A856F">
            <w:pPr>
              <w:pStyle w:val="11"/>
              <w:spacing w:beforeLines="0" w:afterLines="0" w:line="219" w:lineRule="auto"/>
              <w:ind w:left="111"/>
              <w:rPr>
                <w:rFonts w:hint="default"/>
                <w:color w:val="auto"/>
                <w:sz w:val="21"/>
                <w:szCs w:val="21"/>
                <w:highlight w:val="none"/>
              </w:rPr>
            </w:pPr>
            <w:r>
              <w:rPr>
                <w:rFonts w:hint="default"/>
                <w:color w:val="auto"/>
                <w:spacing w:val="-1"/>
                <w:sz w:val="21"/>
                <w:szCs w:val="21"/>
                <w:highlight w:val="none"/>
              </w:rPr>
              <w:t>术平均值的</w:t>
            </w:r>
            <w:r>
              <w:rPr>
                <w:rFonts w:hint="default"/>
                <w:color w:val="auto"/>
                <w:spacing w:val="-93"/>
                <w:sz w:val="21"/>
                <w:szCs w:val="21"/>
                <w:highlight w:val="none"/>
              </w:rPr>
              <w:t xml:space="preserve"> </w:t>
            </w:r>
            <w:r>
              <w:rPr>
                <w:rFonts w:hint="default"/>
                <w:color w:val="auto"/>
                <w:spacing w:val="25"/>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1"/>
                <w:sz w:val="21"/>
                <w:szCs w:val="21"/>
                <w:highlight w:val="none"/>
              </w:rPr>
              <w:t>%与最高投标限价的</w:t>
            </w:r>
            <w:r>
              <w:rPr>
                <w:rFonts w:hint="default"/>
                <w:color w:val="auto"/>
                <w:spacing w:val="-104"/>
                <w:sz w:val="21"/>
                <w:szCs w:val="21"/>
                <w:highlight w:val="none"/>
              </w:rPr>
              <w:t xml:space="preserve"> </w:t>
            </w:r>
            <w:r>
              <w:rPr>
                <w:rFonts w:hint="default"/>
                <w:color w:val="auto"/>
                <w:spacing w:val="25"/>
                <w:sz w:val="21"/>
                <w:szCs w:val="21"/>
                <w:highlight w:val="none"/>
                <w:u w:val="single" w:color="auto"/>
              </w:rPr>
              <w:t xml:space="preserve">    </w:t>
            </w:r>
            <w:r>
              <w:rPr>
                <w:rFonts w:hint="default"/>
                <w:color w:val="auto"/>
                <w:spacing w:val="-99"/>
                <w:sz w:val="21"/>
                <w:szCs w:val="21"/>
                <w:highlight w:val="none"/>
              </w:rPr>
              <w:t xml:space="preserve"> </w:t>
            </w:r>
            <w:r>
              <w:rPr>
                <w:rFonts w:hint="default"/>
                <w:color w:val="auto"/>
                <w:spacing w:val="-1"/>
                <w:sz w:val="21"/>
                <w:szCs w:val="21"/>
                <w:highlight w:val="none"/>
              </w:rPr>
              <w:t>%之和。</w:t>
            </w:r>
          </w:p>
          <w:p w14:paraId="475CD543">
            <w:pPr>
              <w:pStyle w:val="11"/>
              <w:spacing w:before="173" w:beforeLines="0" w:afterLines="0" w:line="418" w:lineRule="exact"/>
              <w:ind w:left="553"/>
              <w:rPr>
                <w:rFonts w:hint="default"/>
                <w:color w:val="auto"/>
                <w:sz w:val="21"/>
                <w:szCs w:val="21"/>
                <w:highlight w:val="none"/>
              </w:rPr>
            </w:pPr>
            <w:r>
              <w:rPr>
                <w:rFonts w:hint="default"/>
                <w:color w:val="auto"/>
                <w:spacing w:val="4"/>
                <w:position w:val="15"/>
                <w:sz w:val="21"/>
                <w:szCs w:val="21"/>
                <w:highlight w:val="none"/>
              </w:rPr>
              <w:t>□通过初步评审且投标报价不低于合理最低价的投标人投标报价由低</w:t>
            </w:r>
          </w:p>
          <w:p w14:paraId="3D5ACCEC">
            <w:pPr>
              <w:pStyle w:val="11"/>
              <w:spacing w:beforeLines="0" w:afterLines="0" w:line="219" w:lineRule="auto"/>
              <w:ind w:left="115"/>
              <w:rPr>
                <w:rFonts w:hint="default"/>
                <w:color w:val="auto"/>
                <w:sz w:val="21"/>
                <w:szCs w:val="21"/>
                <w:highlight w:val="none"/>
              </w:rPr>
            </w:pPr>
            <w:r>
              <w:rPr>
                <w:rFonts w:hint="default"/>
                <w:color w:val="auto"/>
                <w:spacing w:val="-7"/>
                <w:sz w:val="21"/>
                <w:szCs w:val="21"/>
                <w:highlight w:val="none"/>
              </w:rPr>
              <w:t xml:space="preserve">到高排序， </w:t>
            </w:r>
            <w:r>
              <w:rPr>
                <w:rFonts w:hint="default"/>
                <w:color w:val="auto"/>
                <w:spacing w:val="-7"/>
                <w:sz w:val="21"/>
                <w:szCs w:val="21"/>
                <w:highlight w:val="none"/>
                <w:u w:val="single" w:color="auto"/>
              </w:rPr>
              <w:t xml:space="preserve">奇数位（偶数位） </w:t>
            </w:r>
            <w:r>
              <w:rPr>
                <w:rFonts w:hint="default"/>
                <w:color w:val="auto"/>
                <w:spacing w:val="-7"/>
                <w:sz w:val="21"/>
                <w:szCs w:val="21"/>
                <w:highlight w:val="none"/>
              </w:rPr>
              <w:t>投标人的投标报价的算术平均值下浮</w:t>
            </w:r>
            <w:r>
              <w:rPr>
                <w:rFonts w:hint="default"/>
                <w:color w:val="auto"/>
                <w:spacing w:val="-98"/>
                <w:sz w:val="21"/>
                <w:szCs w:val="21"/>
                <w:highlight w:val="none"/>
              </w:rPr>
              <w:t xml:space="preserve"> </w:t>
            </w:r>
            <w:r>
              <w:rPr>
                <w:rFonts w:hint="default"/>
                <w:color w:val="auto"/>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7"/>
                <w:sz w:val="21"/>
                <w:szCs w:val="21"/>
                <w:highlight w:val="none"/>
              </w:rPr>
              <w:t>%。</w:t>
            </w:r>
          </w:p>
          <w:p w14:paraId="5C611782">
            <w:pPr>
              <w:pStyle w:val="11"/>
              <w:spacing w:before="174" w:beforeLines="0" w:afterLines="0" w:line="369" w:lineRule="auto"/>
              <w:ind w:left="116" w:right="105" w:firstLine="437"/>
              <w:rPr>
                <w:rFonts w:hint="default"/>
                <w:color w:val="auto"/>
                <w:sz w:val="21"/>
                <w:szCs w:val="21"/>
                <w:highlight w:val="none"/>
              </w:rPr>
            </w:pPr>
            <w:r>
              <w:rPr>
                <w:rFonts w:hint="default"/>
                <w:color w:val="auto"/>
                <w:spacing w:val="4"/>
                <w:sz w:val="21"/>
                <w:szCs w:val="21"/>
                <w:highlight w:val="none"/>
              </w:rPr>
              <w:t>□通过初步评审且投标报价不低于合理最低价的投标人投标报价去掉</w:t>
            </w:r>
            <w:r>
              <w:rPr>
                <w:rFonts w:hint="default"/>
                <w:color w:val="auto"/>
                <w:spacing w:val="9"/>
                <w:sz w:val="21"/>
                <w:szCs w:val="21"/>
                <w:highlight w:val="none"/>
              </w:rPr>
              <w:t xml:space="preserve"> </w:t>
            </w:r>
            <w:r>
              <w:rPr>
                <w:rFonts w:hint="default"/>
                <w:color w:val="auto"/>
                <w:spacing w:val="-2"/>
                <w:sz w:val="21"/>
                <w:szCs w:val="21"/>
                <w:highlight w:val="none"/>
              </w:rPr>
              <w:t>（最高投标限价-投标报价） /最高投标限价小于</w:t>
            </w:r>
            <w:r>
              <w:rPr>
                <w:rFonts w:hint="default"/>
                <w:color w:val="auto"/>
                <w:spacing w:val="-2"/>
                <w:sz w:val="21"/>
                <w:szCs w:val="21"/>
                <w:highlight w:val="none"/>
                <w:u w:val="single" w:color="auto"/>
              </w:rPr>
              <w:t xml:space="preserve">    </w:t>
            </w:r>
            <w:r>
              <w:rPr>
                <w:rFonts w:hint="default"/>
                <w:color w:val="auto"/>
                <w:spacing w:val="-92"/>
                <w:sz w:val="21"/>
                <w:szCs w:val="21"/>
                <w:highlight w:val="none"/>
              </w:rPr>
              <w:t xml:space="preserve"> </w:t>
            </w:r>
            <w:r>
              <w:rPr>
                <w:rFonts w:hint="default"/>
                <w:color w:val="auto"/>
                <w:spacing w:val="-2"/>
                <w:sz w:val="21"/>
                <w:szCs w:val="21"/>
                <w:highlight w:val="none"/>
              </w:rPr>
              <w:t>%的投标报价后算术平</w:t>
            </w:r>
          </w:p>
          <w:p w14:paraId="3DEEEE09">
            <w:pPr>
              <w:pStyle w:val="11"/>
              <w:spacing w:before="1" w:beforeLines="0" w:afterLines="0" w:line="220" w:lineRule="auto"/>
              <w:ind w:left="110"/>
              <w:rPr>
                <w:rFonts w:hint="default"/>
                <w:color w:val="auto"/>
                <w:sz w:val="21"/>
                <w:szCs w:val="21"/>
                <w:highlight w:val="none"/>
              </w:rPr>
            </w:pPr>
            <w:r>
              <w:rPr>
                <w:rFonts w:hint="default"/>
                <w:color w:val="auto"/>
                <w:spacing w:val="-1"/>
                <w:sz w:val="21"/>
                <w:szCs w:val="21"/>
                <w:highlight w:val="none"/>
              </w:rPr>
              <w:t>均值下浮</w:t>
            </w:r>
            <w:r>
              <w:rPr>
                <w:rFonts w:hint="default"/>
                <w:color w:val="auto"/>
                <w:spacing w:val="-1"/>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1"/>
                <w:sz w:val="21"/>
                <w:szCs w:val="21"/>
                <w:highlight w:val="none"/>
              </w:rPr>
              <w:t>%。</w:t>
            </w:r>
          </w:p>
          <w:p w14:paraId="362794B9">
            <w:pPr>
              <w:pStyle w:val="11"/>
              <w:spacing w:before="166" w:beforeLines="0" w:afterLines="0" w:line="423" w:lineRule="exact"/>
              <w:ind w:left="534"/>
              <w:rPr>
                <w:rFonts w:hint="default"/>
                <w:color w:val="auto"/>
                <w:sz w:val="21"/>
                <w:szCs w:val="21"/>
                <w:highlight w:val="none"/>
              </w:rPr>
            </w:pPr>
            <w:r>
              <w:rPr>
                <w:rFonts w:hint="default"/>
                <w:color w:val="auto"/>
                <w:spacing w:val="5"/>
                <w:position w:val="16"/>
                <w:sz w:val="21"/>
                <w:szCs w:val="21"/>
                <w:highlight w:val="none"/>
              </w:rPr>
              <w:t>说明：下浮比例也可开标现场随机抽取（明确抽取范围）产生或明确</w:t>
            </w:r>
          </w:p>
          <w:p w14:paraId="6EAAC2AC">
            <w:pPr>
              <w:pStyle w:val="11"/>
              <w:spacing w:before="1" w:beforeLines="0" w:afterLines="0" w:line="220" w:lineRule="auto"/>
              <w:ind w:left="116"/>
              <w:rPr>
                <w:rFonts w:hint="default"/>
                <w:color w:val="auto"/>
                <w:sz w:val="21"/>
                <w:szCs w:val="21"/>
                <w:highlight w:val="none"/>
              </w:rPr>
            </w:pPr>
            <w:r>
              <w:rPr>
                <w:rFonts w:hint="default"/>
                <w:color w:val="auto"/>
                <w:spacing w:val="-4"/>
                <w:sz w:val="21"/>
                <w:szCs w:val="21"/>
                <w:highlight w:val="none"/>
              </w:rPr>
              <w:t>下浮比例产生规则。</w:t>
            </w:r>
          </w:p>
          <w:p w14:paraId="2C62B603">
            <w:pPr>
              <w:pStyle w:val="11"/>
              <w:spacing w:before="166" w:beforeLines="0" w:afterLines="0" w:line="221" w:lineRule="auto"/>
              <w:ind w:left="116"/>
              <w:rPr>
                <w:rFonts w:hint="default"/>
                <w:color w:val="auto"/>
                <w:sz w:val="21"/>
                <w:szCs w:val="21"/>
                <w:highlight w:val="none"/>
              </w:rPr>
            </w:pPr>
            <w:r>
              <w:rPr>
                <w:rFonts w:hint="default"/>
                <w:color w:val="auto"/>
                <w:spacing w:val="-2"/>
                <w:sz w:val="21"/>
                <w:szCs w:val="21"/>
                <w:highlight w:val="none"/>
              </w:rPr>
              <w:t>（5）技术标入围最终得分计算或排序方法：</w:t>
            </w:r>
          </w:p>
          <w:p w14:paraId="1EA420C2">
            <w:pPr>
              <w:pStyle w:val="11"/>
              <w:spacing w:before="171" w:beforeLines="0" w:afterLines="0" w:line="221" w:lineRule="auto"/>
              <w:ind w:left="553"/>
              <w:rPr>
                <w:rFonts w:hint="default"/>
                <w:color w:val="auto"/>
                <w:sz w:val="21"/>
                <w:szCs w:val="21"/>
                <w:highlight w:val="none"/>
              </w:rPr>
            </w:pPr>
            <w:r>
              <w:rPr>
                <w:rFonts w:hint="default"/>
                <w:color w:val="auto"/>
                <w:spacing w:val="-1"/>
                <w:sz w:val="21"/>
                <w:szCs w:val="21"/>
                <w:highlight w:val="none"/>
              </w:rPr>
              <w:t>□最终得分=经济标+技术标+资信标+其</w:t>
            </w:r>
            <w:r>
              <w:rPr>
                <w:rFonts w:hint="default"/>
                <w:color w:val="auto"/>
                <w:spacing w:val="-2"/>
                <w:sz w:val="21"/>
                <w:szCs w:val="21"/>
                <w:highlight w:val="none"/>
              </w:rPr>
              <w:t>他（按照得分排序）</w:t>
            </w:r>
          </w:p>
          <w:p w14:paraId="38C0AFF0">
            <w:pPr>
              <w:pStyle w:val="11"/>
              <w:spacing w:before="166" w:beforeLines="0" w:afterLines="0" w:line="221" w:lineRule="auto"/>
              <w:ind w:left="553"/>
              <w:rPr>
                <w:rFonts w:hint="default"/>
                <w:color w:val="auto"/>
                <w:sz w:val="21"/>
                <w:szCs w:val="21"/>
                <w:highlight w:val="none"/>
              </w:rPr>
            </w:pPr>
            <w:r>
              <w:rPr>
                <w:rFonts w:hint="default"/>
                <w:color w:val="auto"/>
                <w:spacing w:val="-2"/>
                <w:sz w:val="21"/>
                <w:szCs w:val="21"/>
                <w:highlight w:val="none"/>
              </w:rPr>
              <w:t>□最终得分=经济标+资信标+其他（按照得分排序）</w:t>
            </w:r>
          </w:p>
          <w:p w14:paraId="7E5AC92F">
            <w:pPr>
              <w:pStyle w:val="11"/>
              <w:spacing w:before="172" w:beforeLines="0" w:afterLines="0" w:line="221" w:lineRule="auto"/>
              <w:ind w:left="553"/>
              <w:rPr>
                <w:rFonts w:hint="default"/>
                <w:color w:val="auto"/>
                <w:sz w:val="21"/>
                <w:szCs w:val="21"/>
                <w:highlight w:val="none"/>
              </w:rPr>
            </w:pPr>
            <w:r>
              <w:rPr>
                <w:rFonts w:hint="default"/>
                <w:color w:val="auto"/>
                <w:spacing w:val="-2"/>
                <w:sz w:val="21"/>
                <w:szCs w:val="21"/>
                <w:highlight w:val="none"/>
              </w:rPr>
              <w:t>□最终得分=经济标（按照得分排序）</w:t>
            </w:r>
          </w:p>
        </w:tc>
      </w:tr>
    </w:tbl>
    <w:p w14:paraId="5B2C12FD">
      <w:pPr>
        <w:pStyle w:val="3"/>
        <w:spacing w:beforeLines="0" w:afterLines="0"/>
        <w:rPr>
          <w:rFonts w:hint="default"/>
          <w:color w:val="auto"/>
          <w:sz w:val="21"/>
          <w:szCs w:val="21"/>
          <w:highlight w:val="none"/>
        </w:rPr>
      </w:pPr>
    </w:p>
    <w:p w14:paraId="1423E46E">
      <w:pPr>
        <w:spacing w:beforeLines="0" w:afterLines="0"/>
        <w:rPr>
          <w:rFonts w:hint="default"/>
          <w:color w:val="auto"/>
          <w:sz w:val="21"/>
          <w:szCs w:val="21"/>
          <w:highlight w:val="none"/>
        </w:rPr>
        <w:sectPr>
          <w:footerReference r:id="rId46" w:type="default"/>
          <w:pgSz w:w="11905" w:h="16839"/>
          <w:pgMar w:top="1431" w:right="1474" w:bottom="996" w:left="1483" w:header="0" w:footer="791" w:gutter="0"/>
          <w:lnNumType w:countBy="0" w:distance="360"/>
          <w:pgNumType w:fmt="decimal"/>
          <w:cols w:space="720" w:num="1"/>
        </w:sectPr>
      </w:pPr>
    </w:p>
    <w:p w14:paraId="47A8B6C3">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5053"/>
      </w:tblGrid>
      <w:tr w14:paraId="48B4C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4F7FEB0">
            <w:pPr>
              <w:spacing w:beforeLines="0" w:afterLines="0"/>
              <w:rPr>
                <w:rFonts w:hint="default"/>
                <w:color w:val="auto"/>
                <w:sz w:val="21"/>
                <w:szCs w:val="21"/>
                <w:highlight w:val="none"/>
              </w:rPr>
            </w:pPr>
          </w:p>
        </w:tc>
        <w:tc>
          <w:tcPr>
            <w:tcW w:w="7097"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7B14A990">
            <w:pPr>
              <w:pStyle w:val="11"/>
              <w:spacing w:before="163" w:beforeLines="0" w:afterLines="0" w:line="418" w:lineRule="exact"/>
              <w:ind w:left="553"/>
              <w:rPr>
                <w:rFonts w:hint="default"/>
                <w:color w:val="auto"/>
                <w:sz w:val="21"/>
                <w:szCs w:val="21"/>
                <w:highlight w:val="none"/>
              </w:rPr>
            </w:pPr>
            <w:bookmarkStart w:id="102" w:name="bookmark121"/>
            <w:bookmarkEnd w:id="102"/>
            <w:bookmarkStart w:id="103" w:name="bookmark125"/>
            <w:bookmarkEnd w:id="103"/>
            <w:bookmarkStart w:id="104" w:name="bookmark124"/>
            <w:bookmarkEnd w:id="104"/>
            <w:bookmarkStart w:id="105" w:name="bookmark127"/>
            <w:bookmarkEnd w:id="105"/>
            <w:bookmarkStart w:id="106" w:name="bookmark128"/>
            <w:bookmarkEnd w:id="106"/>
            <w:bookmarkStart w:id="107" w:name="bookmark126"/>
            <w:bookmarkEnd w:id="107"/>
            <w:bookmarkStart w:id="108" w:name="bookmark122"/>
            <w:bookmarkEnd w:id="108"/>
            <w:bookmarkStart w:id="109" w:name="bookmark123"/>
            <w:bookmarkEnd w:id="109"/>
            <w:r>
              <w:rPr>
                <w:rFonts w:hint="default"/>
                <w:color w:val="auto"/>
                <w:spacing w:val="-1"/>
                <w:position w:val="15"/>
                <w:sz w:val="21"/>
                <w:szCs w:val="21"/>
                <w:highlight w:val="none"/>
              </w:rPr>
              <w:t>□最终排序=按照报价由低到高排序（按照报</w:t>
            </w:r>
            <w:r>
              <w:rPr>
                <w:rFonts w:hint="default"/>
                <w:color w:val="auto"/>
                <w:spacing w:val="-2"/>
                <w:position w:val="15"/>
                <w:sz w:val="21"/>
                <w:szCs w:val="21"/>
                <w:highlight w:val="none"/>
              </w:rPr>
              <w:t>价排序）</w:t>
            </w:r>
          </w:p>
          <w:p w14:paraId="4403B76C">
            <w:pPr>
              <w:pStyle w:val="11"/>
              <w:spacing w:beforeLines="0" w:afterLines="0" w:line="220" w:lineRule="auto"/>
              <w:ind w:left="116"/>
              <w:rPr>
                <w:rFonts w:hint="default"/>
                <w:color w:val="auto"/>
                <w:sz w:val="21"/>
                <w:szCs w:val="21"/>
                <w:highlight w:val="none"/>
              </w:rPr>
            </w:pPr>
            <w:r>
              <w:rPr>
                <w:rFonts w:hint="default"/>
                <w:color w:val="auto"/>
                <w:spacing w:val="-2"/>
                <w:sz w:val="21"/>
                <w:szCs w:val="21"/>
                <w:highlight w:val="none"/>
              </w:rPr>
              <w:t>（6）综合性入围最终得分计算或排序方法：</w:t>
            </w:r>
          </w:p>
          <w:p w14:paraId="39CDBD17">
            <w:pPr>
              <w:pStyle w:val="11"/>
              <w:spacing w:before="171" w:beforeLines="0" w:afterLines="0" w:line="221" w:lineRule="auto"/>
              <w:ind w:left="553"/>
              <w:rPr>
                <w:rFonts w:hint="default"/>
                <w:color w:val="auto"/>
                <w:sz w:val="21"/>
                <w:szCs w:val="21"/>
                <w:highlight w:val="none"/>
              </w:rPr>
            </w:pPr>
            <w:r>
              <w:rPr>
                <w:rFonts w:hint="default"/>
                <w:color w:val="auto"/>
                <w:spacing w:val="-1"/>
                <w:sz w:val="21"/>
                <w:szCs w:val="21"/>
                <w:highlight w:val="none"/>
              </w:rPr>
              <w:sym w:font="Wingdings 2" w:char="00A3"/>
            </w:r>
            <w:r>
              <w:rPr>
                <w:rFonts w:hint="default"/>
                <w:color w:val="auto"/>
                <w:spacing w:val="-1"/>
                <w:sz w:val="21"/>
                <w:szCs w:val="21"/>
                <w:highlight w:val="none"/>
              </w:rPr>
              <w:t>最终得分=经济标+技术标+资信标+其</w:t>
            </w:r>
            <w:r>
              <w:rPr>
                <w:rFonts w:hint="default"/>
                <w:color w:val="auto"/>
                <w:spacing w:val="-2"/>
                <w:sz w:val="21"/>
                <w:szCs w:val="21"/>
                <w:highlight w:val="none"/>
              </w:rPr>
              <w:t>他（按照得分排序）</w:t>
            </w:r>
          </w:p>
          <w:p w14:paraId="0EBF6ACD">
            <w:pPr>
              <w:pStyle w:val="11"/>
              <w:spacing w:before="166" w:beforeLines="0" w:afterLines="0" w:line="221" w:lineRule="auto"/>
              <w:ind w:left="553"/>
              <w:rPr>
                <w:rFonts w:hint="default"/>
                <w:color w:val="auto"/>
                <w:sz w:val="21"/>
                <w:szCs w:val="21"/>
                <w:highlight w:val="none"/>
              </w:rPr>
            </w:pPr>
            <w:r>
              <w:rPr>
                <w:rFonts w:hint="default"/>
                <w:color w:val="auto"/>
                <w:spacing w:val="-2"/>
                <w:sz w:val="21"/>
                <w:szCs w:val="21"/>
                <w:highlight w:val="none"/>
              </w:rPr>
              <w:t>□最终得分=经济标（按照得分排序）</w:t>
            </w:r>
          </w:p>
          <w:p w14:paraId="2F87F716">
            <w:pPr>
              <w:pStyle w:val="11"/>
              <w:spacing w:before="171" w:beforeLines="0" w:afterLines="0" w:line="219" w:lineRule="auto"/>
              <w:ind w:left="553"/>
              <w:rPr>
                <w:rFonts w:hint="default"/>
                <w:color w:val="auto"/>
                <w:sz w:val="21"/>
                <w:szCs w:val="21"/>
                <w:highlight w:val="none"/>
              </w:rPr>
            </w:pPr>
            <w:r>
              <w:rPr>
                <w:rFonts w:hint="default"/>
                <w:color w:val="auto"/>
                <w:spacing w:val="-1"/>
                <w:sz w:val="21"/>
                <w:szCs w:val="21"/>
                <w:highlight w:val="none"/>
              </w:rPr>
              <w:t>□最终排序=按照报价由低到高排序（按照报</w:t>
            </w:r>
            <w:r>
              <w:rPr>
                <w:rFonts w:hint="default"/>
                <w:color w:val="auto"/>
                <w:spacing w:val="-2"/>
                <w:sz w:val="21"/>
                <w:szCs w:val="21"/>
                <w:highlight w:val="none"/>
              </w:rPr>
              <w:t>价排序）</w:t>
            </w:r>
          </w:p>
          <w:p w14:paraId="621B578E">
            <w:pPr>
              <w:pStyle w:val="11"/>
              <w:spacing w:before="168" w:beforeLines="0" w:afterLines="0" w:line="221" w:lineRule="auto"/>
              <w:ind w:left="116"/>
              <w:rPr>
                <w:rFonts w:hint="default"/>
                <w:color w:val="auto"/>
                <w:sz w:val="21"/>
                <w:szCs w:val="21"/>
                <w:highlight w:val="none"/>
              </w:rPr>
            </w:pPr>
            <w:r>
              <w:rPr>
                <w:rFonts w:hint="default"/>
                <w:color w:val="auto"/>
                <w:spacing w:val="-1"/>
                <w:sz w:val="21"/>
                <w:szCs w:val="21"/>
                <w:highlight w:val="none"/>
              </w:rPr>
              <w:t>（7）当通过初步评审的投标人数量小于等于入围数量，则全部</w:t>
            </w:r>
            <w:r>
              <w:rPr>
                <w:rFonts w:hint="default"/>
                <w:color w:val="auto"/>
                <w:spacing w:val="-2"/>
                <w:sz w:val="21"/>
                <w:szCs w:val="21"/>
                <w:highlight w:val="none"/>
              </w:rPr>
              <w:t>入围。</w:t>
            </w:r>
          </w:p>
        </w:tc>
      </w:tr>
      <w:tr w14:paraId="011AD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3D7B617">
            <w:pPr>
              <w:spacing w:beforeLines="0" w:afterLines="0" w:line="250" w:lineRule="auto"/>
              <w:rPr>
                <w:rFonts w:hint="default"/>
                <w:color w:val="auto"/>
                <w:sz w:val="21"/>
                <w:szCs w:val="21"/>
                <w:highlight w:val="none"/>
              </w:rPr>
            </w:pPr>
          </w:p>
          <w:p w14:paraId="0445EF8E">
            <w:pPr>
              <w:spacing w:beforeLines="0" w:afterLines="0" w:line="250" w:lineRule="auto"/>
              <w:rPr>
                <w:rFonts w:hint="default"/>
                <w:color w:val="auto"/>
                <w:sz w:val="21"/>
                <w:szCs w:val="21"/>
                <w:highlight w:val="none"/>
              </w:rPr>
            </w:pPr>
          </w:p>
          <w:p w14:paraId="11DFC27D">
            <w:pPr>
              <w:spacing w:beforeLines="0" w:afterLines="0" w:line="250" w:lineRule="auto"/>
              <w:rPr>
                <w:rFonts w:hint="default"/>
                <w:color w:val="auto"/>
                <w:sz w:val="21"/>
                <w:szCs w:val="21"/>
                <w:highlight w:val="none"/>
              </w:rPr>
            </w:pPr>
          </w:p>
          <w:p w14:paraId="722D51A6">
            <w:pPr>
              <w:spacing w:beforeLines="0" w:afterLines="0" w:line="250" w:lineRule="auto"/>
              <w:rPr>
                <w:rFonts w:hint="default"/>
                <w:color w:val="auto"/>
                <w:sz w:val="21"/>
                <w:szCs w:val="21"/>
                <w:highlight w:val="none"/>
              </w:rPr>
            </w:pPr>
          </w:p>
          <w:p w14:paraId="64736C0C">
            <w:pPr>
              <w:spacing w:beforeLines="0" w:afterLines="0" w:line="251" w:lineRule="auto"/>
              <w:rPr>
                <w:rFonts w:hint="default"/>
                <w:color w:val="auto"/>
                <w:sz w:val="21"/>
                <w:szCs w:val="21"/>
                <w:highlight w:val="none"/>
              </w:rPr>
            </w:pPr>
          </w:p>
          <w:p w14:paraId="6F3C78DF">
            <w:pPr>
              <w:spacing w:beforeLines="0" w:afterLines="0" w:line="251" w:lineRule="auto"/>
              <w:rPr>
                <w:rFonts w:hint="default"/>
                <w:color w:val="auto"/>
                <w:sz w:val="21"/>
                <w:szCs w:val="21"/>
                <w:highlight w:val="none"/>
              </w:rPr>
            </w:pPr>
          </w:p>
          <w:p w14:paraId="1E7AE4ED">
            <w:pPr>
              <w:spacing w:beforeLines="0" w:afterLines="0" w:line="251" w:lineRule="auto"/>
              <w:rPr>
                <w:rFonts w:hint="default"/>
                <w:color w:val="auto"/>
                <w:sz w:val="21"/>
                <w:szCs w:val="21"/>
                <w:highlight w:val="none"/>
              </w:rPr>
            </w:pPr>
          </w:p>
          <w:p w14:paraId="551D9940">
            <w:pPr>
              <w:spacing w:before="60" w:beforeLines="0" w:afterLines="0" w:line="189" w:lineRule="auto"/>
              <w:ind w:left="791"/>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3.3</w:t>
            </w:r>
          </w:p>
        </w:tc>
        <w:tc>
          <w:tcPr>
            <w:tcW w:w="7097"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6AA033F5">
            <w:pPr>
              <w:pStyle w:val="11"/>
              <w:spacing w:before="30" w:beforeLines="0" w:afterLines="0" w:line="359" w:lineRule="auto"/>
              <w:ind w:left="110" w:right="107" w:firstLine="420"/>
              <w:jc w:val="both"/>
              <w:rPr>
                <w:rFonts w:hint="default"/>
                <w:color w:val="auto"/>
                <w:sz w:val="21"/>
                <w:szCs w:val="21"/>
                <w:highlight w:val="none"/>
              </w:rPr>
            </w:pPr>
            <w:r>
              <w:rPr>
                <w:rFonts w:hint="default"/>
                <w:color w:val="auto"/>
                <w:spacing w:val="5"/>
                <w:sz w:val="21"/>
                <w:szCs w:val="21"/>
                <w:highlight w:val="none"/>
              </w:rPr>
              <w:t>评标委员会在评标过程中，如要求投标人澄清或说明的，评标委员会</w:t>
            </w:r>
            <w:r>
              <w:rPr>
                <w:rFonts w:hint="default"/>
                <w:color w:val="auto"/>
                <w:spacing w:val="2"/>
                <w:sz w:val="21"/>
                <w:szCs w:val="21"/>
                <w:highlight w:val="none"/>
              </w:rPr>
              <w:t xml:space="preserve"> </w:t>
            </w:r>
            <w:r>
              <w:rPr>
                <w:rFonts w:hint="default"/>
                <w:color w:val="auto"/>
                <w:spacing w:val="5"/>
                <w:sz w:val="21"/>
                <w:szCs w:val="21"/>
                <w:highlight w:val="none"/>
              </w:rPr>
              <w:t>要求投标人在线澄清或说明的时间距投标人收到</w:t>
            </w:r>
            <w:r>
              <w:rPr>
                <w:rFonts w:hint="default"/>
                <w:color w:val="auto"/>
                <w:spacing w:val="4"/>
                <w:sz w:val="21"/>
                <w:szCs w:val="21"/>
                <w:highlight w:val="none"/>
              </w:rPr>
              <w:t>评标委员会通知的时间不</w:t>
            </w:r>
          </w:p>
          <w:p w14:paraId="71ABD025">
            <w:pPr>
              <w:pStyle w:val="11"/>
              <w:spacing w:beforeLines="0" w:afterLines="0" w:line="220" w:lineRule="auto"/>
              <w:ind w:left="110"/>
              <w:rPr>
                <w:rFonts w:hint="default"/>
                <w:color w:val="auto"/>
                <w:sz w:val="21"/>
                <w:szCs w:val="21"/>
                <w:highlight w:val="none"/>
              </w:rPr>
            </w:pPr>
            <w:r>
              <w:rPr>
                <w:rFonts w:hint="default"/>
                <w:color w:val="auto"/>
                <w:spacing w:val="-4"/>
                <w:sz w:val="21"/>
                <w:szCs w:val="21"/>
                <w:highlight w:val="none"/>
              </w:rPr>
              <w:t>得少于</w:t>
            </w:r>
            <w:r>
              <w:rPr>
                <w:rFonts w:hint="default"/>
                <w:color w:val="auto"/>
                <w:spacing w:val="-4"/>
                <w:sz w:val="21"/>
                <w:szCs w:val="21"/>
                <w:highlight w:val="none"/>
                <w:u w:val="single" w:color="auto"/>
                <w:lang w:eastAsia="zh-CN"/>
              </w:rPr>
              <w:t>30</w:t>
            </w:r>
            <w:r>
              <w:rPr>
                <w:rFonts w:hint="default"/>
                <w:color w:val="auto"/>
                <w:spacing w:val="-4"/>
                <w:sz w:val="21"/>
                <w:szCs w:val="21"/>
                <w:highlight w:val="none"/>
              </w:rPr>
              <w:t>分钟。</w:t>
            </w:r>
          </w:p>
          <w:p w14:paraId="0B13597D">
            <w:pPr>
              <w:pStyle w:val="11"/>
              <w:spacing w:before="157" w:beforeLines="0" w:afterLines="0" w:line="361" w:lineRule="auto"/>
              <w:ind w:left="113" w:right="107" w:firstLine="418"/>
              <w:jc w:val="both"/>
              <w:rPr>
                <w:rFonts w:hint="default"/>
                <w:color w:val="auto"/>
                <w:sz w:val="21"/>
                <w:szCs w:val="21"/>
                <w:highlight w:val="none"/>
              </w:rPr>
            </w:pPr>
            <w:r>
              <w:rPr>
                <w:rFonts w:hint="default"/>
                <w:color w:val="auto"/>
                <w:spacing w:val="5"/>
                <w:sz w:val="21"/>
                <w:szCs w:val="21"/>
                <w:highlight w:val="none"/>
              </w:rPr>
              <w:t>评标委员会认为投标人的澄清或说明不够明确，应再次要求投标人对</w:t>
            </w:r>
            <w:r>
              <w:rPr>
                <w:rFonts w:hint="default"/>
                <w:color w:val="auto"/>
                <w:spacing w:val="2"/>
                <w:sz w:val="21"/>
                <w:szCs w:val="21"/>
                <w:highlight w:val="none"/>
              </w:rPr>
              <w:t xml:space="preserve"> </w:t>
            </w:r>
            <w:r>
              <w:rPr>
                <w:rFonts w:hint="default"/>
                <w:color w:val="auto"/>
                <w:spacing w:val="4"/>
                <w:sz w:val="21"/>
                <w:szCs w:val="21"/>
                <w:highlight w:val="none"/>
              </w:rPr>
              <w:t>不明确的内容进行澄清或说明，评标委员会要求投标人再次在线澄清或说</w:t>
            </w:r>
          </w:p>
          <w:p w14:paraId="7F658762">
            <w:pPr>
              <w:pStyle w:val="11"/>
              <w:spacing w:beforeLines="0" w:afterLines="0" w:line="219" w:lineRule="auto"/>
              <w:ind w:left="129"/>
              <w:rPr>
                <w:rFonts w:hint="default"/>
                <w:color w:val="auto"/>
                <w:sz w:val="21"/>
                <w:szCs w:val="21"/>
                <w:highlight w:val="none"/>
              </w:rPr>
            </w:pPr>
            <w:r>
              <w:rPr>
                <w:rFonts w:hint="default"/>
                <w:color w:val="auto"/>
                <w:spacing w:val="-2"/>
                <w:sz w:val="21"/>
                <w:szCs w:val="21"/>
                <w:highlight w:val="none"/>
              </w:rPr>
              <w:t>明的时间距投标人收到评标委员会通知的时间不得少于</w:t>
            </w:r>
            <w:r>
              <w:rPr>
                <w:rFonts w:hint="default"/>
                <w:color w:val="auto"/>
                <w:spacing w:val="-87"/>
                <w:sz w:val="21"/>
                <w:szCs w:val="21"/>
                <w:highlight w:val="none"/>
              </w:rPr>
              <w:t xml:space="preserve"> </w:t>
            </w:r>
            <w:r>
              <w:rPr>
                <w:rFonts w:hint="default"/>
                <w:color w:val="auto"/>
                <w:sz w:val="21"/>
                <w:szCs w:val="21"/>
                <w:highlight w:val="none"/>
                <w:u w:val="single" w:color="auto"/>
                <w:lang w:eastAsia="zh-CN"/>
              </w:rPr>
              <w:t>30</w:t>
            </w:r>
            <w:r>
              <w:rPr>
                <w:rFonts w:hint="default"/>
                <w:color w:val="auto"/>
                <w:spacing w:val="-92"/>
                <w:sz w:val="21"/>
                <w:szCs w:val="21"/>
                <w:highlight w:val="none"/>
              </w:rPr>
              <w:t xml:space="preserve"> </w:t>
            </w:r>
            <w:r>
              <w:rPr>
                <w:rFonts w:hint="default"/>
                <w:color w:val="auto"/>
                <w:spacing w:val="-2"/>
                <w:sz w:val="21"/>
                <w:szCs w:val="21"/>
                <w:highlight w:val="none"/>
              </w:rPr>
              <w:t>分钟。</w:t>
            </w:r>
          </w:p>
          <w:p w14:paraId="15B6DAA5">
            <w:pPr>
              <w:pStyle w:val="11"/>
              <w:spacing w:before="157" w:beforeLines="0" w:afterLines="0" w:line="359" w:lineRule="auto"/>
              <w:ind w:left="113" w:right="107" w:firstLine="421"/>
              <w:jc w:val="both"/>
              <w:rPr>
                <w:rFonts w:hint="default"/>
                <w:color w:val="auto"/>
                <w:sz w:val="21"/>
                <w:szCs w:val="21"/>
                <w:highlight w:val="none"/>
              </w:rPr>
            </w:pPr>
            <w:r>
              <w:rPr>
                <w:rFonts w:hint="default"/>
                <w:color w:val="auto"/>
                <w:spacing w:val="-1"/>
                <w:sz w:val="21"/>
                <w:szCs w:val="21"/>
                <w:highlight w:val="none"/>
              </w:rPr>
              <w:t>投标人未在规定时间内作出澄清或说明的，</w:t>
            </w:r>
            <w:r>
              <w:rPr>
                <w:rFonts w:hint="default"/>
                <w:color w:val="auto"/>
                <w:spacing w:val="73"/>
                <w:sz w:val="21"/>
                <w:szCs w:val="21"/>
                <w:highlight w:val="none"/>
              </w:rPr>
              <w:t xml:space="preserve"> </w:t>
            </w:r>
            <w:r>
              <w:rPr>
                <w:rFonts w:hint="default"/>
                <w:color w:val="auto"/>
                <w:spacing w:val="-1"/>
                <w:sz w:val="21"/>
                <w:szCs w:val="21"/>
                <w:highlight w:val="none"/>
              </w:rPr>
              <w:t>或者评标委员会成员认为</w:t>
            </w:r>
            <w:r>
              <w:rPr>
                <w:rFonts w:hint="default"/>
                <w:color w:val="auto"/>
                <w:sz w:val="21"/>
                <w:szCs w:val="21"/>
                <w:highlight w:val="none"/>
              </w:rPr>
              <w:t xml:space="preserve"> </w:t>
            </w:r>
            <w:r>
              <w:rPr>
                <w:rFonts w:hint="default"/>
                <w:color w:val="auto"/>
                <w:spacing w:val="11"/>
                <w:sz w:val="21"/>
                <w:szCs w:val="21"/>
                <w:highlight w:val="none"/>
              </w:rPr>
              <w:t>该投标人的澄清或说明始终都不符合评标委员会要求的，作否决投标处</w:t>
            </w:r>
          </w:p>
          <w:p w14:paraId="44B7BD20">
            <w:pPr>
              <w:pStyle w:val="11"/>
              <w:spacing w:before="1" w:beforeLines="0" w:afterLines="0" w:line="230" w:lineRule="auto"/>
              <w:ind w:left="112"/>
              <w:rPr>
                <w:rFonts w:hint="default"/>
                <w:color w:val="auto"/>
                <w:sz w:val="21"/>
                <w:szCs w:val="21"/>
                <w:highlight w:val="none"/>
              </w:rPr>
            </w:pPr>
            <w:r>
              <w:rPr>
                <w:rFonts w:hint="default"/>
                <w:color w:val="auto"/>
                <w:spacing w:val="-10"/>
                <w:sz w:val="21"/>
                <w:szCs w:val="21"/>
                <w:highlight w:val="none"/>
              </w:rPr>
              <w:t>理。</w:t>
            </w:r>
          </w:p>
        </w:tc>
      </w:tr>
      <w:tr w14:paraId="17DC8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F7913DF">
            <w:pPr>
              <w:pStyle w:val="11"/>
              <w:spacing w:before="175" w:beforeLines="0" w:afterLines="0" w:line="221" w:lineRule="auto"/>
              <w:ind w:left="610"/>
              <w:rPr>
                <w:rFonts w:hint="default"/>
                <w:color w:val="auto"/>
                <w:sz w:val="21"/>
                <w:szCs w:val="21"/>
                <w:highlight w:val="none"/>
              </w:rPr>
            </w:pPr>
            <w:r>
              <w:rPr>
                <w:rFonts w:hint="default"/>
                <w:color w:val="auto"/>
                <w:spacing w:val="-2"/>
                <w:sz w:val="21"/>
                <w:szCs w:val="21"/>
                <w:highlight w:val="none"/>
              </w:rPr>
              <w:t>条款号</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3580AE4">
            <w:pPr>
              <w:pStyle w:val="11"/>
              <w:spacing w:before="175" w:beforeLines="0" w:afterLines="0" w:line="221" w:lineRule="auto"/>
              <w:ind w:left="601"/>
              <w:rPr>
                <w:rFonts w:hint="default"/>
                <w:color w:val="auto"/>
                <w:sz w:val="21"/>
                <w:szCs w:val="21"/>
                <w:highlight w:val="none"/>
              </w:rPr>
            </w:pPr>
            <w:r>
              <w:rPr>
                <w:rFonts w:hint="default"/>
                <w:color w:val="auto"/>
                <w:spacing w:val="-1"/>
                <w:sz w:val="21"/>
                <w:szCs w:val="21"/>
                <w:highlight w:val="none"/>
              </w:rPr>
              <w:t>条款内容</w:t>
            </w:r>
          </w:p>
        </w:tc>
        <w:tc>
          <w:tcPr>
            <w:tcW w:w="505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4287D9C">
            <w:pPr>
              <w:pStyle w:val="11"/>
              <w:spacing w:before="175" w:beforeLines="0" w:afterLines="0" w:line="221" w:lineRule="auto"/>
              <w:ind w:left="2110"/>
              <w:rPr>
                <w:rFonts w:hint="default"/>
                <w:color w:val="auto"/>
                <w:sz w:val="21"/>
                <w:szCs w:val="21"/>
                <w:highlight w:val="none"/>
              </w:rPr>
            </w:pPr>
            <w:r>
              <w:rPr>
                <w:rFonts w:hint="default"/>
                <w:color w:val="auto"/>
                <w:spacing w:val="-1"/>
                <w:sz w:val="21"/>
                <w:szCs w:val="21"/>
                <w:highlight w:val="none"/>
              </w:rPr>
              <w:t>编列内容</w:t>
            </w:r>
          </w:p>
        </w:tc>
      </w:tr>
      <w:tr w14:paraId="7BC7A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121C762">
            <w:pPr>
              <w:spacing w:beforeLines="0" w:afterLines="0" w:line="254" w:lineRule="auto"/>
              <w:rPr>
                <w:rFonts w:hint="default"/>
                <w:color w:val="auto"/>
                <w:sz w:val="21"/>
                <w:szCs w:val="21"/>
                <w:highlight w:val="none"/>
              </w:rPr>
            </w:pPr>
          </w:p>
          <w:p w14:paraId="193E7E79">
            <w:pPr>
              <w:spacing w:beforeLines="0" w:afterLines="0" w:line="254" w:lineRule="auto"/>
              <w:rPr>
                <w:rFonts w:hint="default"/>
                <w:color w:val="auto"/>
                <w:sz w:val="21"/>
                <w:szCs w:val="21"/>
                <w:highlight w:val="none"/>
              </w:rPr>
            </w:pPr>
          </w:p>
          <w:p w14:paraId="413D6204">
            <w:pPr>
              <w:spacing w:beforeLines="0" w:afterLines="0" w:line="254" w:lineRule="auto"/>
              <w:rPr>
                <w:rFonts w:hint="default"/>
                <w:color w:val="auto"/>
                <w:sz w:val="21"/>
                <w:szCs w:val="21"/>
                <w:highlight w:val="none"/>
              </w:rPr>
            </w:pPr>
          </w:p>
          <w:p w14:paraId="1E76C9E4">
            <w:pPr>
              <w:spacing w:before="60" w:beforeLines="0" w:afterLines="0" w:line="189" w:lineRule="auto"/>
              <w:ind w:left="710"/>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2.2.1</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C75D7E2">
            <w:pPr>
              <w:spacing w:beforeLines="0" w:afterLines="0" w:line="253" w:lineRule="auto"/>
              <w:rPr>
                <w:rFonts w:hint="default"/>
                <w:color w:val="auto"/>
                <w:sz w:val="21"/>
                <w:szCs w:val="21"/>
                <w:highlight w:val="none"/>
              </w:rPr>
            </w:pPr>
          </w:p>
          <w:p w14:paraId="314CC22C">
            <w:pPr>
              <w:spacing w:beforeLines="0" w:afterLines="0" w:line="254" w:lineRule="auto"/>
              <w:rPr>
                <w:rFonts w:hint="default"/>
                <w:color w:val="auto"/>
                <w:sz w:val="21"/>
                <w:szCs w:val="21"/>
                <w:highlight w:val="none"/>
              </w:rPr>
            </w:pPr>
          </w:p>
          <w:p w14:paraId="1FF8CA9D">
            <w:pPr>
              <w:pStyle w:val="11"/>
              <w:spacing w:before="68" w:beforeLines="0" w:afterLines="0" w:line="221" w:lineRule="auto"/>
              <w:ind w:left="606"/>
              <w:rPr>
                <w:rFonts w:hint="default"/>
                <w:color w:val="auto"/>
                <w:sz w:val="21"/>
                <w:szCs w:val="21"/>
                <w:highlight w:val="none"/>
              </w:rPr>
            </w:pPr>
            <w:r>
              <w:rPr>
                <w:rFonts w:hint="default"/>
                <w:color w:val="auto"/>
                <w:spacing w:val="-2"/>
                <w:sz w:val="21"/>
                <w:szCs w:val="21"/>
                <w:highlight w:val="none"/>
              </w:rPr>
              <w:t>分值构成</w:t>
            </w:r>
          </w:p>
          <w:p w14:paraId="3EEDDAC5">
            <w:pPr>
              <w:pStyle w:val="11"/>
              <w:spacing w:before="167" w:beforeLines="0" w:afterLines="0" w:line="221" w:lineRule="auto"/>
              <w:ind w:left="293"/>
              <w:rPr>
                <w:rFonts w:hint="default"/>
                <w:color w:val="auto"/>
                <w:sz w:val="21"/>
                <w:szCs w:val="21"/>
                <w:highlight w:val="none"/>
              </w:rPr>
            </w:pPr>
            <w:r>
              <w:rPr>
                <w:rFonts w:hint="default"/>
                <w:color w:val="auto"/>
                <w:spacing w:val="-7"/>
                <w:sz w:val="21"/>
                <w:szCs w:val="21"/>
                <w:highlight w:val="none"/>
              </w:rPr>
              <w:t>（总分</w:t>
            </w:r>
            <w:r>
              <w:rPr>
                <w:rFonts w:hint="default"/>
                <w:color w:val="auto"/>
                <w:spacing w:val="-18"/>
                <w:sz w:val="21"/>
                <w:szCs w:val="21"/>
                <w:highlight w:val="none"/>
              </w:rPr>
              <w:t xml:space="preserve"> </w:t>
            </w:r>
            <w:r>
              <w:rPr>
                <w:rFonts w:hint="default"/>
                <w:color w:val="auto"/>
                <w:spacing w:val="-7"/>
                <w:sz w:val="21"/>
                <w:szCs w:val="21"/>
                <w:highlight w:val="none"/>
              </w:rPr>
              <w:t>100</w:t>
            </w:r>
            <w:r>
              <w:rPr>
                <w:rFonts w:hint="default"/>
                <w:color w:val="auto"/>
                <w:spacing w:val="-46"/>
                <w:sz w:val="21"/>
                <w:szCs w:val="21"/>
                <w:highlight w:val="none"/>
              </w:rPr>
              <w:t xml:space="preserve"> </w:t>
            </w:r>
            <w:r>
              <w:rPr>
                <w:rFonts w:hint="default"/>
                <w:color w:val="auto"/>
                <w:spacing w:val="-7"/>
                <w:sz w:val="21"/>
                <w:szCs w:val="21"/>
                <w:highlight w:val="none"/>
              </w:rPr>
              <w:t>分）</w:t>
            </w:r>
          </w:p>
        </w:tc>
        <w:tc>
          <w:tcPr>
            <w:tcW w:w="505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FFC6B9C">
            <w:pPr>
              <w:pStyle w:val="11"/>
              <w:spacing w:before="157" w:beforeLines="0" w:afterLines="0" w:line="221" w:lineRule="auto"/>
              <w:ind w:left="117"/>
              <w:rPr>
                <w:rFonts w:hint="default"/>
                <w:color w:val="auto"/>
                <w:sz w:val="21"/>
                <w:szCs w:val="21"/>
                <w:highlight w:val="none"/>
              </w:rPr>
            </w:pPr>
            <w:r>
              <w:rPr>
                <w:rFonts w:hint="default"/>
                <w:color w:val="auto"/>
                <w:spacing w:val="-25"/>
                <w:sz w:val="21"/>
                <w:szCs w:val="21"/>
                <w:highlight w:val="none"/>
              </w:rPr>
              <w:t>经济标：</w:t>
            </w:r>
            <w:r>
              <w:rPr>
                <w:rFonts w:hint="default"/>
                <w:color w:val="auto"/>
                <w:spacing w:val="10"/>
                <w:sz w:val="21"/>
                <w:szCs w:val="21"/>
                <w:highlight w:val="none"/>
              </w:rPr>
              <w:t xml:space="preserve"> </w:t>
            </w:r>
            <w:r>
              <w:rPr>
                <w:rFonts w:hint="default"/>
                <w:color w:val="auto"/>
                <w:spacing w:val="11"/>
                <w:sz w:val="21"/>
                <w:szCs w:val="21"/>
                <w:highlight w:val="none"/>
                <w:u w:val="single" w:color="auto"/>
                <w:lang w:eastAsia="zh-CN"/>
              </w:rPr>
              <w:t>50</w:t>
            </w:r>
            <w:r>
              <w:rPr>
                <w:rFonts w:hint="default"/>
                <w:color w:val="auto"/>
                <w:spacing w:val="11"/>
                <w:sz w:val="21"/>
                <w:szCs w:val="21"/>
                <w:highlight w:val="none"/>
                <w:u w:val="single" w:color="auto"/>
              </w:rPr>
              <w:t xml:space="preserve"> </w:t>
            </w:r>
            <w:r>
              <w:rPr>
                <w:rFonts w:hint="default"/>
                <w:color w:val="auto"/>
                <w:spacing w:val="-92"/>
                <w:sz w:val="21"/>
                <w:szCs w:val="21"/>
                <w:highlight w:val="none"/>
              </w:rPr>
              <w:t xml:space="preserve"> </w:t>
            </w:r>
            <w:r>
              <w:rPr>
                <w:rFonts w:hint="default"/>
                <w:color w:val="auto"/>
                <w:spacing w:val="-25"/>
                <w:sz w:val="21"/>
                <w:szCs w:val="21"/>
                <w:highlight w:val="none"/>
              </w:rPr>
              <w:t>分；</w:t>
            </w:r>
          </w:p>
          <w:p w14:paraId="3D75FA5D">
            <w:pPr>
              <w:pStyle w:val="11"/>
              <w:spacing w:before="170" w:beforeLines="0" w:afterLines="0" w:line="221" w:lineRule="auto"/>
              <w:ind w:left="117"/>
              <w:rPr>
                <w:rFonts w:hint="default"/>
                <w:color w:val="auto"/>
                <w:sz w:val="21"/>
                <w:szCs w:val="21"/>
                <w:highlight w:val="none"/>
              </w:rPr>
            </w:pPr>
            <w:r>
              <w:rPr>
                <w:rFonts w:hint="default"/>
                <w:color w:val="auto"/>
                <w:spacing w:val="-25"/>
                <w:sz w:val="21"/>
                <w:szCs w:val="21"/>
                <w:highlight w:val="none"/>
              </w:rPr>
              <w:t>技术标：</w:t>
            </w:r>
            <w:r>
              <w:rPr>
                <w:rFonts w:hint="default"/>
                <w:color w:val="auto"/>
                <w:spacing w:val="10"/>
                <w:sz w:val="21"/>
                <w:szCs w:val="21"/>
                <w:highlight w:val="none"/>
              </w:rPr>
              <w:t xml:space="preserve"> </w:t>
            </w:r>
            <w:r>
              <w:rPr>
                <w:rFonts w:hint="default"/>
                <w:color w:val="auto"/>
                <w:spacing w:val="11"/>
                <w:sz w:val="21"/>
                <w:szCs w:val="21"/>
                <w:highlight w:val="none"/>
                <w:u w:val="single" w:color="auto"/>
                <w:lang w:eastAsia="zh-CN"/>
              </w:rPr>
              <w:t>40</w:t>
            </w:r>
            <w:r>
              <w:rPr>
                <w:rFonts w:hint="default"/>
                <w:color w:val="auto"/>
                <w:spacing w:val="11"/>
                <w:sz w:val="21"/>
                <w:szCs w:val="21"/>
                <w:highlight w:val="none"/>
                <w:u w:val="single" w:color="auto"/>
              </w:rPr>
              <w:t xml:space="preserve"> </w:t>
            </w:r>
            <w:r>
              <w:rPr>
                <w:rFonts w:hint="default"/>
                <w:color w:val="auto"/>
                <w:spacing w:val="-91"/>
                <w:sz w:val="21"/>
                <w:szCs w:val="21"/>
                <w:highlight w:val="none"/>
              </w:rPr>
              <w:t xml:space="preserve"> </w:t>
            </w:r>
            <w:r>
              <w:rPr>
                <w:rFonts w:hint="default"/>
                <w:color w:val="auto"/>
                <w:spacing w:val="-25"/>
                <w:sz w:val="21"/>
                <w:szCs w:val="21"/>
                <w:highlight w:val="none"/>
              </w:rPr>
              <w:t>分；</w:t>
            </w:r>
          </w:p>
          <w:p w14:paraId="4A639BCC">
            <w:pPr>
              <w:pStyle w:val="11"/>
              <w:spacing w:before="166" w:beforeLines="0" w:afterLines="0" w:line="221" w:lineRule="auto"/>
              <w:ind w:left="125"/>
              <w:rPr>
                <w:rFonts w:hint="default"/>
                <w:color w:val="auto"/>
                <w:sz w:val="21"/>
                <w:szCs w:val="21"/>
                <w:highlight w:val="none"/>
              </w:rPr>
            </w:pPr>
            <w:r>
              <w:rPr>
                <w:rFonts w:hint="default"/>
                <w:color w:val="auto"/>
                <w:spacing w:val="-20"/>
                <w:sz w:val="21"/>
                <w:szCs w:val="21"/>
                <w:highlight w:val="none"/>
              </w:rPr>
              <w:t>资信标：</w:t>
            </w:r>
            <w:r>
              <w:rPr>
                <w:rFonts w:hint="default"/>
                <w:color w:val="auto"/>
                <w:spacing w:val="-27"/>
                <w:sz w:val="21"/>
                <w:szCs w:val="21"/>
                <w:highlight w:val="none"/>
              </w:rPr>
              <w:t xml:space="preserve"> </w:t>
            </w:r>
            <w:r>
              <w:rPr>
                <w:rFonts w:hint="default"/>
                <w:color w:val="auto"/>
                <w:spacing w:val="11"/>
                <w:sz w:val="21"/>
                <w:szCs w:val="21"/>
                <w:highlight w:val="none"/>
                <w:u w:val="single" w:color="auto"/>
                <w:lang w:eastAsia="zh-CN"/>
              </w:rPr>
              <w:t>10</w:t>
            </w:r>
            <w:r>
              <w:rPr>
                <w:rFonts w:hint="default"/>
                <w:color w:val="auto"/>
                <w:spacing w:val="11"/>
                <w:sz w:val="21"/>
                <w:szCs w:val="21"/>
                <w:highlight w:val="none"/>
                <w:u w:val="single" w:color="auto"/>
              </w:rPr>
              <w:t xml:space="preserve">  </w:t>
            </w:r>
            <w:r>
              <w:rPr>
                <w:rFonts w:hint="default"/>
                <w:color w:val="auto"/>
                <w:spacing w:val="-92"/>
                <w:sz w:val="21"/>
                <w:szCs w:val="21"/>
                <w:highlight w:val="none"/>
              </w:rPr>
              <w:t xml:space="preserve"> </w:t>
            </w:r>
            <w:r>
              <w:rPr>
                <w:rFonts w:hint="default"/>
                <w:color w:val="auto"/>
                <w:spacing w:val="-20"/>
                <w:sz w:val="21"/>
                <w:szCs w:val="21"/>
                <w:highlight w:val="none"/>
              </w:rPr>
              <w:t>分；</w:t>
            </w:r>
          </w:p>
          <w:p w14:paraId="3657B439">
            <w:pPr>
              <w:pStyle w:val="11"/>
              <w:spacing w:before="171" w:beforeLines="0" w:afterLines="0" w:line="221" w:lineRule="auto"/>
              <w:ind w:left="117"/>
              <w:rPr>
                <w:rFonts w:hint="default"/>
                <w:color w:val="auto"/>
                <w:sz w:val="21"/>
                <w:szCs w:val="21"/>
                <w:highlight w:val="none"/>
              </w:rPr>
            </w:pPr>
            <w:r>
              <w:rPr>
                <w:rFonts w:hint="default"/>
                <w:color w:val="auto"/>
                <w:spacing w:val="-12"/>
                <w:sz w:val="21"/>
                <w:szCs w:val="21"/>
                <w:highlight w:val="none"/>
              </w:rPr>
              <w:t>其他评分因素：</w:t>
            </w:r>
            <w:r>
              <w:rPr>
                <w:rFonts w:hint="default"/>
                <w:color w:val="auto"/>
                <w:spacing w:val="-12"/>
                <w:sz w:val="21"/>
                <w:szCs w:val="21"/>
                <w:highlight w:val="none"/>
                <w:lang w:eastAsia="zh-CN"/>
              </w:rPr>
              <w:t>0</w:t>
            </w:r>
            <w:r>
              <w:rPr>
                <w:rFonts w:hint="default"/>
                <w:color w:val="auto"/>
                <w:spacing w:val="34"/>
                <w:sz w:val="21"/>
                <w:szCs w:val="21"/>
                <w:highlight w:val="none"/>
                <w:u w:val="single" w:color="auto"/>
              </w:rPr>
              <w:t xml:space="preserve"> </w:t>
            </w:r>
            <w:r>
              <w:rPr>
                <w:rFonts w:hint="default"/>
                <w:color w:val="auto"/>
                <w:spacing w:val="-94"/>
                <w:sz w:val="21"/>
                <w:szCs w:val="21"/>
                <w:highlight w:val="none"/>
              </w:rPr>
              <w:t xml:space="preserve"> </w:t>
            </w:r>
            <w:r>
              <w:rPr>
                <w:rFonts w:hint="default"/>
                <w:color w:val="auto"/>
                <w:spacing w:val="-12"/>
                <w:sz w:val="21"/>
                <w:szCs w:val="21"/>
                <w:highlight w:val="none"/>
              </w:rPr>
              <w:t>分。</w:t>
            </w:r>
          </w:p>
        </w:tc>
      </w:tr>
      <w:tr w14:paraId="6D3FC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62BB0B5">
            <w:pPr>
              <w:spacing w:before="194" w:beforeLines="0" w:afterLines="0" w:line="386" w:lineRule="exact"/>
              <w:ind w:left="710"/>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2.2.2</w:t>
            </w:r>
          </w:p>
          <w:p w14:paraId="40BA8E11">
            <w:pPr>
              <w:pStyle w:val="11"/>
              <w:spacing w:before="1" w:beforeLines="0" w:afterLines="0" w:line="222" w:lineRule="auto"/>
              <w:ind w:left="667"/>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1</w:t>
            </w:r>
            <w:r>
              <w:rPr>
                <w:rFonts w:hint="default"/>
                <w:color w:val="auto"/>
                <w:spacing w:val="-5"/>
                <w:sz w:val="21"/>
                <w:szCs w:val="21"/>
                <w:highlight w:val="none"/>
              </w:rPr>
              <w:t>）</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5301716">
            <w:pPr>
              <w:spacing w:beforeLines="0" w:afterLines="0" w:line="299" w:lineRule="auto"/>
              <w:rPr>
                <w:rFonts w:hint="default"/>
                <w:color w:val="auto"/>
                <w:sz w:val="21"/>
                <w:szCs w:val="21"/>
                <w:highlight w:val="none"/>
              </w:rPr>
            </w:pPr>
          </w:p>
          <w:p w14:paraId="6A29C9B2">
            <w:pPr>
              <w:pStyle w:val="11"/>
              <w:spacing w:before="68" w:beforeLines="0" w:afterLines="0" w:line="219" w:lineRule="auto"/>
              <w:ind w:left="286"/>
              <w:rPr>
                <w:rFonts w:hint="default"/>
                <w:color w:val="auto"/>
                <w:sz w:val="21"/>
                <w:szCs w:val="21"/>
                <w:highlight w:val="none"/>
              </w:rPr>
            </w:pPr>
            <w:r>
              <w:rPr>
                <w:rFonts w:hint="default"/>
                <w:color w:val="auto"/>
                <w:spacing w:val="-1"/>
                <w:sz w:val="21"/>
                <w:szCs w:val="21"/>
                <w:highlight w:val="none"/>
              </w:rPr>
              <w:t>评标价确定方法</w:t>
            </w:r>
          </w:p>
        </w:tc>
        <w:tc>
          <w:tcPr>
            <w:tcW w:w="505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6569405">
            <w:pPr>
              <w:pStyle w:val="11"/>
              <w:spacing w:before="157" w:beforeLines="0" w:afterLines="0" w:line="423" w:lineRule="exact"/>
              <w:ind w:left="115"/>
              <w:rPr>
                <w:rFonts w:hint="default"/>
                <w:color w:val="auto"/>
                <w:sz w:val="21"/>
                <w:szCs w:val="21"/>
                <w:highlight w:val="none"/>
              </w:rPr>
            </w:pPr>
            <w:r>
              <w:rPr>
                <w:rFonts w:hint="default"/>
                <w:color w:val="auto"/>
                <w:spacing w:val="4"/>
                <w:position w:val="16"/>
                <w:sz w:val="21"/>
                <w:szCs w:val="21"/>
                <w:highlight w:val="none"/>
              </w:rPr>
              <w:t>评标价＝投标函大写投标报价（或经投标人书面确</w:t>
            </w:r>
          </w:p>
          <w:p w14:paraId="089E7510">
            <w:pPr>
              <w:pStyle w:val="11"/>
              <w:spacing w:beforeLines="0" w:afterLines="0" w:line="219" w:lineRule="auto"/>
              <w:ind w:left="116"/>
              <w:rPr>
                <w:rFonts w:hint="default"/>
                <w:color w:val="auto"/>
                <w:sz w:val="21"/>
                <w:szCs w:val="21"/>
                <w:highlight w:val="none"/>
              </w:rPr>
            </w:pPr>
            <w:r>
              <w:rPr>
                <w:rFonts w:hint="default"/>
                <w:color w:val="auto"/>
                <w:spacing w:val="-8"/>
                <w:sz w:val="21"/>
                <w:szCs w:val="21"/>
                <w:highlight w:val="none"/>
              </w:rPr>
              <w:t>认的算术错误修正后的投标总报价）。</w:t>
            </w:r>
          </w:p>
        </w:tc>
      </w:tr>
      <w:tr w14:paraId="35D08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2"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E3B74CF">
            <w:pPr>
              <w:spacing w:beforeLines="0" w:afterLines="0" w:line="251" w:lineRule="auto"/>
              <w:rPr>
                <w:rFonts w:hint="default"/>
                <w:color w:val="auto"/>
                <w:sz w:val="21"/>
                <w:szCs w:val="21"/>
                <w:highlight w:val="none"/>
              </w:rPr>
            </w:pPr>
          </w:p>
          <w:p w14:paraId="256DC28A">
            <w:pPr>
              <w:spacing w:beforeLines="0" w:afterLines="0" w:line="251" w:lineRule="auto"/>
              <w:rPr>
                <w:rFonts w:hint="default"/>
                <w:color w:val="auto"/>
                <w:sz w:val="21"/>
                <w:szCs w:val="21"/>
                <w:highlight w:val="none"/>
              </w:rPr>
            </w:pPr>
          </w:p>
          <w:p w14:paraId="08768C04">
            <w:pPr>
              <w:spacing w:beforeLines="0" w:afterLines="0" w:line="252" w:lineRule="auto"/>
              <w:rPr>
                <w:rFonts w:hint="default"/>
                <w:color w:val="auto"/>
                <w:sz w:val="21"/>
                <w:szCs w:val="21"/>
                <w:highlight w:val="none"/>
              </w:rPr>
            </w:pPr>
          </w:p>
          <w:p w14:paraId="1059A0E9">
            <w:pPr>
              <w:spacing w:beforeLines="0" w:afterLines="0" w:line="252" w:lineRule="auto"/>
              <w:rPr>
                <w:rFonts w:hint="default"/>
                <w:color w:val="auto"/>
                <w:sz w:val="21"/>
                <w:szCs w:val="21"/>
                <w:highlight w:val="none"/>
              </w:rPr>
            </w:pPr>
          </w:p>
          <w:p w14:paraId="7E7B2154">
            <w:pPr>
              <w:spacing w:beforeLines="0" w:afterLines="0" w:line="252" w:lineRule="auto"/>
              <w:rPr>
                <w:rFonts w:hint="default"/>
                <w:color w:val="auto"/>
                <w:sz w:val="21"/>
                <w:szCs w:val="21"/>
                <w:highlight w:val="none"/>
              </w:rPr>
            </w:pPr>
          </w:p>
          <w:p w14:paraId="3201E046">
            <w:pPr>
              <w:spacing w:beforeLines="0" w:afterLines="0" w:line="252" w:lineRule="auto"/>
              <w:rPr>
                <w:rFonts w:hint="default"/>
                <w:color w:val="auto"/>
                <w:sz w:val="21"/>
                <w:szCs w:val="21"/>
                <w:highlight w:val="none"/>
              </w:rPr>
            </w:pPr>
          </w:p>
          <w:p w14:paraId="0D3CD21F">
            <w:pPr>
              <w:spacing w:beforeLines="0" w:afterLines="0" w:line="252" w:lineRule="auto"/>
              <w:rPr>
                <w:rFonts w:hint="default"/>
                <w:color w:val="auto"/>
                <w:sz w:val="21"/>
                <w:szCs w:val="21"/>
                <w:highlight w:val="none"/>
              </w:rPr>
            </w:pPr>
          </w:p>
          <w:p w14:paraId="46B5D960">
            <w:pPr>
              <w:spacing w:beforeLines="0" w:afterLines="0" w:line="252" w:lineRule="auto"/>
              <w:rPr>
                <w:rFonts w:hint="default"/>
                <w:color w:val="auto"/>
                <w:sz w:val="21"/>
                <w:szCs w:val="21"/>
                <w:highlight w:val="none"/>
              </w:rPr>
            </w:pPr>
          </w:p>
          <w:p w14:paraId="770E4A46">
            <w:pPr>
              <w:spacing w:before="60" w:beforeLines="0" w:afterLines="0" w:line="386" w:lineRule="exact"/>
              <w:ind w:left="710"/>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2.2.2</w:t>
            </w:r>
          </w:p>
          <w:p w14:paraId="4D510AF5">
            <w:pPr>
              <w:pStyle w:val="11"/>
              <w:spacing w:beforeLines="0" w:afterLines="0" w:line="232" w:lineRule="auto"/>
              <w:ind w:left="667"/>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2</w:t>
            </w:r>
            <w:r>
              <w:rPr>
                <w:rFonts w:hint="default"/>
                <w:color w:val="auto"/>
                <w:spacing w:val="-5"/>
                <w:sz w:val="21"/>
                <w:szCs w:val="21"/>
                <w:highlight w:val="none"/>
              </w:rPr>
              <w:t>）</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3D29422">
            <w:pPr>
              <w:spacing w:beforeLines="0" w:afterLines="0" w:line="246" w:lineRule="auto"/>
              <w:rPr>
                <w:rFonts w:hint="default"/>
                <w:color w:val="auto"/>
                <w:sz w:val="21"/>
                <w:szCs w:val="21"/>
                <w:highlight w:val="none"/>
              </w:rPr>
            </w:pPr>
          </w:p>
          <w:p w14:paraId="610F7D1E">
            <w:pPr>
              <w:spacing w:beforeLines="0" w:afterLines="0" w:line="246" w:lineRule="auto"/>
              <w:rPr>
                <w:rFonts w:hint="default"/>
                <w:color w:val="auto"/>
                <w:sz w:val="21"/>
                <w:szCs w:val="21"/>
                <w:highlight w:val="none"/>
              </w:rPr>
            </w:pPr>
          </w:p>
          <w:p w14:paraId="587262B3">
            <w:pPr>
              <w:spacing w:beforeLines="0" w:afterLines="0" w:line="246" w:lineRule="auto"/>
              <w:rPr>
                <w:rFonts w:hint="default"/>
                <w:color w:val="auto"/>
                <w:sz w:val="21"/>
                <w:szCs w:val="21"/>
                <w:highlight w:val="none"/>
              </w:rPr>
            </w:pPr>
          </w:p>
          <w:p w14:paraId="56A0217C">
            <w:pPr>
              <w:spacing w:beforeLines="0" w:afterLines="0" w:line="246" w:lineRule="auto"/>
              <w:rPr>
                <w:rFonts w:hint="default"/>
                <w:color w:val="auto"/>
                <w:sz w:val="21"/>
                <w:szCs w:val="21"/>
                <w:highlight w:val="none"/>
              </w:rPr>
            </w:pPr>
          </w:p>
          <w:p w14:paraId="3615298B">
            <w:pPr>
              <w:spacing w:beforeLines="0" w:afterLines="0" w:line="246" w:lineRule="auto"/>
              <w:rPr>
                <w:rFonts w:hint="default"/>
                <w:color w:val="auto"/>
                <w:sz w:val="21"/>
                <w:szCs w:val="21"/>
                <w:highlight w:val="none"/>
              </w:rPr>
            </w:pPr>
          </w:p>
          <w:p w14:paraId="668A040F">
            <w:pPr>
              <w:spacing w:beforeLines="0" w:afterLines="0" w:line="246" w:lineRule="auto"/>
              <w:rPr>
                <w:rFonts w:hint="default"/>
                <w:color w:val="auto"/>
                <w:sz w:val="21"/>
                <w:szCs w:val="21"/>
                <w:highlight w:val="none"/>
              </w:rPr>
            </w:pPr>
          </w:p>
          <w:p w14:paraId="71148CF1">
            <w:pPr>
              <w:spacing w:beforeLines="0" w:afterLines="0" w:line="246" w:lineRule="auto"/>
              <w:rPr>
                <w:rFonts w:hint="default"/>
                <w:color w:val="auto"/>
                <w:sz w:val="21"/>
                <w:szCs w:val="21"/>
                <w:highlight w:val="none"/>
              </w:rPr>
            </w:pPr>
          </w:p>
          <w:p w14:paraId="6AF8B8C1">
            <w:pPr>
              <w:spacing w:beforeLines="0" w:afterLines="0" w:line="247" w:lineRule="auto"/>
              <w:rPr>
                <w:rFonts w:hint="default"/>
                <w:color w:val="auto"/>
                <w:sz w:val="21"/>
                <w:szCs w:val="21"/>
                <w:highlight w:val="none"/>
              </w:rPr>
            </w:pPr>
          </w:p>
          <w:p w14:paraId="1383C496">
            <w:pPr>
              <w:pStyle w:val="11"/>
              <w:spacing w:before="69" w:beforeLines="0" w:afterLines="0" w:line="423" w:lineRule="exact"/>
              <w:ind w:left="286"/>
              <w:rPr>
                <w:rFonts w:hint="default"/>
                <w:color w:val="auto"/>
                <w:sz w:val="21"/>
                <w:szCs w:val="21"/>
                <w:highlight w:val="none"/>
              </w:rPr>
            </w:pPr>
            <w:r>
              <w:rPr>
                <w:rFonts w:hint="default"/>
                <w:color w:val="auto"/>
                <w:spacing w:val="-1"/>
                <w:position w:val="16"/>
                <w:sz w:val="21"/>
                <w:szCs w:val="21"/>
                <w:highlight w:val="none"/>
              </w:rPr>
              <w:t>评标基准价计算</w:t>
            </w:r>
          </w:p>
          <w:p w14:paraId="147822D6">
            <w:pPr>
              <w:pStyle w:val="11"/>
              <w:spacing w:beforeLines="0" w:afterLines="0" w:line="222" w:lineRule="auto"/>
              <w:ind w:left="816"/>
              <w:rPr>
                <w:rFonts w:hint="default"/>
                <w:color w:val="auto"/>
                <w:sz w:val="21"/>
                <w:szCs w:val="21"/>
                <w:highlight w:val="none"/>
              </w:rPr>
            </w:pPr>
            <w:r>
              <w:rPr>
                <w:rFonts w:hint="default"/>
                <w:color w:val="auto"/>
                <w:spacing w:val="-2"/>
                <w:sz w:val="21"/>
                <w:szCs w:val="21"/>
                <w:highlight w:val="none"/>
              </w:rPr>
              <w:t>方法</w:t>
            </w:r>
          </w:p>
        </w:tc>
        <w:tc>
          <w:tcPr>
            <w:tcW w:w="505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48F0FD0">
            <w:pPr>
              <w:pStyle w:val="11"/>
              <w:spacing w:before="163" w:beforeLines="0" w:afterLines="0" w:line="219" w:lineRule="auto"/>
              <w:ind w:left="116"/>
              <w:rPr>
                <w:rFonts w:hint="default"/>
                <w:color w:val="auto"/>
                <w:sz w:val="21"/>
                <w:szCs w:val="21"/>
                <w:highlight w:val="none"/>
              </w:rPr>
            </w:pPr>
            <w:r>
              <w:rPr>
                <w:rFonts w:hint="default"/>
                <w:color w:val="auto"/>
                <w:spacing w:val="-5"/>
                <w:sz w:val="21"/>
                <w:szCs w:val="21"/>
                <w:highlight w:val="none"/>
              </w:rPr>
              <w:t>基准价计算方法：</w:t>
            </w:r>
          </w:p>
          <w:p w14:paraId="3AAEE296">
            <w:pPr>
              <w:pStyle w:val="11"/>
              <w:spacing w:before="168" w:beforeLines="0" w:afterLines="0" w:line="219" w:lineRule="auto"/>
              <w:ind w:left="122"/>
              <w:rPr>
                <w:rFonts w:hint="default"/>
                <w:color w:val="auto"/>
                <w:sz w:val="21"/>
                <w:szCs w:val="21"/>
                <w:highlight w:val="none"/>
              </w:rPr>
            </w:pPr>
            <w:r>
              <w:rPr>
                <w:rFonts w:hint="default"/>
                <w:color w:val="auto"/>
                <w:spacing w:val="-1"/>
                <w:sz w:val="21"/>
                <w:szCs w:val="21"/>
                <w:highlight w:val="none"/>
              </w:rPr>
              <w:t>（1）最高投标限价是否参与基准价计算：</w:t>
            </w:r>
          </w:p>
          <w:p w14:paraId="1BEC1950">
            <w:pPr>
              <w:pStyle w:val="11"/>
              <w:spacing w:before="174" w:beforeLines="0" w:afterLines="0" w:line="221" w:lineRule="auto"/>
              <w:ind w:left="661"/>
              <w:rPr>
                <w:rFonts w:hint="default"/>
                <w:color w:val="auto"/>
                <w:sz w:val="21"/>
                <w:szCs w:val="21"/>
                <w:highlight w:val="none"/>
              </w:rPr>
            </w:pPr>
            <w:r>
              <w:rPr>
                <w:rFonts w:hint="default"/>
                <w:color w:val="auto"/>
                <w:spacing w:val="-11"/>
                <w:sz w:val="21"/>
                <w:szCs w:val="21"/>
                <w:highlight w:val="none"/>
              </w:rPr>
              <w:t>□是</w:t>
            </w:r>
            <w:r>
              <w:rPr>
                <w:rFonts w:hint="default"/>
                <w:color w:val="auto"/>
                <w:spacing w:val="16"/>
                <w:sz w:val="21"/>
                <w:szCs w:val="21"/>
                <w:highlight w:val="none"/>
              </w:rPr>
              <w:t xml:space="preserve">  </w:t>
            </w:r>
            <w:r>
              <w:rPr>
                <w:rFonts w:hint="default"/>
                <w:color w:val="auto"/>
                <w:spacing w:val="-11"/>
                <w:sz w:val="21"/>
                <w:szCs w:val="21"/>
                <w:highlight w:val="none"/>
              </w:rPr>
              <w:sym w:font="Wingdings 2" w:char="0052"/>
            </w:r>
            <w:r>
              <w:rPr>
                <w:rFonts w:hint="default"/>
                <w:color w:val="auto"/>
                <w:spacing w:val="-11"/>
                <w:sz w:val="21"/>
                <w:szCs w:val="21"/>
                <w:highlight w:val="none"/>
              </w:rPr>
              <w:t>否</w:t>
            </w:r>
          </w:p>
          <w:p w14:paraId="392FFF69">
            <w:pPr>
              <w:pStyle w:val="11"/>
              <w:spacing w:before="165" w:beforeLines="0" w:afterLines="0" w:line="220" w:lineRule="auto"/>
              <w:ind w:left="122"/>
              <w:rPr>
                <w:rFonts w:hint="default"/>
                <w:color w:val="auto"/>
                <w:sz w:val="21"/>
                <w:szCs w:val="21"/>
                <w:highlight w:val="none"/>
              </w:rPr>
            </w:pPr>
            <w:r>
              <w:rPr>
                <w:rFonts w:hint="default"/>
                <w:color w:val="auto"/>
                <w:spacing w:val="-1"/>
                <w:sz w:val="21"/>
                <w:szCs w:val="21"/>
                <w:highlight w:val="none"/>
              </w:rPr>
              <w:t>（2）采用入围方式的：</w:t>
            </w:r>
          </w:p>
          <w:p w14:paraId="4C3CCDA9">
            <w:pPr>
              <w:pStyle w:val="11"/>
              <w:spacing w:before="172" w:beforeLines="0" w:afterLines="0" w:line="417" w:lineRule="exact"/>
              <w:ind w:left="560"/>
              <w:rPr>
                <w:rFonts w:hint="default"/>
                <w:color w:val="auto"/>
                <w:sz w:val="21"/>
                <w:szCs w:val="21"/>
                <w:highlight w:val="none"/>
              </w:rPr>
            </w:pPr>
            <w:r>
              <w:rPr>
                <w:rFonts w:hint="default"/>
                <w:color w:val="auto"/>
                <w:spacing w:val="-2"/>
                <w:position w:val="15"/>
                <w:sz w:val="21"/>
                <w:szCs w:val="21"/>
                <w:highlight w:val="none"/>
              </w:rPr>
              <w:sym w:font="Wingdings 2" w:char="00A3"/>
            </w:r>
            <w:r>
              <w:rPr>
                <w:rFonts w:hint="default"/>
                <w:color w:val="auto"/>
                <w:spacing w:val="-2"/>
                <w:position w:val="15"/>
                <w:sz w:val="21"/>
                <w:szCs w:val="21"/>
                <w:highlight w:val="none"/>
              </w:rPr>
              <w:t>入围单位且投标报价不低于合理最低价的投标</w:t>
            </w:r>
          </w:p>
          <w:p w14:paraId="38CC22AD">
            <w:pPr>
              <w:pStyle w:val="11"/>
              <w:spacing w:beforeLines="0" w:afterLines="0" w:line="219" w:lineRule="auto"/>
              <w:ind w:left="114"/>
              <w:rPr>
                <w:rFonts w:hint="default"/>
                <w:color w:val="auto"/>
                <w:sz w:val="21"/>
                <w:szCs w:val="21"/>
                <w:highlight w:val="none"/>
              </w:rPr>
            </w:pPr>
            <w:r>
              <w:rPr>
                <w:rFonts w:hint="default"/>
                <w:color w:val="auto"/>
                <w:spacing w:val="-2"/>
                <w:sz w:val="21"/>
                <w:szCs w:val="21"/>
                <w:highlight w:val="none"/>
              </w:rPr>
              <w:t>报价参与基准价得分计算。</w:t>
            </w:r>
          </w:p>
          <w:p w14:paraId="547F71DC">
            <w:pPr>
              <w:pStyle w:val="11"/>
              <w:spacing w:before="174" w:beforeLines="0" w:afterLines="0" w:line="418" w:lineRule="exact"/>
              <w:ind w:left="560"/>
              <w:rPr>
                <w:rFonts w:hint="default"/>
                <w:color w:val="auto"/>
                <w:sz w:val="21"/>
                <w:szCs w:val="21"/>
                <w:highlight w:val="none"/>
              </w:rPr>
            </w:pPr>
            <w:r>
              <w:rPr>
                <w:rFonts w:hint="default"/>
                <w:color w:val="auto"/>
                <w:spacing w:val="-2"/>
                <w:position w:val="15"/>
                <w:sz w:val="21"/>
                <w:szCs w:val="21"/>
                <w:highlight w:val="none"/>
              </w:rPr>
              <w:sym w:font="Wingdings 2" w:char="00A3"/>
            </w:r>
            <w:r>
              <w:rPr>
                <w:rFonts w:hint="default"/>
                <w:color w:val="auto"/>
                <w:spacing w:val="-2"/>
                <w:position w:val="15"/>
                <w:sz w:val="21"/>
                <w:szCs w:val="21"/>
                <w:highlight w:val="none"/>
              </w:rPr>
              <w:t>通过初步评审且投标报价不低于合理最低价的</w:t>
            </w:r>
          </w:p>
          <w:p w14:paraId="462A7C35">
            <w:pPr>
              <w:pStyle w:val="11"/>
              <w:spacing w:beforeLines="0" w:afterLines="0" w:line="219" w:lineRule="auto"/>
              <w:ind w:left="118"/>
              <w:rPr>
                <w:rFonts w:hint="default"/>
                <w:color w:val="auto"/>
                <w:sz w:val="21"/>
                <w:szCs w:val="21"/>
                <w:highlight w:val="none"/>
              </w:rPr>
            </w:pPr>
            <w:r>
              <w:rPr>
                <w:rFonts w:hint="default"/>
                <w:color w:val="auto"/>
                <w:spacing w:val="-2"/>
                <w:sz w:val="21"/>
                <w:szCs w:val="21"/>
                <w:highlight w:val="none"/>
              </w:rPr>
              <w:t>投标人投标报价参与基准价得分计算。</w:t>
            </w:r>
          </w:p>
          <w:p w14:paraId="5B07E2BE">
            <w:pPr>
              <w:pStyle w:val="11"/>
              <w:spacing w:before="173" w:beforeLines="0" w:afterLines="0" w:line="219" w:lineRule="auto"/>
              <w:ind w:left="122"/>
              <w:rPr>
                <w:rFonts w:hint="default"/>
                <w:color w:val="auto"/>
                <w:sz w:val="21"/>
                <w:szCs w:val="21"/>
                <w:highlight w:val="none"/>
              </w:rPr>
            </w:pPr>
            <w:r>
              <w:rPr>
                <w:rFonts w:hint="default"/>
                <w:color w:val="auto"/>
                <w:spacing w:val="-1"/>
                <w:sz w:val="21"/>
                <w:szCs w:val="21"/>
                <w:highlight w:val="none"/>
              </w:rPr>
              <w:t>（3）基准价计算规则：</w:t>
            </w:r>
          </w:p>
          <w:p w14:paraId="4EB32D41">
            <w:pPr>
              <w:pStyle w:val="11"/>
              <w:spacing w:before="168" w:beforeLines="0" w:afterLines="0" w:line="423" w:lineRule="exact"/>
              <w:ind w:left="560"/>
              <w:rPr>
                <w:rFonts w:hint="default"/>
                <w:color w:val="auto"/>
                <w:sz w:val="21"/>
                <w:szCs w:val="21"/>
                <w:highlight w:val="none"/>
              </w:rPr>
            </w:pPr>
            <w:r>
              <w:rPr>
                <w:rFonts w:hint="default"/>
                <w:color w:val="auto"/>
                <w:spacing w:val="3"/>
                <w:position w:val="16"/>
                <w:sz w:val="21"/>
                <w:szCs w:val="21"/>
                <w:highlight w:val="none"/>
              </w:rPr>
              <w:sym w:font="Wingdings 2" w:char="0052"/>
            </w:r>
            <w:r>
              <w:rPr>
                <w:rFonts w:hint="default"/>
                <w:color w:val="auto"/>
                <w:spacing w:val="3"/>
                <w:position w:val="16"/>
                <w:sz w:val="21"/>
                <w:szCs w:val="21"/>
                <w:highlight w:val="none"/>
              </w:rPr>
              <w:t>通过初步评审（或入围单位）且投标报价不</w:t>
            </w:r>
          </w:p>
          <w:p w14:paraId="72FE2FE2">
            <w:pPr>
              <w:pStyle w:val="11"/>
              <w:spacing w:beforeLines="0" w:afterLines="0" w:line="219" w:lineRule="auto"/>
              <w:ind w:left="115"/>
              <w:rPr>
                <w:rFonts w:hint="default"/>
                <w:color w:val="auto"/>
                <w:sz w:val="21"/>
                <w:szCs w:val="21"/>
                <w:highlight w:val="none"/>
              </w:rPr>
            </w:pPr>
            <w:r>
              <w:rPr>
                <w:rFonts w:hint="default"/>
                <w:color w:val="auto"/>
                <w:spacing w:val="4"/>
                <w:sz w:val="21"/>
                <w:szCs w:val="21"/>
                <w:highlight w:val="none"/>
              </w:rPr>
              <w:t>低于合理最低价的投标人投标报价的算术平均值下</w:t>
            </w:r>
          </w:p>
        </w:tc>
      </w:tr>
    </w:tbl>
    <w:p w14:paraId="43EC6BAE">
      <w:pPr>
        <w:pStyle w:val="3"/>
        <w:spacing w:beforeLines="0" w:afterLines="0"/>
        <w:rPr>
          <w:rFonts w:hint="default"/>
          <w:color w:val="auto"/>
          <w:sz w:val="21"/>
          <w:szCs w:val="21"/>
          <w:highlight w:val="none"/>
        </w:rPr>
      </w:pPr>
    </w:p>
    <w:p w14:paraId="3BA1DDFA">
      <w:pPr>
        <w:spacing w:beforeLines="0" w:afterLines="0"/>
        <w:rPr>
          <w:rFonts w:hint="default"/>
          <w:color w:val="auto"/>
          <w:sz w:val="21"/>
          <w:szCs w:val="21"/>
          <w:highlight w:val="none"/>
        </w:rPr>
        <w:sectPr>
          <w:footerReference r:id="rId47" w:type="default"/>
          <w:pgSz w:w="11905" w:h="16839"/>
          <w:pgMar w:top="1431" w:right="1474" w:bottom="996" w:left="1483" w:header="0" w:footer="793" w:gutter="0"/>
          <w:lnNumType w:countBy="0" w:distance="360"/>
          <w:pgNumType w:fmt="decimal"/>
          <w:cols w:space="720" w:num="1"/>
        </w:sectPr>
      </w:pPr>
    </w:p>
    <w:p w14:paraId="35993A42">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936"/>
        <w:gridCol w:w="4117"/>
      </w:tblGrid>
      <w:tr w14:paraId="473AF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30FBEAD">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8E7B78D">
            <w:pPr>
              <w:spacing w:beforeLines="0" w:afterLines="0"/>
              <w:rPr>
                <w:rFonts w:hint="default"/>
                <w:color w:val="auto"/>
                <w:sz w:val="21"/>
                <w:szCs w:val="21"/>
                <w:highlight w:val="none"/>
              </w:rPr>
            </w:pPr>
          </w:p>
        </w:tc>
        <w:tc>
          <w:tcPr>
            <w:tcW w:w="505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3DE3CDCE">
            <w:pPr>
              <w:pStyle w:val="11"/>
              <w:spacing w:before="163" w:beforeLines="0" w:afterLines="0" w:line="222" w:lineRule="auto"/>
              <w:ind w:left="117"/>
              <w:rPr>
                <w:rFonts w:hint="default"/>
                <w:color w:val="auto"/>
                <w:sz w:val="21"/>
                <w:szCs w:val="21"/>
                <w:highlight w:val="none"/>
              </w:rPr>
            </w:pPr>
            <w:bookmarkStart w:id="110" w:name="bookmark130"/>
            <w:bookmarkEnd w:id="110"/>
            <w:bookmarkStart w:id="111" w:name="bookmark135"/>
            <w:bookmarkEnd w:id="111"/>
            <w:bookmarkStart w:id="112" w:name="bookmark129"/>
            <w:bookmarkEnd w:id="112"/>
            <w:bookmarkStart w:id="113" w:name="bookmark133"/>
            <w:bookmarkEnd w:id="113"/>
            <w:bookmarkStart w:id="114" w:name="bookmark134"/>
            <w:bookmarkEnd w:id="114"/>
            <w:bookmarkStart w:id="115" w:name="bookmark132"/>
            <w:bookmarkEnd w:id="115"/>
            <w:bookmarkStart w:id="116" w:name="bookmark131"/>
            <w:bookmarkEnd w:id="116"/>
            <w:r>
              <w:rPr>
                <w:rFonts w:hint="default"/>
                <w:color w:val="auto"/>
                <w:spacing w:val="-4"/>
                <w:sz w:val="21"/>
                <w:szCs w:val="21"/>
                <w:highlight w:val="none"/>
              </w:rPr>
              <w:t>浮</w:t>
            </w:r>
            <w:r>
              <w:rPr>
                <w:rFonts w:hint="default"/>
                <w:color w:val="auto"/>
                <w:spacing w:val="-105"/>
                <w:sz w:val="21"/>
                <w:szCs w:val="21"/>
                <w:highlight w:val="none"/>
              </w:rPr>
              <w:t xml:space="preserve"> </w:t>
            </w:r>
            <w:r>
              <w:rPr>
                <w:rFonts w:hint="default"/>
                <w:color w:val="auto"/>
                <w:sz w:val="21"/>
                <w:szCs w:val="21"/>
                <w:highlight w:val="none"/>
                <w:u w:val="single" w:color="auto"/>
              </w:rPr>
              <w:t xml:space="preserve"> </w:t>
            </w:r>
            <w:r>
              <w:rPr>
                <w:rFonts w:hint="default"/>
                <w:color w:val="auto"/>
                <w:sz w:val="21"/>
                <w:szCs w:val="21"/>
                <w:highlight w:val="none"/>
                <w:u w:val="single" w:color="auto"/>
                <w:lang w:eastAsia="zh-CN"/>
              </w:rPr>
              <w:t>0</w:t>
            </w:r>
            <w:r>
              <w:rPr>
                <w:rFonts w:hint="default"/>
                <w:color w:val="auto"/>
                <w:sz w:val="21"/>
                <w:szCs w:val="21"/>
                <w:highlight w:val="none"/>
                <w:u w:val="single" w:color="auto"/>
              </w:rPr>
              <w:t xml:space="preserve"> </w:t>
            </w:r>
            <w:r>
              <w:rPr>
                <w:rFonts w:hint="default"/>
                <w:color w:val="auto"/>
                <w:spacing w:val="-99"/>
                <w:sz w:val="21"/>
                <w:szCs w:val="21"/>
                <w:highlight w:val="none"/>
              </w:rPr>
              <w:t xml:space="preserve"> </w:t>
            </w:r>
            <w:r>
              <w:rPr>
                <w:rFonts w:hint="default"/>
                <w:color w:val="auto"/>
                <w:spacing w:val="-4"/>
                <w:sz w:val="21"/>
                <w:szCs w:val="21"/>
                <w:highlight w:val="none"/>
              </w:rPr>
              <w:t>%。</w:t>
            </w:r>
          </w:p>
          <w:p w14:paraId="0727DDBE">
            <w:pPr>
              <w:pStyle w:val="11"/>
              <w:spacing w:beforeLines="0" w:afterLines="0" w:line="220" w:lineRule="auto"/>
              <w:ind w:left="118"/>
              <w:rPr>
                <w:rFonts w:hint="default"/>
                <w:color w:val="auto"/>
                <w:sz w:val="21"/>
                <w:szCs w:val="21"/>
                <w:highlight w:val="none"/>
              </w:rPr>
            </w:pPr>
          </w:p>
        </w:tc>
      </w:tr>
      <w:tr w14:paraId="1919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B75502C">
            <w:pPr>
              <w:spacing w:beforeLines="0" w:afterLines="0" w:line="265" w:lineRule="auto"/>
              <w:rPr>
                <w:rFonts w:hint="default"/>
                <w:color w:val="auto"/>
                <w:sz w:val="21"/>
                <w:szCs w:val="21"/>
                <w:highlight w:val="none"/>
              </w:rPr>
            </w:pPr>
          </w:p>
          <w:p w14:paraId="781EAF0A">
            <w:pPr>
              <w:spacing w:beforeLines="0" w:afterLines="0" w:line="266" w:lineRule="auto"/>
              <w:rPr>
                <w:rFonts w:hint="default"/>
                <w:color w:val="auto"/>
                <w:sz w:val="21"/>
                <w:szCs w:val="21"/>
                <w:highlight w:val="none"/>
              </w:rPr>
            </w:pPr>
          </w:p>
          <w:p w14:paraId="7186CFAF">
            <w:pPr>
              <w:spacing w:before="61" w:beforeLines="0" w:afterLines="0" w:line="189" w:lineRule="auto"/>
              <w:ind w:left="710"/>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2.2.3</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C4BEDBF">
            <w:pPr>
              <w:spacing w:beforeLines="0" w:afterLines="0" w:line="277" w:lineRule="auto"/>
              <w:rPr>
                <w:rFonts w:hint="default"/>
                <w:color w:val="auto"/>
                <w:sz w:val="21"/>
                <w:szCs w:val="21"/>
                <w:highlight w:val="none"/>
              </w:rPr>
            </w:pPr>
          </w:p>
          <w:p w14:paraId="15FF63E6">
            <w:pPr>
              <w:pStyle w:val="11"/>
              <w:spacing w:before="69" w:beforeLines="0" w:afterLines="0" w:line="417" w:lineRule="exact"/>
              <w:ind w:left="112"/>
              <w:rPr>
                <w:rFonts w:hint="default"/>
                <w:color w:val="auto"/>
                <w:sz w:val="21"/>
                <w:szCs w:val="21"/>
                <w:highlight w:val="none"/>
              </w:rPr>
            </w:pPr>
            <w:r>
              <w:rPr>
                <w:rFonts w:hint="default"/>
                <w:color w:val="auto"/>
                <w:spacing w:val="-1"/>
                <w:position w:val="15"/>
                <w:sz w:val="21"/>
                <w:szCs w:val="21"/>
                <w:highlight w:val="none"/>
              </w:rPr>
              <w:t>投标报价的偏差率</w:t>
            </w:r>
          </w:p>
          <w:p w14:paraId="123CCB36">
            <w:pPr>
              <w:pStyle w:val="11"/>
              <w:spacing w:beforeLines="0" w:afterLines="0" w:line="220" w:lineRule="auto"/>
              <w:ind w:left="604"/>
              <w:rPr>
                <w:rFonts w:hint="default"/>
                <w:color w:val="auto"/>
                <w:sz w:val="21"/>
                <w:szCs w:val="21"/>
                <w:highlight w:val="none"/>
              </w:rPr>
            </w:pPr>
            <w:r>
              <w:rPr>
                <w:rFonts w:hint="default"/>
                <w:color w:val="auto"/>
                <w:spacing w:val="-1"/>
                <w:sz w:val="21"/>
                <w:szCs w:val="21"/>
                <w:highlight w:val="none"/>
              </w:rPr>
              <w:t>计算公式</w:t>
            </w:r>
          </w:p>
        </w:tc>
        <w:tc>
          <w:tcPr>
            <w:tcW w:w="505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66FE0F2A">
            <w:pPr>
              <w:pStyle w:val="11"/>
              <w:spacing w:before="167" w:beforeLines="0" w:afterLines="0" w:line="221" w:lineRule="auto"/>
              <w:ind w:left="119"/>
              <w:rPr>
                <w:rStyle w:val="8"/>
                <w:rFonts w:hint="default"/>
                <w:color w:val="auto"/>
                <w:sz w:val="21"/>
                <w:szCs w:val="24"/>
                <w:highlight w:val="none"/>
                <w:lang w:eastAsia="zh-CN"/>
              </w:rPr>
            </w:pPr>
            <w:r>
              <w:rPr>
                <w:rStyle w:val="8"/>
                <w:rFonts w:hint="default"/>
                <w:color w:val="auto"/>
                <w:sz w:val="21"/>
                <w:szCs w:val="24"/>
                <w:highlight w:val="none"/>
              </w:rPr>
              <w:t>以入围投标人的</w:t>
            </w:r>
            <w:r>
              <w:rPr>
                <w:rStyle w:val="8"/>
                <w:rFonts w:hint="default"/>
                <w:color w:val="auto"/>
                <w:sz w:val="21"/>
                <w:szCs w:val="24"/>
                <w:highlight w:val="none"/>
                <w:lang w:eastAsia="zh-CN"/>
              </w:rPr>
              <w:t>平均</w:t>
            </w:r>
            <w:r>
              <w:rPr>
                <w:rStyle w:val="8"/>
                <w:rFonts w:hint="default"/>
                <w:color w:val="auto"/>
                <w:sz w:val="21"/>
                <w:szCs w:val="24"/>
                <w:highlight w:val="none"/>
              </w:rPr>
              <w:t>价格做为基准值</w:t>
            </w:r>
            <w:r>
              <w:rPr>
                <w:rStyle w:val="8"/>
                <w:rFonts w:hint="default"/>
                <w:color w:val="auto"/>
                <w:sz w:val="21"/>
                <w:szCs w:val="24"/>
                <w:highlight w:val="none"/>
                <w:lang w:eastAsia="zh-CN"/>
              </w:rPr>
              <w:t>。</w:t>
            </w:r>
          </w:p>
          <w:p w14:paraId="7C472E88">
            <w:pPr>
              <w:pStyle w:val="11"/>
              <w:spacing w:before="167" w:beforeLines="0" w:afterLines="0" w:line="221" w:lineRule="auto"/>
              <w:ind w:left="119"/>
              <w:rPr>
                <w:rFonts w:hint="default"/>
                <w:color w:val="auto"/>
                <w:sz w:val="21"/>
                <w:szCs w:val="21"/>
                <w:highlight w:val="none"/>
                <w:lang w:eastAsia="zh-CN"/>
              </w:rPr>
            </w:pPr>
            <w:r>
              <w:rPr>
                <w:rStyle w:val="8"/>
                <w:rFonts w:hint="default"/>
                <w:color w:val="auto"/>
                <w:sz w:val="21"/>
                <w:szCs w:val="24"/>
                <w:highlight w:val="none"/>
                <w:lang w:eastAsia="zh-CN"/>
              </w:rPr>
              <w:t>偏差率=</w:t>
            </w:r>
            <w:r>
              <w:rPr>
                <w:rStyle w:val="8"/>
                <w:rFonts w:hint="default"/>
                <w:color w:val="auto"/>
                <w:sz w:val="21"/>
                <w:szCs w:val="24"/>
                <w:highlight w:val="none"/>
              </w:rPr>
              <w:t>（投标人评标价-评标基准价）÷评标基准价</w:t>
            </w:r>
          </w:p>
        </w:tc>
      </w:tr>
      <w:tr w14:paraId="73400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7C47E36">
            <w:pPr>
              <w:pStyle w:val="11"/>
              <w:spacing w:before="179" w:beforeLines="0" w:afterLines="0" w:line="221" w:lineRule="auto"/>
              <w:ind w:left="610"/>
              <w:rPr>
                <w:rFonts w:hint="default"/>
                <w:color w:val="auto"/>
                <w:sz w:val="21"/>
                <w:szCs w:val="21"/>
                <w:highlight w:val="none"/>
              </w:rPr>
            </w:pPr>
            <w:r>
              <w:rPr>
                <w:rFonts w:hint="default"/>
                <w:color w:val="auto"/>
                <w:spacing w:val="-2"/>
                <w:sz w:val="21"/>
                <w:szCs w:val="21"/>
                <w:highlight w:val="none"/>
              </w:rPr>
              <w:t>条款号</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8F33791">
            <w:pPr>
              <w:pStyle w:val="11"/>
              <w:spacing w:before="179" w:beforeLines="0" w:afterLines="0" w:line="221" w:lineRule="auto"/>
              <w:ind w:left="598"/>
              <w:rPr>
                <w:rFonts w:hint="default"/>
                <w:color w:val="auto"/>
                <w:sz w:val="21"/>
                <w:szCs w:val="21"/>
                <w:highlight w:val="none"/>
              </w:rPr>
            </w:pPr>
            <w:r>
              <w:rPr>
                <w:rFonts w:hint="default"/>
                <w:color w:val="auto"/>
                <w:spacing w:val="-1"/>
                <w:sz w:val="21"/>
                <w:szCs w:val="21"/>
                <w:highlight w:val="none"/>
              </w:rPr>
              <w:t>评分因素</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DB5ECFB">
            <w:pPr>
              <w:pStyle w:val="11"/>
              <w:spacing w:before="180" w:beforeLines="0" w:afterLines="0" w:line="221" w:lineRule="auto"/>
              <w:ind w:left="160"/>
              <w:rPr>
                <w:rFonts w:hint="default"/>
                <w:color w:val="auto"/>
                <w:sz w:val="21"/>
                <w:szCs w:val="21"/>
                <w:highlight w:val="none"/>
              </w:rPr>
            </w:pPr>
            <w:r>
              <w:rPr>
                <w:rFonts w:hint="default"/>
                <w:color w:val="auto"/>
                <w:spacing w:val="-2"/>
                <w:sz w:val="21"/>
                <w:szCs w:val="21"/>
                <w:highlight w:val="none"/>
              </w:rPr>
              <w:t>标准分</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B33F891">
            <w:pPr>
              <w:pStyle w:val="11"/>
              <w:spacing w:before="180" w:beforeLines="0" w:afterLines="0" w:line="221" w:lineRule="auto"/>
              <w:ind w:left="1637"/>
              <w:rPr>
                <w:rFonts w:hint="default"/>
                <w:color w:val="auto"/>
                <w:sz w:val="21"/>
                <w:szCs w:val="21"/>
                <w:highlight w:val="none"/>
              </w:rPr>
            </w:pPr>
            <w:r>
              <w:rPr>
                <w:rFonts w:hint="default"/>
                <w:color w:val="auto"/>
                <w:spacing w:val="-1"/>
                <w:sz w:val="21"/>
                <w:szCs w:val="21"/>
                <w:highlight w:val="none"/>
              </w:rPr>
              <w:t>评分标准</w:t>
            </w:r>
          </w:p>
        </w:tc>
      </w:tr>
    </w:tbl>
    <w:p w14:paraId="49D49E00">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6731B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99" w:hRule="atLeast"/>
        </w:trPr>
        <w:tc>
          <w:tcPr>
            <w:tcW w:w="744" w:type="dxa"/>
            <w:tcBorders>
              <w:top w:val="single" w:color="000000" w:sz="2" w:space="0"/>
              <w:left w:val="single" w:color="000000" w:sz="2" w:space="0"/>
              <w:bottom w:val="nil"/>
              <w:right w:val="single" w:color="000000" w:sz="2" w:space="0"/>
              <w:tl2br w:val="nil"/>
              <w:tr2bl w:val="nil"/>
            </w:tcBorders>
            <w:noWrap w:val="0"/>
            <w:vAlign w:val="top"/>
          </w:tcPr>
          <w:p w14:paraId="232E93D3">
            <w:pPr>
              <w:spacing w:beforeLines="0" w:afterLines="0" w:line="244" w:lineRule="auto"/>
              <w:rPr>
                <w:rFonts w:hint="default"/>
                <w:color w:val="auto"/>
                <w:sz w:val="21"/>
                <w:szCs w:val="21"/>
                <w:highlight w:val="none"/>
              </w:rPr>
            </w:pPr>
          </w:p>
          <w:p w14:paraId="0821FD3C">
            <w:pPr>
              <w:spacing w:beforeLines="0" w:afterLines="0" w:line="244" w:lineRule="auto"/>
              <w:rPr>
                <w:rFonts w:hint="default"/>
                <w:color w:val="auto"/>
                <w:sz w:val="21"/>
                <w:szCs w:val="21"/>
                <w:highlight w:val="none"/>
              </w:rPr>
            </w:pPr>
          </w:p>
          <w:p w14:paraId="22B9FC5A">
            <w:pPr>
              <w:spacing w:beforeLines="0" w:afterLines="0" w:line="244" w:lineRule="auto"/>
              <w:rPr>
                <w:rFonts w:hint="default"/>
                <w:color w:val="auto"/>
                <w:sz w:val="21"/>
                <w:szCs w:val="21"/>
                <w:highlight w:val="none"/>
              </w:rPr>
            </w:pPr>
          </w:p>
          <w:p w14:paraId="59BEC9CF">
            <w:pPr>
              <w:spacing w:beforeLines="0" w:afterLines="0" w:line="244" w:lineRule="auto"/>
              <w:rPr>
                <w:rFonts w:hint="default"/>
                <w:color w:val="auto"/>
                <w:sz w:val="21"/>
                <w:szCs w:val="21"/>
                <w:highlight w:val="none"/>
              </w:rPr>
            </w:pPr>
          </w:p>
          <w:p w14:paraId="153612F4">
            <w:pPr>
              <w:spacing w:beforeLines="0" w:afterLines="0" w:line="244" w:lineRule="auto"/>
              <w:rPr>
                <w:rFonts w:hint="default"/>
                <w:color w:val="auto"/>
                <w:sz w:val="21"/>
                <w:szCs w:val="21"/>
                <w:highlight w:val="none"/>
              </w:rPr>
            </w:pPr>
          </w:p>
          <w:p w14:paraId="5EAFA78E">
            <w:pPr>
              <w:spacing w:beforeLines="0" w:afterLines="0" w:line="244" w:lineRule="auto"/>
              <w:rPr>
                <w:rFonts w:hint="default"/>
                <w:color w:val="auto"/>
                <w:sz w:val="21"/>
                <w:szCs w:val="21"/>
                <w:highlight w:val="none"/>
              </w:rPr>
            </w:pPr>
          </w:p>
          <w:p w14:paraId="3818D1C7">
            <w:pPr>
              <w:spacing w:beforeLines="0" w:afterLines="0" w:line="244" w:lineRule="auto"/>
              <w:rPr>
                <w:rFonts w:hint="default"/>
                <w:color w:val="auto"/>
                <w:sz w:val="21"/>
                <w:szCs w:val="21"/>
                <w:highlight w:val="none"/>
              </w:rPr>
            </w:pPr>
          </w:p>
          <w:p w14:paraId="2A190DD0">
            <w:pPr>
              <w:spacing w:beforeLines="0" w:afterLines="0" w:line="244" w:lineRule="auto"/>
              <w:rPr>
                <w:rFonts w:hint="default"/>
                <w:color w:val="auto"/>
                <w:sz w:val="21"/>
                <w:szCs w:val="21"/>
                <w:highlight w:val="none"/>
              </w:rPr>
            </w:pPr>
          </w:p>
          <w:p w14:paraId="4182FF73">
            <w:pPr>
              <w:spacing w:beforeLines="0" w:afterLines="0" w:line="244" w:lineRule="auto"/>
              <w:rPr>
                <w:rFonts w:hint="default"/>
                <w:color w:val="auto"/>
                <w:sz w:val="21"/>
                <w:szCs w:val="21"/>
                <w:highlight w:val="none"/>
              </w:rPr>
            </w:pPr>
          </w:p>
          <w:p w14:paraId="558B600C">
            <w:pPr>
              <w:spacing w:beforeLines="0" w:afterLines="0" w:line="245" w:lineRule="auto"/>
              <w:rPr>
                <w:rFonts w:hint="default"/>
                <w:color w:val="auto"/>
                <w:sz w:val="21"/>
                <w:szCs w:val="21"/>
                <w:highlight w:val="none"/>
              </w:rPr>
            </w:pPr>
          </w:p>
          <w:p w14:paraId="0065476E">
            <w:pPr>
              <w:spacing w:beforeLines="0" w:afterLines="0" w:line="245" w:lineRule="auto"/>
              <w:rPr>
                <w:rFonts w:hint="default"/>
                <w:color w:val="auto"/>
                <w:sz w:val="21"/>
                <w:szCs w:val="21"/>
                <w:highlight w:val="none"/>
              </w:rPr>
            </w:pPr>
          </w:p>
          <w:p w14:paraId="54F1B5E7">
            <w:pPr>
              <w:spacing w:beforeLines="0" w:afterLines="0" w:line="245" w:lineRule="auto"/>
              <w:rPr>
                <w:rFonts w:hint="default"/>
                <w:color w:val="auto"/>
                <w:sz w:val="21"/>
                <w:szCs w:val="21"/>
                <w:highlight w:val="none"/>
              </w:rPr>
            </w:pPr>
          </w:p>
          <w:p w14:paraId="7507AA69">
            <w:pPr>
              <w:spacing w:before="60" w:beforeLines="0" w:afterLines="0" w:line="386" w:lineRule="exact"/>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2.2.4</w:t>
            </w:r>
          </w:p>
          <w:p w14:paraId="5DF1543B">
            <w:pPr>
              <w:pStyle w:val="11"/>
              <w:spacing w:beforeLines="0" w:afterLines="0" w:line="232" w:lineRule="auto"/>
              <w:ind w:left="119"/>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1</w:t>
            </w:r>
            <w:r>
              <w:rPr>
                <w:rFonts w:hint="default"/>
                <w:color w:val="auto"/>
                <w:spacing w:val="-5"/>
                <w:sz w:val="21"/>
                <w:szCs w:val="21"/>
                <w:highlight w:val="none"/>
              </w:rPr>
              <w:t>）</w:t>
            </w:r>
          </w:p>
        </w:tc>
        <w:tc>
          <w:tcPr>
            <w:tcW w:w="1099" w:type="dxa"/>
            <w:tcBorders>
              <w:top w:val="single" w:color="000000" w:sz="2" w:space="0"/>
              <w:left w:val="single" w:color="000000" w:sz="2" w:space="0"/>
              <w:bottom w:val="nil"/>
              <w:right w:val="single" w:color="000000" w:sz="2" w:space="0"/>
              <w:tl2br w:val="nil"/>
              <w:tr2bl w:val="nil"/>
            </w:tcBorders>
            <w:noWrap w:val="0"/>
            <w:vAlign w:val="top"/>
          </w:tcPr>
          <w:p w14:paraId="5F9B9EA6">
            <w:pPr>
              <w:spacing w:beforeLines="0" w:afterLines="0"/>
              <w:rPr>
                <w:rFonts w:hint="default"/>
                <w:color w:val="auto"/>
                <w:sz w:val="21"/>
                <w:szCs w:val="21"/>
                <w:highlight w:val="none"/>
              </w:rPr>
            </w:pPr>
          </w:p>
          <w:p w14:paraId="22A2FB52">
            <w:pPr>
              <w:spacing w:beforeLines="0" w:afterLines="0"/>
              <w:rPr>
                <w:rFonts w:hint="default"/>
                <w:color w:val="auto"/>
                <w:sz w:val="21"/>
                <w:szCs w:val="21"/>
                <w:highlight w:val="none"/>
              </w:rPr>
            </w:pPr>
          </w:p>
          <w:p w14:paraId="01BE5FB0">
            <w:pPr>
              <w:spacing w:beforeLines="0" w:afterLines="0"/>
              <w:rPr>
                <w:rFonts w:hint="default"/>
                <w:color w:val="auto"/>
                <w:sz w:val="21"/>
                <w:szCs w:val="21"/>
                <w:highlight w:val="none"/>
              </w:rPr>
            </w:pPr>
          </w:p>
          <w:p w14:paraId="3B0AA69E">
            <w:pPr>
              <w:spacing w:beforeLines="0" w:afterLines="0"/>
              <w:rPr>
                <w:rFonts w:hint="default"/>
                <w:color w:val="auto"/>
                <w:sz w:val="21"/>
                <w:szCs w:val="21"/>
                <w:highlight w:val="none"/>
              </w:rPr>
            </w:pPr>
          </w:p>
          <w:p w14:paraId="4A45ED48">
            <w:pPr>
              <w:spacing w:beforeLines="0" w:afterLines="0"/>
              <w:rPr>
                <w:rFonts w:hint="default"/>
                <w:color w:val="auto"/>
                <w:sz w:val="21"/>
                <w:szCs w:val="21"/>
                <w:highlight w:val="none"/>
              </w:rPr>
            </w:pPr>
          </w:p>
          <w:p w14:paraId="14EC3ABD">
            <w:pPr>
              <w:spacing w:beforeLines="0" w:afterLines="0" w:line="241" w:lineRule="auto"/>
              <w:rPr>
                <w:rFonts w:hint="default"/>
                <w:color w:val="auto"/>
                <w:sz w:val="21"/>
                <w:szCs w:val="21"/>
                <w:highlight w:val="none"/>
              </w:rPr>
            </w:pPr>
          </w:p>
          <w:p w14:paraId="5815D67C">
            <w:pPr>
              <w:spacing w:beforeLines="0" w:afterLines="0" w:line="241" w:lineRule="auto"/>
              <w:rPr>
                <w:rFonts w:hint="default"/>
                <w:color w:val="auto"/>
                <w:sz w:val="21"/>
                <w:szCs w:val="21"/>
                <w:highlight w:val="none"/>
              </w:rPr>
            </w:pPr>
          </w:p>
          <w:p w14:paraId="127E3723">
            <w:pPr>
              <w:spacing w:beforeLines="0" w:afterLines="0" w:line="241" w:lineRule="auto"/>
              <w:rPr>
                <w:rFonts w:hint="default"/>
                <w:color w:val="auto"/>
                <w:sz w:val="21"/>
                <w:szCs w:val="21"/>
                <w:highlight w:val="none"/>
              </w:rPr>
            </w:pPr>
          </w:p>
          <w:p w14:paraId="79BFC9DF">
            <w:pPr>
              <w:spacing w:beforeLines="0" w:afterLines="0" w:line="241" w:lineRule="auto"/>
              <w:rPr>
                <w:rFonts w:hint="default"/>
                <w:color w:val="auto"/>
                <w:sz w:val="21"/>
                <w:szCs w:val="21"/>
                <w:highlight w:val="none"/>
              </w:rPr>
            </w:pPr>
          </w:p>
          <w:p w14:paraId="4FCFC209">
            <w:pPr>
              <w:spacing w:beforeLines="0" w:afterLines="0" w:line="241" w:lineRule="auto"/>
              <w:rPr>
                <w:rFonts w:hint="default"/>
                <w:color w:val="auto"/>
                <w:sz w:val="21"/>
                <w:szCs w:val="21"/>
                <w:highlight w:val="none"/>
              </w:rPr>
            </w:pPr>
          </w:p>
          <w:p w14:paraId="5E982769">
            <w:pPr>
              <w:spacing w:beforeLines="0" w:afterLines="0" w:line="241" w:lineRule="auto"/>
              <w:rPr>
                <w:rFonts w:hint="default"/>
                <w:color w:val="auto"/>
                <w:sz w:val="21"/>
                <w:szCs w:val="21"/>
                <w:highlight w:val="none"/>
              </w:rPr>
            </w:pPr>
          </w:p>
          <w:p w14:paraId="04F4FF6F">
            <w:pPr>
              <w:spacing w:beforeLines="0" w:afterLines="0" w:line="241" w:lineRule="auto"/>
              <w:rPr>
                <w:rFonts w:hint="default"/>
                <w:color w:val="auto"/>
                <w:sz w:val="21"/>
                <w:szCs w:val="21"/>
                <w:highlight w:val="none"/>
              </w:rPr>
            </w:pPr>
          </w:p>
          <w:p w14:paraId="62CB5272">
            <w:pPr>
              <w:pStyle w:val="11"/>
              <w:spacing w:before="68" w:beforeLines="0" w:afterLines="0" w:line="221" w:lineRule="auto"/>
              <w:ind w:left="135"/>
              <w:rPr>
                <w:rFonts w:hint="default"/>
                <w:color w:val="auto"/>
                <w:sz w:val="21"/>
                <w:szCs w:val="21"/>
                <w:highlight w:val="none"/>
              </w:rPr>
            </w:pPr>
            <w:r>
              <w:rPr>
                <w:rFonts w:hint="default"/>
                <w:color w:val="auto"/>
                <w:spacing w:val="-1"/>
                <w:sz w:val="21"/>
                <w:szCs w:val="21"/>
                <w:highlight w:val="none"/>
              </w:rPr>
              <w:t>经济标评</w:t>
            </w:r>
          </w:p>
          <w:p w14:paraId="43A33213">
            <w:pPr>
              <w:pStyle w:val="11"/>
              <w:spacing w:before="171" w:beforeLines="0" w:afterLines="0" w:line="221" w:lineRule="auto"/>
              <w:ind w:left="241"/>
              <w:rPr>
                <w:rFonts w:hint="default"/>
                <w:color w:val="auto"/>
                <w:sz w:val="21"/>
                <w:szCs w:val="21"/>
                <w:highlight w:val="none"/>
                <w:lang w:eastAsia="zh-CN"/>
              </w:rPr>
            </w:pPr>
            <w:r>
              <w:rPr>
                <w:rFonts w:hint="default"/>
                <w:color w:val="auto"/>
                <w:spacing w:val="-2"/>
                <w:sz w:val="21"/>
                <w:szCs w:val="21"/>
                <w:highlight w:val="none"/>
              </w:rPr>
              <w:t>分标准</w:t>
            </w:r>
            <w:r>
              <w:rPr>
                <w:rFonts w:hint="default"/>
                <w:color w:val="auto"/>
                <w:spacing w:val="-2"/>
                <w:sz w:val="21"/>
                <w:szCs w:val="21"/>
                <w:highlight w:val="none"/>
                <w:lang w:eastAsia="zh-CN"/>
              </w:rPr>
              <w:t>(50分)</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C5AF849">
            <w:pPr>
              <w:spacing w:beforeLines="0" w:afterLines="0" w:line="283" w:lineRule="auto"/>
              <w:rPr>
                <w:rFonts w:hint="default"/>
                <w:color w:val="auto"/>
                <w:sz w:val="21"/>
                <w:szCs w:val="21"/>
                <w:highlight w:val="none"/>
              </w:rPr>
            </w:pPr>
          </w:p>
          <w:p w14:paraId="3405CEFF">
            <w:pPr>
              <w:spacing w:beforeLines="0" w:afterLines="0" w:line="284" w:lineRule="auto"/>
              <w:rPr>
                <w:rFonts w:hint="default"/>
                <w:color w:val="auto"/>
                <w:sz w:val="21"/>
                <w:szCs w:val="21"/>
                <w:highlight w:val="none"/>
              </w:rPr>
            </w:pPr>
          </w:p>
          <w:p w14:paraId="16F72DA5">
            <w:pPr>
              <w:spacing w:beforeLines="0" w:afterLines="0" w:line="284" w:lineRule="auto"/>
              <w:rPr>
                <w:rFonts w:hint="default"/>
                <w:color w:val="auto"/>
                <w:sz w:val="21"/>
                <w:szCs w:val="21"/>
                <w:highlight w:val="none"/>
              </w:rPr>
            </w:pPr>
          </w:p>
          <w:p w14:paraId="4A0B19BE">
            <w:pPr>
              <w:spacing w:beforeLines="0" w:afterLines="0" w:line="284" w:lineRule="auto"/>
              <w:rPr>
                <w:rFonts w:hint="default"/>
                <w:color w:val="auto"/>
                <w:sz w:val="21"/>
                <w:szCs w:val="21"/>
                <w:highlight w:val="none"/>
              </w:rPr>
            </w:pPr>
          </w:p>
          <w:p w14:paraId="142C090E">
            <w:pPr>
              <w:pStyle w:val="11"/>
              <w:spacing w:before="69" w:beforeLines="0" w:afterLines="0" w:line="219" w:lineRule="auto"/>
              <w:ind w:left="606"/>
              <w:rPr>
                <w:rFonts w:hint="default"/>
                <w:color w:val="auto"/>
                <w:sz w:val="21"/>
                <w:szCs w:val="21"/>
                <w:highlight w:val="none"/>
                <w:lang w:eastAsia="zh-CN"/>
              </w:rPr>
            </w:pPr>
            <w:r>
              <w:rPr>
                <w:rFonts w:hint="default"/>
                <w:color w:val="auto"/>
                <w:spacing w:val="-2"/>
                <w:sz w:val="21"/>
                <w:szCs w:val="21"/>
                <w:highlight w:val="none"/>
              </w:rPr>
              <w:t>投标报价</w:t>
            </w:r>
            <w:r>
              <w:rPr>
                <w:rFonts w:hint="default"/>
                <w:color w:val="auto"/>
                <w:spacing w:val="-2"/>
                <w:sz w:val="21"/>
                <w:szCs w:val="21"/>
                <w:highlight w:val="none"/>
                <w:lang w:eastAsia="zh-CN"/>
              </w:rPr>
              <w:t>（50分）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EE97485">
            <w:pPr>
              <w:spacing w:beforeLines="0" w:afterLines="0" w:line="284" w:lineRule="auto"/>
              <w:rPr>
                <w:rFonts w:hint="default"/>
                <w:color w:val="auto"/>
                <w:sz w:val="21"/>
                <w:szCs w:val="21"/>
                <w:highlight w:val="none"/>
              </w:rPr>
            </w:pPr>
          </w:p>
          <w:p w14:paraId="33469A57">
            <w:pPr>
              <w:spacing w:beforeLines="0" w:afterLines="0" w:line="284" w:lineRule="auto"/>
              <w:rPr>
                <w:rFonts w:hint="default"/>
                <w:color w:val="auto"/>
                <w:sz w:val="21"/>
                <w:szCs w:val="21"/>
                <w:highlight w:val="none"/>
              </w:rPr>
            </w:pPr>
          </w:p>
          <w:p w14:paraId="7D8A934E">
            <w:pPr>
              <w:spacing w:beforeLines="0" w:afterLines="0" w:line="284" w:lineRule="auto"/>
              <w:rPr>
                <w:rFonts w:hint="default"/>
                <w:color w:val="auto"/>
                <w:sz w:val="21"/>
                <w:szCs w:val="21"/>
                <w:highlight w:val="none"/>
              </w:rPr>
            </w:pPr>
          </w:p>
          <w:p w14:paraId="487D334B">
            <w:pPr>
              <w:spacing w:beforeLines="0" w:afterLines="0" w:line="284" w:lineRule="auto"/>
              <w:rPr>
                <w:rFonts w:hint="default"/>
                <w:color w:val="auto"/>
                <w:sz w:val="21"/>
                <w:szCs w:val="21"/>
                <w:highlight w:val="none"/>
              </w:rPr>
            </w:pPr>
          </w:p>
          <w:p w14:paraId="687FF797">
            <w:pPr>
              <w:pStyle w:val="11"/>
              <w:spacing w:before="68" w:beforeLines="0" w:afterLines="0" w:line="221" w:lineRule="auto"/>
              <w:ind w:left="234"/>
              <w:rPr>
                <w:rFonts w:hint="default"/>
                <w:color w:val="auto"/>
                <w:sz w:val="21"/>
                <w:szCs w:val="21"/>
                <w:highlight w:val="none"/>
              </w:rPr>
            </w:pPr>
            <w:r>
              <w:rPr>
                <w:rFonts w:hint="default"/>
                <w:color w:val="auto"/>
                <w:spacing w:val="-1"/>
                <w:sz w:val="21"/>
                <w:szCs w:val="21"/>
                <w:highlight w:val="none"/>
              </w:rPr>
              <w:t>A</w:t>
            </w:r>
            <w:r>
              <w:rPr>
                <w:rFonts w:hint="default"/>
                <w:color w:val="auto"/>
                <w:spacing w:val="-40"/>
                <w:sz w:val="21"/>
                <w:szCs w:val="21"/>
                <w:highlight w:val="none"/>
              </w:rPr>
              <w:t xml:space="preserve"> </w:t>
            </w:r>
            <w:r>
              <w:rPr>
                <w:rFonts w:hint="default"/>
                <w:color w:val="auto"/>
                <w:spacing w:val="-1"/>
                <w:sz w:val="21"/>
                <w:szCs w:val="21"/>
                <w:highlight w:val="none"/>
              </w:rPr>
              <w:t>分</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ADC8165">
            <w:pPr>
              <w:pStyle w:val="11"/>
              <w:spacing w:before="165" w:beforeLines="0" w:afterLines="0" w:line="369" w:lineRule="auto"/>
              <w:ind w:left="117" w:right="114" w:hanging="4"/>
              <w:jc w:val="both"/>
              <w:rPr>
                <w:rFonts w:hint="default"/>
                <w:color w:val="auto"/>
                <w:sz w:val="21"/>
                <w:szCs w:val="21"/>
                <w:highlight w:val="none"/>
              </w:rPr>
            </w:pPr>
            <w:bookmarkStart w:id="117" w:name="bookmark137"/>
            <w:bookmarkEnd w:id="117"/>
            <w:bookmarkStart w:id="118" w:name="bookmark140"/>
            <w:bookmarkEnd w:id="118"/>
            <w:bookmarkStart w:id="119" w:name="bookmark139"/>
            <w:bookmarkEnd w:id="119"/>
            <w:bookmarkStart w:id="120" w:name="bookmark136"/>
            <w:bookmarkEnd w:id="120"/>
            <w:bookmarkStart w:id="121" w:name="bookmark138"/>
            <w:bookmarkEnd w:id="121"/>
            <w:r>
              <w:rPr>
                <w:rFonts w:hint="default"/>
                <w:color w:val="auto"/>
                <w:spacing w:val="-3"/>
                <w:sz w:val="21"/>
                <w:szCs w:val="21"/>
                <w:highlight w:val="none"/>
              </w:rPr>
              <w:t>F＝A1-</w:t>
            </w:r>
            <w:r>
              <w:rPr>
                <w:rFonts w:hint="default"/>
                <w:color w:val="auto"/>
                <w:spacing w:val="-44"/>
                <w:sz w:val="21"/>
                <w:szCs w:val="21"/>
                <w:highlight w:val="none"/>
              </w:rPr>
              <w:t xml:space="preserve"> </w:t>
            </w:r>
            <w:r>
              <w:rPr>
                <w:rFonts w:hint="default"/>
                <w:color w:val="auto"/>
                <w:spacing w:val="-3"/>
                <w:sz w:val="21"/>
                <w:szCs w:val="21"/>
                <w:highlight w:val="none"/>
              </w:rPr>
              <w:t>（投标人评标价-评标基准价）÷评</w:t>
            </w:r>
            <w:r>
              <w:rPr>
                <w:rFonts w:hint="default"/>
                <w:color w:val="auto"/>
                <w:sz w:val="21"/>
                <w:szCs w:val="21"/>
                <w:highlight w:val="none"/>
              </w:rPr>
              <w:t xml:space="preserve"> </w:t>
            </w:r>
            <w:r>
              <w:rPr>
                <w:rFonts w:hint="default"/>
                <w:color w:val="auto"/>
                <w:spacing w:val="-4"/>
                <w:sz w:val="21"/>
                <w:szCs w:val="21"/>
                <w:highlight w:val="none"/>
              </w:rPr>
              <w:t>标基准价×100×</w:t>
            </w:r>
            <w:r>
              <w:rPr>
                <w:rFonts w:hint="default"/>
                <w:color w:val="auto"/>
                <w:spacing w:val="-104"/>
                <w:sz w:val="21"/>
                <w:szCs w:val="21"/>
                <w:highlight w:val="none"/>
              </w:rPr>
              <w:t xml:space="preserve"> </w:t>
            </w:r>
            <w:r>
              <w:rPr>
                <w:rFonts w:hint="default"/>
                <w:color w:val="auto"/>
                <w:spacing w:val="25"/>
                <w:sz w:val="21"/>
                <w:szCs w:val="21"/>
                <w:highlight w:val="none"/>
                <w:u w:val="single" w:color="auto"/>
              </w:rPr>
              <w:t xml:space="preserve">  </w:t>
            </w:r>
            <w:r>
              <w:rPr>
                <w:rFonts w:hint="eastAsia"/>
                <w:color w:val="auto"/>
                <w:spacing w:val="25"/>
                <w:sz w:val="21"/>
                <w:szCs w:val="21"/>
                <w:highlight w:val="none"/>
                <w:u w:val="single" w:color="auto"/>
                <w:lang w:val="en-US" w:eastAsia="zh-CN"/>
              </w:rPr>
              <w:t>0.</w:t>
            </w:r>
            <w:r>
              <w:rPr>
                <w:rFonts w:hint="default"/>
                <w:color w:val="auto"/>
                <w:spacing w:val="25"/>
                <w:sz w:val="21"/>
                <w:szCs w:val="21"/>
                <w:highlight w:val="none"/>
                <w:u w:val="single" w:color="auto"/>
                <w:lang w:eastAsia="zh-CN"/>
              </w:rPr>
              <w:t>2</w:t>
            </w:r>
            <w:r>
              <w:rPr>
                <w:rFonts w:hint="default"/>
                <w:color w:val="auto"/>
                <w:spacing w:val="25"/>
                <w:sz w:val="21"/>
                <w:szCs w:val="21"/>
                <w:highlight w:val="none"/>
                <w:u w:val="single" w:color="auto"/>
              </w:rPr>
              <w:t xml:space="preserve">  </w:t>
            </w:r>
            <w:r>
              <w:rPr>
                <w:rFonts w:hint="default"/>
                <w:color w:val="auto"/>
                <w:spacing w:val="-61"/>
                <w:sz w:val="21"/>
                <w:szCs w:val="21"/>
                <w:highlight w:val="none"/>
              </w:rPr>
              <w:t xml:space="preserve"> </w:t>
            </w:r>
            <w:r>
              <w:rPr>
                <w:rFonts w:hint="default"/>
                <w:color w:val="auto"/>
                <w:spacing w:val="-4"/>
                <w:sz w:val="21"/>
                <w:szCs w:val="21"/>
                <w:highlight w:val="none"/>
              </w:rPr>
              <w:t>（选</w:t>
            </w:r>
            <w:r>
              <w:rPr>
                <w:rFonts w:hint="default"/>
                <w:color w:val="auto"/>
                <w:spacing w:val="-44"/>
                <w:sz w:val="21"/>
                <w:szCs w:val="21"/>
                <w:highlight w:val="none"/>
              </w:rPr>
              <w:t>）（</w:t>
            </w:r>
            <w:r>
              <w:rPr>
                <w:rFonts w:hint="default"/>
                <w:color w:val="auto"/>
                <w:spacing w:val="-4"/>
                <w:sz w:val="21"/>
                <w:szCs w:val="21"/>
                <w:highlight w:val="none"/>
              </w:rPr>
              <w:t>评标价＞基准价时）</w:t>
            </w:r>
          </w:p>
          <w:p w14:paraId="46424D67">
            <w:pPr>
              <w:pStyle w:val="11"/>
              <w:spacing w:before="165" w:beforeLines="0" w:afterLines="0" w:line="369" w:lineRule="auto"/>
              <w:ind w:left="117" w:right="114" w:hanging="4"/>
              <w:jc w:val="both"/>
              <w:rPr>
                <w:rFonts w:hint="default"/>
                <w:color w:val="auto"/>
                <w:sz w:val="21"/>
                <w:szCs w:val="21"/>
                <w:highlight w:val="none"/>
              </w:rPr>
            </w:pPr>
            <w:r>
              <w:rPr>
                <w:rFonts w:hint="default"/>
                <w:color w:val="auto"/>
                <w:spacing w:val="-3"/>
                <w:sz w:val="21"/>
                <w:szCs w:val="21"/>
                <w:highlight w:val="none"/>
              </w:rPr>
              <w:t>F＝A1-</w:t>
            </w:r>
            <w:r>
              <w:rPr>
                <w:rFonts w:hint="default"/>
                <w:color w:val="auto"/>
                <w:spacing w:val="-44"/>
                <w:sz w:val="21"/>
                <w:szCs w:val="21"/>
                <w:highlight w:val="none"/>
              </w:rPr>
              <w:t xml:space="preserve"> </w:t>
            </w:r>
            <w:r>
              <w:rPr>
                <w:rFonts w:hint="default"/>
                <w:color w:val="auto"/>
                <w:spacing w:val="-3"/>
                <w:sz w:val="21"/>
                <w:szCs w:val="21"/>
                <w:highlight w:val="none"/>
              </w:rPr>
              <w:t>（评标基准价-投标人评标价）÷评</w:t>
            </w:r>
            <w:r>
              <w:rPr>
                <w:rFonts w:hint="default"/>
                <w:color w:val="auto"/>
                <w:sz w:val="21"/>
                <w:szCs w:val="21"/>
                <w:highlight w:val="none"/>
              </w:rPr>
              <w:t xml:space="preserve"> </w:t>
            </w:r>
            <w:r>
              <w:rPr>
                <w:rFonts w:hint="default"/>
                <w:color w:val="auto"/>
                <w:spacing w:val="-4"/>
                <w:sz w:val="21"/>
                <w:szCs w:val="21"/>
                <w:highlight w:val="none"/>
              </w:rPr>
              <w:t>标基准价×100×</w:t>
            </w:r>
            <w:r>
              <w:rPr>
                <w:rFonts w:hint="default"/>
                <w:color w:val="auto"/>
                <w:spacing w:val="-104"/>
                <w:sz w:val="21"/>
                <w:szCs w:val="21"/>
                <w:highlight w:val="none"/>
              </w:rPr>
              <w:t xml:space="preserve"> </w:t>
            </w:r>
            <w:r>
              <w:rPr>
                <w:rFonts w:hint="default"/>
                <w:color w:val="auto"/>
                <w:spacing w:val="25"/>
                <w:sz w:val="21"/>
                <w:szCs w:val="21"/>
                <w:highlight w:val="none"/>
                <w:u w:val="single" w:color="auto"/>
              </w:rPr>
              <w:t xml:space="preserve">  </w:t>
            </w:r>
            <w:r>
              <w:rPr>
                <w:rFonts w:hint="eastAsia"/>
                <w:color w:val="auto"/>
                <w:spacing w:val="25"/>
                <w:sz w:val="21"/>
                <w:szCs w:val="21"/>
                <w:highlight w:val="none"/>
                <w:u w:val="single" w:color="auto"/>
                <w:lang w:val="en-US" w:eastAsia="zh-CN"/>
              </w:rPr>
              <w:t>0.</w:t>
            </w:r>
            <w:r>
              <w:rPr>
                <w:rFonts w:hint="default"/>
                <w:color w:val="auto"/>
                <w:spacing w:val="25"/>
                <w:sz w:val="21"/>
                <w:szCs w:val="21"/>
                <w:highlight w:val="none"/>
                <w:u w:val="single" w:color="auto"/>
                <w:lang w:eastAsia="zh-CN"/>
              </w:rPr>
              <w:t>1</w:t>
            </w:r>
            <w:r>
              <w:rPr>
                <w:rFonts w:hint="default"/>
                <w:color w:val="auto"/>
                <w:spacing w:val="25"/>
                <w:sz w:val="21"/>
                <w:szCs w:val="21"/>
                <w:highlight w:val="none"/>
                <w:u w:val="single" w:color="auto"/>
              </w:rPr>
              <w:t xml:space="preserve">  </w:t>
            </w:r>
            <w:r>
              <w:rPr>
                <w:rFonts w:hint="default"/>
                <w:color w:val="auto"/>
                <w:spacing w:val="-61"/>
                <w:sz w:val="21"/>
                <w:szCs w:val="21"/>
                <w:highlight w:val="none"/>
              </w:rPr>
              <w:t xml:space="preserve"> </w:t>
            </w:r>
            <w:r>
              <w:rPr>
                <w:rFonts w:hint="default"/>
                <w:color w:val="auto"/>
                <w:spacing w:val="-4"/>
                <w:sz w:val="21"/>
                <w:szCs w:val="21"/>
                <w:highlight w:val="none"/>
              </w:rPr>
              <w:t>（选</w:t>
            </w:r>
            <w:r>
              <w:rPr>
                <w:rFonts w:hint="default"/>
                <w:color w:val="auto"/>
                <w:spacing w:val="-44"/>
                <w:sz w:val="21"/>
                <w:szCs w:val="21"/>
                <w:highlight w:val="none"/>
              </w:rPr>
              <w:t>）（</w:t>
            </w:r>
            <w:r>
              <w:rPr>
                <w:rFonts w:hint="default"/>
                <w:color w:val="auto"/>
                <w:spacing w:val="-4"/>
                <w:sz w:val="21"/>
                <w:szCs w:val="21"/>
                <w:highlight w:val="none"/>
              </w:rPr>
              <w:t>评标价</w:t>
            </w:r>
            <w:r>
              <w:rPr>
                <w:rFonts w:hint="default"/>
                <w:color w:val="auto"/>
                <w:spacing w:val="-4"/>
                <w:sz w:val="21"/>
                <w:szCs w:val="21"/>
                <w:highlight w:val="none"/>
                <w:lang w:eastAsia="zh-CN"/>
              </w:rPr>
              <w:t>≤</w:t>
            </w:r>
            <w:r>
              <w:rPr>
                <w:rFonts w:hint="default"/>
                <w:color w:val="auto"/>
                <w:spacing w:val="-4"/>
                <w:sz w:val="21"/>
                <w:szCs w:val="21"/>
                <w:highlight w:val="none"/>
              </w:rPr>
              <w:t>基准价时）</w:t>
            </w:r>
          </w:p>
        </w:tc>
      </w:tr>
      <w:tr w14:paraId="4DEC4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726EA605">
            <w:pPr>
              <w:spacing w:beforeLines="0" w:afterLines="0" w:line="257" w:lineRule="auto"/>
              <w:rPr>
                <w:rFonts w:hint="default"/>
                <w:color w:val="auto"/>
                <w:sz w:val="21"/>
                <w:szCs w:val="21"/>
                <w:highlight w:val="none"/>
              </w:rPr>
            </w:pPr>
          </w:p>
          <w:p w14:paraId="6E5FDB2E">
            <w:pPr>
              <w:spacing w:beforeLines="0" w:afterLines="0" w:line="257" w:lineRule="auto"/>
              <w:rPr>
                <w:rFonts w:hint="default"/>
                <w:color w:val="auto"/>
                <w:sz w:val="21"/>
                <w:szCs w:val="21"/>
                <w:highlight w:val="none"/>
              </w:rPr>
            </w:pPr>
          </w:p>
          <w:p w14:paraId="4440A829">
            <w:pPr>
              <w:spacing w:beforeLines="0" w:afterLines="0" w:line="257" w:lineRule="auto"/>
              <w:rPr>
                <w:rFonts w:hint="default"/>
                <w:color w:val="auto"/>
                <w:sz w:val="21"/>
                <w:szCs w:val="21"/>
                <w:highlight w:val="none"/>
              </w:rPr>
            </w:pPr>
          </w:p>
          <w:p w14:paraId="3783A748">
            <w:pPr>
              <w:spacing w:beforeLines="0" w:afterLines="0" w:line="257" w:lineRule="auto"/>
              <w:rPr>
                <w:rFonts w:hint="default"/>
                <w:color w:val="auto"/>
                <w:sz w:val="21"/>
                <w:szCs w:val="21"/>
                <w:highlight w:val="none"/>
              </w:rPr>
            </w:pPr>
          </w:p>
          <w:p w14:paraId="77794151">
            <w:pPr>
              <w:spacing w:beforeLines="0" w:afterLines="0" w:line="257" w:lineRule="auto"/>
              <w:rPr>
                <w:rFonts w:hint="default"/>
                <w:color w:val="auto"/>
                <w:sz w:val="21"/>
                <w:szCs w:val="21"/>
                <w:highlight w:val="none"/>
              </w:rPr>
            </w:pPr>
          </w:p>
          <w:p w14:paraId="67871326">
            <w:pPr>
              <w:spacing w:beforeLines="0" w:afterLines="0" w:line="257" w:lineRule="auto"/>
              <w:rPr>
                <w:rFonts w:hint="default"/>
                <w:color w:val="auto"/>
                <w:sz w:val="21"/>
                <w:szCs w:val="21"/>
                <w:highlight w:val="none"/>
              </w:rPr>
            </w:pPr>
          </w:p>
          <w:p w14:paraId="4BE1560D">
            <w:pPr>
              <w:spacing w:beforeLines="0" w:afterLines="0" w:line="257" w:lineRule="auto"/>
              <w:rPr>
                <w:rFonts w:hint="default"/>
                <w:color w:val="auto"/>
                <w:sz w:val="21"/>
                <w:szCs w:val="21"/>
                <w:highlight w:val="none"/>
              </w:rPr>
            </w:pPr>
          </w:p>
          <w:p w14:paraId="0BA8FF38">
            <w:pPr>
              <w:spacing w:beforeLines="0" w:afterLines="0" w:line="257" w:lineRule="auto"/>
              <w:rPr>
                <w:rFonts w:hint="default"/>
                <w:color w:val="auto"/>
                <w:sz w:val="21"/>
                <w:szCs w:val="21"/>
                <w:highlight w:val="none"/>
              </w:rPr>
            </w:pPr>
          </w:p>
          <w:p w14:paraId="6F78D1E2">
            <w:pPr>
              <w:spacing w:beforeLines="0" w:afterLines="0" w:line="257" w:lineRule="auto"/>
              <w:rPr>
                <w:rFonts w:hint="default"/>
                <w:color w:val="auto"/>
                <w:sz w:val="21"/>
                <w:szCs w:val="21"/>
                <w:highlight w:val="none"/>
              </w:rPr>
            </w:pPr>
          </w:p>
          <w:p w14:paraId="598A79D5">
            <w:pPr>
              <w:spacing w:beforeLines="0" w:afterLines="0" w:line="257" w:lineRule="auto"/>
              <w:rPr>
                <w:rFonts w:hint="default"/>
                <w:color w:val="auto"/>
                <w:sz w:val="21"/>
                <w:szCs w:val="21"/>
                <w:highlight w:val="none"/>
              </w:rPr>
            </w:pPr>
          </w:p>
          <w:p w14:paraId="426F57E7">
            <w:pPr>
              <w:spacing w:beforeLines="0" w:afterLines="0" w:line="257" w:lineRule="auto"/>
              <w:rPr>
                <w:rFonts w:hint="default"/>
                <w:color w:val="auto"/>
                <w:sz w:val="21"/>
                <w:szCs w:val="21"/>
                <w:highlight w:val="none"/>
              </w:rPr>
            </w:pPr>
          </w:p>
          <w:p w14:paraId="526BC42E">
            <w:pPr>
              <w:spacing w:beforeLines="0" w:afterLines="0" w:line="258" w:lineRule="auto"/>
              <w:rPr>
                <w:rFonts w:hint="default"/>
                <w:color w:val="auto"/>
                <w:sz w:val="21"/>
                <w:szCs w:val="21"/>
                <w:highlight w:val="none"/>
              </w:rPr>
            </w:pPr>
          </w:p>
          <w:p w14:paraId="78E5041D">
            <w:pPr>
              <w:spacing w:beforeLines="0" w:afterLines="0" w:line="258" w:lineRule="auto"/>
              <w:rPr>
                <w:rFonts w:hint="default"/>
                <w:color w:val="auto"/>
                <w:sz w:val="21"/>
                <w:szCs w:val="21"/>
                <w:highlight w:val="none"/>
              </w:rPr>
            </w:pPr>
          </w:p>
          <w:p w14:paraId="3DF7817A">
            <w:pPr>
              <w:spacing w:before="61" w:beforeLines="0" w:afterLines="0" w:line="386" w:lineRule="exact"/>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2.2.4</w:t>
            </w:r>
          </w:p>
          <w:p w14:paraId="6572419B">
            <w:pPr>
              <w:pStyle w:val="11"/>
              <w:spacing w:beforeLines="0" w:afterLines="0" w:line="232" w:lineRule="auto"/>
              <w:ind w:left="119"/>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2</w:t>
            </w:r>
            <w:r>
              <w:rPr>
                <w:rFonts w:hint="default"/>
                <w:color w:val="auto"/>
                <w:spacing w:val="-5"/>
                <w:sz w:val="21"/>
                <w:szCs w:val="21"/>
                <w:highlight w:val="none"/>
              </w:rPr>
              <w:t>）</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032C3D60">
            <w:pPr>
              <w:spacing w:beforeLines="0" w:afterLines="0"/>
              <w:rPr>
                <w:rFonts w:hint="default"/>
                <w:color w:val="auto"/>
                <w:sz w:val="21"/>
                <w:szCs w:val="21"/>
                <w:highlight w:val="none"/>
              </w:rPr>
            </w:pPr>
          </w:p>
          <w:p w14:paraId="20D6BA41">
            <w:pPr>
              <w:spacing w:beforeLines="0" w:afterLines="0"/>
              <w:rPr>
                <w:rFonts w:hint="default"/>
                <w:color w:val="auto"/>
                <w:sz w:val="21"/>
                <w:szCs w:val="21"/>
                <w:highlight w:val="none"/>
              </w:rPr>
            </w:pPr>
          </w:p>
          <w:p w14:paraId="774415D3">
            <w:pPr>
              <w:spacing w:beforeLines="0" w:afterLines="0"/>
              <w:rPr>
                <w:rFonts w:hint="default"/>
                <w:color w:val="auto"/>
                <w:sz w:val="21"/>
                <w:szCs w:val="21"/>
                <w:highlight w:val="none"/>
              </w:rPr>
            </w:pPr>
          </w:p>
          <w:p w14:paraId="5C94B2F6">
            <w:pPr>
              <w:spacing w:beforeLines="0" w:afterLines="0"/>
              <w:rPr>
                <w:rFonts w:hint="default"/>
                <w:color w:val="auto"/>
                <w:sz w:val="21"/>
                <w:szCs w:val="21"/>
                <w:highlight w:val="none"/>
              </w:rPr>
            </w:pPr>
          </w:p>
          <w:p w14:paraId="2FD1847F">
            <w:pPr>
              <w:spacing w:beforeLines="0" w:afterLines="0"/>
              <w:rPr>
                <w:rFonts w:hint="default"/>
                <w:color w:val="auto"/>
                <w:sz w:val="21"/>
                <w:szCs w:val="21"/>
                <w:highlight w:val="none"/>
              </w:rPr>
            </w:pPr>
          </w:p>
          <w:p w14:paraId="629E13A8">
            <w:pPr>
              <w:spacing w:beforeLines="0" w:afterLines="0"/>
              <w:rPr>
                <w:rFonts w:hint="default"/>
                <w:color w:val="auto"/>
                <w:sz w:val="21"/>
                <w:szCs w:val="21"/>
                <w:highlight w:val="none"/>
              </w:rPr>
            </w:pPr>
          </w:p>
          <w:p w14:paraId="6ED3F394">
            <w:pPr>
              <w:spacing w:beforeLines="0" w:afterLines="0"/>
              <w:rPr>
                <w:rFonts w:hint="default"/>
                <w:color w:val="auto"/>
                <w:sz w:val="21"/>
                <w:szCs w:val="21"/>
                <w:highlight w:val="none"/>
              </w:rPr>
            </w:pPr>
          </w:p>
          <w:p w14:paraId="62976392">
            <w:pPr>
              <w:spacing w:beforeLines="0" w:afterLines="0"/>
              <w:rPr>
                <w:rFonts w:hint="default"/>
                <w:color w:val="auto"/>
                <w:sz w:val="21"/>
                <w:szCs w:val="21"/>
                <w:highlight w:val="none"/>
              </w:rPr>
            </w:pPr>
          </w:p>
          <w:p w14:paraId="10431DFF">
            <w:pPr>
              <w:spacing w:beforeLines="0" w:afterLines="0"/>
              <w:rPr>
                <w:rFonts w:hint="default"/>
                <w:color w:val="auto"/>
                <w:sz w:val="21"/>
                <w:szCs w:val="21"/>
                <w:highlight w:val="none"/>
              </w:rPr>
            </w:pPr>
          </w:p>
          <w:p w14:paraId="30D175CD">
            <w:pPr>
              <w:spacing w:beforeLines="0" w:afterLines="0" w:line="241" w:lineRule="auto"/>
              <w:rPr>
                <w:rFonts w:hint="default"/>
                <w:color w:val="auto"/>
                <w:sz w:val="21"/>
                <w:szCs w:val="21"/>
                <w:highlight w:val="none"/>
              </w:rPr>
            </w:pPr>
          </w:p>
          <w:p w14:paraId="73786158">
            <w:pPr>
              <w:spacing w:beforeLines="0" w:afterLines="0" w:line="241" w:lineRule="auto"/>
              <w:rPr>
                <w:rFonts w:hint="default"/>
                <w:color w:val="auto"/>
                <w:sz w:val="21"/>
                <w:szCs w:val="21"/>
                <w:highlight w:val="none"/>
              </w:rPr>
            </w:pPr>
          </w:p>
          <w:p w14:paraId="7D6B432D">
            <w:pPr>
              <w:spacing w:beforeLines="0" w:afterLines="0" w:line="241" w:lineRule="auto"/>
              <w:rPr>
                <w:rFonts w:hint="default"/>
                <w:color w:val="auto"/>
                <w:sz w:val="21"/>
                <w:szCs w:val="21"/>
                <w:highlight w:val="none"/>
              </w:rPr>
            </w:pPr>
          </w:p>
          <w:p w14:paraId="202B0ADB">
            <w:pPr>
              <w:pStyle w:val="11"/>
              <w:spacing w:before="68" w:beforeLines="0" w:afterLines="0" w:line="369" w:lineRule="auto"/>
              <w:ind w:left="136" w:right="124" w:firstLine="103"/>
              <w:rPr>
                <w:rFonts w:hint="default"/>
                <w:color w:val="auto"/>
                <w:sz w:val="21"/>
                <w:szCs w:val="21"/>
                <w:highlight w:val="none"/>
              </w:rPr>
            </w:pPr>
            <w:r>
              <w:rPr>
                <w:rFonts w:hint="default"/>
                <w:color w:val="auto"/>
                <w:spacing w:val="-2"/>
                <w:sz w:val="21"/>
                <w:szCs w:val="21"/>
                <w:highlight w:val="none"/>
              </w:rPr>
              <w:t>技术标</w:t>
            </w:r>
            <w:r>
              <w:rPr>
                <w:rFonts w:hint="default"/>
                <w:color w:val="auto"/>
                <w:sz w:val="21"/>
                <w:szCs w:val="21"/>
                <w:highlight w:val="none"/>
              </w:rPr>
              <w:t xml:space="preserve">  </w:t>
            </w:r>
            <w:r>
              <w:rPr>
                <w:rFonts w:hint="default"/>
                <w:color w:val="auto"/>
                <w:spacing w:val="-2"/>
                <w:sz w:val="21"/>
                <w:szCs w:val="21"/>
                <w:highlight w:val="none"/>
              </w:rPr>
              <w:t>（施工组</w:t>
            </w:r>
            <w:r>
              <w:rPr>
                <w:rFonts w:hint="default"/>
                <w:color w:val="auto"/>
                <w:sz w:val="21"/>
                <w:szCs w:val="21"/>
                <w:highlight w:val="none"/>
              </w:rPr>
              <w:t xml:space="preserve"> </w:t>
            </w:r>
            <w:r>
              <w:rPr>
                <w:rFonts w:hint="default"/>
                <w:color w:val="auto"/>
                <w:spacing w:val="-3"/>
                <w:sz w:val="21"/>
                <w:szCs w:val="21"/>
                <w:highlight w:val="none"/>
              </w:rPr>
              <w:t>织设计）</w:t>
            </w:r>
          </w:p>
          <w:p w14:paraId="6CC24145">
            <w:pPr>
              <w:pStyle w:val="11"/>
              <w:spacing w:beforeLines="0" w:afterLines="0" w:line="221" w:lineRule="auto"/>
              <w:ind w:left="132"/>
              <w:rPr>
                <w:rFonts w:hint="default"/>
                <w:color w:val="auto"/>
                <w:sz w:val="21"/>
                <w:szCs w:val="21"/>
                <w:highlight w:val="none"/>
                <w:lang w:eastAsia="zh-CN"/>
              </w:rPr>
            </w:pPr>
            <w:r>
              <w:rPr>
                <w:rFonts w:hint="default"/>
                <w:color w:val="auto"/>
                <w:spacing w:val="-1"/>
                <w:sz w:val="21"/>
                <w:szCs w:val="21"/>
                <w:highlight w:val="none"/>
              </w:rPr>
              <w:t>评分标准</w:t>
            </w:r>
            <w:r>
              <w:rPr>
                <w:rFonts w:hint="default"/>
                <w:color w:val="auto"/>
                <w:spacing w:val="-1"/>
                <w:sz w:val="21"/>
                <w:szCs w:val="21"/>
                <w:highlight w:val="none"/>
                <w:lang w:eastAsia="zh-CN"/>
              </w:rPr>
              <w:t>（40分）</w:t>
            </w: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0913882C">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rPr>
              <w:t>1、项目总体概述(2.0分)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141CB3D2">
            <w:pPr>
              <w:spacing w:beforeLines="0" w:afterLines="0"/>
              <w:jc w:val="center"/>
              <w:rPr>
                <w:rFonts w:hint="default"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B429E0E">
            <w:pPr>
              <w:pStyle w:val="11"/>
              <w:spacing w:before="156" w:beforeLines="0" w:afterLines="0" w:line="221" w:lineRule="auto"/>
              <w:ind w:left="115"/>
              <w:rPr>
                <w:rFonts w:hint="default"/>
                <w:color w:val="auto"/>
                <w:sz w:val="21"/>
                <w:szCs w:val="21"/>
                <w:highlight w:val="none"/>
                <w:lang w:eastAsia="zh-CN"/>
              </w:rPr>
            </w:pPr>
            <w:r>
              <w:rPr>
                <w:rStyle w:val="8"/>
                <w:rFonts w:hint="default"/>
                <w:color w:val="auto"/>
                <w:sz w:val="21"/>
                <w:szCs w:val="24"/>
                <w:highlight w:val="none"/>
              </w:rPr>
              <w:t>对项目总体全面认识深刻，论述完整，逻辑关系清晰，总体组织符合实际，总体组织设计符合规范，总体计划合理，综合措施科学、总体目标满足招标文件要求。最佳1.6-2.0分；良好1.0-1.5分；一般0.5-0.9分；较差0-0.4分。</w:t>
            </w:r>
            <w:r>
              <w:rPr>
                <w:rStyle w:val="8"/>
                <w:rFonts w:hint="default"/>
                <w:color w:val="auto"/>
                <w:sz w:val="21"/>
                <w:szCs w:val="24"/>
                <w:highlight w:val="none"/>
                <w:lang w:eastAsia="zh-CN"/>
              </w:rPr>
              <w:t>（单项评审得分为0或者2分时需现场提交书面说明）</w:t>
            </w:r>
          </w:p>
        </w:tc>
      </w:tr>
      <w:tr w14:paraId="2ACBA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8B6D780">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D1A1B50">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0879F824">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rPr>
              <w:t>2、施工技术方案(2.0分)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043C6C65">
            <w:pPr>
              <w:spacing w:beforeLines="0" w:afterLines="0"/>
              <w:jc w:val="center"/>
              <w:rPr>
                <w:rFonts w:hint="default"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A33C4A9">
            <w:pPr>
              <w:pStyle w:val="11"/>
              <w:spacing w:before="157" w:beforeLines="0" w:afterLines="0" w:line="221" w:lineRule="auto"/>
              <w:ind w:left="115"/>
              <w:rPr>
                <w:rFonts w:hint="default"/>
                <w:color w:val="auto"/>
                <w:sz w:val="21"/>
                <w:szCs w:val="21"/>
                <w:highlight w:val="none"/>
              </w:rPr>
            </w:pPr>
            <w:r>
              <w:rPr>
                <w:rStyle w:val="8"/>
                <w:rFonts w:hint="default"/>
                <w:color w:val="auto"/>
                <w:sz w:val="21"/>
                <w:szCs w:val="24"/>
                <w:highlight w:val="none"/>
              </w:rPr>
              <w:t>各分项工程的施工方法、施工工艺科学、合理、描述详细、可行，思路清晰、准确、完整、可操作性强，最佳1.6-2.0分；良好1.0-1.5分；一般0.5-0.9分；较差0-0.4分。</w:t>
            </w:r>
          </w:p>
        </w:tc>
      </w:tr>
      <w:tr w14:paraId="2DE15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05BAAEE">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367E4C9">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22495AA6">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rPr>
              <w:t>3、技术难点、重点部位及相应解决方案(2.0分)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7806CCB0">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8766A90">
            <w:pPr>
              <w:pStyle w:val="11"/>
              <w:spacing w:before="157" w:beforeLines="0" w:afterLines="0" w:line="221" w:lineRule="auto"/>
              <w:ind w:left="115"/>
              <w:rPr>
                <w:rFonts w:hint="default"/>
                <w:color w:val="auto"/>
                <w:sz w:val="21"/>
                <w:szCs w:val="21"/>
                <w:highlight w:val="none"/>
              </w:rPr>
            </w:pPr>
            <w:r>
              <w:rPr>
                <w:rStyle w:val="8"/>
                <w:rFonts w:hint="default"/>
                <w:color w:val="auto"/>
                <w:sz w:val="21"/>
                <w:szCs w:val="24"/>
                <w:highlight w:val="none"/>
              </w:rPr>
              <w:t>对工程重点、难点认识深刻、表述全面准确，解决方案科学、系统、安全、经济，可操作性强，保障措施得力，对施工关键技术、工艺把握准确，应用到位，阐释清晰，最佳1.6-2.0分；良好1.0-1.5分；一般0.5-0.9分；较差0-0.4分。</w:t>
            </w:r>
          </w:p>
        </w:tc>
      </w:tr>
      <w:tr w14:paraId="200B4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72CFC8C">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4AFDD368">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29AC3E09">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rPr>
              <w:t>4、施工总平面布置(2.0分)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21B7EC48">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0168176">
            <w:pPr>
              <w:pStyle w:val="11"/>
              <w:spacing w:before="162" w:beforeLines="0" w:afterLines="0" w:line="221" w:lineRule="auto"/>
              <w:ind w:left="115"/>
              <w:rPr>
                <w:rFonts w:hint="default"/>
                <w:color w:val="auto"/>
                <w:sz w:val="21"/>
                <w:szCs w:val="21"/>
                <w:highlight w:val="none"/>
              </w:rPr>
            </w:pPr>
            <w:r>
              <w:rPr>
                <w:rStyle w:val="8"/>
                <w:rFonts w:hint="default"/>
                <w:color w:val="auto"/>
                <w:sz w:val="21"/>
                <w:szCs w:val="24"/>
                <w:highlight w:val="none"/>
              </w:rPr>
              <w:t>布置科学、合理，符合现场实际情况及地方的相关规定，最佳1.6-2.0分；良好1.0-1.5分；一般0.5-0.9分；较差0-0.4分</w:t>
            </w:r>
          </w:p>
        </w:tc>
      </w:tr>
      <w:tr w14:paraId="042B6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D16495A">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F01779B">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6880AC9F">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lang w:val="en-US" w:eastAsia="zh-CN"/>
              </w:rPr>
              <w:t>5</w:t>
            </w:r>
            <w:r>
              <w:rPr>
                <w:rStyle w:val="8"/>
                <w:rFonts w:hint="default" w:ascii="宋体" w:hAnsi="宋体" w:eastAsia="宋体" w:cs="宋体"/>
                <w:color w:val="auto"/>
                <w:sz w:val="21"/>
                <w:szCs w:val="24"/>
                <w:highlight w:val="none"/>
              </w:rPr>
              <w:t>、</w:t>
            </w:r>
            <w:r>
              <w:rPr>
                <w:rStyle w:val="8"/>
                <w:rFonts w:hint="default" w:ascii="宋体" w:hAnsi="宋体" w:eastAsia="宋体" w:cs="宋体"/>
                <w:color w:val="auto"/>
                <w:sz w:val="21"/>
                <w:szCs w:val="24"/>
                <w:highlight w:val="none"/>
                <w:lang w:val="en-US" w:eastAsia="zh-CN"/>
              </w:rPr>
              <w:t>施工工艺优化与创新措施(2.0分)</w:t>
            </w:r>
          </w:p>
          <w:p w14:paraId="144AB0D5">
            <w:pPr>
              <w:pStyle w:val="12"/>
              <w:spacing w:beforeLines="0" w:afterLines="0"/>
              <w:rPr>
                <w:rFonts w:hint="eastAsia"/>
                <w:color w:val="auto"/>
                <w:sz w:val="24"/>
                <w:szCs w:val="24"/>
                <w:highlight w:val="none"/>
              </w:rPr>
            </w:pP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70E9DEC8">
            <w:pPr>
              <w:spacing w:beforeLines="0" w:afterLines="0" w:line="420" w:lineRule="exact"/>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F031099">
            <w:pPr>
              <w:spacing w:beforeLines="0" w:afterLines="0" w:line="420" w:lineRule="exact"/>
              <w:rPr>
                <w:rFonts w:hint="default"/>
                <w:color w:val="auto"/>
                <w:sz w:val="21"/>
                <w:szCs w:val="21"/>
                <w:highlight w:val="none"/>
              </w:rPr>
            </w:pPr>
            <w:r>
              <w:rPr>
                <w:rStyle w:val="8"/>
                <w:rFonts w:hint="default" w:ascii="宋体" w:hAnsi="宋体" w:eastAsia="宋体" w:cs="宋体"/>
                <w:color w:val="auto"/>
                <w:sz w:val="21"/>
                <w:szCs w:val="24"/>
                <w:highlight w:val="none"/>
                <w:lang w:val="en-US" w:eastAsia="zh-CN"/>
              </w:rPr>
              <w:t>结合本装修项目特点，制定详细的施工工艺优化方案，明确各装修环节的工艺改进措施，融入合理创新技术，可有效提升施工质量、缩短工期、降低施工成本，方案针对性和可落地性极强</w:t>
            </w:r>
            <w:r>
              <w:rPr>
                <w:rStyle w:val="8"/>
                <w:rFonts w:hint="default" w:ascii="宋体" w:hAnsi="宋体" w:eastAsia="宋体" w:cs="宋体"/>
                <w:color w:val="auto"/>
                <w:sz w:val="21"/>
                <w:szCs w:val="24"/>
                <w:highlight w:val="none"/>
              </w:rPr>
              <w:t>，最佳1.6-2.0分；良好1.0-1.5分；一般0.5-0.9分；较差0-0.4分。</w:t>
            </w:r>
          </w:p>
        </w:tc>
      </w:tr>
      <w:tr w14:paraId="5A6F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7F288D7">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504C978">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29173F9B">
            <w:pPr>
              <w:pStyle w:val="12"/>
              <w:spacing w:beforeLines="0" w:afterLines="0"/>
              <w:rPr>
                <w:rFonts w:hint="default" w:ascii="宋体" w:hAnsi="宋体" w:eastAsia="宋体" w:cs="宋体"/>
                <w:color w:val="auto"/>
                <w:sz w:val="24"/>
                <w:szCs w:val="24"/>
                <w:highlight w:val="none"/>
                <w:u w:val="none" w:color="auto"/>
              </w:rPr>
            </w:pPr>
            <w:r>
              <w:rPr>
                <w:rStyle w:val="8"/>
                <w:rFonts w:hint="default" w:ascii="宋体" w:hAnsi="宋体" w:eastAsia="宋体" w:cs="宋体"/>
                <w:color w:val="auto"/>
                <w:sz w:val="21"/>
                <w:szCs w:val="24"/>
                <w:highlight w:val="none"/>
                <w:lang w:val="en-US" w:eastAsia="zh-CN"/>
              </w:rPr>
              <w:t>6</w:t>
            </w:r>
            <w:r>
              <w:rPr>
                <w:rStyle w:val="8"/>
                <w:rFonts w:hint="default" w:ascii="宋体" w:hAnsi="宋体" w:eastAsia="宋体" w:cs="宋体"/>
                <w:color w:val="auto"/>
                <w:sz w:val="21"/>
                <w:szCs w:val="24"/>
                <w:highlight w:val="none"/>
              </w:rPr>
              <w:t>、质量管理体系与措施(2.0分)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0787F06A">
            <w:pPr>
              <w:spacing w:beforeLines="0" w:afterLines="0" w:line="420" w:lineRule="exact"/>
              <w:jc w:val="center"/>
              <w:rPr>
                <w:rFonts w:hint="default" w:ascii="宋体" w:hAnsi="宋体" w:eastAsia="宋体" w:cs="宋体"/>
                <w:color w:val="auto"/>
                <w:sz w:val="21"/>
                <w:szCs w:val="21"/>
                <w:highlight w:val="none"/>
                <w:u w:val="none" w:color="auto"/>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AEE338C">
            <w:pPr>
              <w:spacing w:beforeLines="0" w:afterLines="0" w:line="420" w:lineRule="exact"/>
              <w:rPr>
                <w:rFonts w:hint="default" w:ascii="宋体" w:hAnsi="宋体" w:eastAsia="宋体" w:cs="宋体"/>
                <w:color w:val="auto"/>
                <w:sz w:val="21"/>
                <w:szCs w:val="21"/>
                <w:highlight w:val="none"/>
                <w:u w:val="none" w:color="auto"/>
              </w:rPr>
            </w:pPr>
            <w:r>
              <w:rPr>
                <w:rStyle w:val="8"/>
                <w:rFonts w:hint="default" w:ascii="宋体" w:hAnsi="宋体" w:eastAsia="宋体" w:cs="宋体"/>
                <w:color w:val="auto"/>
                <w:sz w:val="21"/>
                <w:szCs w:val="24"/>
                <w:highlight w:val="none"/>
              </w:rPr>
              <w:t>质量管理体系科学、合理，控制质量的措施得力、针对性强，对工程质量的保障作用强，最佳1.6-2.0分；良好1.0-1.5分；一般0.5-0.9分；较差0-0.4分。</w:t>
            </w:r>
          </w:p>
        </w:tc>
      </w:tr>
      <w:tr w14:paraId="5BDD2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C1F4576">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C9CD636">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3E79F715">
            <w:pPr>
              <w:pStyle w:val="12"/>
              <w:spacing w:beforeLines="0" w:afterLines="0"/>
              <w:rPr>
                <w:rFonts w:hint="default" w:ascii="宋体" w:hAnsi="宋体" w:eastAsia="宋体" w:cs="宋体"/>
                <w:color w:val="auto"/>
                <w:sz w:val="24"/>
                <w:szCs w:val="24"/>
                <w:highlight w:val="none"/>
                <w:u w:val="none" w:color="auto"/>
              </w:rPr>
            </w:pPr>
            <w:r>
              <w:rPr>
                <w:rStyle w:val="8"/>
                <w:rFonts w:hint="default" w:ascii="宋体" w:hAnsi="宋体" w:eastAsia="宋体" w:cs="宋体"/>
                <w:color w:val="auto"/>
                <w:sz w:val="21"/>
                <w:szCs w:val="24"/>
                <w:highlight w:val="none"/>
                <w:lang w:val="en-US" w:eastAsia="zh-CN"/>
              </w:rPr>
              <w:t>7</w:t>
            </w:r>
            <w:r>
              <w:rPr>
                <w:rStyle w:val="8"/>
                <w:rFonts w:hint="default" w:ascii="宋体" w:hAnsi="宋体" w:eastAsia="宋体" w:cs="宋体"/>
                <w:color w:val="auto"/>
                <w:sz w:val="21"/>
                <w:szCs w:val="24"/>
                <w:highlight w:val="none"/>
              </w:rPr>
              <w:t>、工程进度计划与措施(2.0分)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0F441DF9">
            <w:pPr>
              <w:spacing w:beforeLines="0" w:afterLines="0" w:line="420" w:lineRule="exact"/>
              <w:jc w:val="center"/>
              <w:rPr>
                <w:rFonts w:hint="default" w:ascii="宋体" w:hAnsi="宋体" w:eastAsia="宋体" w:cs="宋体"/>
                <w:color w:val="auto"/>
                <w:sz w:val="21"/>
                <w:szCs w:val="21"/>
                <w:highlight w:val="none"/>
                <w:u w:val="none" w:color="auto"/>
                <w:lang w:eastAsia="zh-CN"/>
              </w:rPr>
            </w:pPr>
            <w:r>
              <w:rPr>
                <w:rFonts w:hint="default" w:ascii="宋体" w:hAnsi="宋体" w:eastAsia="宋体" w:cs="宋体"/>
                <w:color w:val="auto"/>
                <w:sz w:val="21"/>
                <w:szCs w:val="21"/>
                <w:highlight w:val="none"/>
                <w:u w:val="none" w:color="auto"/>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8A08120">
            <w:pPr>
              <w:spacing w:beforeLines="0" w:afterLines="0" w:line="420" w:lineRule="exact"/>
              <w:rPr>
                <w:rFonts w:hint="default" w:ascii="宋体" w:hAnsi="宋体" w:eastAsia="宋体" w:cs="宋体"/>
                <w:color w:val="auto"/>
                <w:sz w:val="21"/>
                <w:szCs w:val="21"/>
                <w:highlight w:val="none"/>
                <w:u w:val="none" w:color="auto"/>
              </w:rPr>
            </w:pPr>
            <w:r>
              <w:rPr>
                <w:rStyle w:val="8"/>
                <w:rFonts w:hint="default" w:ascii="宋体" w:hAnsi="宋体" w:eastAsia="宋体" w:cs="宋体"/>
                <w:color w:val="auto"/>
                <w:sz w:val="21"/>
                <w:szCs w:val="24"/>
                <w:highlight w:val="none"/>
              </w:rPr>
              <w:t>编制了完善的施工总体进度网络图或横道图，工程进度计划科学、合理，保证工程进度措施得力，最佳1.6-2.0分；良好1.0-1.5分；一般0.5-0.9分；较差0-0.4分。</w:t>
            </w:r>
          </w:p>
        </w:tc>
      </w:tr>
      <w:tr w14:paraId="6FCF1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877F49D">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A4A70B7">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0D0DA105">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lang w:val="en-US" w:eastAsia="zh-CN"/>
              </w:rPr>
              <w:t>8</w:t>
            </w:r>
            <w:r>
              <w:rPr>
                <w:rStyle w:val="8"/>
                <w:rFonts w:hint="default" w:ascii="宋体" w:hAnsi="宋体" w:eastAsia="宋体" w:cs="宋体"/>
                <w:color w:val="auto"/>
                <w:sz w:val="21"/>
                <w:szCs w:val="24"/>
                <w:highlight w:val="none"/>
              </w:rPr>
              <w:t>、安全管理体系与措施(2.0分)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63BD5213">
            <w:pPr>
              <w:spacing w:beforeLines="0" w:afterLines="0"/>
              <w:jc w:val="center"/>
              <w:rPr>
                <w:rFonts w:hint="default"/>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2A6B975">
            <w:pPr>
              <w:spacing w:beforeLines="0" w:afterLines="0"/>
              <w:rPr>
                <w:rFonts w:hint="default"/>
                <w:color w:val="auto"/>
                <w:sz w:val="21"/>
                <w:szCs w:val="21"/>
                <w:highlight w:val="none"/>
              </w:rPr>
            </w:pPr>
            <w:r>
              <w:rPr>
                <w:rStyle w:val="8"/>
                <w:rFonts w:hint="default" w:ascii="宋体" w:hAnsi="宋体" w:eastAsia="宋体" w:cs="宋体"/>
                <w:color w:val="auto"/>
                <w:sz w:val="21"/>
                <w:szCs w:val="24"/>
                <w:highlight w:val="none"/>
              </w:rPr>
              <w:t>安全管理体系科学、合理，控制安全的措施得力、针对性强，对工程安全的保障作用强，最佳1.6-2.0分；良好1.0-1.5分；一般0.5-0.9分；较差0-0.4分。</w:t>
            </w:r>
          </w:p>
        </w:tc>
      </w:tr>
      <w:tr w14:paraId="11513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4FAB37AD">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A0AB029">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0D20AB0">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lang w:val="en-US" w:eastAsia="zh-CN"/>
              </w:rPr>
              <w:t>9</w:t>
            </w:r>
            <w:r>
              <w:rPr>
                <w:rStyle w:val="8"/>
                <w:rFonts w:hint="default" w:ascii="宋体" w:hAnsi="宋体" w:eastAsia="宋体" w:cs="宋体"/>
                <w:color w:val="auto"/>
                <w:sz w:val="21"/>
                <w:szCs w:val="24"/>
                <w:highlight w:val="none"/>
              </w:rPr>
              <w:t>、扬尘污染治理及卫生防疫管理体系与措施(2.0分)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E4CD7B9">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3371A27">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扬尘污染治理及卫生防疫方案满足相关规定，内容全面具体、科学有效、措施可靠，最佳1.6-2.0分；良好1.0-1.5分；一般0.5-0.9分；较差0-0.4分。</w:t>
            </w:r>
          </w:p>
        </w:tc>
      </w:tr>
      <w:tr w14:paraId="369C0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3CCB63E2">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7700FF7B">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6B4730E">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0</w:t>
            </w:r>
            <w:r>
              <w:rPr>
                <w:rStyle w:val="8"/>
                <w:rFonts w:hint="default" w:ascii="宋体" w:hAnsi="宋体" w:eastAsia="宋体" w:cs="宋体"/>
                <w:color w:val="auto"/>
                <w:sz w:val="21"/>
                <w:szCs w:val="24"/>
                <w:highlight w:val="none"/>
              </w:rPr>
              <w:t>、文明施工管理体系与措施(2.0分)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D8B7CB9">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5D08732">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 xml:space="preserve">1、承诺无条件免费清理施工现场范围内因施工所产生垃圾，保证现场及现场附近清洁卫生，得1分； </w:t>
            </w:r>
          </w:p>
          <w:p w14:paraId="05C36ED6">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2、文明施工管理体系科学、合理，措施得力，针对性强，最佳0.7-1.0分；良好0.3-0.6分；一般及较差0-0.2 分。</w:t>
            </w:r>
          </w:p>
        </w:tc>
      </w:tr>
      <w:tr w14:paraId="18D19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3D5CCED1">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22B9D3E3">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1344A5F">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1</w:t>
            </w:r>
            <w:r>
              <w:rPr>
                <w:rStyle w:val="8"/>
                <w:rFonts w:hint="default" w:ascii="宋体" w:hAnsi="宋体" w:eastAsia="宋体" w:cs="宋体"/>
                <w:color w:val="auto"/>
                <w:sz w:val="21"/>
                <w:szCs w:val="24"/>
                <w:highlight w:val="none"/>
              </w:rPr>
              <w:t>、劳动力安排计划(2.0分)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76B0258">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DE89CF8">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劳动力资源配备齐全、合理，数量充足，进场计划时间明确，与进度计划及施工程序相符，最佳1.6-2.0分；良好1.0-1.5分；一般0.5-0.9分；较差0-0.4分。</w:t>
            </w:r>
          </w:p>
        </w:tc>
      </w:tr>
      <w:tr w14:paraId="7FD4B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508FD75B">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6AE86C56">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B7147BD">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2</w:t>
            </w:r>
            <w:r>
              <w:rPr>
                <w:rStyle w:val="8"/>
                <w:rFonts w:hint="default" w:ascii="宋体" w:hAnsi="宋体" w:eastAsia="宋体" w:cs="宋体"/>
                <w:color w:val="auto"/>
                <w:sz w:val="21"/>
                <w:szCs w:val="24"/>
                <w:highlight w:val="none"/>
              </w:rPr>
              <w:t>、材料（周转和非周转材料）投入计划(2.0分)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24454E3">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96AD287">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施工材料资源配备齐全、合理，数量充足，进场计划时间明确，与进度计划及施工程序相符，最佳1.6-2.0分；良好1.0-1.5分；一般0.5-0.9分；较差0-0.4分。</w:t>
            </w:r>
          </w:p>
        </w:tc>
      </w:tr>
      <w:tr w14:paraId="0967A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63CEEFF3">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487462F4">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00CFE42">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3</w:t>
            </w:r>
            <w:r>
              <w:rPr>
                <w:rStyle w:val="8"/>
                <w:rFonts w:hint="default" w:ascii="宋体" w:hAnsi="宋体" w:eastAsia="宋体" w:cs="宋体"/>
                <w:color w:val="auto"/>
                <w:sz w:val="21"/>
                <w:szCs w:val="24"/>
                <w:highlight w:val="none"/>
              </w:rPr>
              <w:t>、施工机械设备投入计划(2.0分)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1824A18">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4CFF420">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施工机械设备资源配备齐全、合理，数量充足，进场计划时间明确，与进度计划及施工程序完全相符，最佳1.6-2.0分；良好1.0-1.5分；一般0.5-0.9分；较差0-0.4分。</w:t>
            </w:r>
          </w:p>
        </w:tc>
      </w:tr>
      <w:tr w14:paraId="72244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241C9087">
            <w:pPr>
              <w:spacing w:beforeLines="0" w:afterLines="0"/>
              <w:rPr>
                <w:rFonts w:hint="default"/>
                <w:color w:val="auto"/>
                <w:sz w:val="21"/>
                <w:szCs w:val="21"/>
                <w:highlight w:val="none"/>
              </w:rPr>
            </w:pPr>
          </w:p>
          <w:p w14:paraId="489F8648">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5DF148A2">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2B9C3BB">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4</w:t>
            </w:r>
            <w:r>
              <w:rPr>
                <w:rStyle w:val="8"/>
                <w:rFonts w:hint="default" w:ascii="宋体" w:hAnsi="宋体" w:eastAsia="宋体" w:cs="宋体"/>
                <w:color w:val="auto"/>
                <w:sz w:val="21"/>
                <w:szCs w:val="24"/>
                <w:highlight w:val="none"/>
              </w:rPr>
              <w:t>、工程半成品及成品保护措施(2.0分)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B4E9FF">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80FDEDF">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各项措施完整可行，与进度计划及施工程序完全相符，最佳1.6-2.0分；良好1.0-1.5分；一般0.5-0.9分；较差0-0.4分。</w:t>
            </w:r>
          </w:p>
        </w:tc>
      </w:tr>
      <w:tr w14:paraId="3F830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185C4564">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528C47FF">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848D5A0">
            <w:pPr>
              <w:pStyle w:val="12"/>
              <w:spacing w:beforeLines="0" w:afterLines="0"/>
              <w:rPr>
                <w:rStyle w:val="8"/>
                <w:rFonts w:hint="default" w:ascii="宋体" w:hAnsi="宋体" w:eastAsia="宋体" w:cs="宋体"/>
                <w:color w:val="auto"/>
                <w:sz w:val="21"/>
                <w:szCs w:val="24"/>
                <w:highlight w:val="none"/>
                <w:lang w:eastAsia="zh-CN"/>
              </w:rPr>
            </w:pPr>
            <w:r>
              <w:rPr>
                <w:rStyle w:val="8"/>
                <w:rFonts w:hint="default" w:ascii="宋体" w:hAnsi="宋体" w:eastAsia="宋体" w:cs="宋体"/>
                <w:color w:val="auto"/>
                <w:sz w:val="21"/>
                <w:szCs w:val="24"/>
                <w:highlight w:val="none"/>
                <w:lang w:val="en-US" w:eastAsia="zh-CN"/>
              </w:rPr>
              <w:t>15、</w:t>
            </w:r>
            <w:r>
              <w:rPr>
                <w:rStyle w:val="8"/>
                <w:rFonts w:hint="default" w:ascii="宋体" w:hAnsi="宋体" w:eastAsia="宋体" w:cs="宋体"/>
                <w:color w:val="auto"/>
                <w:sz w:val="21"/>
                <w:szCs w:val="24"/>
                <w:highlight w:val="none"/>
              </w:rPr>
              <w:t>应急预案与保障措施</w:t>
            </w:r>
            <w:r>
              <w:rPr>
                <w:rStyle w:val="8"/>
                <w:rFonts w:hint="default" w:ascii="宋体" w:hAnsi="宋体" w:eastAsia="宋体" w:cs="宋体"/>
                <w:color w:val="auto"/>
                <w:sz w:val="21"/>
                <w:szCs w:val="24"/>
                <w:highlight w:val="none"/>
                <w:lang w:eastAsia="zh-CN"/>
              </w:rPr>
              <w:t>（</w:t>
            </w:r>
            <w:r>
              <w:rPr>
                <w:rStyle w:val="8"/>
                <w:rFonts w:hint="default" w:ascii="宋体" w:hAnsi="宋体" w:eastAsia="宋体" w:cs="宋体"/>
                <w:color w:val="auto"/>
                <w:sz w:val="21"/>
                <w:szCs w:val="24"/>
                <w:highlight w:val="none"/>
                <w:lang w:val="en-US" w:eastAsia="zh-CN"/>
              </w:rPr>
              <w:t>2.0分</w:t>
            </w:r>
            <w:r>
              <w:rPr>
                <w:rStyle w:val="8"/>
                <w:rFonts w:hint="default" w:ascii="宋体" w:hAnsi="宋体" w:eastAsia="宋体" w:cs="宋体"/>
                <w:color w:val="auto"/>
                <w:sz w:val="21"/>
                <w:szCs w:val="24"/>
                <w:highlight w:val="none"/>
                <w:lang w:eastAsia="zh-CN"/>
              </w:rPr>
              <w:t>）</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66B0906">
            <w:pPr>
              <w:spacing w:beforeLines="0" w:afterLines="0"/>
              <w:jc w:val="center"/>
              <w:rPr>
                <w:rFonts w:hint="default"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3AD60B2">
            <w:pPr>
              <w:pStyle w:val="11"/>
              <w:spacing w:before="159" w:beforeLines="0" w:afterLines="0" w:line="221" w:lineRule="auto"/>
              <w:ind w:left="115"/>
              <w:rPr>
                <w:rStyle w:val="8"/>
                <w:rFonts w:hint="default"/>
                <w:color w:val="auto"/>
                <w:sz w:val="21"/>
                <w:szCs w:val="24"/>
                <w:highlight w:val="none"/>
              </w:rPr>
            </w:pPr>
            <w:r>
              <w:rPr>
                <w:rStyle w:val="8"/>
                <w:rFonts w:hint="default"/>
                <w:color w:val="auto"/>
                <w:sz w:val="21"/>
                <w:szCs w:val="24"/>
                <w:highlight w:val="none"/>
              </w:rPr>
              <w:t>质量、安全、工期、突发事件应急预案完善可行</w:t>
            </w:r>
            <w:r>
              <w:rPr>
                <w:rStyle w:val="8"/>
                <w:rFonts w:hint="default"/>
                <w:color w:val="auto"/>
                <w:sz w:val="21"/>
                <w:szCs w:val="24"/>
                <w:highlight w:val="none"/>
                <w:lang w:eastAsia="zh-CN"/>
              </w:rPr>
              <w:t>，1.1-</w:t>
            </w:r>
            <w:r>
              <w:rPr>
                <w:rStyle w:val="8"/>
                <w:rFonts w:hint="default"/>
                <w:color w:val="auto"/>
                <w:sz w:val="21"/>
                <w:szCs w:val="24"/>
                <w:highlight w:val="none"/>
              </w:rPr>
              <w:t>2 分</w:t>
            </w:r>
            <w:r>
              <w:rPr>
                <w:rStyle w:val="8"/>
                <w:rFonts w:hint="default"/>
                <w:color w:val="auto"/>
                <w:sz w:val="21"/>
                <w:szCs w:val="24"/>
                <w:highlight w:val="none"/>
                <w:lang w:eastAsia="zh-CN"/>
              </w:rPr>
              <w:t>，</w:t>
            </w:r>
            <w:r>
              <w:rPr>
                <w:rStyle w:val="8"/>
                <w:rFonts w:hint="default"/>
                <w:color w:val="auto"/>
                <w:sz w:val="21"/>
                <w:szCs w:val="24"/>
                <w:highlight w:val="none"/>
              </w:rPr>
              <w:t>预案基本可行</w:t>
            </w:r>
            <w:r>
              <w:rPr>
                <w:rStyle w:val="8"/>
                <w:rFonts w:hint="default"/>
                <w:color w:val="auto"/>
                <w:sz w:val="21"/>
                <w:szCs w:val="24"/>
                <w:highlight w:val="none"/>
                <w:lang w:eastAsia="zh-CN"/>
              </w:rPr>
              <w:t>，0.1-1</w:t>
            </w:r>
            <w:r>
              <w:rPr>
                <w:rStyle w:val="8"/>
                <w:rFonts w:hint="default"/>
                <w:color w:val="auto"/>
                <w:sz w:val="21"/>
                <w:szCs w:val="24"/>
                <w:highlight w:val="none"/>
              </w:rPr>
              <w:t>分</w:t>
            </w:r>
            <w:r>
              <w:rPr>
                <w:rStyle w:val="8"/>
                <w:rFonts w:hint="default"/>
                <w:color w:val="auto"/>
                <w:sz w:val="21"/>
                <w:szCs w:val="24"/>
                <w:highlight w:val="none"/>
                <w:lang w:eastAsia="zh-CN"/>
              </w:rPr>
              <w:t>，</w:t>
            </w:r>
            <w:r>
              <w:rPr>
                <w:rStyle w:val="8"/>
                <w:rFonts w:hint="default"/>
                <w:color w:val="auto"/>
                <w:sz w:val="21"/>
                <w:szCs w:val="24"/>
                <w:highlight w:val="none"/>
              </w:rPr>
              <w:t>无预案或预案不可行</w:t>
            </w:r>
            <w:r>
              <w:rPr>
                <w:rStyle w:val="8"/>
                <w:rFonts w:hint="default"/>
                <w:color w:val="auto"/>
                <w:sz w:val="21"/>
                <w:szCs w:val="24"/>
                <w:highlight w:val="none"/>
                <w:lang w:eastAsia="zh-CN"/>
              </w:rPr>
              <w:t>，</w:t>
            </w:r>
            <w:r>
              <w:rPr>
                <w:rStyle w:val="8"/>
                <w:rFonts w:hint="default"/>
                <w:color w:val="auto"/>
                <w:sz w:val="21"/>
                <w:szCs w:val="24"/>
                <w:highlight w:val="none"/>
              </w:rPr>
              <w:t>0 分</w:t>
            </w:r>
          </w:p>
          <w:p w14:paraId="2D73ADCA">
            <w:pPr>
              <w:pStyle w:val="11"/>
              <w:spacing w:before="159" w:beforeLines="0" w:afterLines="0" w:line="221" w:lineRule="auto"/>
              <w:rPr>
                <w:rStyle w:val="8"/>
                <w:rFonts w:hint="default"/>
                <w:color w:val="auto"/>
                <w:sz w:val="21"/>
                <w:szCs w:val="24"/>
                <w:highlight w:val="none"/>
              </w:rPr>
            </w:pPr>
          </w:p>
        </w:tc>
      </w:tr>
      <w:tr w14:paraId="3315C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0E0D2494">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6E73F3EA">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5CD882D">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6</w:t>
            </w:r>
            <w:r>
              <w:rPr>
                <w:rStyle w:val="8"/>
                <w:rFonts w:hint="default" w:ascii="宋体" w:hAnsi="宋体" w:eastAsia="宋体" w:cs="宋体"/>
                <w:color w:val="auto"/>
                <w:sz w:val="21"/>
                <w:szCs w:val="24"/>
                <w:highlight w:val="none"/>
              </w:rPr>
              <w:t>、实名制及确保农民工工资(2.0分)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5AA6A37">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EC653B5">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措施科学、具体、可行、可靠，对国家、省、市规定进行了响应，最佳1.6-2.0分；良好1.0-1.5分；一般0.5-0.9分；较差0-0.4分。</w:t>
            </w:r>
          </w:p>
        </w:tc>
      </w:tr>
      <w:tr w14:paraId="3C8F8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742FC11D">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642789AE">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A7E5B1D">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7</w:t>
            </w:r>
            <w:r>
              <w:rPr>
                <w:rStyle w:val="8"/>
                <w:rFonts w:hint="default" w:ascii="宋体" w:hAnsi="宋体" w:eastAsia="宋体" w:cs="宋体"/>
                <w:color w:val="auto"/>
                <w:sz w:val="21"/>
                <w:szCs w:val="24"/>
                <w:highlight w:val="none"/>
              </w:rPr>
              <w:t>、工程档案(2.0分)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9BA4DFF">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24AA290">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工程档案材料收集及整理措施科学、规范、严密，手段先进，最佳1.6-2.0分；良好1.0-1.5分；一般0.5-0.9分；较差0-0.4分。</w:t>
            </w:r>
          </w:p>
        </w:tc>
      </w:tr>
      <w:tr w14:paraId="63D06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56E066D1">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3BE1100B">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D9B8F8F">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8</w:t>
            </w:r>
            <w:r>
              <w:rPr>
                <w:rStyle w:val="8"/>
                <w:rFonts w:hint="default" w:ascii="宋体" w:hAnsi="宋体" w:eastAsia="宋体" w:cs="宋体"/>
                <w:color w:val="auto"/>
                <w:sz w:val="21"/>
                <w:szCs w:val="24"/>
                <w:highlight w:val="none"/>
              </w:rPr>
              <w:t>、质量保修(2.0分)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E20C2EF">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A053B02">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质量保修方案科学、合理、可行，建设单位权益能得到有效保障，最佳1.6-2.0分；良好1.0-1.5分；一般0.5-0.9分；较差0-0.4分。</w:t>
            </w:r>
          </w:p>
        </w:tc>
      </w:tr>
      <w:tr w14:paraId="26925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2D725B81">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12AFA75B">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071FE6A">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9</w:t>
            </w:r>
            <w:r>
              <w:rPr>
                <w:rStyle w:val="8"/>
                <w:rFonts w:hint="default" w:ascii="宋体" w:hAnsi="宋体" w:eastAsia="宋体" w:cs="宋体"/>
                <w:color w:val="auto"/>
                <w:sz w:val="21"/>
                <w:szCs w:val="24"/>
                <w:highlight w:val="none"/>
              </w:rPr>
              <w:t>、与业主、设计单位及其它相关单位的配合(2.0分)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09E4F3F">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F887F64">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配合协调方案措施可行、可靠、合理、针对性好，承诺具体，最佳1.6-2.0分；良好1.0-1.5分；一般0.5-0.9分；较差0-0.4分。</w:t>
            </w:r>
          </w:p>
        </w:tc>
      </w:tr>
      <w:tr w14:paraId="52323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single" w:color="000000" w:sz="2" w:space="0"/>
              <w:right w:val="single" w:color="000000" w:sz="2" w:space="0"/>
              <w:tl2br w:val="nil"/>
              <w:tr2bl w:val="nil"/>
            </w:tcBorders>
            <w:noWrap w:val="0"/>
            <w:vAlign w:val="top"/>
          </w:tcPr>
          <w:p w14:paraId="4C641AC4">
            <w:pPr>
              <w:spacing w:beforeLines="0" w:afterLines="0"/>
              <w:rPr>
                <w:rFonts w:hint="default"/>
                <w:color w:val="auto"/>
                <w:sz w:val="21"/>
                <w:szCs w:val="21"/>
                <w:highlight w:val="none"/>
              </w:rPr>
            </w:pPr>
          </w:p>
        </w:tc>
        <w:tc>
          <w:tcPr>
            <w:tcW w:w="1099" w:type="dxa"/>
            <w:tcBorders>
              <w:top w:val="nil"/>
              <w:left w:val="single" w:color="000000" w:sz="2" w:space="0"/>
              <w:bottom w:val="single" w:color="000000" w:sz="2" w:space="0"/>
              <w:right w:val="single" w:color="000000" w:sz="2" w:space="0"/>
              <w:tl2br w:val="nil"/>
              <w:tr2bl w:val="nil"/>
            </w:tcBorders>
            <w:noWrap w:val="0"/>
            <w:vAlign w:val="top"/>
          </w:tcPr>
          <w:p w14:paraId="67579458">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60EC5A6">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20、合理化建议及降低成本措施(2.0分)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8BBF569">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286D1F4">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提出了符合本工程特点的合理化建议并具备可行性，降低成本措施适合本项目并具备可行性，最佳1.6-2.0分；良好1.0-1.5分；一般0.5-0.9分；较差0-0.4分。</w:t>
            </w:r>
          </w:p>
        </w:tc>
      </w:tr>
    </w:tbl>
    <w:p w14:paraId="5CD0B714">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43111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9"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0DE790DB">
            <w:pPr>
              <w:spacing w:beforeLines="0" w:afterLines="0" w:line="246" w:lineRule="auto"/>
              <w:rPr>
                <w:rFonts w:hint="default"/>
                <w:color w:val="auto"/>
                <w:sz w:val="21"/>
                <w:szCs w:val="21"/>
                <w:highlight w:val="none"/>
              </w:rPr>
            </w:pPr>
          </w:p>
          <w:p w14:paraId="4CCFB505">
            <w:pPr>
              <w:spacing w:beforeLines="0" w:afterLines="0" w:line="246" w:lineRule="auto"/>
              <w:rPr>
                <w:rFonts w:hint="default"/>
                <w:color w:val="auto"/>
                <w:sz w:val="21"/>
                <w:szCs w:val="21"/>
                <w:highlight w:val="none"/>
              </w:rPr>
            </w:pPr>
          </w:p>
          <w:p w14:paraId="2BDFE53B">
            <w:pPr>
              <w:spacing w:beforeLines="0" w:afterLines="0" w:line="246" w:lineRule="auto"/>
              <w:rPr>
                <w:rFonts w:hint="default"/>
                <w:color w:val="auto"/>
                <w:sz w:val="21"/>
                <w:szCs w:val="21"/>
                <w:highlight w:val="none"/>
              </w:rPr>
            </w:pPr>
          </w:p>
          <w:p w14:paraId="0238937A">
            <w:pPr>
              <w:spacing w:beforeLines="0" w:afterLines="0" w:line="246" w:lineRule="auto"/>
              <w:rPr>
                <w:rFonts w:hint="default"/>
                <w:color w:val="auto"/>
                <w:sz w:val="21"/>
                <w:szCs w:val="21"/>
                <w:highlight w:val="none"/>
              </w:rPr>
            </w:pPr>
          </w:p>
          <w:p w14:paraId="73E53CED">
            <w:pPr>
              <w:spacing w:beforeLines="0" w:afterLines="0" w:line="246" w:lineRule="auto"/>
              <w:rPr>
                <w:rFonts w:hint="default"/>
                <w:color w:val="auto"/>
                <w:sz w:val="21"/>
                <w:szCs w:val="21"/>
                <w:highlight w:val="none"/>
              </w:rPr>
            </w:pPr>
          </w:p>
          <w:p w14:paraId="351B0155">
            <w:pPr>
              <w:spacing w:beforeLines="0" w:afterLines="0" w:line="246" w:lineRule="auto"/>
              <w:rPr>
                <w:rFonts w:hint="default"/>
                <w:color w:val="auto"/>
                <w:sz w:val="21"/>
                <w:szCs w:val="21"/>
                <w:highlight w:val="none"/>
              </w:rPr>
            </w:pPr>
          </w:p>
          <w:p w14:paraId="2D950140">
            <w:pPr>
              <w:spacing w:beforeLines="0" w:afterLines="0" w:line="246" w:lineRule="auto"/>
              <w:rPr>
                <w:rFonts w:hint="default"/>
                <w:color w:val="auto"/>
                <w:sz w:val="21"/>
                <w:szCs w:val="21"/>
                <w:highlight w:val="none"/>
              </w:rPr>
            </w:pPr>
          </w:p>
          <w:p w14:paraId="6B0726A2">
            <w:pPr>
              <w:spacing w:beforeLines="0" w:afterLines="0" w:line="246" w:lineRule="auto"/>
              <w:rPr>
                <w:rFonts w:hint="default"/>
                <w:color w:val="auto"/>
                <w:sz w:val="21"/>
                <w:szCs w:val="21"/>
                <w:highlight w:val="none"/>
              </w:rPr>
            </w:pPr>
          </w:p>
          <w:p w14:paraId="7D566DAC">
            <w:pPr>
              <w:spacing w:beforeLines="0" w:afterLines="0" w:line="246" w:lineRule="auto"/>
              <w:rPr>
                <w:rFonts w:hint="default"/>
                <w:color w:val="auto"/>
                <w:sz w:val="21"/>
                <w:szCs w:val="21"/>
                <w:highlight w:val="none"/>
              </w:rPr>
            </w:pPr>
          </w:p>
          <w:p w14:paraId="49BF253F">
            <w:pPr>
              <w:spacing w:beforeLines="0" w:afterLines="0" w:line="247" w:lineRule="auto"/>
              <w:rPr>
                <w:rFonts w:hint="default"/>
                <w:color w:val="auto"/>
                <w:sz w:val="21"/>
                <w:szCs w:val="21"/>
                <w:highlight w:val="none"/>
              </w:rPr>
            </w:pPr>
          </w:p>
          <w:p w14:paraId="16412332">
            <w:pPr>
              <w:spacing w:beforeLines="0" w:afterLines="0" w:line="247" w:lineRule="auto"/>
              <w:rPr>
                <w:rFonts w:hint="default"/>
                <w:color w:val="auto"/>
                <w:sz w:val="21"/>
                <w:szCs w:val="21"/>
                <w:highlight w:val="none"/>
              </w:rPr>
            </w:pPr>
          </w:p>
          <w:p w14:paraId="053F7103">
            <w:pPr>
              <w:spacing w:beforeLines="0" w:afterLines="0" w:line="247" w:lineRule="auto"/>
              <w:rPr>
                <w:rFonts w:hint="default"/>
                <w:color w:val="auto"/>
                <w:sz w:val="21"/>
                <w:szCs w:val="21"/>
                <w:highlight w:val="none"/>
              </w:rPr>
            </w:pPr>
          </w:p>
          <w:p w14:paraId="099FAE36">
            <w:pPr>
              <w:spacing w:beforeLines="0" w:afterLines="0" w:line="247" w:lineRule="auto"/>
              <w:rPr>
                <w:rFonts w:hint="default"/>
                <w:color w:val="auto"/>
                <w:sz w:val="21"/>
                <w:szCs w:val="21"/>
                <w:highlight w:val="none"/>
              </w:rPr>
            </w:pPr>
          </w:p>
          <w:p w14:paraId="2BA9A3D4">
            <w:pPr>
              <w:spacing w:beforeLines="0" w:afterLines="0" w:line="247" w:lineRule="auto"/>
              <w:rPr>
                <w:rFonts w:hint="default"/>
                <w:color w:val="auto"/>
                <w:sz w:val="21"/>
                <w:szCs w:val="21"/>
                <w:highlight w:val="none"/>
              </w:rPr>
            </w:pPr>
          </w:p>
          <w:p w14:paraId="51B60CA3">
            <w:pPr>
              <w:spacing w:beforeLines="0" w:afterLines="0" w:line="247" w:lineRule="auto"/>
              <w:rPr>
                <w:rFonts w:hint="default"/>
                <w:color w:val="auto"/>
                <w:sz w:val="21"/>
                <w:szCs w:val="21"/>
                <w:highlight w:val="none"/>
              </w:rPr>
            </w:pPr>
          </w:p>
          <w:p w14:paraId="486A177B">
            <w:pPr>
              <w:spacing w:beforeLines="0" w:afterLines="0" w:line="247" w:lineRule="auto"/>
              <w:rPr>
                <w:rFonts w:hint="default"/>
                <w:color w:val="auto"/>
                <w:sz w:val="21"/>
                <w:szCs w:val="21"/>
                <w:highlight w:val="none"/>
              </w:rPr>
            </w:pPr>
          </w:p>
          <w:p w14:paraId="38938FBD">
            <w:pPr>
              <w:spacing w:beforeLines="0" w:afterLines="0" w:line="247" w:lineRule="auto"/>
              <w:rPr>
                <w:rFonts w:hint="default"/>
                <w:color w:val="auto"/>
                <w:sz w:val="21"/>
                <w:szCs w:val="21"/>
                <w:highlight w:val="none"/>
              </w:rPr>
            </w:pPr>
          </w:p>
          <w:p w14:paraId="72795FB9">
            <w:pPr>
              <w:spacing w:beforeLines="0" w:afterLines="0" w:line="247" w:lineRule="auto"/>
              <w:rPr>
                <w:rFonts w:hint="default"/>
                <w:color w:val="auto"/>
                <w:sz w:val="21"/>
                <w:szCs w:val="21"/>
                <w:highlight w:val="none"/>
              </w:rPr>
            </w:pPr>
          </w:p>
          <w:p w14:paraId="208DCC93">
            <w:pPr>
              <w:spacing w:beforeLines="0" w:afterLines="0" w:line="247" w:lineRule="auto"/>
              <w:rPr>
                <w:rFonts w:hint="default"/>
                <w:color w:val="auto"/>
                <w:sz w:val="21"/>
                <w:szCs w:val="21"/>
                <w:highlight w:val="none"/>
              </w:rPr>
            </w:pPr>
          </w:p>
          <w:p w14:paraId="6E2127E1">
            <w:pPr>
              <w:spacing w:beforeLines="0" w:afterLines="0" w:line="247" w:lineRule="auto"/>
              <w:rPr>
                <w:rFonts w:hint="default"/>
                <w:color w:val="auto"/>
                <w:sz w:val="21"/>
                <w:szCs w:val="21"/>
                <w:highlight w:val="none"/>
              </w:rPr>
            </w:pPr>
          </w:p>
          <w:p w14:paraId="0060D4F7">
            <w:pPr>
              <w:spacing w:beforeLines="0" w:afterLines="0" w:line="247" w:lineRule="auto"/>
              <w:rPr>
                <w:rFonts w:hint="default"/>
                <w:color w:val="auto"/>
                <w:sz w:val="21"/>
                <w:szCs w:val="21"/>
                <w:highlight w:val="none"/>
              </w:rPr>
            </w:pPr>
          </w:p>
          <w:p w14:paraId="586BFB8E">
            <w:pPr>
              <w:spacing w:beforeLines="0" w:afterLines="0" w:line="247" w:lineRule="auto"/>
              <w:rPr>
                <w:rFonts w:hint="default"/>
                <w:color w:val="auto"/>
                <w:sz w:val="21"/>
                <w:szCs w:val="21"/>
                <w:highlight w:val="none"/>
              </w:rPr>
            </w:pPr>
          </w:p>
          <w:p w14:paraId="3CBAA092">
            <w:pPr>
              <w:spacing w:beforeLines="0" w:afterLines="0" w:line="247" w:lineRule="auto"/>
              <w:rPr>
                <w:rFonts w:hint="default"/>
                <w:color w:val="auto"/>
                <w:sz w:val="21"/>
                <w:szCs w:val="21"/>
                <w:highlight w:val="none"/>
              </w:rPr>
            </w:pPr>
          </w:p>
          <w:p w14:paraId="0E33D421">
            <w:pPr>
              <w:spacing w:beforeLines="0" w:afterLines="0" w:line="247" w:lineRule="auto"/>
              <w:rPr>
                <w:rFonts w:hint="default"/>
                <w:color w:val="auto"/>
                <w:sz w:val="21"/>
                <w:szCs w:val="21"/>
                <w:highlight w:val="none"/>
              </w:rPr>
            </w:pPr>
          </w:p>
          <w:p w14:paraId="04864AFE">
            <w:pPr>
              <w:spacing w:beforeLines="0" w:afterLines="0" w:line="247" w:lineRule="auto"/>
              <w:rPr>
                <w:rFonts w:hint="default"/>
                <w:color w:val="auto"/>
                <w:sz w:val="21"/>
                <w:szCs w:val="21"/>
                <w:highlight w:val="none"/>
              </w:rPr>
            </w:pPr>
          </w:p>
          <w:p w14:paraId="7315BB45">
            <w:pPr>
              <w:spacing w:before="61" w:beforeLines="0" w:afterLines="0" w:line="381" w:lineRule="exact"/>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6"/>
                <w:sz w:val="21"/>
                <w:szCs w:val="21"/>
                <w:highlight w:val="none"/>
              </w:rPr>
              <w:t>2.2.4</w:t>
            </w:r>
          </w:p>
          <w:p w14:paraId="6FE934F1">
            <w:pPr>
              <w:pStyle w:val="11"/>
              <w:spacing w:beforeLines="0" w:afterLines="0" w:line="232" w:lineRule="auto"/>
              <w:ind w:left="119"/>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3</w:t>
            </w:r>
            <w:r>
              <w:rPr>
                <w:rFonts w:hint="default"/>
                <w:color w:val="auto"/>
                <w:spacing w:val="-5"/>
                <w:sz w:val="21"/>
                <w:szCs w:val="21"/>
                <w:highlight w:val="none"/>
              </w:rPr>
              <w:t>）</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37B3948C">
            <w:pPr>
              <w:spacing w:beforeLines="0" w:afterLines="0" w:line="244" w:lineRule="auto"/>
              <w:rPr>
                <w:rFonts w:hint="default"/>
                <w:color w:val="auto"/>
                <w:sz w:val="21"/>
                <w:szCs w:val="21"/>
                <w:highlight w:val="none"/>
              </w:rPr>
            </w:pPr>
          </w:p>
          <w:p w14:paraId="6F5B6BE0">
            <w:pPr>
              <w:spacing w:beforeLines="0" w:afterLines="0" w:line="244" w:lineRule="auto"/>
              <w:rPr>
                <w:rFonts w:hint="default"/>
                <w:color w:val="auto"/>
                <w:sz w:val="21"/>
                <w:szCs w:val="21"/>
                <w:highlight w:val="none"/>
              </w:rPr>
            </w:pPr>
          </w:p>
          <w:p w14:paraId="0E6A12B8">
            <w:pPr>
              <w:spacing w:beforeLines="0" w:afterLines="0" w:line="244" w:lineRule="auto"/>
              <w:rPr>
                <w:rFonts w:hint="default"/>
                <w:color w:val="auto"/>
                <w:sz w:val="21"/>
                <w:szCs w:val="21"/>
                <w:highlight w:val="none"/>
              </w:rPr>
            </w:pPr>
          </w:p>
          <w:p w14:paraId="3ADB2E4D">
            <w:pPr>
              <w:spacing w:beforeLines="0" w:afterLines="0" w:line="245" w:lineRule="auto"/>
              <w:rPr>
                <w:rFonts w:hint="default"/>
                <w:color w:val="auto"/>
                <w:sz w:val="21"/>
                <w:szCs w:val="21"/>
                <w:highlight w:val="none"/>
              </w:rPr>
            </w:pPr>
          </w:p>
          <w:p w14:paraId="2985260C">
            <w:pPr>
              <w:spacing w:beforeLines="0" w:afterLines="0" w:line="245" w:lineRule="auto"/>
              <w:rPr>
                <w:rFonts w:hint="default"/>
                <w:color w:val="auto"/>
                <w:sz w:val="21"/>
                <w:szCs w:val="21"/>
                <w:highlight w:val="none"/>
              </w:rPr>
            </w:pPr>
          </w:p>
          <w:p w14:paraId="65927178">
            <w:pPr>
              <w:spacing w:beforeLines="0" w:afterLines="0" w:line="245" w:lineRule="auto"/>
              <w:rPr>
                <w:rFonts w:hint="default"/>
                <w:color w:val="auto"/>
                <w:sz w:val="21"/>
                <w:szCs w:val="21"/>
                <w:highlight w:val="none"/>
              </w:rPr>
            </w:pPr>
          </w:p>
          <w:p w14:paraId="4D995321">
            <w:pPr>
              <w:spacing w:beforeLines="0" w:afterLines="0" w:line="245" w:lineRule="auto"/>
              <w:rPr>
                <w:rFonts w:hint="default"/>
                <w:color w:val="auto"/>
                <w:sz w:val="21"/>
                <w:szCs w:val="21"/>
                <w:highlight w:val="none"/>
              </w:rPr>
            </w:pPr>
          </w:p>
          <w:p w14:paraId="1A8DFEB5">
            <w:pPr>
              <w:spacing w:beforeLines="0" w:afterLines="0" w:line="245" w:lineRule="auto"/>
              <w:rPr>
                <w:rFonts w:hint="default"/>
                <w:color w:val="auto"/>
                <w:sz w:val="21"/>
                <w:szCs w:val="21"/>
                <w:highlight w:val="none"/>
              </w:rPr>
            </w:pPr>
          </w:p>
          <w:p w14:paraId="581413BF">
            <w:pPr>
              <w:spacing w:beforeLines="0" w:afterLines="0" w:line="245" w:lineRule="auto"/>
              <w:rPr>
                <w:rFonts w:hint="default"/>
                <w:color w:val="auto"/>
                <w:sz w:val="21"/>
                <w:szCs w:val="21"/>
                <w:highlight w:val="none"/>
              </w:rPr>
            </w:pPr>
          </w:p>
          <w:p w14:paraId="37650932">
            <w:pPr>
              <w:spacing w:beforeLines="0" w:afterLines="0" w:line="245" w:lineRule="auto"/>
              <w:rPr>
                <w:rFonts w:hint="default"/>
                <w:color w:val="auto"/>
                <w:sz w:val="21"/>
                <w:szCs w:val="21"/>
                <w:highlight w:val="none"/>
              </w:rPr>
            </w:pPr>
          </w:p>
          <w:p w14:paraId="5FE24822">
            <w:pPr>
              <w:spacing w:beforeLines="0" w:afterLines="0" w:line="245" w:lineRule="auto"/>
              <w:rPr>
                <w:rFonts w:hint="default"/>
                <w:color w:val="auto"/>
                <w:sz w:val="21"/>
                <w:szCs w:val="21"/>
                <w:highlight w:val="none"/>
              </w:rPr>
            </w:pPr>
          </w:p>
          <w:p w14:paraId="65E120D5">
            <w:pPr>
              <w:spacing w:beforeLines="0" w:afterLines="0" w:line="245" w:lineRule="auto"/>
              <w:rPr>
                <w:rFonts w:hint="default"/>
                <w:color w:val="auto"/>
                <w:sz w:val="21"/>
                <w:szCs w:val="21"/>
                <w:highlight w:val="none"/>
              </w:rPr>
            </w:pPr>
          </w:p>
          <w:p w14:paraId="53840AAA">
            <w:pPr>
              <w:spacing w:beforeLines="0" w:afterLines="0" w:line="245" w:lineRule="auto"/>
              <w:rPr>
                <w:rFonts w:hint="default"/>
                <w:color w:val="auto"/>
                <w:sz w:val="21"/>
                <w:szCs w:val="21"/>
                <w:highlight w:val="none"/>
              </w:rPr>
            </w:pPr>
          </w:p>
          <w:p w14:paraId="58B2B388">
            <w:pPr>
              <w:spacing w:beforeLines="0" w:afterLines="0" w:line="245" w:lineRule="auto"/>
              <w:rPr>
                <w:rFonts w:hint="default"/>
                <w:color w:val="auto"/>
                <w:sz w:val="21"/>
                <w:szCs w:val="21"/>
                <w:highlight w:val="none"/>
              </w:rPr>
            </w:pPr>
          </w:p>
          <w:p w14:paraId="25C39C2D">
            <w:pPr>
              <w:spacing w:beforeLines="0" w:afterLines="0" w:line="245" w:lineRule="auto"/>
              <w:rPr>
                <w:rFonts w:hint="default"/>
                <w:color w:val="auto"/>
                <w:sz w:val="21"/>
                <w:szCs w:val="21"/>
                <w:highlight w:val="none"/>
              </w:rPr>
            </w:pPr>
          </w:p>
          <w:p w14:paraId="10E7AC82">
            <w:pPr>
              <w:spacing w:beforeLines="0" w:afterLines="0" w:line="245" w:lineRule="auto"/>
              <w:rPr>
                <w:rFonts w:hint="default"/>
                <w:color w:val="auto"/>
                <w:sz w:val="21"/>
                <w:szCs w:val="21"/>
                <w:highlight w:val="none"/>
              </w:rPr>
            </w:pPr>
          </w:p>
          <w:p w14:paraId="085A76E6">
            <w:pPr>
              <w:spacing w:beforeLines="0" w:afterLines="0" w:line="245" w:lineRule="auto"/>
              <w:rPr>
                <w:rFonts w:hint="default"/>
                <w:color w:val="auto"/>
                <w:sz w:val="21"/>
                <w:szCs w:val="21"/>
                <w:highlight w:val="none"/>
              </w:rPr>
            </w:pPr>
          </w:p>
          <w:p w14:paraId="5206F7CD">
            <w:pPr>
              <w:spacing w:beforeLines="0" w:afterLines="0" w:line="245" w:lineRule="auto"/>
              <w:rPr>
                <w:rFonts w:hint="default"/>
                <w:color w:val="auto"/>
                <w:sz w:val="21"/>
                <w:szCs w:val="21"/>
                <w:highlight w:val="none"/>
              </w:rPr>
            </w:pPr>
          </w:p>
          <w:p w14:paraId="43FD8222">
            <w:pPr>
              <w:spacing w:beforeLines="0" w:afterLines="0" w:line="245" w:lineRule="auto"/>
              <w:rPr>
                <w:rFonts w:hint="default"/>
                <w:color w:val="auto"/>
                <w:sz w:val="21"/>
                <w:szCs w:val="21"/>
                <w:highlight w:val="none"/>
              </w:rPr>
            </w:pPr>
          </w:p>
          <w:p w14:paraId="19FF385D">
            <w:pPr>
              <w:spacing w:beforeLines="0" w:afterLines="0" w:line="245" w:lineRule="auto"/>
              <w:rPr>
                <w:rFonts w:hint="default"/>
                <w:color w:val="auto"/>
                <w:sz w:val="21"/>
                <w:szCs w:val="21"/>
                <w:highlight w:val="none"/>
              </w:rPr>
            </w:pPr>
          </w:p>
          <w:p w14:paraId="74BAAF75">
            <w:pPr>
              <w:spacing w:beforeLines="0" w:afterLines="0" w:line="245" w:lineRule="auto"/>
              <w:rPr>
                <w:rFonts w:hint="default"/>
                <w:color w:val="auto"/>
                <w:sz w:val="21"/>
                <w:szCs w:val="21"/>
                <w:highlight w:val="none"/>
              </w:rPr>
            </w:pPr>
          </w:p>
          <w:p w14:paraId="3DD47DF0">
            <w:pPr>
              <w:spacing w:beforeLines="0" w:afterLines="0" w:line="245" w:lineRule="auto"/>
              <w:rPr>
                <w:rFonts w:hint="default"/>
                <w:color w:val="auto"/>
                <w:sz w:val="21"/>
                <w:szCs w:val="21"/>
                <w:highlight w:val="none"/>
              </w:rPr>
            </w:pPr>
          </w:p>
          <w:p w14:paraId="06F900DF">
            <w:pPr>
              <w:spacing w:beforeLines="0" w:afterLines="0" w:line="245" w:lineRule="auto"/>
              <w:rPr>
                <w:rFonts w:hint="default"/>
                <w:color w:val="auto"/>
                <w:sz w:val="21"/>
                <w:szCs w:val="21"/>
                <w:highlight w:val="none"/>
              </w:rPr>
            </w:pPr>
          </w:p>
          <w:p w14:paraId="60F3835A">
            <w:pPr>
              <w:spacing w:beforeLines="0" w:afterLines="0" w:line="245" w:lineRule="auto"/>
              <w:rPr>
                <w:rFonts w:hint="default"/>
                <w:color w:val="auto"/>
                <w:sz w:val="21"/>
                <w:szCs w:val="21"/>
                <w:highlight w:val="none"/>
              </w:rPr>
            </w:pPr>
          </w:p>
          <w:p w14:paraId="4DD8885D">
            <w:pPr>
              <w:spacing w:beforeLines="0" w:afterLines="0" w:line="245" w:lineRule="auto"/>
              <w:rPr>
                <w:rFonts w:hint="default"/>
                <w:color w:val="auto"/>
                <w:sz w:val="21"/>
                <w:szCs w:val="21"/>
                <w:highlight w:val="none"/>
              </w:rPr>
            </w:pPr>
          </w:p>
          <w:p w14:paraId="578C5D25">
            <w:pPr>
              <w:pStyle w:val="11"/>
              <w:spacing w:before="68" w:beforeLines="0" w:afterLines="0" w:line="418" w:lineRule="exact"/>
              <w:ind w:left="142"/>
              <w:rPr>
                <w:rFonts w:hint="default"/>
                <w:color w:val="auto"/>
                <w:sz w:val="21"/>
                <w:szCs w:val="21"/>
                <w:highlight w:val="none"/>
              </w:rPr>
            </w:pPr>
            <w:r>
              <w:rPr>
                <w:rFonts w:hint="default"/>
                <w:color w:val="auto"/>
                <w:spacing w:val="-3"/>
                <w:position w:val="15"/>
                <w:sz w:val="21"/>
                <w:szCs w:val="21"/>
                <w:highlight w:val="none"/>
              </w:rPr>
              <w:t>资信业绩</w:t>
            </w:r>
          </w:p>
          <w:p w14:paraId="2C3C68F1">
            <w:pPr>
              <w:pStyle w:val="11"/>
              <w:spacing w:beforeLines="0" w:afterLines="0" w:line="221" w:lineRule="auto"/>
              <w:ind w:left="132"/>
              <w:rPr>
                <w:rFonts w:hint="default"/>
                <w:color w:val="auto"/>
                <w:sz w:val="21"/>
                <w:szCs w:val="21"/>
                <w:highlight w:val="none"/>
              </w:rPr>
            </w:pPr>
            <w:r>
              <w:rPr>
                <w:rFonts w:hint="default"/>
                <w:color w:val="auto"/>
                <w:spacing w:val="-1"/>
                <w:sz w:val="21"/>
                <w:szCs w:val="21"/>
                <w:highlight w:val="none"/>
              </w:rPr>
              <w:t>评分标准</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CA1251B">
            <w:pPr>
              <w:spacing w:beforeLines="0" w:afterLines="0" w:line="319" w:lineRule="auto"/>
              <w:jc w:val="center"/>
              <w:rPr>
                <w:rFonts w:hint="default"/>
                <w:color w:val="auto"/>
                <w:sz w:val="21"/>
                <w:szCs w:val="21"/>
                <w:highlight w:val="none"/>
              </w:rPr>
            </w:pPr>
          </w:p>
          <w:p w14:paraId="3A5368BF">
            <w:pPr>
              <w:pStyle w:val="11"/>
              <w:spacing w:before="69" w:beforeLines="0" w:afterLines="0" w:line="221" w:lineRule="auto"/>
              <w:ind w:firstLine="412" w:firstLineChars="200"/>
              <w:jc w:val="both"/>
              <w:rPr>
                <w:rFonts w:hint="default"/>
                <w:color w:val="auto"/>
                <w:sz w:val="21"/>
                <w:szCs w:val="21"/>
                <w:highlight w:val="none"/>
              </w:rPr>
            </w:pPr>
            <w:r>
              <w:rPr>
                <w:rFonts w:hint="default"/>
                <w:color w:val="auto"/>
                <w:spacing w:val="-2"/>
                <w:sz w:val="21"/>
                <w:szCs w:val="21"/>
                <w:highlight w:val="none"/>
              </w:rPr>
              <w:t>企业业绩</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83380B1">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6B58B06">
            <w:pPr>
              <w:pStyle w:val="11"/>
              <w:spacing w:before="24" w:beforeLines="0" w:afterLines="0" w:line="231" w:lineRule="auto"/>
              <w:ind w:left="115" w:right="104"/>
              <w:rPr>
                <w:rFonts w:hint="default"/>
                <w:color w:val="auto"/>
                <w:sz w:val="21"/>
                <w:szCs w:val="21"/>
                <w:highlight w:val="none"/>
              </w:rPr>
            </w:pPr>
            <w:r>
              <w:rPr>
                <w:rFonts w:hint="default"/>
                <w:color w:val="auto"/>
                <w:spacing w:val="-14"/>
                <w:sz w:val="21"/>
                <w:szCs w:val="21"/>
                <w:highlight w:val="none"/>
              </w:rPr>
              <w:t>业绩类别及专业：</w:t>
            </w:r>
            <w:r>
              <w:rPr>
                <w:rFonts w:hint="default"/>
                <w:color w:val="auto"/>
                <w:spacing w:val="75"/>
                <w:sz w:val="21"/>
                <w:szCs w:val="21"/>
                <w:highlight w:val="none"/>
              </w:rPr>
              <w:t xml:space="preserve"> </w:t>
            </w:r>
            <w:r>
              <w:rPr>
                <w:rFonts w:hint="default"/>
                <w:color w:val="auto"/>
                <w:spacing w:val="-14"/>
                <w:sz w:val="21"/>
                <w:szCs w:val="21"/>
                <w:highlight w:val="none"/>
                <w:u w:val="single" w:color="auto"/>
              </w:rPr>
              <w:t>施工类-</w:t>
            </w:r>
            <w:r>
              <w:rPr>
                <w:rFonts w:hint="default"/>
                <w:color w:val="auto"/>
                <w:spacing w:val="-5"/>
                <w:sz w:val="21"/>
                <w:szCs w:val="21"/>
                <w:highlight w:val="none"/>
                <w:u w:val="single" w:color="auto"/>
              </w:rPr>
              <w:t xml:space="preserve"> </w:t>
            </w:r>
            <w:r>
              <w:rPr>
                <w:rFonts w:hint="default"/>
                <w:color w:val="auto"/>
                <w:spacing w:val="-5"/>
                <w:sz w:val="21"/>
                <w:szCs w:val="21"/>
                <w:highlight w:val="none"/>
                <w:u w:val="single" w:color="auto"/>
                <w:lang w:eastAsia="zh-CN"/>
              </w:rPr>
              <w:t>装饰装修</w:t>
            </w:r>
            <w:r>
              <w:rPr>
                <w:rFonts w:hint="default"/>
                <w:color w:val="auto"/>
                <w:spacing w:val="-5"/>
                <w:sz w:val="21"/>
                <w:szCs w:val="21"/>
                <w:highlight w:val="none"/>
                <w:u w:val="single" w:color="auto"/>
              </w:rPr>
              <w:t>（新建/改造/新建或改造）</w:t>
            </w:r>
            <w:r>
              <w:rPr>
                <w:rFonts w:hint="default"/>
                <w:color w:val="auto"/>
                <w:spacing w:val="17"/>
                <w:sz w:val="21"/>
                <w:szCs w:val="21"/>
                <w:highlight w:val="none"/>
                <w:u w:val="single" w:color="auto"/>
              </w:rPr>
              <w:t xml:space="preserve"> </w:t>
            </w:r>
          </w:p>
          <w:p w14:paraId="0B7F796B">
            <w:pPr>
              <w:pStyle w:val="11"/>
              <w:spacing w:before="22" w:beforeLines="0" w:afterLines="0" w:line="221" w:lineRule="auto"/>
              <w:ind w:left="117"/>
              <w:rPr>
                <w:rFonts w:hint="default"/>
                <w:color w:val="auto"/>
                <w:sz w:val="21"/>
                <w:szCs w:val="21"/>
                <w:highlight w:val="none"/>
              </w:rPr>
            </w:pPr>
            <w:r>
              <w:rPr>
                <w:rFonts w:hint="default"/>
                <w:color w:val="auto"/>
                <w:spacing w:val="-15"/>
                <w:sz w:val="21"/>
                <w:szCs w:val="21"/>
                <w:highlight w:val="none"/>
              </w:rPr>
              <w:t>年份</w:t>
            </w:r>
            <w:r>
              <w:rPr>
                <w:rFonts w:hint="default"/>
                <w:color w:val="auto"/>
                <w:spacing w:val="-13"/>
                <w:sz w:val="21"/>
                <w:szCs w:val="21"/>
                <w:highlight w:val="none"/>
              </w:rPr>
              <w:t>：</w:t>
            </w:r>
            <w:r>
              <w:rPr>
                <w:rFonts w:hint="default"/>
                <w:color w:val="auto"/>
                <w:spacing w:val="-3"/>
                <w:sz w:val="21"/>
                <w:szCs w:val="21"/>
                <w:highlight w:val="none"/>
              </w:rPr>
              <w:t xml:space="preserve"> </w:t>
            </w:r>
            <w:r>
              <w:rPr>
                <w:rFonts w:hint="default"/>
                <w:color w:val="auto"/>
                <w:spacing w:val="2"/>
                <w:sz w:val="21"/>
                <w:szCs w:val="21"/>
                <w:highlight w:val="none"/>
                <w:u w:val="single" w:color="auto"/>
                <w:lang w:eastAsia="zh-CN"/>
              </w:rPr>
              <w:t>2021年1月1日</w:t>
            </w:r>
            <w:r>
              <w:rPr>
                <w:rFonts w:hint="default"/>
                <w:color w:val="auto"/>
                <w:spacing w:val="18"/>
                <w:sz w:val="21"/>
                <w:szCs w:val="21"/>
                <w:highlight w:val="none"/>
                <w:u w:val="single" w:color="auto"/>
              </w:rPr>
              <w:t xml:space="preserve"> </w:t>
            </w:r>
            <w:r>
              <w:rPr>
                <w:rFonts w:hint="default"/>
                <w:color w:val="auto"/>
                <w:spacing w:val="-94"/>
                <w:sz w:val="21"/>
                <w:szCs w:val="21"/>
                <w:highlight w:val="none"/>
              </w:rPr>
              <w:t xml:space="preserve"> </w:t>
            </w:r>
            <w:r>
              <w:rPr>
                <w:rFonts w:hint="default"/>
                <w:color w:val="auto"/>
                <w:spacing w:val="-15"/>
                <w:sz w:val="21"/>
                <w:szCs w:val="21"/>
                <w:highlight w:val="none"/>
              </w:rPr>
              <w:t>至投标截止时间</w:t>
            </w:r>
          </w:p>
          <w:p w14:paraId="6436E6B7">
            <w:pPr>
              <w:pStyle w:val="11"/>
              <w:spacing w:before="17" w:beforeLines="0" w:afterLines="0" w:line="221" w:lineRule="auto"/>
              <w:ind w:left="119"/>
              <w:rPr>
                <w:rFonts w:hint="default"/>
                <w:color w:val="auto"/>
                <w:sz w:val="21"/>
                <w:szCs w:val="21"/>
                <w:highlight w:val="none"/>
              </w:rPr>
            </w:pPr>
            <w:r>
              <w:rPr>
                <w:rFonts w:hint="default"/>
                <w:color w:val="auto"/>
                <w:spacing w:val="-10"/>
                <w:sz w:val="21"/>
                <w:szCs w:val="21"/>
                <w:highlight w:val="none"/>
              </w:rPr>
              <w:t xml:space="preserve">分值： </w:t>
            </w:r>
            <w:r>
              <w:rPr>
                <w:rFonts w:hint="default"/>
                <w:color w:val="auto"/>
                <w:spacing w:val="-10"/>
                <w:sz w:val="21"/>
                <w:szCs w:val="21"/>
                <w:highlight w:val="none"/>
                <w:u w:val="single" w:color="auto"/>
                <w:lang w:eastAsia="zh-CN"/>
              </w:rPr>
              <w:t>1</w:t>
            </w:r>
            <w:r>
              <w:rPr>
                <w:rFonts w:hint="default"/>
                <w:color w:val="auto"/>
                <w:spacing w:val="-10"/>
                <w:sz w:val="21"/>
                <w:szCs w:val="21"/>
                <w:highlight w:val="none"/>
              </w:rPr>
              <w:t>分/个，最多得</w:t>
            </w:r>
            <w:r>
              <w:rPr>
                <w:rFonts w:hint="default"/>
                <w:color w:val="auto"/>
                <w:spacing w:val="-104"/>
                <w:sz w:val="21"/>
                <w:szCs w:val="21"/>
                <w:highlight w:val="none"/>
              </w:rPr>
              <w:t xml:space="preserve"> </w:t>
            </w:r>
            <w:r>
              <w:rPr>
                <w:rFonts w:hint="default"/>
                <w:color w:val="auto"/>
                <w:sz w:val="21"/>
                <w:szCs w:val="21"/>
                <w:highlight w:val="none"/>
                <w:u w:val="single" w:color="auto"/>
              </w:rPr>
              <w:t xml:space="preserve"> </w:t>
            </w:r>
            <w:r>
              <w:rPr>
                <w:rFonts w:hint="default"/>
                <w:color w:val="auto"/>
                <w:sz w:val="21"/>
                <w:szCs w:val="21"/>
                <w:highlight w:val="none"/>
                <w:u w:val="single" w:color="auto"/>
                <w:lang w:eastAsia="zh-CN"/>
              </w:rPr>
              <w:t>2</w:t>
            </w:r>
            <w:r>
              <w:rPr>
                <w:rFonts w:hint="default"/>
                <w:color w:val="auto"/>
                <w:spacing w:val="-92"/>
                <w:sz w:val="21"/>
                <w:szCs w:val="21"/>
                <w:highlight w:val="none"/>
              </w:rPr>
              <w:t xml:space="preserve"> </w:t>
            </w:r>
            <w:r>
              <w:rPr>
                <w:rFonts w:hint="default"/>
                <w:color w:val="auto"/>
                <w:spacing w:val="-10"/>
                <w:sz w:val="21"/>
                <w:szCs w:val="21"/>
                <w:highlight w:val="none"/>
              </w:rPr>
              <w:t>分。</w:t>
            </w:r>
          </w:p>
          <w:p w14:paraId="42F8989E">
            <w:pPr>
              <w:pStyle w:val="11"/>
              <w:spacing w:before="21" w:beforeLines="0" w:afterLines="0" w:line="229" w:lineRule="auto"/>
              <w:ind w:left="118" w:right="110" w:hanging="2"/>
              <w:rPr>
                <w:rFonts w:hint="default"/>
                <w:color w:val="auto"/>
                <w:sz w:val="21"/>
                <w:szCs w:val="21"/>
                <w:highlight w:val="none"/>
              </w:rPr>
            </w:pPr>
            <w:r>
              <w:rPr>
                <w:rFonts w:hint="default"/>
                <w:color w:val="auto"/>
                <w:spacing w:val="-1"/>
                <w:sz w:val="21"/>
                <w:szCs w:val="21"/>
                <w:highlight w:val="none"/>
              </w:rPr>
              <w:t>注： 业绩以住建领域主体信息库入库信息</w:t>
            </w:r>
            <w:r>
              <w:rPr>
                <w:rFonts w:hint="default"/>
                <w:color w:val="auto"/>
                <w:spacing w:val="16"/>
                <w:sz w:val="21"/>
                <w:szCs w:val="21"/>
                <w:highlight w:val="none"/>
              </w:rPr>
              <w:t xml:space="preserve"> </w:t>
            </w:r>
            <w:r>
              <w:rPr>
                <w:rFonts w:hint="default"/>
                <w:color w:val="auto"/>
                <w:spacing w:val="5"/>
                <w:sz w:val="21"/>
                <w:szCs w:val="21"/>
                <w:highlight w:val="none"/>
              </w:rPr>
              <w:t>为准，时间以竣工验收时</w:t>
            </w:r>
            <w:r>
              <w:rPr>
                <w:rFonts w:hint="default"/>
                <w:color w:val="auto"/>
                <w:spacing w:val="-2"/>
                <w:sz w:val="21"/>
                <w:szCs w:val="21"/>
                <w:highlight w:val="none"/>
              </w:rPr>
              <w:t>间为准</w:t>
            </w:r>
          </w:p>
        </w:tc>
      </w:tr>
      <w:tr w14:paraId="17A89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216F5EE">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616DE830">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ACF9180">
            <w:pPr>
              <w:spacing w:beforeLines="0" w:afterLines="0" w:line="347" w:lineRule="auto"/>
              <w:rPr>
                <w:rFonts w:hint="default"/>
                <w:color w:val="auto"/>
                <w:sz w:val="21"/>
                <w:szCs w:val="21"/>
                <w:highlight w:val="none"/>
              </w:rPr>
            </w:pPr>
          </w:p>
          <w:p w14:paraId="776660FD">
            <w:pPr>
              <w:spacing w:beforeLines="0" w:afterLines="0" w:line="347" w:lineRule="auto"/>
              <w:rPr>
                <w:rFonts w:hint="default"/>
                <w:color w:val="auto"/>
                <w:sz w:val="21"/>
                <w:szCs w:val="21"/>
                <w:highlight w:val="none"/>
              </w:rPr>
            </w:pPr>
          </w:p>
          <w:p w14:paraId="6E8538D9">
            <w:pPr>
              <w:pStyle w:val="11"/>
              <w:spacing w:before="68" w:beforeLines="0" w:afterLines="0" w:line="222" w:lineRule="auto"/>
              <w:ind w:left="607"/>
              <w:rPr>
                <w:rFonts w:hint="default"/>
                <w:color w:val="auto"/>
                <w:sz w:val="21"/>
                <w:szCs w:val="21"/>
                <w:highlight w:val="none"/>
              </w:rPr>
            </w:pPr>
            <w:r>
              <w:rPr>
                <w:rFonts w:hint="default"/>
                <w:color w:val="auto"/>
                <w:spacing w:val="-2"/>
                <w:sz w:val="21"/>
                <w:szCs w:val="21"/>
                <w:highlight w:val="none"/>
              </w:rPr>
              <w:t>企业认证</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47F4ACE">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3</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17A91B5">
            <w:pPr>
              <w:pStyle w:val="11"/>
              <w:spacing w:before="31" w:beforeLines="0" w:afterLines="0" w:line="221" w:lineRule="auto"/>
              <w:ind w:left="115"/>
              <w:rPr>
                <w:rFonts w:hint="default"/>
                <w:color w:val="auto"/>
                <w:sz w:val="21"/>
                <w:szCs w:val="21"/>
                <w:highlight w:val="none"/>
              </w:rPr>
            </w:pPr>
            <w:r>
              <w:rPr>
                <w:rFonts w:hint="default"/>
                <w:color w:val="auto"/>
                <w:spacing w:val="-9"/>
                <w:sz w:val="21"/>
                <w:szCs w:val="21"/>
                <w:highlight w:val="none"/>
              </w:rPr>
              <w:t>评审内容：</w:t>
            </w:r>
          </w:p>
          <w:p w14:paraId="4DB8368E">
            <w:pPr>
              <w:pStyle w:val="11"/>
              <w:spacing w:before="22" w:beforeLines="0" w:afterLines="0" w:line="241" w:lineRule="auto"/>
              <w:ind w:left="122"/>
              <w:rPr>
                <w:rFonts w:hint="default"/>
                <w:color w:val="auto"/>
                <w:sz w:val="21"/>
                <w:szCs w:val="21"/>
                <w:highlight w:val="none"/>
              </w:rPr>
            </w:pPr>
            <w:r>
              <w:rPr>
                <w:rFonts w:hint="default"/>
                <w:color w:val="auto"/>
                <w:spacing w:val="-10"/>
                <w:sz w:val="21"/>
                <w:szCs w:val="21"/>
                <w:highlight w:val="none"/>
              </w:rPr>
              <w:t>（1）</w:t>
            </w:r>
            <w:r>
              <w:rPr>
                <w:rStyle w:val="8"/>
                <w:rFonts w:hint="default"/>
                <w:color w:val="auto"/>
                <w:sz w:val="21"/>
                <w:szCs w:val="24"/>
                <w:highlight w:val="none"/>
              </w:rPr>
              <w:t>质量管理体系</w:t>
            </w:r>
            <w:r>
              <w:rPr>
                <w:rFonts w:hint="default"/>
                <w:color w:val="auto"/>
                <w:spacing w:val="-10"/>
                <w:sz w:val="21"/>
                <w:szCs w:val="21"/>
                <w:highlight w:val="none"/>
                <w:u w:val="single" w:color="auto"/>
              </w:rPr>
              <w:t xml:space="preserve">认证证书 </w:t>
            </w:r>
            <w:r>
              <w:rPr>
                <w:rFonts w:hint="default"/>
                <w:color w:val="auto"/>
                <w:spacing w:val="-10"/>
                <w:sz w:val="21"/>
                <w:szCs w:val="21"/>
                <w:highlight w:val="none"/>
              </w:rPr>
              <w:t>分值：</w:t>
            </w:r>
            <w:r>
              <w:rPr>
                <w:rFonts w:hint="default"/>
                <w:color w:val="auto"/>
                <w:spacing w:val="-10"/>
                <w:sz w:val="21"/>
                <w:szCs w:val="21"/>
                <w:highlight w:val="none"/>
                <w:lang w:eastAsia="zh-CN"/>
              </w:rPr>
              <w:t>1</w:t>
            </w:r>
            <w:r>
              <w:rPr>
                <w:rFonts w:hint="default"/>
                <w:color w:val="auto"/>
                <w:spacing w:val="-10"/>
                <w:sz w:val="21"/>
                <w:szCs w:val="21"/>
                <w:highlight w:val="none"/>
              </w:rPr>
              <w:t>分</w:t>
            </w:r>
          </w:p>
          <w:p w14:paraId="754CBE86">
            <w:pPr>
              <w:pStyle w:val="11"/>
              <w:spacing w:beforeLines="0" w:afterLines="0" w:line="219" w:lineRule="auto"/>
              <w:ind w:left="122"/>
              <w:rPr>
                <w:rFonts w:hint="default"/>
                <w:color w:val="auto"/>
                <w:sz w:val="21"/>
                <w:szCs w:val="21"/>
                <w:highlight w:val="none"/>
              </w:rPr>
            </w:pPr>
            <w:r>
              <w:rPr>
                <w:rFonts w:hint="default"/>
                <w:color w:val="auto"/>
                <w:spacing w:val="-10"/>
                <w:sz w:val="21"/>
                <w:szCs w:val="21"/>
                <w:highlight w:val="none"/>
              </w:rPr>
              <w:t>（2）</w:t>
            </w:r>
            <w:r>
              <w:rPr>
                <w:rStyle w:val="8"/>
                <w:rFonts w:hint="default"/>
                <w:color w:val="auto"/>
                <w:sz w:val="21"/>
                <w:szCs w:val="24"/>
                <w:highlight w:val="none"/>
              </w:rPr>
              <w:t>环境管理体系</w:t>
            </w:r>
            <w:r>
              <w:rPr>
                <w:rFonts w:hint="default"/>
                <w:color w:val="auto"/>
                <w:spacing w:val="-10"/>
                <w:sz w:val="21"/>
                <w:szCs w:val="21"/>
                <w:highlight w:val="none"/>
                <w:u w:val="single" w:color="auto"/>
              </w:rPr>
              <w:t xml:space="preserve">认证证书 </w:t>
            </w:r>
            <w:r>
              <w:rPr>
                <w:rFonts w:hint="default"/>
                <w:color w:val="auto"/>
                <w:spacing w:val="-10"/>
                <w:sz w:val="21"/>
                <w:szCs w:val="21"/>
                <w:highlight w:val="none"/>
              </w:rPr>
              <w:t xml:space="preserve">分值： </w:t>
            </w:r>
            <w:r>
              <w:rPr>
                <w:rFonts w:hint="default"/>
                <w:color w:val="auto"/>
                <w:spacing w:val="51"/>
                <w:sz w:val="21"/>
                <w:szCs w:val="21"/>
                <w:highlight w:val="none"/>
                <w:u w:val="single" w:color="auto"/>
                <w:lang w:eastAsia="zh-CN"/>
              </w:rPr>
              <w:t>1</w:t>
            </w:r>
            <w:r>
              <w:rPr>
                <w:rFonts w:hint="default"/>
                <w:color w:val="auto"/>
                <w:spacing w:val="-93"/>
                <w:sz w:val="21"/>
                <w:szCs w:val="21"/>
                <w:highlight w:val="none"/>
              </w:rPr>
              <w:t xml:space="preserve"> </w:t>
            </w:r>
            <w:r>
              <w:rPr>
                <w:rFonts w:hint="default"/>
                <w:color w:val="auto"/>
                <w:spacing w:val="-10"/>
                <w:sz w:val="21"/>
                <w:szCs w:val="21"/>
                <w:highlight w:val="none"/>
              </w:rPr>
              <w:t>分</w:t>
            </w:r>
          </w:p>
          <w:p w14:paraId="5553FB47">
            <w:pPr>
              <w:pStyle w:val="11"/>
              <w:spacing w:before="18" w:beforeLines="0" w:afterLines="0" w:line="220" w:lineRule="auto"/>
              <w:ind w:left="122"/>
              <w:rPr>
                <w:rFonts w:hint="default"/>
                <w:color w:val="auto"/>
                <w:sz w:val="21"/>
                <w:szCs w:val="21"/>
                <w:highlight w:val="none"/>
              </w:rPr>
            </w:pPr>
            <w:r>
              <w:rPr>
                <w:rFonts w:hint="default"/>
                <w:color w:val="auto"/>
                <w:spacing w:val="-10"/>
                <w:sz w:val="21"/>
                <w:szCs w:val="21"/>
                <w:highlight w:val="none"/>
              </w:rPr>
              <w:t>（3）</w:t>
            </w:r>
            <w:r>
              <w:rPr>
                <w:rStyle w:val="8"/>
                <w:rFonts w:hint="default"/>
                <w:color w:val="auto"/>
                <w:sz w:val="21"/>
                <w:szCs w:val="24"/>
                <w:highlight w:val="none"/>
              </w:rPr>
              <w:t>职业健康安全管理体系</w:t>
            </w:r>
            <w:r>
              <w:rPr>
                <w:rFonts w:hint="default"/>
                <w:color w:val="auto"/>
                <w:spacing w:val="-10"/>
                <w:sz w:val="21"/>
                <w:szCs w:val="21"/>
                <w:highlight w:val="none"/>
                <w:u w:val="single" w:color="auto"/>
              </w:rPr>
              <w:t xml:space="preserve">认证证书 </w:t>
            </w:r>
            <w:r>
              <w:rPr>
                <w:rFonts w:hint="default"/>
                <w:color w:val="auto"/>
                <w:spacing w:val="-10"/>
                <w:sz w:val="21"/>
                <w:szCs w:val="21"/>
                <w:highlight w:val="none"/>
              </w:rPr>
              <w:t>分值：</w:t>
            </w:r>
            <w:r>
              <w:rPr>
                <w:rFonts w:hint="default"/>
                <w:color w:val="auto"/>
                <w:spacing w:val="-10"/>
                <w:sz w:val="21"/>
                <w:szCs w:val="21"/>
                <w:highlight w:val="none"/>
                <w:lang w:eastAsia="zh-CN"/>
              </w:rPr>
              <w:t>1</w:t>
            </w:r>
            <w:r>
              <w:rPr>
                <w:rFonts w:hint="default"/>
                <w:color w:val="auto"/>
                <w:spacing w:val="-93"/>
                <w:sz w:val="21"/>
                <w:szCs w:val="21"/>
                <w:highlight w:val="none"/>
              </w:rPr>
              <w:t xml:space="preserve"> </w:t>
            </w:r>
            <w:r>
              <w:rPr>
                <w:rFonts w:hint="default"/>
                <w:color w:val="auto"/>
                <w:spacing w:val="-10"/>
                <w:sz w:val="21"/>
                <w:szCs w:val="21"/>
                <w:highlight w:val="none"/>
              </w:rPr>
              <w:t>分</w:t>
            </w:r>
          </w:p>
          <w:p w14:paraId="4946AE32">
            <w:pPr>
              <w:pStyle w:val="11"/>
              <w:spacing w:before="23" w:beforeLines="0" w:afterLines="0" w:line="224" w:lineRule="auto"/>
              <w:ind w:left="141" w:right="110" w:hanging="25"/>
              <w:rPr>
                <w:rFonts w:hint="default"/>
                <w:color w:val="auto"/>
                <w:sz w:val="21"/>
                <w:szCs w:val="21"/>
                <w:highlight w:val="none"/>
              </w:rPr>
            </w:pPr>
            <w:r>
              <w:rPr>
                <w:rFonts w:hint="default"/>
                <w:color w:val="auto"/>
                <w:sz w:val="21"/>
                <w:szCs w:val="21"/>
                <w:highlight w:val="none"/>
              </w:rPr>
              <w:t xml:space="preserve">注： 以住建领域主体信息库入库的有效期 </w:t>
            </w:r>
            <w:r>
              <w:rPr>
                <w:rFonts w:hint="default"/>
                <w:color w:val="auto"/>
                <w:spacing w:val="-4"/>
                <w:sz w:val="21"/>
                <w:szCs w:val="21"/>
                <w:highlight w:val="none"/>
              </w:rPr>
              <w:t>内的认证证书为准</w:t>
            </w:r>
          </w:p>
        </w:tc>
      </w:tr>
      <w:tr w14:paraId="5F63E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A190A03">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876317B">
            <w:pPr>
              <w:spacing w:beforeLines="0" w:afterLines="0"/>
              <w:rPr>
                <w:rFonts w:hint="default"/>
                <w:color w:val="auto"/>
                <w:sz w:val="21"/>
                <w:szCs w:val="21"/>
                <w:highlight w:val="none"/>
              </w:rPr>
            </w:pPr>
          </w:p>
        </w:tc>
        <w:tc>
          <w:tcPr>
            <w:tcW w:w="2044" w:type="dxa"/>
            <w:vMerge w:val="restart"/>
            <w:tcBorders>
              <w:top w:val="single" w:color="000000" w:sz="2" w:space="0"/>
              <w:left w:val="single" w:color="000000" w:sz="2" w:space="0"/>
              <w:bottom w:val="nil"/>
              <w:right w:val="single" w:color="000000" w:sz="2" w:space="0"/>
              <w:tl2br w:val="nil"/>
              <w:tr2bl w:val="nil"/>
            </w:tcBorders>
            <w:noWrap w:val="0"/>
            <w:vAlign w:val="center"/>
          </w:tcPr>
          <w:p w14:paraId="36B2819E">
            <w:pPr>
              <w:spacing w:beforeLines="0" w:afterLines="0" w:line="347" w:lineRule="auto"/>
              <w:jc w:val="center"/>
              <w:rPr>
                <w:rFonts w:hint="default"/>
                <w:color w:val="auto"/>
                <w:sz w:val="21"/>
                <w:szCs w:val="21"/>
                <w:highlight w:val="none"/>
              </w:rPr>
            </w:pPr>
          </w:p>
          <w:p w14:paraId="46E37275">
            <w:pPr>
              <w:spacing w:beforeLines="0" w:afterLines="0" w:line="347" w:lineRule="auto"/>
              <w:jc w:val="center"/>
              <w:rPr>
                <w:rFonts w:hint="default"/>
                <w:color w:val="auto"/>
                <w:sz w:val="21"/>
                <w:szCs w:val="21"/>
                <w:highlight w:val="none"/>
              </w:rPr>
            </w:pPr>
          </w:p>
          <w:p w14:paraId="22245D04">
            <w:pPr>
              <w:spacing w:beforeLines="0" w:afterLines="0" w:line="347" w:lineRule="auto"/>
              <w:jc w:val="center"/>
              <w:rPr>
                <w:rFonts w:hint="default"/>
                <w:color w:val="auto"/>
                <w:sz w:val="21"/>
                <w:szCs w:val="21"/>
                <w:highlight w:val="none"/>
              </w:rPr>
            </w:pPr>
          </w:p>
          <w:p w14:paraId="2DA7D621">
            <w:pPr>
              <w:spacing w:beforeLines="0" w:afterLines="0" w:line="347" w:lineRule="auto"/>
              <w:jc w:val="center"/>
              <w:rPr>
                <w:rFonts w:hint="default"/>
                <w:color w:val="auto"/>
                <w:sz w:val="21"/>
                <w:szCs w:val="21"/>
                <w:highlight w:val="none"/>
              </w:rPr>
            </w:pPr>
          </w:p>
          <w:p w14:paraId="2F66EF89">
            <w:pPr>
              <w:spacing w:beforeLines="0" w:afterLines="0" w:line="347" w:lineRule="auto"/>
              <w:jc w:val="center"/>
              <w:rPr>
                <w:rFonts w:hint="default"/>
                <w:color w:val="auto"/>
                <w:sz w:val="21"/>
                <w:szCs w:val="21"/>
                <w:highlight w:val="none"/>
              </w:rPr>
            </w:pPr>
            <w:r>
              <w:rPr>
                <w:rStyle w:val="8"/>
                <w:rFonts w:hint="default" w:ascii="宋体" w:hAnsi="宋体" w:eastAsia="宋体" w:cs="宋体"/>
                <w:color w:val="auto"/>
                <w:sz w:val="21"/>
                <w:szCs w:val="24"/>
                <w:highlight w:val="none"/>
              </w:rPr>
              <w:t>项目经理及技术负责人(2.0分)</w:t>
            </w:r>
          </w:p>
        </w:tc>
        <w:tc>
          <w:tcPr>
            <w:tcW w:w="936" w:type="dxa"/>
            <w:vMerge w:val="restart"/>
            <w:tcBorders>
              <w:top w:val="single" w:color="000000" w:sz="2" w:space="0"/>
              <w:left w:val="single" w:color="000000" w:sz="2" w:space="0"/>
              <w:bottom w:val="nil"/>
              <w:right w:val="single" w:color="000000" w:sz="2" w:space="0"/>
              <w:tl2br w:val="nil"/>
              <w:tr2bl w:val="nil"/>
            </w:tcBorders>
            <w:noWrap w:val="0"/>
            <w:vAlign w:val="center"/>
          </w:tcPr>
          <w:p w14:paraId="2940E2F4">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E634C80">
            <w:pPr>
              <w:pStyle w:val="11"/>
              <w:spacing w:before="33" w:beforeLines="0" w:afterLines="0" w:line="220" w:lineRule="auto"/>
              <w:ind w:left="115"/>
              <w:rPr>
                <w:rFonts w:hint="default"/>
                <w:color w:val="auto"/>
                <w:sz w:val="21"/>
                <w:szCs w:val="21"/>
                <w:highlight w:val="none"/>
              </w:rPr>
            </w:pPr>
            <w:r>
              <w:rPr>
                <w:rFonts w:hint="default"/>
                <w:color w:val="auto"/>
                <w:spacing w:val="-18"/>
                <w:sz w:val="21"/>
                <w:szCs w:val="21"/>
                <w:highlight w:val="none"/>
              </w:rPr>
              <w:t>评审内容：</w:t>
            </w:r>
            <w:r>
              <w:rPr>
                <w:rFonts w:hint="default"/>
                <w:color w:val="auto"/>
                <w:spacing w:val="55"/>
                <w:sz w:val="21"/>
                <w:szCs w:val="21"/>
                <w:highlight w:val="none"/>
              </w:rPr>
              <w:t xml:space="preserve"> </w:t>
            </w:r>
            <w:r>
              <w:rPr>
                <w:rFonts w:hint="default"/>
                <w:color w:val="auto"/>
                <w:sz w:val="21"/>
                <w:szCs w:val="21"/>
                <w:highlight w:val="none"/>
                <w:u w:val="none" w:color="auto"/>
              </w:rPr>
              <w:t>项目经理资历</w:t>
            </w:r>
            <w:r>
              <w:rPr>
                <w:rFonts w:hint="default"/>
                <w:color w:val="auto"/>
                <w:sz w:val="21"/>
                <w:szCs w:val="21"/>
                <w:highlight w:val="none"/>
                <w:u w:val="single" w:color="auto"/>
              </w:rPr>
              <w:t xml:space="preserve"> </w:t>
            </w:r>
          </w:p>
          <w:p w14:paraId="7FA65B1C">
            <w:pPr>
              <w:pStyle w:val="11"/>
              <w:spacing w:before="17" w:beforeLines="0" w:afterLines="0" w:line="231" w:lineRule="auto"/>
              <w:ind w:left="119" w:right="104" w:hanging="4"/>
              <w:rPr>
                <w:rFonts w:hint="default"/>
                <w:color w:val="auto"/>
                <w:sz w:val="21"/>
                <w:szCs w:val="21"/>
                <w:highlight w:val="none"/>
              </w:rPr>
            </w:pPr>
            <w:r>
              <w:rPr>
                <w:rFonts w:hint="default"/>
                <w:color w:val="auto"/>
                <w:spacing w:val="-15"/>
                <w:sz w:val="21"/>
                <w:szCs w:val="21"/>
                <w:highlight w:val="none"/>
              </w:rPr>
              <w:t>评审标准：</w:t>
            </w:r>
            <w:r>
              <w:rPr>
                <w:rFonts w:hint="default"/>
                <w:color w:val="auto"/>
                <w:spacing w:val="55"/>
                <w:sz w:val="21"/>
                <w:szCs w:val="21"/>
                <w:highlight w:val="none"/>
              </w:rPr>
              <w:t xml:space="preserve"> </w:t>
            </w:r>
            <w:r>
              <w:rPr>
                <w:rStyle w:val="8"/>
                <w:rFonts w:hint="default"/>
                <w:color w:val="auto"/>
                <w:sz w:val="21"/>
                <w:szCs w:val="24"/>
                <w:highlight w:val="none"/>
                <w:lang w:eastAsia="zh-CN"/>
              </w:rPr>
              <w:t>建筑</w:t>
            </w:r>
            <w:r>
              <w:rPr>
                <w:rStyle w:val="8"/>
                <w:rFonts w:hint="default"/>
                <w:color w:val="auto"/>
                <w:sz w:val="21"/>
                <w:szCs w:val="24"/>
                <w:highlight w:val="none"/>
              </w:rPr>
              <w:t>工程相关专业中级及以上工程师职称</w:t>
            </w:r>
          </w:p>
          <w:p w14:paraId="2107F4EC">
            <w:pPr>
              <w:pStyle w:val="11"/>
              <w:spacing w:before="22" w:beforeLines="0" w:afterLines="0" w:line="221" w:lineRule="auto"/>
              <w:ind w:left="119"/>
              <w:rPr>
                <w:rFonts w:hint="default"/>
                <w:color w:val="auto"/>
                <w:sz w:val="21"/>
                <w:szCs w:val="21"/>
                <w:highlight w:val="none"/>
              </w:rPr>
            </w:pPr>
            <w:r>
              <w:rPr>
                <w:rFonts w:hint="default"/>
                <w:color w:val="auto"/>
                <w:spacing w:val="-12"/>
                <w:sz w:val="21"/>
                <w:szCs w:val="21"/>
                <w:highlight w:val="none"/>
              </w:rPr>
              <w:t xml:space="preserve">分值： </w:t>
            </w:r>
            <w:r>
              <w:rPr>
                <w:rFonts w:hint="default"/>
                <w:color w:val="auto"/>
                <w:spacing w:val="-12"/>
                <w:sz w:val="21"/>
                <w:szCs w:val="21"/>
                <w:highlight w:val="none"/>
                <w:u w:val="single" w:color="auto"/>
                <w:lang w:eastAsia="zh-CN"/>
              </w:rPr>
              <w:t>1</w:t>
            </w:r>
            <w:r>
              <w:rPr>
                <w:rFonts w:hint="default"/>
                <w:color w:val="auto"/>
                <w:spacing w:val="-12"/>
                <w:sz w:val="21"/>
                <w:szCs w:val="21"/>
                <w:highlight w:val="none"/>
              </w:rPr>
              <w:t>分，最多得</w:t>
            </w:r>
            <w:r>
              <w:rPr>
                <w:rFonts w:hint="default"/>
                <w:color w:val="auto"/>
                <w:spacing w:val="-96"/>
                <w:sz w:val="21"/>
                <w:szCs w:val="21"/>
                <w:highlight w:val="none"/>
                <w:lang w:eastAsia="zh-CN"/>
              </w:rPr>
              <w:t>1    1</w:t>
            </w:r>
            <w:r>
              <w:rPr>
                <w:rFonts w:hint="default"/>
                <w:color w:val="auto"/>
                <w:spacing w:val="-12"/>
                <w:sz w:val="21"/>
                <w:szCs w:val="21"/>
                <w:highlight w:val="none"/>
              </w:rPr>
              <w:t>分。</w:t>
            </w:r>
          </w:p>
          <w:p w14:paraId="46345EE5">
            <w:pPr>
              <w:pStyle w:val="11"/>
              <w:spacing w:before="23" w:beforeLines="0" w:afterLines="0" w:line="206" w:lineRule="auto"/>
              <w:ind w:left="116"/>
              <w:rPr>
                <w:rFonts w:hint="default"/>
                <w:color w:val="auto"/>
                <w:sz w:val="21"/>
                <w:szCs w:val="21"/>
                <w:highlight w:val="none"/>
              </w:rPr>
            </w:pPr>
            <w:r>
              <w:rPr>
                <w:rFonts w:hint="default"/>
                <w:color w:val="auto"/>
                <w:spacing w:val="-6"/>
                <w:sz w:val="21"/>
                <w:szCs w:val="21"/>
                <w:highlight w:val="none"/>
              </w:rPr>
              <w:t>注： 以住建领域主体信息库入库信息为准</w:t>
            </w:r>
          </w:p>
        </w:tc>
      </w:tr>
      <w:tr w14:paraId="1BF1A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359DECA">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35E8AEE4">
            <w:pPr>
              <w:spacing w:beforeLines="0" w:afterLines="0"/>
              <w:rPr>
                <w:rFonts w:hint="default"/>
                <w:color w:val="auto"/>
                <w:sz w:val="21"/>
                <w:szCs w:val="21"/>
                <w:highlight w:val="none"/>
              </w:rPr>
            </w:pPr>
          </w:p>
        </w:tc>
        <w:tc>
          <w:tcPr>
            <w:tcW w:w="2044" w:type="dxa"/>
            <w:vMerge w:val="continue"/>
            <w:tcBorders>
              <w:top w:val="nil"/>
              <w:left w:val="single" w:color="000000" w:sz="2" w:space="0"/>
              <w:bottom w:val="nil"/>
              <w:right w:val="single" w:color="000000" w:sz="2" w:space="0"/>
              <w:tl2br w:val="nil"/>
              <w:tr2bl w:val="nil"/>
            </w:tcBorders>
            <w:noWrap w:val="0"/>
            <w:vAlign w:val="center"/>
          </w:tcPr>
          <w:p w14:paraId="14641017">
            <w:pPr>
              <w:spacing w:beforeLines="0" w:afterLines="0" w:line="347" w:lineRule="auto"/>
              <w:jc w:val="center"/>
              <w:rPr>
                <w:rFonts w:hint="default"/>
                <w:color w:val="auto"/>
                <w:sz w:val="21"/>
                <w:szCs w:val="21"/>
                <w:highlight w:val="none"/>
              </w:rPr>
            </w:pPr>
          </w:p>
        </w:tc>
        <w:tc>
          <w:tcPr>
            <w:tcW w:w="936" w:type="dxa"/>
            <w:vMerge w:val="continue"/>
            <w:tcBorders>
              <w:top w:val="nil"/>
              <w:left w:val="single" w:color="000000" w:sz="2" w:space="0"/>
              <w:bottom w:val="nil"/>
              <w:right w:val="single" w:color="000000" w:sz="2" w:space="0"/>
              <w:tl2br w:val="nil"/>
              <w:tr2bl w:val="nil"/>
            </w:tcBorders>
            <w:noWrap w:val="0"/>
            <w:vAlign w:val="center"/>
          </w:tcPr>
          <w:p w14:paraId="77F1487B">
            <w:pPr>
              <w:spacing w:beforeLines="0" w:afterLines="0"/>
              <w:jc w:val="center"/>
              <w:rPr>
                <w:rFonts w:hint="default" w:ascii="宋体" w:eastAsia="宋体"/>
                <w:color w:val="auto"/>
                <w:sz w:val="21"/>
                <w:szCs w:val="21"/>
                <w:highlight w:val="none"/>
                <w:lang w:eastAsia="zh-CN"/>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DE0020E">
            <w:pPr>
              <w:pStyle w:val="11"/>
              <w:spacing w:before="33" w:beforeLines="0" w:afterLines="0" w:line="220" w:lineRule="auto"/>
              <w:ind w:left="115"/>
              <w:rPr>
                <w:rFonts w:hint="default"/>
                <w:color w:val="auto"/>
                <w:sz w:val="21"/>
                <w:szCs w:val="21"/>
                <w:highlight w:val="none"/>
              </w:rPr>
            </w:pPr>
            <w:r>
              <w:rPr>
                <w:rFonts w:hint="default"/>
                <w:color w:val="auto"/>
                <w:spacing w:val="-18"/>
                <w:sz w:val="21"/>
                <w:szCs w:val="21"/>
                <w:highlight w:val="none"/>
              </w:rPr>
              <w:t>评审内容：</w:t>
            </w:r>
            <w:r>
              <w:rPr>
                <w:rFonts w:hint="default"/>
                <w:color w:val="auto"/>
                <w:spacing w:val="55"/>
                <w:sz w:val="21"/>
                <w:szCs w:val="21"/>
                <w:highlight w:val="none"/>
              </w:rPr>
              <w:t xml:space="preserve"> </w:t>
            </w:r>
            <w:r>
              <w:rPr>
                <w:rStyle w:val="8"/>
                <w:rFonts w:hint="default"/>
                <w:color w:val="auto"/>
                <w:sz w:val="21"/>
                <w:szCs w:val="24"/>
                <w:highlight w:val="none"/>
              </w:rPr>
              <w:t>技术负责人</w:t>
            </w:r>
            <w:r>
              <w:rPr>
                <w:rFonts w:hint="default"/>
                <w:color w:val="auto"/>
                <w:sz w:val="21"/>
                <w:szCs w:val="21"/>
                <w:highlight w:val="none"/>
                <w:u w:val="none" w:color="auto"/>
              </w:rPr>
              <w:t>资历</w:t>
            </w:r>
            <w:r>
              <w:rPr>
                <w:rFonts w:hint="default"/>
                <w:color w:val="auto"/>
                <w:sz w:val="21"/>
                <w:szCs w:val="21"/>
                <w:highlight w:val="none"/>
                <w:u w:val="single" w:color="auto"/>
              </w:rPr>
              <w:t xml:space="preserve"> </w:t>
            </w:r>
          </w:p>
          <w:p w14:paraId="62137C85">
            <w:pPr>
              <w:pStyle w:val="11"/>
              <w:spacing w:before="17" w:beforeLines="0" w:afterLines="0" w:line="231" w:lineRule="auto"/>
              <w:ind w:left="119" w:right="104" w:hanging="4"/>
              <w:rPr>
                <w:rFonts w:hint="default"/>
                <w:color w:val="auto"/>
                <w:sz w:val="21"/>
                <w:szCs w:val="21"/>
                <w:highlight w:val="none"/>
              </w:rPr>
            </w:pPr>
            <w:r>
              <w:rPr>
                <w:rFonts w:hint="default"/>
                <w:color w:val="auto"/>
                <w:spacing w:val="-15"/>
                <w:sz w:val="21"/>
                <w:szCs w:val="21"/>
                <w:highlight w:val="none"/>
              </w:rPr>
              <w:t>评审标准：</w:t>
            </w:r>
            <w:r>
              <w:rPr>
                <w:rFonts w:hint="default"/>
                <w:color w:val="auto"/>
                <w:spacing w:val="55"/>
                <w:sz w:val="21"/>
                <w:szCs w:val="21"/>
                <w:highlight w:val="none"/>
              </w:rPr>
              <w:t xml:space="preserve"> </w:t>
            </w:r>
            <w:r>
              <w:rPr>
                <w:rFonts w:hint="default"/>
                <w:color w:val="auto"/>
                <w:spacing w:val="55"/>
                <w:sz w:val="21"/>
                <w:szCs w:val="21"/>
                <w:highlight w:val="none"/>
                <w:lang w:eastAsia="zh-CN"/>
              </w:rPr>
              <w:t>建筑</w:t>
            </w:r>
            <w:r>
              <w:rPr>
                <w:rStyle w:val="8"/>
                <w:rFonts w:hint="default"/>
                <w:color w:val="auto"/>
                <w:sz w:val="21"/>
                <w:szCs w:val="24"/>
                <w:highlight w:val="none"/>
              </w:rPr>
              <w:t>工程相关专业中级及以上工程师职称</w:t>
            </w:r>
          </w:p>
          <w:p w14:paraId="6B560F34">
            <w:pPr>
              <w:pStyle w:val="11"/>
              <w:spacing w:before="22" w:beforeLines="0" w:afterLines="0" w:line="221" w:lineRule="auto"/>
              <w:ind w:left="119"/>
              <w:rPr>
                <w:rFonts w:hint="default"/>
                <w:color w:val="auto"/>
                <w:sz w:val="21"/>
                <w:szCs w:val="21"/>
                <w:highlight w:val="none"/>
              </w:rPr>
            </w:pPr>
            <w:r>
              <w:rPr>
                <w:rFonts w:hint="default"/>
                <w:color w:val="auto"/>
                <w:spacing w:val="-12"/>
                <w:sz w:val="21"/>
                <w:szCs w:val="21"/>
                <w:highlight w:val="none"/>
              </w:rPr>
              <w:t xml:space="preserve">分值： </w:t>
            </w:r>
            <w:r>
              <w:rPr>
                <w:rFonts w:hint="default"/>
                <w:color w:val="auto"/>
                <w:spacing w:val="-12"/>
                <w:sz w:val="21"/>
                <w:szCs w:val="21"/>
                <w:highlight w:val="none"/>
                <w:u w:val="single" w:color="auto"/>
                <w:lang w:eastAsia="zh-CN"/>
              </w:rPr>
              <w:t>1</w:t>
            </w:r>
            <w:r>
              <w:rPr>
                <w:rFonts w:hint="default"/>
                <w:color w:val="auto"/>
                <w:spacing w:val="-12"/>
                <w:sz w:val="21"/>
                <w:szCs w:val="21"/>
                <w:highlight w:val="none"/>
              </w:rPr>
              <w:t>分，最多得</w:t>
            </w:r>
            <w:r>
              <w:rPr>
                <w:rFonts w:hint="default"/>
                <w:color w:val="auto"/>
                <w:spacing w:val="-96"/>
                <w:sz w:val="21"/>
                <w:szCs w:val="21"/>
                <w:highlight w:val="none"/>
                <w:lang w:eastAsia="zh-CN"/>
              </w:rPr>
              <w:t>1    1</w:t>
            </w:r>
            <w:r>
              <w:rPr>
                <w:rFonts w:hint="default"/>
                <w:color w:val="auto"/>
                <w:spacing w:val="-12"/>
                <w:sz w:val="21"/>
                <w:szCs w:val="21"/>
                <w:highlight w:val="none"/>
              </w:rPr>
              <w:t>分。</w:t>
            </w:r>
          </w:p>
          <w:p w14:paraId="18F8770A">
            <w:pPr>
              <w:pStyle w:val="11"/>
              <w:spacing w:before="18" w:beforeLines="0" w:afterLines="0" w:line="205" w:lineRule="auto"/>
              <w:ind w:left="116"/>
              <w:rPr>
                <w:rFonts w:hint="default"/>
                <w:color w:val="auto"/>
                <w:sz w:val="21"/>
                <w:szCs w:val="21"/>
                <w:highlight w:val="none"/>
              </w:rPr>
            </w:pPr>
            <w:r>
              <w:rPr>
                <w:rFonts w:hint="default"/>
                <w:color w:val="auto"/>
                <w:spacing w:val="-6"/>
                <w:sz w:val="21"/>
                <w:szCs w:val="21"/>
                <w:highlight w:val="none"/>
              </w:rPr>
              <w:t>注： 以住建领域主体信息库入库信息为准</w:t>
            </w:r>
          </w:p>
        </w:tc>
      </w:tr>
      <w:tr w14:paraId="382DA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089722E">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4528D716">
            <w:pPr>
              <w:spacing w:beforeLines="0" w:afterLines="0"/>
              <w:rPr>
                <w:rFonts w:hint="default"/>
                <w:color w:val="auto"/>
                <w:sz w:val="21"/>
                <w:szCs w:val="21"/>
                <w:highlight w:val="none"/>
              </w:rPr>
            </w:pPr>
          </w:p>
        </w:tc>
        <w:tc>
          <w:tcPr>
            <w:tcW w:w="2044" w:type="dxa"/>
            <w:vMerge w:val="continue"/>
            <w:tcBorders>
              <w:top w:val="nil"/>
              <w:left w:val="single" w:color="000000" w:sz="2" w:space="0"/>
              <w:bottom w:val="single" w:color="000000" w:sz="2" w:space="0"/>
              <w:right w:val="single" w:color="000000" w:sz="2" w:space="0"/>
              <w:tl2br w:val="nil"/>
              <w:tr2bl w:val="nil"/>
            </w:tcBorders>
            <w:noWrap w:val="0"/>
            <w:vAlign w:val="center"/>
          </w:tcPr>
          <w:p w14:paraId="5AB6C46F">
            <w:pPr>
              <w:spacing w:beforeLines="0" w:afterLines="0" w:line="347" w:lineRule="auto"/>
              <w:jc w:val="center"/>
              <w:rPr>
                <w:rFonts w:hint="default"/>
                <w:color w:val="auto"/>
                <w:sz w:val="21"/>
                <w:szCs w:val="21"/>
                <w:highlight w:val="none"/>
              </w:rPr>
            </w:pPr>
          </w:p>
        </w:tc>
        <w:tc>
          <w:tcPr>
            <w:tcW w:w="936" w:type="dxa"/>
            <w:vMerge w:val="continue"/>
            <w:tcBorders>
              <w:top w:val="nil"/>
              <w:left w:val="single" w:color="000000" w:sz="2" w:space="0"/>
              <w:bottom w:val="single" w:color="000000" w:sz="2" w:space="0"/>
              <w:right w:val="single" w:color="000000" w:sz="2" w:space="0"/>
              <w:tl2br w:val="nil"/>
              <w:tr2bl w:val="nil"/>
            </w:tcBorders>
            <w:noWrap w:val="0"/>
            <w:vAlign w:val="center"/>
          </w:tcPr>
          <w:p w14:paraId="76D18AC7">
            <w:pPr>
              <w:spacing w:beforeLines="0" w:afterLines="0"/>
              <w:jc w:val="center"/>
              <w:rPr>
                <w:rFonts w:hint="default" w:ascii="宋体" w:eastAsia="宋体"/>
                <w:color w:val="auto"/>
                <w:sz w:val="21"/>
                <w:szCs w:val="21"/>
                <w:highlight w:val="none"/>
                <w:lang w:eastAsia="zh-CN"/>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3E14D41">
            <w:pPr>
              <w:pStyle w:val="11"/>
              <w:spacing w:before="87" w:beforeLines="0" w:afterLines="0" w:line="286" w:lineRule="exact"/>
              <w:ind w:left="129"/>
              <w:rPr>
                <w:rFonts w:hint="default"/>
                <w:color w:val="auto"/>
                <w:sz w:val="21"/>
                <w:szCs w:val="21"/>
                <w:highlight w:val="none"/>
              </w:rPr>
            </w:pPr>
            <w:r>
              <w:rPr>
                <w:rFonts w:hint="default"/>
                <w:color w:val="auto"/>
                <w:spacing w:val="-5"/>
                <w:position w:val="1"/>
                <w:sz w:val="21"/>
                <w:szCs w:val="21"/>
                <w:highlight w:val="none"/>
              </w:rPr>
              <w:t>……</w:t>
            </w:r>
          </w:p>
        </w:tc>
      </w:tr>
      <w:tr w14:paraId="2E41F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6F59DA02">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091ADF9A">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BB75819">
            <w:pPr>
              <w:spacing w:beforeLines="0" w:afterLines="0" w:line="347" w:lineRule="auto"/>
              <w:jc w:val="center"/>
              <w:rPr>
                <w:rFonts w:hint="default"/>
                <w:color w:val="auto"/>
                <w:sz w:val="21"/>
                <w:szCs w:val="21"/>
                <w:highlight w:val="none"/>
              </w:rPr>
            </w:pPr>
          </w:p>
          <w:p w14:paraId="2A95E5AF">
            <w:pPr>
              <w:spacing w:beforeLines="0" w:afterLines="0" w:line="347" w:lineRule="auto"/>
              <w:jc w:val="center"/>
              <w:rPr>
                <w:rFonts w:hint="default"/>
                <w:color w:val="auto"/>
                <w:sz w:val="21"/>
                <w:szCs w:val="21"/>
                <w:highlight w:val="none"/>
              </w:rPr>
            </w:pPr>
            <w:r>
              <w:rPr>
                <w:rFonts w:hint="default"/>
                <w:color w:val="auto"/>
                <w:sz w:val="21"/>
                <w:szCs w:val="21"/>
                <w:highlight w:val="none"/>
              </w:rPr>
              <w:t>拟派项目管理班子资历（施工现场专业人员职业培训合格证）</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2B5C699">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3</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47E9C1B">
            <w:pPr>
              <w:pStyle w:val="11"/>
              <w:spacing w:before="18" w:beforeLines="0" w:afterLines="0" w:line="209" w:lineRule="auto"/>
              <w:ind w:left="119"/>
              <w:rPr>
                <w:rFonts w:hint="default"/>
                <w:color w:val="auto"/>
                <w:sz w:val="21"/>
                <w:szCs w:val="21"/>
                <w:highlight w:val="none"/>
                <w:u w:val="none" w:color="auto"/>
              </w:rPr>
            </w:pPr>
            <w:r>
              <w:rPr>
                <w:rFonts w:hint="default"/>
                <w:color w:val="auto"/>
                <w:sz w:val="21"/>
                <w:szCs w:val="21"/>
                <w:highlight w:val="none"/>
                <w:u w:val="none" w:color="auto"/>
              </w:rPr>
              <w:t>评审内容：施工现场专业人员职业培训合格证</w:t>
            </w:r>
            <w:r>
              <w:rPr>
                <w:rFonts w:hint="default"/>
                <w:color w:val="auto"/>
                <w:sz w:val="21"/>
                <w:szCs w:val="21"/>
                <w:highlight w:val="none"/>
                <w:u w:val="none" w:color="auto"/>
              </w:rPr>
              <w:br w:type="textWrapping"/>
            </w:r>
            <w:r>
              <w:rPr>
                <w:rFonts w:hint="default"/>
                <w:color w:val="auto"/>
                <w:sz w:val="21"/>
                <w:szCs w:val="21"/>
                <w:highlight w:val="none"/>
                <w:u w:val="none" w:color="auto"/>
              </w:rPr>
              <w:t>（1）造价员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r>
              <w:rPr>
                <w:rFonts w:hint="default"/>
                <w:color w:val="auto"/>
                <w:sz w:val="21"/>
                <w:szCs w:val="21"/>
                <w:highlight w:val="none"/>
                <w:u w:val="none" w:color="auto"/>
              </w:rPr>
              <w:br w:type="textWrapping"/>
            </w:r>
            <w:r>
              <w:rPr>
                <w:rFonts w:hint="default"/>
                <w:color w:val="auto"/>
                <w:sz w:val="21"/>
                <w:szCs w:val="21"/>
                <w:highlight w:val="none"/>
                <w:u w:val="none" w:color="auto"/>
              </w:rPr>
              <w:t>（2）施工员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r>
              <w:rPr>
                <w:rFonts w:hint="default"/>
                <w:color w:val="auto"/>
                <w:sz w:val="21"/>
                <w:szCs w:val="21"/>
                <w:highlight w:val="none"/>
                <w:u w:val="none" w:color="auto"/>
              </w:rPr>
              <w:br w:type="textWrapping"/>
            </w:r>
            <w:r>
              <w:rPr>
                <w:rFonts w:hint="default"/>
                <w:color w:val="auto"/>
                <w:sz w:val="21"/>
                <w:szCs w:val="21"/>
                <w:highlight w:val="none"/>
                <w:u w:val="none" w:color="auto"/>
              </w:rPr>
              <w:t>（3）材料员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r>
              <w:rPr>
                <w:rFonts w:hint="default"/>
                <w:color w:val="auto"/>
                <w:sz w:val="21"/>
                <w:szCs w:val="21"/>
                <w:highlight w:val="none"/>
                <w:u w:val="none" w:color="auto"/>
              </w:rPr>
              <w:br w:type="textWrapping"/>
            </w:r>
            <w:r>
              <w:rPr>
                <w:rFonts w:hint="default"/>
                <w:color w:val="auto"/>
                <w:sz w:val="21"/>
                <w:szCs w:val="21"/>
                <w:highlight w:val="none"/>
                <w:u w:val="none" w:color="auto"/>
              </w:rPr>
              <w:t>（4）安全员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r>
              <w:rPr>
                <w:rFonts w:hint="default"/>
                <w:color w:val="auto"/>
                <w:sz w:val="21"/>
                <w:szCs w:val="21"/>
                <w:highlight w:val="none"/>
                <w:u w:val="none" w:color="auto"/>
              </w:rPr>
              <w:br w:type="textWrapping"/>
            </w:r>
            <w:r>
              <w:rPr>
                <w:rFonts w:hint="default"/>
                <w:color w:val="auto"/>
                <w:sz w:val="21"/>
                <w:szCs w:val="21"/>
                <w:highlight w:val="none"/>
                <w:u w:val="none" w:color="auto"/>
              </w:rPr>
              <w:t>（5）资料员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p>
          <w:p w14:paraId="1879A545">
            <w:pPr>
              <w:pStyle w:val="11"/>
              <w:numPr>
                <w:ilvl w:val="0"/>
                <w:numId w:val="2"/>
              </w:numPr>
              <w:spacing w:before="18" w:beforeLines="0" w:afterLines="0" w:line="209" w:lineRule="auto"/>
              <w:ind w:left="119"/>
              <w:rPr>
                <w:rFonts w:hint="default"/>
                <w:color w:val="auto"/>
                <w:sz w:val="21"/>
                <w:szCs w:val="21"/>
                <w:highlight w:val="none"/>
                <w:u w:val="none" w:color="auto"/>
              </w:rPr>
            </w:pPr>
            <w:r>
              <w:rPr>
                <w:rStyle w:val="8"/>
                <w:rFonts w:hint="default"/>
                <w:color w:val="auto"/>
                <w:sz w:val="21"/>
                <w:szCs w:val="24"/>
                <w:highlight w:val="none"/>
              </w:rPr>
              <w:t>质量员</w:t>
            </w:r>
            <w:r>
              <w:rPr>
                <w:rFonts w:hint="default"/>
                <w:color w:val="auto"/>
                <w:sz w:val="21"/>
                <w:szCs w:val="21"/>
                <w:highlight w:val="none"/>
                <w:u w:val="none" w:color="auto"/>
              </w:rPr>
              <w:t>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w:t>
            </w:r>
          </w:p>
          <w:p w14:paraId="0D8D2269">
            <w:pPr>
              <w:pStyle w:val="11"/>
              <w:numPr>
                <w:ilvl w:val="0"/>
                <w:numId w:val="0"/>
              </w:numPr>
              <w:spacing w:before="18" w:beforeLines="0" w:afterLines="0" w:line="209" w:lineRule="auto"/>
              <w:rPr>
                <w:rFonts w:hint="default"/>
                <w:color w:val="auto"/>
                <w:sz w:val="21"/>
                <w:szCs w:val="21"/>
                <w:highlight w:val="none"/>
                <w:u w:val="none" w:color="auto"/>
              </w:rPr>
            </w:pPr>
            <w:r>
              <w:rPr>
                <w:rFonts w:hint="default"/>
                <w:color w:val="auto"/>
                <w:sz w:val="21"/>
                <w:szCs w:val="21"/>
                <w:highlight w:val="none"/>
                <w:u w:val="none" w:color="auto"/>
              </w:rPr>
              <w:t>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p>
          <w:p w14:paraId="26EDEC8A">
            <w:pPr>
              <w:pStyle w:val="11"/>
              <w:spacing w:before="18" w:beforeLines="0" w:afterLines="0" w:line="209" w:lineRule="auto"/>
              <w:ind w:left="119"/>
              <w:rPr>
                <w:rFonts w:hint="default"/>
                <w:color w:val="auto"/>
                <w:sz w:val="21"/>
                <w:szCs w:val="21"/>
                <w:highlight w:val="none"/>
              </w:rPr>
            </w:pPr>
            <w:r>
              <w:rPr>
                <w:rFonts w:hint="default"/>
                <w:color w:val="auto"/>
                <w:sz w:val="21"/>
                <w:szCs w:val="21"/>
                <w:highlight w:val="none"/>
                <w:u w:val="none" w:color="auto"/>
              </w:rPr>
              <w:br w:type="textWrapping"/>
            </w:r>
            <w:r>
              <w:rPr>
                <w:rFonts w:hint="default"/>
                <w:color w:val="auto"/>
                <w:sz w:val="21"/>
                <w:szCs w:val="21"/>
                <w:highlight w:val="none"/>
                <w:u w:val="none" w:color="auto"/>
              </w:rPr>
              <w:t>满分：3分。</w:t>
            </w:r>
            <w:r>
              <w:rPr>
                <w:rFonts w:hint="default"/>
                <w:color w:val="auto"/>
                <w:sz w:val="21"/>
                <w:szCs w:val="21"/>
                <w:highlight w:val="none"/>
                <w:u w:val="none" w:color="auto"/>
              </w:rPr>
              <w:br w:type="textWrapping"/>
            </w:r>
            <w:r>
              <w:rPr>
                <w:rFonts w:hint="default"/>
                <w:color w:val="auto"/>
                <w:sz w:val="21"/>
                <w:szCs w:val="21"/>
                <w:highlight w:val="none"/>
                <w:u w:val="none" w:color="auto"/>
              </w:rPr>
              <w:t>注：以住建领域主体信息库入库的有效证书为准。</w:t>
            </w:r>
          </w:p>
        </w:tc>
      </w:tr>
    </w:tbl>
    <w:p w14:paraId="22986B84">
      <w:pPr>
        <w:pStyle w:val="3"/>
        <w:spacing w:beforeLines="0" w:afterLines="0"/>
        <w:rPr>
          <w:rFonts w:hint="default"/>
          <w:color w:val="auto"/>
          <w:sz w:val="21"/>
          <w:szCs w:val="21"/>
          <w:highlight w:val="none"/>
        </w:rPr>
      </w:pPr>
    </w:p>
    <w:p w14:paraId="1E930515">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4"/>
        <w:gridCol w:w="1099"/>
        <w:gridCol w:w="2044"/>
        <w:gridCol w:w="936"/>
        <w:gridCol w:w="4117"/>
      </w:tblGrid>
      <w:tr w14:paraId="4F461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tcBorders>
              <w:top w:val="nil"/>
              <w:left w:val="single" w:color="000000" w:sz="2" w:space="0"/>
              <w:bottom w:val="single" w:color="000000" w:sz="2" w:space="0"/>
              <w:right w:val="single" w:color="000000" w:sz="2" w:space="0"/>
              <w:tl2br w:val="nil"/>
              <w:tr2bl w:val="nil"/>
            </w:tcBorders>
            <w:noWrap w:val="0"/>
            <w:vAlign w:val="top"/>
          </w:tcPr>
          <w:p w14:paraId="0A47C900">
            <w:pPr>
              <w:spacing w:beforeLines="0" w:afterLines="0"/>
              <w:rPr>
                <w:rFonts w:hint="default"/>
                <w:color w:val="auto"/>
                <w:sz w:val="21"/>
                <w:szCs w:val="21"/>
                <w:highlight w:val="none"/>
              </w:rPr>
            </w:pPr>
          </w:p>
        </w:tc>
        <w:tc>
          <w:tcPr>
            <w:tcW w:w="1099" w:type="dxa"/>
            <w:tcBorders>
              <w:top w:val="nil"/>
              <w:left w:val="single" w:color="000000" w:sz="2" w:space="0"/>
              <w:bottom w:val="single" w:color="000000" w:sz="2" w:space="0"/>
              <w:right w:val="single" w:color="000000" w:sz="2" w:space="0"/>
              <w:tl2br w:val="nil"/>
              <w:tr2bl w:val="nil"/>
            </w:tcBorders>
            <w:noWrap w:val="0"/>
            <w:vAlign w:val="top"/>
          </w:tcPr>
          <w:p w14:paraId="4F3FAC93">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C7C59FB">
            <w:pPr>
              <w:pStyle w:val="11"/>
              <w:spacing w:before="159" w:beforeLines="0" w:afterLines="0" w:line="226" w:lineRule="auto"/>
              <w:ind w:left="828"/>
              <w:rPr>
                <w:rFonts w:hint="default"/>
                <w:color w:val="auto"/>
                <w:sz w:val="21"/>
                <w:szCs w:val="21"/>
                <w:highlight w:val="none"/>
              </w:rPr>
            </w:pPr>
            <w:r>
              <w:rPr>
                <w:rFonts w:hint="default"/>
                <w:color w:val="auto"/>
                <w:spacing w:val="-5"/>
                <w:sz w:val="21"/>
                <w:szCs w:val="21"/>
                <w:highlight w:val="none"/>
              </w:rPr>
              <w:t>……</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D7B7ADA">
            <w:pPr>
              <w:spacing w:beforeLines="0" w:afterLines="0"/>
              <w:rPr>
                <w:rFonts w:hint="default"/>
                <w:color w:val="auto"/>
                <w:sz w:val="21"/>
                <w:szCs w:val="21"/>
                <w:highlight w:val="none"/>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E931002">
            <w:pPr>
              <w:spacing w:beforeLines="0" w:afterLines="0"/>
              <w:rPr>
                <w:rFonts w:hint="default"/>
                <w:color w:val="auto"/>
                <w:sz w:val="21"/>
                <w:szCs w:val="21"/>
                <w:highlight w:val="none"/>
              </w:rPr>
            </w:pPr>
          </w:p>
        </w:tc>
      </w:tr>
      <w:tr w14:paraId="5D849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gridSpan w:val="2"/>
            <w:vMerge w:val="restart"/>
            <w:tcBorders>
              <w:top w:val="single" w:color="000000" w:sz="2" w:space="0"/>
              <w:left w:val="single" w:color="000000" w:sz="2" w:space="0"/>
              <w:bottom w:val="nil"/>
              <w:right w:val="single" w:color="000000" w:sz="2" w:space="0"/>
              <w:tl2br w:val="nil"/>
              <w:tr2bl w:val="nil"/>
            </w:tcBorders>
            <w:noWrap w:val="0"/>
            <w:vAlign w:val="top"/>
          </w:tcPr>
          <w:p w14:paraId="05D982B8">
            <w:pPr>
              <w:spacing w:beforeLines="0" w:afterLines="0" w:line="349" w:lineRule="auto"/>
              <w:rPr>
                <w:rFonts w:hint="default"/>
                <w:color w:val="auto"/>
                <w:sz w:val="21"/>
                <w:szCs w:val="21"/>
                <w:highlight w:val="none"/>
              </w:rPr>
            </w:pPr>
          </w:p>
          <w:p w14:paraId="217EECD4">
            <w:pPr>
              <w:spacing w:before="61" w:beforeLines="0" w:afterLines="0" w:line="386" w:lineRule="exact"/>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2.2.4</w:t>
            </w:r>
          </w:p>
          <w:p w14:paraId="58C1DC68">
            <w:pPr>
              <w:pStyle w:val="11"/>
              <w:spacing w:beforeLines="0" w:afterLines="0" w:line="232" w:lineRule="auto"/>
              <w:ind w:left="119"/>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4</w:t>
            </w:r>
            <w:r>
              <w:rPr>
                <w:rFonts w:hint="default"/>
                <w:color w:val="auto"/>
                <w:spacing w:val="-5"/>
                <w:sz w:val="21"/>
                <w:szCs w:val="21"/>
                <w:highlight w:val="none"/>
              </w:rPr>
              <w:t>）</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387DA7A8">
            <w:pPr>
              <w:spacing w:beforeLines="0" w:afterLines="0" w:line="305" w:lineRule="auto"/>
              <w:rPr>
                <w:rFonts w:hint="default"/>
                <w:color w:val="auto"/>
                <w:sz w:val="21"/>
                <w:szCs w:val="21"/>
                <w:highlight w:val="none"/>
              </w:rPr>
            </w:pPr>
          </w:p>
          <w:p w14:paraId="7E09BDB9">
            <w:pPr>
              <w:pStyle w:val="11"/>
              <w:spacing w:before="68" w:beforeLines="0" w:afterLines="0" w:line="423" w:lineRule="exact"/>
              <w:ind w:left="134"/>
              <w:rPr>
                <w:rFonts w:hint="default"/>
                <w:color w:val="auto"/>
                <w:sz w:val="21"/>
                <w:szCs w:val="21"/>
                <w:highlight w:val="none"/>
              </w:rPr>
            </w:pPr>
            <w:r>
              <w:rPr>
                <w:rFonts w:hint="default"/>
                <w:color w:val="auto"/>
                <w:spacing w:val="-1"/>
                <w:position w:val="16"/>
                <w:sz w:val="21"/>
                <w:szCs w:val="21"/>
                <w:highlight w:val="none"/>
              </w:rPr>
              <w:t>其他因素</w:t>
            </w:r>
          </w:p>
          <w:p w14:paraId="3039833D">
            <w:pPr>
              <w:pStyle w:val="11"/>
              <w:spacing w:beforeLines="0" w:afterLines="0" w:line="221" w:lineRule="auto"/>
              <w:ind w:left="132"/>
              <w:rPr>
                <w:rFonts w:hint="default"/>
                <w:color w:val="auto"/>
                <w:sz w:val="21"/>
                <w:szCs w:val="21"/>
                <w:highlight w:val="none"/>
              </w:rPr>
            </w:pPr>
            <w:r>
              <w:rPr>
                <w:rFonts w:hint="default"/>
                <w:color w:val="auto"/>
                <w:spacing w:val="-1"/>
                <w:sz w:val="21"/>
                <w:szCs w:val="21"/>
                <w:highlight w:val="none"/>
              </w:rPr>
              <w:t>评分标准</w:t>
            </w:r>
          </w:p>
        </w:tc>
        <w:tc>
          <w:tcPr>
            <w:tcW w:w="2044" w:type="dxa"/>
            <w:vMerge w:val="restart"/>
            <w:tcBorders>
              <w:top w:val="single" w:color="000000" w:sz="2" w:space="0"/>
              <w:left w:val="single" w:color="000000" w:sz="2" w:space="0"/>
              <w:bottom w:val="nil"/>
              <w:right w:val="single" w:color="000000" w:sz="2" w:space="0"/>
              <w:tl2br w:val="nil"/>
              <w:tr2bl w:val="nil"/>
            </w:tcBorders>
            <w:noWrap w:val="0"/>
            <w:vAlign w:val="top"/>
          </w:tcPr>
          <w:p w14:paraId="78FA27FD">
            <w:pPr>
              <w:spacing w:beforeLines="0" w:afterLines="0" w:line="300" w:lineRule="auto"/>
              <w:rPr>
                <w:rFonts w:hint="default"/>
                <w:color w:val="auto"/>
                <w:sz w:val="21"/>
                <w:szCs w:val="21"/>
                <w:highlight w:val="none"/>
              </w:rPr>
            </w:pPr>
          </w:p>
          <w:p w14:paraId="44A09447">
            <w:pPr>
              <w:pStyle w:val="11"/>
              <w:spacing w:before="68" w:beforeLines="0" w:afterLines="0" w:line="221" w:lineRule="auto"/>
              <w:ind w:left="290"/>
              <w:rPr>
                <w:rFonts w:hint="default"/>
                <w:color w:val="auto"/>
                <w:sz w:val="21"/>
                <w:szCs w:val="21"/>
                <w:highlight w:val="none"/>
              </w:rPr>
            </w:pPr>
            <w:r>
              <w:rPr>
                <w:rFonts w:hint="default"/>
                <w:color w:val="auto"/>
                <w:spacing w:val="-1"/>
                <w:sz w:val="21"/>
                <w:szCs w:val="21"/>
                <w:highlight w:val="none"/>
              </w:rPr>
              <w:t>项目负责人答辩</w:t>
            </w:r>
          </w:p>
        </w:tc>
        <w:tc>
          <w:tcPr>
            <w:tcW w:w="936" w:type="dxa"/>
            <w:vMerge w:val="restart"/>
            <w:tcBorders>
              <w:top w:val="single" w:color="000000" w:sz="2" w:space="0"/>
              <w:left w:val="single" w:color="000000" w:sz="2" w:space="0"/>
              <w:bottom w:val="nil"/>
              <w:right w:val="single" w:color="000000" w:sz="2" w:space="0"/>
              <w:tl2br w:val="nil"/>
              <w:tr2bl w:val="nil"/>
            </w:tcBorders>
            <w:noWrap w:val="0"/>
            <w:vAlign w:val="top"/>
          </w:tcPr>
          <w:p w14:paraId="45B47DF6">
            <w:pPr>
              <w:spacing w:beforeLines="0" w:afterLines="0"/>
              <w:rPr>
                <w:rFonts w:hint="default"/>
                <w:color w:val="auto"/>
                <w:sz w:val="21"/>
                <w:szCs w:val="21"/>
                <w:highlight w:val="none"/>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FCDFD9C">
            <w:pPr>
              <w:pStyle w:val="11"/>
              <w:spacing w:before="154" w:beforeLines="0" w:afterLines="0" w:line="221" w:lineRule="auto"/>
              <w:ind w:left="115"/>
              <w:rPr>
                <w:rFonts w:hint="default"/>
                <w:color w:val="auto"/>
                <w:sz w:val="21"/>
                <w:szCs w:val="21"/>
                <w:highlight w:val="none"/>
              </w:rPr>
            </w:pPr>
            <w:r>
              <w:rPr>
                <w:rFonts w:hint="default"/>
                <w:color w:val="auto"/>
                <w:spacing w:val="-9"/>
                <w:sz w:val="21"/>
                <w:szCs w:val="21"/>
                <w:highlight w:val="none"/>
              </w:rPr>
              <w:t>评审内容：</w:t>
            </w:r>
          </w:p>
        </w:tc>
      </w:tr>
      <w:tr w14:paraId="682AF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vMerge w:val="continue"/>
            <w:tcBorders>
              <w:top w:val="nil"/>
              <w:left w:val="single" w:color="000000" w:sz="2" w:space="0"/>
              <w:bottom w:val="nil"/>
              <w:right w:val="single" w:color="000000" w:sz="2" w:space="0"/>
              <w:tl2br w:val="nil"/>
              <w:tr2bl w:val="nil"/>
            </w:tcBorders>
            <w:noWrap w:val="0"/>
            <w:vAlign w:val="top"/>
          </w:tcPr>
          <w:p w14:paraId="07423DE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2F28197">
            <w:pPr>
              <w:spacing w:beforeLines="0" w:afterLines="0"/>
              <w:rPr>
                <w:rFonts w:hint="default"/>
                <w:color w:val="auto"/>
                <w:sz w:val="21"/>
                <w:szCs w:val="21"/>
                <w:highlight w:val="none"/>
              </w:rPr>
            </w:pPr>
          </w:p>
        </w:tc>
        <w:tc>
          <w:tcPr>
            <w:tcW w:w="2044" w:type="dxa"/>
            <w:vMerge w:val="continue"/>
            <w:tcBorders>
              <w:top w:val="nil"/>
              <w:left w:val="single" w:color="000000" w:sz="2" w:space="0"/>
              <w:bottom w:val="single" w:color="000000" w:sz="2" w:space="0"/>
              <w:right w:val="single" w:color="000000" w:sz="2" w:space="0"/>
              <w:tl2br w:val="nil"/>
              <w:tr2bl w:val="nil"/>
            </w:tcBorders>
            <w:noWrap w:val="0"/>
            <w:vAlign w:val="top"/>
          </w:tcPr>
          <w:p w14:paraId="5467769A">
            <w:pPr>
              <w:spacing w:beforeLines="0" w:afterLines="0"/>
              <w:rPr>
                <w:rFonts w:hint="default"/>
                <w:color w:val="auto"/>
                <w:sz w:val="21"/>
                <w:szCs w:val="21"/>
                <w:highlight w:val="none"/>
              </w:rPr>
            </w:pPr>
          </w:p>
        </w:tc>
        <w:tc>
          <w:tcPr>
            <w:tcW w:w="936" w:type="dxa"/>
            <w:vMerge w:val="continue"/>
            <w:tcBorders>
              <w:top w:val="nil"/>
              <w:left w:val="single" w:color="000000" w:sz="2" w:space="0"/>
              <w:bottom w:val="single" w:color="000000" w:sz="2" w:space="0"/>
              <w:right w:val="single" w:color="000000" w:sz="2" w:space="0"/>
              <w:tl2br w:val="nil"/>
              <w:tr2bl w:val="nil"/>
            </w:tcBorders>
            <w:noWrap w:val="0"/>
            <w:vAlign w:val="top"/>
          </w:tcPr>
          <w:p w14:paraId="5DE7F2CA">
            <w:pPr>
              <w:spacing w:beforeLines="0" w:afterLines="0"/>
              <w:rPr>
                <w:rFonts w:hint="default"/>
                <w:color w:val="auto"/>
                <w:sz w:val="21"/>
                <w:szCs w:val="21"/>
                <w:highlight w:val="none"/>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74FA6A2">
            <w:pPr>
              <w:pStyle w:val="11"/>
              <w:spacing w:before="159" w:beforeLines="0" w:afterLines="0" w:line="221" w:lineRule="auto"/>
              <w:ind w:left="119"/>
              <w:rPr>
                <w:rFonts w:hint="default"/>
                <w:color w:val="auto"/>
                <w:sz w:val="21"/>
                <w:szCs w:val="21"/>
                <w:highlight w:val="none"/>
              </w:rPr>
            </w:pPr>
            <w:r>
              <w:rPr>
                <w:rFonts w:hint="default"/>
                <w:color w:val="auto"/>
                <w:spacing w:val="-13"/>
                <w:sz w:val="21"/>
                <w:szCs w:val="21"/>
                <w:highlight w:val="none"/>
              </w:rPr>
              <w:t>分值：</w:t>
            </w:r>
          </w:p>
        </w:tc>
      </w:tr>
      <w:tr w14:paraId="6ED5D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vMerge w:val="continue"/>
            <w:tcBorders>
              <w:top w:val="nil"/>
              <w:left w:val="single" w:color="000000" w:sz="2" w:space="0"/>
              <w:bottom w:val="single" w:color="000000" w:sz="2" w:space="0"/>
              <w:right w:val="single" w:color="000000" w:sz="2" w:space="0"/>
              <w:tl2br w:val="nil"/>
              <w:tr2bl w:val="nil"/>
            </w:tcBorders>
            <w:noWrap w:val="0"/>
            <w:vAlign w:val="top"/>
          </w:tcPr>
          <w:p w14:paraId="365FF997">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73F33182">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934A972">
            <w:pPr>
              <w:pStyle w:val="11"/>
              <w:spacing w:before="159" w:beforeLines="0" w:afterLines="0" w:line="226" w:lineRule="auto"/>
              <w:ind w:left="828"/>
              <w:rPr>
                <w:rFonts w:hint="default"/>
                <w:color w:val="auto"/>
                <w:sz w:val="21"/>
                <w:szCs w:val="21"/>
                <w:highlight w:val="none"/>
              </w:rPr>
            </w:pPr>
            <w:r>
              <w:rPr>
                <w:rFonts w:hint="default"/>
                <w:color w:val="auto"/>
                <w:spacing w:val="-5"/>
                <w:sz w:val="21"/>
                <w:szCs w:val="21"/>
                <w:highlight w:val="none"/>
              </w:rPr>
              <w:t>……</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D95272A">
            <w:pPr>
              <w:spacing w:beforeLines="0" w:afterLines="0"/>
              <w:rPr>
                <w:rFonts w:hint="default"/>
                <w:color w:val="auto"/>
                <w:sz w:val="21"/>
                <w:szCs w:val="21"/>
                <w:highlight w:val="none"/>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1407B64">
            <w:pPr>
              <w:spacing w:beforeLines="0" w:afterLines="0"/>
              <w:rPr>
                <w:rFonts w:hint="default"/>
                <w:color w:val="auto"/>
                <w:sz w:val="21"/>
                <w:szCs w:val="21"/>
                <w:highlight w:val="none"/>
              </w:rPr>
            </w:pPr>
          </w:p>
        </w:tc>
      </w:tr>
      <w:tr w14:paraId="49CE5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3"/>
            <w:tcBorders>
              <w:top w:val="single" w:color="000000" w:sz="2" w:space="0"/>
              <w:left w:val="single" w:color="000000" w:sz="2" w:space="0"/>
              <w:bottom w:val="single" w:color="000000" w:sz="2" w:space="0"/>
              <w:right w:val="single" w:color="000000" w:sz="2" w:space="0"/>
              <w:tl2br w:val="nil"/>
              <w:tr2bl w:val="nil"/>
            </w:tcBorders>
            <w:noWrap w:val="0"/>
            <w:vAlign w:val="top"/>
          </w:tcPr>
          <w:p w14:paraId="1D956B96">
            <w:pPr>
              <w:pStyle w:val="11"/>
              <w:spacing w:before="164" w:beforeLines="0" w:afterLines="0" w:line="221" w:lineRule="auto"/>
              <w:ind w:left="610"/>
              <w:rPr>
                <w:rFonts w:hint="default"/>
                <w:color w:val="auto"/>
                <w:sz w:val="21"/>
                <w:szCs w:val="21"/>
                <w:highlight w:val="none"/>
              </w:rPr>
            </w:pPr>
            <w:r>
              <w:rPr>
                <w:rFonts w:hint="default"/>
                <w:color w:val="auto"/>
                <w:spacing w:val="-2"/>
                <w:sz w:val="21"/>
                <w:szCs w:val="21"/>
                <w:highlight w:val="none"/>
              </w:rPr>
              <w:t>条款号</w:t>
            </w:r>
          </w:p>
        </w:tc>
        <w:tc>
          <w:tcPr>
            <w:tcW w:w="7097" w:type="dxa"/>
            <w:gridSpan w:val="3"/>
            <w:tcBorders>
              <w:top w:val="single" w:color="000000" w:sz="2" w:space="0"/>
              <w:left w:val="single" w:color="000000" w:sz="2" w:space="0"/>
              <w:bottom w:val="single" w:color="000000" w:sz="2" w:space="0"/>
              <w:right w:val="single" w:color="000000" w:sz="2" w:space="0"/>
              <w:tl2br w:val="nil"/>
              <w:tr2bl w:val="nil"/>
            </w:tcBorders>
            <w:noWrap w:val="0"/>
            <w:vAlign w:val="top"/>
          </w:tcPr>
          <w:p w14:paraId="2099C185">
            <w:pPr>
              <w:pStyle w:val="11"/>
              <w:spacing w:before="164" w:beforeLines="0" w:afterLines="0" w:line="221" w:lineRule="auto"/>
              <w:ind w:left="3129"/>
              <w:rPr>
                <w:rFonts w:hint="default"/>
                <w:color w:val="auto"/>
                <w:sz w:val="21"/>
                <w:szCs w:val="21"/>
                <w:highlight w:val="none"/>
              </w:rPr>
            </w:pPr>
            <w:r>
              <w:rPr>
                <w:rFonts w:hint="default"/>
                <w:color w:val="auto"/>
                <w:spacing w:val="-2"/>
                <w:sz w:val="21"/>
                <w:szCs w:val="21"/>
                <w:highlight w:val="none"/>
              </w:rPr>
              <w:t>具体内容</w:t>
            </w:r>
          </w:p>
        </w:tc>
      </w:tr>
      <w:tr w14:paraId="6A344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10"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6DF6D00">
            <w:pPr>
              <w:spacing w:beforeLines="0" w:afterLines="0" w:line="359" w:lineRule="auto"/>
              <w:rPr>
                <w:rFonts w:hint="default"/>
                <w:color w:val="auto"/>
                <w:sz w:val="21"/>
                <w:szCs w:val="21"/>
                <w:highlight w:val="none"/>
              </w:rPr>
            </w:pPr>
          </w:p>
          <w:p w14:paraId="15FD8112">
            <w:pPr>
              <w:spacing w:beforeLines="0" w:afterLines="0" w:line="359" w:lineRule="auto"/>
              <w:rPr>
                <w:rFonts w:hint="default"/>
                <w:color w:val="auto"/>
                <w:sz w:val="21"/>
                <w:szCs w:val="21"/>
                <w:highlight w:val="none"/>
              </w:rPr>
            </w:pPr>
          </w:p>
          <w:p w14:paraId="7A59BAA1">
            <w:pPr>
              <w:spacing w:before="61" w:beforeLines="0" w:afterLines="0" w:line="189" w:lineRule="auto"/>
              <w:ind w:left="147"/>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3.2.5</w:t>
            </w:r>
          </w:p>
        </w:tc>
        <w:tc>
          <w:tcPr>
            <w:tcW w:w="113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69E365EB">
            <w:pPr>
              <w:spacing w:beforeLines="0" w:afterLines="0" w:line="464" w:lineRule="auto"/>
              <w:rPr>
                <w:rFonts w:hint="default"/>
                <w:color w:val="auto"/>
                <w:sz w:val="21"/>
                <w:szCs w:val="21"/>
                <w:highlight w:val="none"/>
              </w:rPr>
            </w:pPr>
          </w:p>
          <w:p w14:paraId="76D0DFC4">
            <w:pPr>
              <w:pStyle w:val="11"/>
              <w:spacing w:before="68" w:beforeLines="0" w:afterLines="0" w:line="423" w:lineRule="exact"/>
              <w:ind w:left="147"/>
              <w:rPr>
                <w:rFonts w:hint="default"/>
                <w:color w:val="auto"/>
                <w:sz w:val="21"/>
                <w:szCs w:val="21"/>
                <w:highlight w:val="none"/>
              </w:rPr>
            </w:pPr>
            <w:r>
              <w:rPr>
                <w:rFonts w:hint="default"/>
                <w:color w:val="auto"/>
                <w:spacing w:val="-1"/>
                <w:position w:val="16"/>
                <w:sz w:val="21"/>
                <w:szCs w:val="21"/>
                <w:highlight w:val="none"/>
              </w:rPr>
              <w:t>评分结果</w:t>
            </w:r>
          </w:p>
          <w:p w14:paraId="0D400F0F">
            <w:pPr>
              <w:pStyle w:val="11"/>
              <w:spacing w:beforeLines="0" w:afterLines="0" w:line="226" w:lineRule="auto"/>
              <w:ind w:left="359"/>
              <w:rPr>
                <w:rFonts w:hint="default"/>
                <w:color w:val="auto"/>
                <w:sz w:val="21"/>
                <w:szCs w:val="21"/>
                <w:highlight w:val="none"/>
              </w:rPr>
            </w:pPr>
            <w:r>
              <w:rPr>
                <w:rFonts w:hint="default"/>
                <w:color w:val="auto"/>
                <w:spacing w:val="-2"/>
                <w:sz w:val="21"/>
                <w:szCs w:val="21"/>
                <w:highlight w:val="none"/>
              </w:rPr>
              <w:t>汇总</w:t>
            </w:r>
          </w:p>
        </w:tc>
        <w:tc>
          <w:tcPr>
            <w:tcW w:w="7097" w:type="dxa"/>
            <w:gridSpan w:val="3"/>
            <w:tcBorders>
              <w:top w:val="single" w:color="000000" w:sz="2" w:space="0"/>
              <w:left w:val="single" w:color="000000" w:sz="2" w:space="0"/>
              <w:bottom w:val="single" w:color="000000" w:sz="2" w:space="0"/>
              <w:right w:val="single" w:color="000000" w:sz="2" w:space="0"/>
              <w:tl2br w:val="nil"/>
              <w:tr2bl w:val="nil"/>
            </w:tcBorders>
            <w:noWrap w:val="0"/>
            <w:vAlign w:val="top"/>
          </w:tcPr>
          <w:p w14:paraId="32C8CE66">
            <w:pPr>
              <w:pStyle w:val="11"/>
              <w:spacing w:before="155" w:beforeLines="0" w:afterLines="0" w:line="221" w:lineRule="auto"/>
              <w:ind w:left="112"/>
              <w:rPr>
                <w:rFonts w:hint="default"/>
                <w:color w:val="auto"/>
                <w:sz w:val="21"/>
                <w:szCs w:val="21"/>
                <w:highlight w:val="none"/>
              </w:rPr>
            </w:pPr>
            <w:r>
              <w:rPr>
                <w:rFonts w:hint="default"/>
                <w:color w:val="auto"/>
                <w:spacing w:val="-4"/>
                <w:sz w:val="21"/>
                <w:szCs w:val="21"/>
                <w:highlight w:val="none"/>
              </w:rPr>
              <w:t>最终（含分项）</w:t>
            </w:r>
            <w:r>
              <w:rPr>
                <w:rFonts w:hint="default"/>
                <w:color w:val="auto"/>
                <w:spacing w:val="-39"/>
                <w:sz w:val="21"/>
                <w:szCs w:val="21"/>
                <w:highlight w:val="none"/>
              </w:rPr>
              <w:t xml:space="preserve"> </w:t>
            </w:r>
            <w:r>
              <w:rPr>
                <w:rFonts w:hint="default"/>
                <w:color w:val="auto"/>
                <w:spacing w:val="-4"/>
                <w:sz w:val="21"/>
                <w:szCs w:val="21"/>
                <w:highlight w:val="none"/>
              </w:rPr>
              <w:t>评分结果汇总确定办法：</w:t>
            </w:r>
          </w:p>
          <w:p w14:paraId="2B635262">
            <w:pPr>
              <w:pStyle w:val="11"/>
              <w:spacing w:before="171" w:beforeLines="0" w:afterLines="0" w:line="220" w:lineRule="auto"/>
              <w:ind w:left="553"/>
              <w:rPr>
                <w:rFonts w:hint="default"/>
                <w:color w:val="auto"/>
                <w:sz w:val="21"/>
                <w:szCs w:val="21"/>
                <w:highlight w:val="none"/>
              </w:rPr>
            </w:pPr>
            <w:r>
              <w:rPr>
                <w:rFonts w:hint="default"/>
                <w:color w:val="auto"/>
                <w:spacing w:val="-2"/>
                <w:sz w:val="21"/>
                <w:szCs w:val="21"/>
                <w:highlight w:val="none"/>
              </w:rPr>
              <w:t>□所有评标委员会成员评分的算术平均值。</w:t>
            </w:r>
          </w:p>
          <w:p w14:paraId="60E2841C">
            <w:pPr>
              <w:pStyle w:val="11"/>
              <w:spacing w:before="133" w:beforeLines="0" w:afterLines="0" w:line="380" w:lineRule="exact"/>
              <w:ind w:left="553"/>
              <w:rPr>
                <w:rFonts w:hint="default"/>
                <w:color w:val="auto"/>
                <w:sz w:val="21"/>
                <w:szCs w:val="21"/>
                <w:highlight w:val="none"/>
              </w:rPr>
            </w:pPr>
            <w:r>
              <w:rPr>
                <w:rFonts w:hint="default"/>
                <w:color w:val="auto"/>
                <w:spacing w:val="4"/>
                <w:position w:val="12"/>
                <w:sz w:val="21"/>
                <w:szCs w:val="21"/>
                <w:highlight w:val="none"/>
                <w:lang w:eastAsia="zh-CN"/>
              </w:rPr>
              <w:t>☑</w:t>
            </w:r>
            <w:r>
              <w:rPr>
                <w:rFonts w:hint="default"/>
                <w:color w:val="auto"/>
                <w:spacing w:val="4"/>
                <w:position w:val="12"/>
                <w:sz w:val="21"/>
                <w:szCs w:val="21"/>
                <w:highlight w:val="none"/>
              </w:rPr>
              <w:t>所有评标委员会成员评分去掉一个最高分和一个最低分后计算平均</w:t>
            </w:r>
          </w:p>
          <w:p w14:paraId="737FA5AD">
            <w:pPr>
              <w:pStyle w:val="11"/>
              <w:spacing w:beforeLines="0" w:afterLines="0" w:line="220" w:lineRule="auto"/>
              <w:ind w:left="109"/>
              <w:rPr>
                <w:rFonts w:hint="default"/>
                <w:color w:val="auto"/>
                <w:sz w:val="21"/>
                <w:szCs w:val="21"/>
                <w:highlight w:val="none"/>
              </w:rPr>
            </w:pPr>
            <w:r>
              <w:rPr>
                <w:rFonts w:hint="default"/>
                <w:color w:val="auto"/>
                <w:spacing w:val="-4"/>
                <w:sz w:val="21"/>
                <w:szCs w:val="21"/>
                <w:highlight w:val="none"/>
              </w:rPr>
              <w:t>值（分项评审成员</w:t>
            </w:r>
            <w:r>
              <w:rPr>
                <w:rFonts w:hint="default"/>
                <w:color w:val="auto"/>
                <w:spacing w:val="-31"/>
                <w:sz w:val="21"/>
                <w:szCs w:val="21"/>
                <w:highlight w:val="none"/>
              </w:rPr>
              <w:t xml:space="preserve"> </w:t>
            </w:r>
            <w:r>
              <w:rPr>
                <w:rFonts w:hint="default"/>
                <w:color w:val="auto"/>
                <w:spacing w:val="-4"/>
                <w:sz w:val="21"/>
                <w:szCs w:val="21"/>
                <w:highlight w:val="none"/>
              </w:rPr>
              <w:t>3</w:t>
            </w:r>
            <w:r>
              <w:rPr>
                <w:rFonts w:hint="default"/>
                <w:color w:val="auto"/>
                <w:spacing w:val="-46"/>
                <w:sz w:val="21"/>
                <w:szCs w:val="21"/>
                <w:highlight w:val="none"/>
              </w:rPr>
              <w:t xml:space="preserve"> </w:t>
            </w:r>
            <w:r>
              <w:rPr>
                <w:rFonts w:hint="default"/>
                <w:color w:val="auto"/>
                <w:spacing w:val="-4"/>
                <w:sz w:val="21"/>
                <w:szCs w:val="21"/>
                <w:highlight w:val="none"/>
              </w:rPr>
              <w:t>名（含</w:t>
            </w:r>
            <w:r>
              <w:rPr>
                <w:rFonts w:hint="default"/>
                <w:color w:val="auto"/>
                <w:spacing w:val="-39"/>
                <w:sz w:val="21"/>
                <w:szCs w:val="21"/>
                <w:highlight w:val="none"/>
              </w:rPr>
              <w:t xml:space="preserve"> </w:t>
            </w:r>
            <w:r>
              <w:rPr>
                <w:rFonts w:hint="default"/>
                <w:color w:val="auto"/>
                <w:spacing w:val="-4"/>
                <w:sz w:val="21"/>
                <w:szCs w:val="21"/>
                <w:highlight w:val="none"/>
              </w:rPr>
              <w:t>3</w:t>
            </w:r>
            <w:r>
              <w:rPr>
                <w:rFonts w:hint="default"/>
                <w:color w:val="auto"/>
                <w:spacing w:val="-46"/>
                <w:sz w:val="21"/>
                <w:szCs w:val="21"/>
                <w:highlight w:val="none"/>
              </w:rPr>
              <w:t xml:space="preserve"> </w:t>
            </w:r>
            <w:r>
              <w:rPr>
                <w:rFonts w:hint="default"/>
                <w:color w:val="auto"/>
                <w:spacing w:val="-4"/>
                <w:sz w:val="21"/>
                <w:szCs w:val="21"/>
                <w:highlight w:val="none"/>
              </w:rPr>
              <w:t>名）以下时，按照算术平均值进行计算）。</w:t>
            </w:r>
          </w:p>
        </w:tc>
      </w:tr>
      <w:tr w14:paraId="3CE92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6" w:hRule="atLeast"/>
        </w:trPr>
        <w:tc>
          <w:tcPr>
            <w:tcW w:w="710"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16A6031">
            <w:pPr>
              <w:spacing w:beforeLines="0" w:afterLines="0" w:line="246" w:lineRule="auto"/>
              <w:rPr>
                <w:rFonts w:hint="default"/>
                <w:color w:val="auto"/>
                <w:sz w:val="21"/>
                <w:szCs w:val="21"/>
                <w:highlight w:val="none"/>
              </w:rPr>
            </w:pPr>
          </w:p>
          <w:p w14:paraId="54460784">
            <w:pPr>
              <w:spacing w:beforeLines="0" w:afterLines="0" w:line="246" w:lineRule="auto"/>
              <w:rPr>
                <w:rFonts w:hint="default"/>
                <w:color w:val="auto"/>
                <w:sz w:val="21"/>
                <w:szCs w:val="21"/>
                <w:highlight w:val="none"/>
              </w:rPr>
            </w:pPr>
          </w:p>
          <w:p w14:paraId="25E8AB34">
            <w:pPr>
              <w:spacing w:beforeLines="0" w:afterLines="0" w:line="247" w:lineRule="auto"/>
              <w:rPr>
                <w:rFonts w:hint="default"/>
                <w:color w:val="auto"/>
                <w:sz w:val="21"/>
                <w:szCs w:val="21"/>
                <w:highlight w:val="none"/>
              </w:rPr>
            </w:pPr>
          </w:p>
          <w:p w14:paraId="78B7061E">
            <w:pPr>
              <w:spacing w:beforeLines="0" w:afterLines="0" w:line="247" w:lineRule="auto"/>
              <w:rPr>
                <w:rFonts w:hint="default"/>
                <w:color w:val="auto"/>
                <w:sz w:val="21"/>
                <w:szCs w:val="21"/>
                <w:highlight w:val="none"/>
              </w:rPr>
            </w:pPr>
          </w:p>
          <w:p w14:paraId="316ECF36">
            <w:pPr>
              <w:spacing w:beforeLines="0" w:afterLines="0" w:line="247" w:lineRule="auto"/>
              <w:rPr>
                <w:rFonts w:hint="default"/>
                <w:color w:val="auto"/>
                <w:sz w:val="21"/>
                <w:szCs w:val="21"/>
                <w:highlight w:val="none"/>
              </w:rPr>
            </w:pPr>
          </w:p>
          <w:p w14:paraId="105971D2">
            <w:pPr>
              <w:spacing w:beforeLines="0" w:afterLines="0" w:line="247" w:lineRule="auto"/>
              <w:rPr>
                <w:rFonts w:hint="default"/>
                <w:color w:val="auto"/>
                <w:sz w:val="21"/>
                <w:szCs w:val="21"/>
                <w:highlight w:val="none"/>
              </w:rPr>
            </w:pPr>
          </w:p>
          <w:p w14:paraId="1583CFAF">
            <w:pPr>
              <w:spacing w:beforeLines="0" w:afterLines="0" w:line="247" w:lineRule="auto"/>
              <w:rPr>
                <w:rFonts w:hint="default"/>
                <w:color w:val="auto"/>
                <w:sz w:val="21"/>
                <w:szCs w:val="21"/>
                <w:highlight w:val="none"/>
              </w:rPr>
            </w:pPr>
          </w:p>
          <w:p w14:paraId="3B014994">
            <w:pPr>
              <w:spacing w:beforeLines="0" w:afterLines="0" w:line="247" w:lineRule="auto"/>
              <w:rPr>
                <w:rFonts w:hint="default"/>
                <w:color w:val="auto"/>
                <w:sz w:val="21"/>
                <w:szCs w:val="21"/>
                <w:highlight w:val="none"/>
              </w:rPr>
            </w:pPr>
          </w:p>
          <w:p w14:paraId="61B985CD">
            <w:pPr>
              <w:spacing w:beforeLines="0" w:afterLines="0" w:line="247" w:lineRule="auto"/>
              <w:rPr>
                <w:rFonts w:hint="default"/>
                <w:color w:val="auto"/>
                <w:sz w:val="21"/>
                <w:szCs w:val="21"/>
                <w:highlight w:val="none"/>
              </w:rPr>
            </w:pPr>
          </w:p>
          <w:p w14:paraId="3458EB2A">
            <w:pPr>
              <w:spacing w:before="61" w:beforeLines="0" w:afterLines="0" w:line="189" w:lineRule="auto"/>
              <w:ind w:left="147"/>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3.4.1</w:t>
            </w:r>
          </w:p>
        </w:tc>
        <w:tc>
          <w:tcPr>
            <w:tcW w:w="113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31F26464">
            <w:pPr>
              <w:spacing w:beforeLines="0" w:afterLines="0" w:line="245" w:lineRule="auto"/>
              <w:rPr>
                <w:rFonts w:hint="default"/>
                <w:color w:val="auto"/>
                <w:sz w:val="21"/>
                <w:szCs w:val="21"/>
                <w:highlight w:val="none"/>
              </w:rPr>
            </w:pPr>
          </w:p>
          <w:p w14:paraId="7AC0CF2D">
            <w:pPr>
              <w:spacing w:beforeLines="0" w:afterLines="0" w:line="246" w:lineRule="auto"/>
              <w:rPr>
                <w:rFonts w:hint="default"/>
                <w:color w:val="auto"/>
                <w:sz w:val="21"/>
                <w:szCs w:val="21"/>
                <w:highlight w:val="none"/>
              </w:rPr>
            </w:pPr>
          </w:p>
          <w:p w14:paraId="5EEFCE79">
            <w:pPr>
              <w:spacing w:beforeLines="0" w:afterLines="0" w:line="246" w:lineRule="auto"/>
              <w:rPr>
                <w:rFonts w:hint="default"/>
                <w:color w:val="auto"/>
                <w:sz w:val="21"/>
                <w:szCs w:val="21"/>
                <w:highlight w:val="none"/>
              </w:rPr>
            </w:pPr>
          </w:p>
          <w:p w14:paraId="4E9800D1">
            <w:pPr>
              <w:spacing w:beforeLines="0" w:afterLines="0" w:line="246" w:lineRule="auto"/>
              <w:rPr>
                <w:rFonts w:hint="default"/>
                <w:color w:val="auto"/>
                <w:sz w:val="21"/>
                <w:szCs w:val="21"/>
                <w:highlight w:val="none"/>
              </w:rPr>
            </w:pPr>
          </w:p>
          <w:p w14:paraId="302C2E93">
            <w:pPr>
              <w:spacing w:beforeLines="0" w:afterLines="0" w:line="246" w:lineRule="auto"/>
              <w:rPr>
                <w:rFonts w:hint="default"/>
                <w:color w:val="auto"/>
                <w:sz w:val="21"/>
                <w:szCs w:val="21"/>
                <w:highlight w:val="none"/>
              </w:rPr>
            </w:pPr>
          </w:p>
          <w:p w14:paraId="1FD641E0">
            <w:pPr>
              <w:spacing w:beforeLines="0" w:afterLines="0" w:line="246" w:lineRule="auto"/>
              <w:rPr>
                <w:rFonts w:hint="default"/>
                <w:color w:val="auto"/>
                <w:sz w:val="21"/>
                <w:szCs w:val="21"/>
                <w:highlight w:val="none"/>
              </w:rPr>
            </w:pPr>
          </w:p>
          <w:p w14:paraId="74B61A6A">
            <w:pPr>
              <w:spacing w:beforeLines="0" w:afterLines="0" w:line="246" w:lineRule="auto"/>
              <w:rPr>
                <w:rFonts w:hint="default"/>
                <w:color w:val="auto"/>
                <w:sz w:val="21"/>
                <w:szCs w:val="21"/>
                <w:highlight w:val="none"/>
              </w:rPr>
            </w:pPr>
          </w:p>
          <w:p w14:paraId="7FCAC5CC">
            <w:pPr>
              <w:spacing w:beforeLines="0" w:afterLines="0" w:line="246" w:lineRule="auto"/>
              <w:rPr>
                <w:rFonts w:hint="default"/>
                <w:color w:val="auto"/>
                <w:sz w:val="21"/>
                <w:szCs w:val="21"/>
                <w:highlight w:val="none"/>
              </w:rPr>
            </w:pPr>
          </w:p>
          <w:p w14:paraId="66D88296">
            <w:pPr>
              <w:pStyle w:val="11"/>
              <w:spacing w:before="68" w:beforeLines="0" w:afterLines="0" w:line="220" w:lineRule="auto"/>
              <w:ind w:left="148"/>
              <w:rPr>
                <w:rFonts w:hint="default"/>
                <w:color w:val="auto"/>
                <w:sz w:val="21"/>
                <w:szCs w:val="21"/>
                <w:highlight w:val="none"/>
              </w:rPr>
            </w:pPr>
            <w:r>
              <w:rPr>
                <w:rFonts w:hint="default"/>
                <w:color w:val="auto"/>
                <w:spacing w:val="-1"/>
                <w:sz w:val="21"/>
                <w:szCs w:val="21"/>
                <w:highlight w:val="none"/>
              </w:rPr>
              <w:t>推荐中标</w:t>
            </w:r>
          </w:p>
          <w:p w14:paraId="073DDD93">
            <w:pPr>
              <w:pStyle w:val="11"/>
              <w:spacing w:before="172" w:beforeLines="0" w:afterLines="0" w:line="221" w:lineRule="auto"/>
              <w:ind w:left="254"/>
              <w:rPr>
                <w:rFonts w:hint="default"/>
                <w:color w:val="auto"/>
                <w:sz w:val="21"/>
                <w:szCs w:val="21"/>
                <w:highlight w:val="none"/>
              </w:rPr>
            </w:pPr>
            <w:r>
              <w:rPr>
                <w:rFonts w:hint="default"/>
                <w:color w:val="auto"/>
                <w:spacing w:val="-2"/>
                <w:sz w:val="21"/>
                <w:szCs w:val="21"/>
                <w:highlight w:val="none"/>
              </w:rPr>
              <w:t>候选人</w:t>
            </w:r>
          </w:p>
        </w:tc>
        <w:tc>
          <w:tcPr>
            <w:tcW w:w="7097" w:type="dxa"/>
            <w:gridSpan w:val="3"/>
            <w:tcBorders>
              <w:top w:val="single" w:color="000000" w:sz="2" w:space="0"/>
              <w:left w:val="single" w:color="000000" w:sz="2" w:space="0"/>
              <w:bottom w:val="single" w:color="000000" w:sz="2" w:space="0"/>
              <w:right w:val="single" w:color="000000" w:sz="2" w:space="0"/>
              <w:tl2br w:val="nil"/>
              <w:tr2bl w:val="nil"/>
            </w:tcBorders>
            <w:noWrap w:val="0"/>
            <w:vAlign w:val="top"/>
          </w:tcPr>
          <w:p w14:paraId="207F7C21">
            <w:pPr>
              <w:pStyle w:val="11"/>
              <w:spacing w:before="162" w:beforeLines="0" w:afterLines="0" w:line="369" w:lineRule="auto"/>
              <w:ind w:left="109" w:right="111" w:firstLine="428"/>
              <w:rPr>
                <w:rFonts w:hint="default"/>
                <w:color w:val="auto"/>
                <w:sz w:val="21"/>
                <w:szCs w:val="21"/>
                <w:highlight w:val="none"/>
              </w:rPr>
            </w:pPr>
            <w:r>
              <w:rPr>
                <w:rFonts w:hint="default"/>
                <w:color w:val="auto"/>
                <w:spacing w:val="-1"/>
                <w:sz w:val="21"/>
                <w:szCs w:val="21"/>
                <w:highlight w:val="none"/>
              </w:rPr>
              <w:t>（</w:t>
            </w:r>
            <w:r>
              <w:rPr>
                <w:rFonts w:hint="eastAsia" w:ascii="Times New Roman" w:hAnsi="Times New Roman" w:eastAsia="Times New Roman" w:cs="Times New Roman"/>
                <w:color w:val="auto"/>
                <w:spacing w:val="-1"/>
                <w:sz w:val="21"/>
                <w:szCs w:val="21"/>
                <w:highlight w:val="none"/>
              </w:rPr>
              <w:t>1</w:t>
            </w:r>
            <w:r>
              <w:rPr>
                <w:rFonts w:hint="default"/>
                <w:color w:val="auto"/>
                <w:spacing w:val="-1"/>
                <w:sz w:val="21"/>
                <w:szCs w:val="21"/>
                <w:highlight w:val="none"/>
              </w:rPr>
              <w:t>）评标委员会向招标人推荐不超过</w:t>
            </w:r>
            <w:r>
              <w:rPr>
                <w:rFonts w:hint="default"/>
                <w:color w:val="auto"/>
                <w:spacing w:val="-104"/>
                <w:sz w:val="21"/>
                <w:szCs w:val="21"/>
                <w:highlight w:val="none"/>
              </w:rPr>
              <w:t xml:space="preserve"> </w:t>
            </w:r>
            <w:r>
              <w:rPr>
                <w:rFonts w:hint="default"/>
                <w:color w:val="auto"/>
                <w:spacing w:val="12"/>
                <w:sz w:val="21"/>
                <w:szCs w:val="21"/>
                <w:highlight w:val="none"/>
                <w:u w:val="single" w:color="auto"/>
              </w:rPr>
              <w:t xml:space="preserve"> </w:t>
            </w:r>
            <w:r>
              <w:rPr>
                <w:rFonts w:hint="default"/>
                <w:color w:val="auto"/>
                <w:spacing w:val="12"/>
                <w:sz w:val="21"/>
                <w:szCs w:val="21"/>
                <w:highlight w:val="none"/>
                <w:u w:val="single" w:color="auto"/>
                <w:lang w:eastAsia="zh-CN"/>
              </w:rPr>
              <w:t>3</w:t>
            </w:r>
            <w:r>
              <w:rPr>
                <w:rFonts w:hint="default"/>
                <w:color w:val="auto"/>
                <w:spacing w:val="-1"/>
                <w:sz w:val="21"/>
                <w:szCs w:val="21"/>
                <w:highlight w:val="none"/>
              </w:rPr>
              <w:t>家合格的中标候选人，且对</w:t>
            </w:r>
            <w:r>
              <w:rPr>
                <w:rFonts w:hint="default"/>
                <w:color w:val="auto"/>
                <w:sz w:val="21"/>
                <w:szCs w:val="21"/>
                <w:highlight w:val="none"/>
              </w:rPr>
              <w:t xml:space="preserve"> </w:t>
            </w:r>
            <w:r>
              <w:rPr>
                <w:rFonts w:hint="default"/>
                <w:color w:val="auto"/>
                <w:spacing w:val="5"/>
                <w:sz w:val="21"/>
                <w:szCs w:val="21"/>
                <w:highlight w:val="none"/>
              </w:rPr>
              <w:t>每个中标候选人的技术咨询建议、优势、不足、</w:t>
            </w:r>
            <w:r>
              <w:rPr>
                <w:rFonts w:hint="default"/>
                <w:color w:val="auto"/>
                <w:spacing w:val="4"/>
                <w:sz w:val="21"/>
                <w:szCs w:val="21"/>
                <w:highlight w:val="none"/>
              </w:rPr>
              <w:t>风险等情况进行说明，提</w:t>
            </w:r>
          </w:p>
          <w:p w14:paraId="157F7ABD">
            <w:pPr>
              <w:pStyle w:val="11"/>
              <w:spacing w:beforeLines="0" w:afterLines="0" w:line="219" w:lineRule="auto"/>
              <w:ind w:left="128"/>
              <w:rPr>
                <w:rFonts w:hint="default"/>
                <w:color w:val="auto"/>
                <w:sz w:val="21"/>
                <w:szCs w:val="21"/>
                <w:highlight w:val="none"/>
              </w:rPr>
            </w:pPr>
            <w:r>
              <w:rPr>
                <w:rFonts w:hint="default"/>
                <w:color w:val="auto"/>
                <w:spacing w:val="-5"/>
                <w:sz w:val="21"/>
                <w:szCs w:val="21"/>
                <w:highlight w:val="none"/>
              </w:rPr>
              <w:t>出推荐意见和建议。</w:t>
            </w:r>
          </w:p>
          <w:p w14:paraId="010C3767">
            <w:pPr>
              <w:pStyle w:val="11"/>
              <w:spacing w:before="164" w:beforeLines="0" w:afterLines="0" w:line="370" w:lineRule="auto"/>
              <w:ind w:left="109" w:right="104" w:firstLine="429"/>
              <w:rPr>
                <w:rFonts w:hint="default"/>
                <w:color w:val="auto"/>
                <w:sz w:val="21"/>
                <w:szCs w:val="21"/>
                <w:highlight w:val="none"/>
              </w:rPr>
            </w:pPr>
            <w:r>
              <w:rPr>
                <w:rFonts w:hint="default"/>
                <w:color w:val="auto"/>
                <w:spacing w:val="1"/>
                <w:sz w:val="21"/>
                <w:szCs w:val="21"/>
                <w:highlight w:val="none"/>
              </w:rPr>
              <w:t>（</w:t>
            </w:r>
            <w:r>
              <w:rPr>
                <w:rFonts w:hint="eastAsia" w:ascii="Times New Roman" w:hAnsi="Times New Roman" w:eastAsia="Times New Roman" w:cs="Times New Roman"/>
                <w:color w:val="auto"/>
                <w:spacing w:val="1"/>
                <w:sz w:val="21"/>
                <w:szCs w:val="21"/>
                <w:highlight w:val="none"/>
              </w:rPr>
              <w:t>2</w:t>
            </w:r>
            <w:r>
              <w:rPr>
                <w:rFonts w:hint="default"/>
                <w:color w:val="auto"/>
                <w:spacing w:val="1"/>
                <w:sz w:val="21"/>
                <w:szCs w:val="21"/>
                <w:highlight w:val="none"/>
              </w:rPr>
              <w:t>）除评标办法前附表规定采用技术标或综合性入围方式的（按前附</w:t>
            </w:r>
            <w:r>
              <w:rPr>
                <w:rFonts w:hint="default"/>
                <w:color w:val="auto"/>
                <w:sz w:val="21"/>
                <w:szCs w:val="21"/>
                <w:highlight w:val="none"/>
              </w:rPr>
              <w:t xml:space="preserve"> </w:t>
            </w:r>
            <w:r>
              <w:rPr>
                <w:rFonts w:hint="default"/>
                <w:color w:val="auto"/>
                <w:spacing w:val="4"/>
                <w:sz w:val="21"/>
                <w:szCs w:val="21"/>
                <w:highlight w:val="none"/>
              </w:rPr>
              <w:t>表设定规则计算最终得分和排序</w:t>
            </w:r>
            <w:r>
              <w:rPr>
                <w:rFonts w:hint="default"/>
                <w:color w:val="auto"/>
                <w:spacing w:val="-36"/>
                <w:sz w:val="21"/>
                <w:szCs w:val="21"/>
                <w:highlight w:val="none"/>
              </w:rPr>
              <w:t>），</w:t>
            </w:r>
            <w:r>
              <w:rPr>
                <w:rFonts w:hint="default"/>
                <w:color w:val="auto"/>
                <w:spacing w:val="4"/>
                <w:sz w:val="21"/>
                <w:szCs w:val="21"/>
                <w:highlight w:val="none"/>
              </w:rPr>
              <w:t>最终得分计算和排序方法按照经济标+</w:t>
            </w:r>
            <w:r>
              <w:rPr>
                <w:rFonts w:hint="default"/>
                <w:color w:val="auto"/>
                <w:sz w:val="21"/>
                <w:szCs w:val="21"/>
                <w:highlight w:val="none"/>
              </w:rPr>
              <w:t xml:space="preserve"> </w:t>
            </w:r>
            <w:r>
              <w:rPr>
                <w:rFonts w:hint="default"/>
                <w:color w:val="auto"/>
                <w:spacing w:val="5"/>
                <w:sz w:val="21"/>
                <w:szCs w:val="21"/>
                <w:highlight w:val="none"/>
              </w:rPr>
              <w:t>技术标+资信标+其他评审汇总得分排序，并按得</w:t>
            </w:r>
            <w:r>
              <w:rPr>
                <w:rFonts w:hint="default"/>
                <w:color w:val="auto"/>
                <w:spacing w:val="4"/>
                <w:sz w:val="21"/>
                <w:szCs w:val="21"/>
                <w:highlight w:val="none"/>
              </w:rPr>
              <w:t>分由高到低顺序推荐中标</w:t>
            </w:r>
            <w:r>
              <w:rPr>
                <w:rFonts w:hint="default"/>
                <w:color w:val="auto"/>
                <w:sz w:val="21"/>
                <w:szCs w:val="21"/>
                <w:highlight w:val="none"/>
              </w:rPr>
              <w:t xml:space="preserve"> </w:t>
            </w:r>
            <w:r>
              <w:rPr>
                <w:rFonts w:hint="default"/>
                <w:color w:val="auto"/>
                <w:spacing w:val="5"/>
                <w:sz w:val="21"/>
                <w:szCs w:val="21"/>
                <w:highlight w:val="none"/>
              </w:rPr>
              <w:t>候选人，或根据招标人授权直接确定中标人，但投</w:t>
            </w:r>
            <w:r>
              <w:rPr>
                <w:rFonts w:hint="default"/>
                <w:color w:val="auto"/>
                <w:spacing w:val="4"/>
                <w:sz w:val="21"/>
                <w:szCs w:val="21"/>
                <w:highlight w:val="none"/>
              </w:rPr>
              <w:t>标报价低于其成本的除</w:t>
            </w:r>
            <w:r>
              <w:rPr>
                <w:rFonts w:hint="default"/>
                <w:color w:val="auto"/>
                <w:sz w:val="21"/>
                <w:szCs w:val="21"/>
                <w:highlight w:val="none"/>
              </w:rPr>
              <w:t xml:space="preserve"> </w:t>
            </w:r>
            <w:r>
              <w:rPr>
                <w:rFonts w:hint="default"/>
                <w:color w:val="auto"/>
                <w:spacing w:val="-4"/>
                <w:sz w:val="21"/>
                <w:szCs w:val="21"/>
                <w:highlight w:val="none"/>
              </w:rPr>
              <w:t>外。综合评分相等时，</w:t>
            </w:r>
            <w:r>
              <w:rPr>
                <w:rFonts w:hint="default"/>
                <w:color w:val="auto"/>
                <w:spacing w:val="60"/>
                <w:sz w:val="21"/>
                <w:szCs w:val="21"/>
                <w:highlight w:val="none"/>
              </w:rPr>
              <w:t xml:space="preserve"> </w:t>
            </w:r>
            <w:r>
              <w:rPr>
                <w:rFonts w:hint="default"/>
                <w:color w:val="auto"/>
                <w:spacing w:val="-4"/>
                <w:sz w:val="21"/>
                <w:szCs w:val="21"/>
                <w:highlight w:val="none"/>
              </w:rPr>
              <w:t>依次按下列因素排序</w:t>
            </w:r>
            <w:r>
              <w:rPr>
                <w:rFonts w:hint="default"/>
                <w:color w:val="auto"/>
                <w:spacing w:val="-57"/>
                <w:sz w:val="21"/>
                <w:szCs w:val="21"/>
                <w:highlight w:val="none"/>
              </w:rPr>
              <w:t>：（</w:t>
            </w:r>
            <w:r>
              <w:rPr>
                <w:rFonts w:hint="default"/>
                <w:color w:val="auto"/>
                <w:spacing w:val="-4"/>
                <w:sz w:val="21"/>
                <w:szCs w:val="21"/>
                <w:highlight w:val="none"/>
              </w:rPr>
              <w:t>1）投标报价由低到高（2）</w:t>
            </w:r>
            <w:r>
              <w:rPr>
                <w:rFonts w:hint="default"/>
                <w:color w:val="auto"/>
                <w:sz w:val="21"/>
                <w:szCs w:val="21"/>
                <w:highlight w:val="none"/>
              </w:rPr>
              <w:t xml:space="preserve"> </w:t>
            </w:r>
            <w:r>
              <w:rPr>
                <w:rFonts w:hint="default"/>
                <w:color w:val="auto"/>
                <w:spacing w:val="5"/>
                <w:sz w:val="21"/>
                <w:szCs w:val="21"/>
                <w:highlight w:val="none"/>
              </w:rPr>
              <w:t>施工组织设计得分由高到低（3）资信业绩得分由高到</w:t>
            </w:r>
            <w:r>
              <w:rPr>
                <w:rFonts w:hint="default"/>
                <w:color w:val="auto"/>
                <w:spacing w:val="4"/>
                <w:sz w:val="21"/>
                <w:szCs w:val="21"/>
                <w:highlight w:val="none"/>
              </w:rPr>
              <w:t>低（4）其他因素得</w:t>
            </w:r>
            <w:r>
              <w:rPr>
                <w:rFonts w:hint="default"/>
                <w:color w:val="auto"/>
                <w:sz w:val="21"/>
                <w:szCs w:val="21"/>
                <w:highlight w:val="none"/>
              </w:rPr>
              <w:t xml:space="preserve"> </w:t>
            </w:r>
            <w:r>
              <w:rPr>
                <w:rFonts w:hint="default"/>
                <w:color w:val="auto"/>
                <w:spacing w:val="3"/>
                <w:sz w:val="21"/>
                <w:szCs w:val="21"/>
                <w:highlight w:val="none"/>
              </w:rPr>
              <w:t>分由高到低；上述因素仍不能排定顺序的，</w:t>
            </w:r>
            <w:r>
              <w:rPr>
                <w:rFonts w:hint="default"/>
                <w:color w:val="auto"/>
                <w:spacing w:val="-51"/>
                <w:sz w:val="21"/>
                <w:szCs w:val="21"/>
                <w:highlight w:val="none"/>
              </w:rPr>
              <w:t xml:space="preserve"> </w:t>
            </w:r>
            <w:r>
              <w:rPr>
                <w:rFonts w:hint="default"/>
                <w:color w:val="auto"/>
                <w:spacing w:val="3"/>
                <w:sz w:val="21"/>
                <w:szCs w:val="21"/>
                <w:highlight w:val="none"/>
              </w:rPr>
              <w:t>由招标人或者招标人授权的评</w:t>
            </w:r>
          </w:p>
          <w:p w14:paraId="3A2D77DD">
            <w:pPr>
              <w:pStyle w:val="11"/>
              <w:spacing w:before="1" w:beforeLines="0" w:afterLines="0" w:line="219" w:lineRule="auto"/>
              <w:ind w:left="110"/>
              <w:rPr>
                <w:rFonts w:hint="default"/>
                <w:color w:val="auto"/>
                <w:sz w:val="21"/>
                <w:szCs w:val="21"/>
                <w:highlight w:val="none"/>
              </w:rPr>
            </w:pPr>
            <w:r>
              <w:rPr>
                <w:rFonts w:hint="default"/>
                <w:color w:val="auto"/>
                <w:spacing w:val="-3"/>
                <w:sz w:val="21"/>
                <w:szCs w:val="21"/>
                <w:highlight w:val="none"/>
              </w:rPr>
              <w:t>标委员会自行确定。</w:t>
            </w:r>
          </w:p>
        </w:tc>
      </w:tr>
    </w:tbl>
    <w:p w14:paraId="00907347">
      <w:pPr>
        <w:spacing w:beforeLines="0" w:afterLines="0"/>
        <w:rPr>
          <w:rFonts w:hint="default"/>
          <w:color w:val="auto"/>
          <w:sz w:val="21"/>
          <w:szCs w:val="21"/>
          <w:highlight w:val="none"/>
        </w:rPr>
        <w:sectPr>
          <w:footerReference r:id="rId48" w:type="default"/>
          <w:pgSz w:w="11905" w:h="16839"/>
          <w:pgMar w:top="1431" w:right="1474" w:bottom="996" w:left="1483" w:header="0" w:footer="791" w:gutter="0"/>
          <w:lnNumType w:countBy="0" w:distance="360"/>
          <w:pgNumType w:fmt="decimal"/>
          <w:cols w:space="720" w:num="1"/>
        </w:sectPr>
      </w:pPr>
    </w:p>
    <w:p w14:paraId="3C2DA6F2">
      <w:pPr>
        <w:spacing w:before="86" w:line="499" w:lineRule="exact"/>
        <w:ind w:left="19"/>
        <w:outlineLvl w:val="1"/>
        <w:rPr>
          <w:rFonts w:ascii="黑体" w:hAnsi="黑体" w:eastAsia="黑体" w:cs="黑体"/>
          <w:color w:val="auto"/>
          <w:sz w:val="27"/>
          <w:szCs w:val="27"/>
          <w:highlight w:val="none"/>
        </w:rPr>
      </w:pPr>
      <w:r>
        <w:rPr>
          <w:rFonts w:ascii="黑体" w:hAnsi="黑体" w:eastAsia="黑体" w:cs="黑体"/>
          <w:color w:val="auto"/>
          <w:spacing w:val="8"/>
          <w:position w:val="16"/>
          <w:sz w:val="27"/>
          <w:szCs w:val="27"/>
          <w:highlight w:val="none"/>
        </w:rPr>
        <w:t>评标办法正文部分</w:t>
      </w:r>
    </w:p>
    <w:p w14:paraId="3B889E03">
      <w:pPr>
        <w:spacing w:before="1" w:line="223"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w:t>
      </w:r>
      <w:r>
        <w:rPr>
          <w:rFonts w:ascii="Times New Roman" w:hAnsi="Times New Roman" w:eastAsia="Times New Roman" w:cs="Times New Roman"/>
          <w:color w:val="auto"/>
          <w:spacing w:val="19"/>
          <w:w w:val="101"/>
          <w:sz w:val="27"/>
          <w:szCs w:val="27"/>
          <w:highlight w:val="none"/>
        </w:rPr>
        <w:t xml:space="preserve"> </w:t>
      </w:r>
      <w:r>
        <w:rPr>
          <w:rFonts w:ascii="黑体" w:hAnsi="黑体" w:eastAsia="黑体" w:cs="黑体"/>
          <w:color w:val="auto"/>
          <w:spacing w:val="-1"/>
          <w:sz w:val="27"/>
          <w:szCs w:val="27"/>
          <w:highlight w:val="none"/>
        </w:rPr>
        <w:t>评标方法</w:t>
      </w:r>
    </w:p>
    <w:p w14:paraId="1728CF41">
      <w:pPr>
        <w:spacing w:before="119" w:line="379" w:lineRule="exact"/>
        <w:ind w:right="6"/>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本次评标采用综合评估法。评标委员会对满足招标文件实质性要求的投标文件， 按照</w:t>
      </w:r>
    </w:p>
    <w:p w14:paraId="0407758D">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本章第</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2.2 </w:t>
      </w:r>
      <w:r>
        <w:rPr>
          <w:rFonts w:ascii="宋体" w:hAnsi="宋体" w:eastAsia="宋体" w:cs="宋体"/>
          <w:color w:val="auto"/>
          <w:spacing w:val="-1"/>
          <w:sz w:val="21"/>
          <w:szCs w:val="21"/>
          <w:highlight w:val="none"/>
        </w:rPr>
        <w:t>款规定的评分标准进行打分，并按评标办法前附表的规定推荐中标候选人。</w:t>
      </w:r>
    </w:p>
    <w:p w14:paraId="5DC5700E">
      <w:pPr>
        <w:spacing w:before="186" w:line="225" w:lineRule="auto"/>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4"/>
          <w:sz w:val="27"/>
          <w:szCs w:val="27"/>
          <w:highlight w:val="none"/>
        </w:rPr>
        <w:t>2.</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pacing w:val="4"/>
          <w:sz w:val="27"/>
          <w:szCs w:val="27"/>
          <w:highlight w:val="none"/>
        </w:rPr>
        <w:t>评审标准</w:t>
      </w:r>
    </w:p>
    <w:p w14:paraId="5FD50535">
      <w:pPr>
        <w:spacing w:before="107"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2.1 </w:t>
      </w:r>
      <w:r>
        <w:rPr>
          <w:rFonts w:ascii="黑体" w:hAnsi="黑体" w:eastAsia="黑体" w:cs="黑体"/>
          <w:color w:val="auto"/>
          <w:sz w:val="24"/>
          <w:szCs w:val="24"/>
          <w:highlight w:val="none"/>
        </w:rPr>
        <w:t>初步评审标准</w:t>
      </w:r>
    </w:p>
    <w:p w14:paraId="6005B42D">
      <w:pPr>
        <w:spacing w:before="11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2.1.1</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6"/>
          <w:sz w:val="21"/>
          <w:szCs w:val="21"/>
          <w:highlight w:val="none"/>
        </w:rPr>
        <w:t>形式评审标准： 见评标办法前附表。</w:t>
      </w:r>
    </w:p>
    <w:p w14:paraId="5CF86142">
      <w:pPr>
        <w:spacing w:before="135"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2.1.2</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6"/>
          <w:sz w:val="21"/>
          <w:szCs w:val="21"/>
          <w:highlight w:val="none"/>
        </w:rPr>
        <w:t>资格评审标准： 见评标办法前附表。</w:t>
      </w:r>
    </w:p>
    <w:p w14:paraId="393F87A3">
      <w:pPr>
        <w:spacing w:before="12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2"/>
          <w:sz w:val="21"/>
          <w:szCs w:val="21"/>
          <w:highlight w:val="none"/>
        </w:rPr>
        <w:t>响应性评审标准：见评标办法前附表。</w:t>
      </w:r>
    </w:p>
    <w:p w14:paraId="340F10A0">
      <w:pPr>
        <w:spacing w:before="123"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2.2</w:t>
      </w:r>
      <w:r>
        <w:rPr>
          <w:rFonts w:ascii="Times New Roman" w:hAnsi="Times New Roman" w:eastAsia="Times New Roman" w:cs="Times New Roman"/>
          <w:color w:val="auto"/>
          <w:spacing w:val="24"/>
          <w:w w:val="101"/>
          <w:sz w:val="24"/>
          <w:szCs w:val="24"/>
          <w:highlight w:val="none"/>
        </w:rPr>
        <w:t xml:space="preserve"> </w:t>
      </w:r>
      <w:r>
        <w:rPr>
          <w:rFonts w:ascii="黑体" w:hAnsi="黑体" w:eastAsia="黑体" w:cs="黑体"/>
          <w:color w:val="auto"/>
          <w:spacing w:val="-2"/>
          <w:sz w:val="24"/>
          <w:szCs w:val="24"/>
          <w:highlight w:val="none"/>
        </w:rPr>
        <w:t>分值构成与评分标准</w:t>
      </w:r>
    </w:p>
    <w:p w14:paraId="0FE7AFDB">
      <w:pPr>
        <w:spacing w:before="138" w:line="221" w:lineRule="auto"/>
        <w:ind w:left="437"/>
        <w:rPr>
          <w:rFonts w:ascii="黑体" w:hAnsi="黑体" w:eastAsia="黑体" w:cs="黑体"/>
          <w:color w:val="auto"/>
          <w:sz w:val="21"/>
          <w:szCs w:val="21"/>
          <w:highlight w:val="none"/>
        </w:rPr>
      </w:pPr>
      <w:r>
        <w:rPr>
          <w:rFonts w:ascii="Times New Roman" w:hAnsi="Times New Roman" w:eastAsia="Times New Roman" w:cs="Times New Roman"/>
          <w:color w:val="auto"/>
          <w:spacing w:val="-2"/>
          <w:sz w:val="21"/>
          <w:szCs w:val="21"/>
          <w:highlight w:val="none"/>
        </w:rPr>
        <w:t>2.2.1</w:t>
      </w:r>
      <w:r>
        <w:rPr>
          <w:rFonts w:ascii="Times New Roman" w:hAnsi="Times New Roman" w:eastAsia="Times New Roman" w:cs="Times New Roman"/>
          <w:color w:val="auto"/>
          <w:spacing w:val="18"/>
          <w:w w:val="101"/>
          <w:sz w:val="21"/>
          <w:szCs w:val="21"/>
          <w:highlight w:val="none"/>
        </w:rPr>
        <w:t xml:space="preserve"> </w:t>
      </w:r>
      <w:r>
        <w:rPr>
          <w:rFonts w:ascii="黑体" w:hAnsi="黑体" w:eastAsia="黑体" w:cs="黑体"/>
          <w:color w:val="auto"/>
          <w:spacing w:val="-2"/>
          <w:sz w:val="21"/>
          <w:szCs w:val="21"/>
          <w:highlight w:val="none"/>
        </w:rPr>
        <w:t>分值构成</w:t>
      </w:r>
    </w:p>
    <w:p w14:paraId="2253859B">
      <w:pPr>
        <w:spacing w:before="134" w:line="219"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）投标报价（经济标</w:t>
      </w:r>
      <w:r>
        <w:rPr>
          <w:rFonts w:ascii="宋体" w:hAnsi="宋体" w:eastAsia="宋体" w:cs="宋体"/>
          <w:color w:val="auto"/>
          <w:spacing w:val="-27"/>
          <w:sz w:val="21"/>
          <w:szCs w:val="21"/>
          <w:highlight w:val="none"/>
        </w:rPr>
        <w:t>）：</w:t>
      </w:r>
      <w:r>
        <w:rPr>
          <w:rFonts w:ascii="宋体" w:hAnsi="宋体" w:eastAsia="宋体" w:cs="宋体"/>
          <w:color w:val="auto"/>
          <w:spacing w:val="-5"/>
          <w:sz w:val="21"/>
          <w:szCs w:val="21"/>
          <w:highlight w:val="none"/>
        </w:rPr>
        <w:t>见评标办法前附表；</w:t>
      </w:r>
    </w:p>
    <w:p w14:paraId="55E903EC">
      <w:pPr>
        <w:spacing w:before="129" w:line="277" w:lineRule="auto"/>
        <w:ind w:left="447" w:right="3116"/>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2</w:t>
      </w:r>
      <w:r>
        <w:rPr>
          <w:rFonts w:ascii="宋体" w:hAnsi="宋体" w:eastAsia="宋体" w:cs="宋体"/>
          <w:color w:val="auto"/>
          <w:spacing w:val="-7"/>
          <w:sz w:val="21"/>
          <w:szCs w:val="21"/>
          <w:highlight w:val="none"/>
        </w:rPr>
        <w:t>）施工组织设计（技术标）：见评标办法前附表；</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）资信业绩：见评标办法前附表；</w:t>
      </w:r>
    </w:p>
    <w:p w14:paraId="70A21C19">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）其他因素：见评标办法前附表。</w:t>
      </w:r>
    </w:p>
    <w:p w14:paraId="58A583DC">
      <w:pPr>
        <w:spacing w:before="148" w:line="220" w:lineRule="auto"/>
        <w:ind w:left="437"/>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2.2.2 </w:t>
      </w:r>
      <w:r>
        <w:rPr>
          <w:rFonts w:ascii="黑体" w:hAnsi="黑体" w:eastAsia="黑体" w:cs="黑体"/>
          <w:color w:val="auto"/>
          <w:sz w:val="21"/>
          <w:szCs w:val="21"/>
          <w:highlight w:val="none"/>
        </w:rPr>
        <w:t>评标基准价计算</w:t>
      </w:r>
    </w:p>
    <w:p w14:paraId="27392A4C">
      <w:pPr>
        <w:spacing w:before="135"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）评标价确定方法：见评标办法前附表；</w:t>
      </w:r>
    </w:p>
    <w:p w14:paraId="6FCFE214">
      <w:pPr>
        <w:spacing w:before="130"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）评标基准价计算方法：见评标办法前附表。</w:t>
      </w:r>
    </w:p>
    <w:p w14:paraId="65EBFA9F">
      <w:pPr>
        <w:spacing w:before="149" w:line="220" w:lineRule="auto"/>
        <w:ind w:left="437"/>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2.2.3 </w:t>
      </w:r>
      <w:r>
        <w:rPr>
          <w:rFonts w:ascii="黑体" w:hAnsi="黑体" w:eastAsia="黑体" w:cs="黑体"/>
          <w:color w:val="auto"/>
          <w:sz w:val="21"/>
          <w:szCs w:val="21"/>
          <w:highlight w:val="none"/>
        </w:rPr>
        <w:t>投标报价的偏差率计算</w:t>
      </w:r>
    </w:p>
    <w:p w14:paraId="4BFAE381">
      <w:pPr>
        <w:spacing w:before="129" w:line="398" w:lineRule="exact"/>
        <w:ind w:left="443"/>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投标报价的偏差率计算公式： 见评标办法前附表。</w:t>
      </w:r>
    </w:p>
    <w:p w14:paraId="434389B2">
      <w:pPr>
        <w:spacing w:before="1" w:line="219" w:lineRule="auto"/>
        <w:ind w:left="437"/>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2.2.4 </w:t>
      </w:r>
      <w:r>
        <w:rPr>
          <w:rFonts w:ascii="黑体" w:hAnsi="黑体" w:eastAsia="黑体" w:cs="黑体"/>
          <w:color w:val="auto"/>
          <w:sz w:val="21"/>
          <w:szCs w:val="21"/>
          <w:highlight w:val="none"/>
        </w:rPr>
        <w:t>评分标准</w:t>
      </w:r>
    </w:p>
    <w:p w14:paraId="5C3C344B">
      <w:pPr>
        <w:spacing w:before="134"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）经济标评分标准：见评标办法前附表；</w:t>
      </w:r>
    </w:p>
    <w:p w14:paraId="2C4E2409">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）技术标评分标准：见评标办法前附表；</w:t>
      </w:r>
    </w:p>
    <w:p w14:paraId="26825C1F">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）资信标评分标准：见评标办法前附表；</w:t>
      </w:r>
    </w:p>
    <w:p w14:paraId="472CFEED">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）其他因素评分标准：见评标办法前附表。</w:t>
      </w:r>
    </w:p>
    <w:p w14:paraId="2BC8DD25">
      <w:pPr>
        <w:spacing w:before="187" w:line="441" w:lineRule="exact"/>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3"/>
          <w:position w:val="12"/>
          <w:sz w:val="27"/>
          <w:szCs w:val="27"/>
          <w:highlight w:val="none"/>
        </w:rPr>
        <w:t>3.</w:t>
      </w:r>
      <w:r>
        <w:rPr>
          <w:rFonts w:ascii="Times New Roman" w:hAnsi="Times New Roman" w:eastAsia="Times New Roman" w:cs="Times New Roman"/>
          <w:color w:val="auto"/>
          <w:spacing w:val="17"/>
          <w:position w:val="12"/>
          <w:sz w:val="27"/>
          <w:szCs w:val="27"/>
          <w:highlight w:val="none"/>
        </w:rPr>
        <w:t xml:space="preserve"> </w:t>
      </w:r>
      <w:r>
        <w:rPr>
          <w:rFonts w:ascii="黑体" w:hAnsi="黑体" w:eastAsia="黑体" w:cs="黑体"/>
          <w:color w:val="auto"/>
          <w:spacing w:val="3"/>
          <w:position w:val="12"/>
          <w:sz w:val="27"/>
          <w:szCs w:val="27"/>
          <w:highlight w:val="none"/>
        </w:rPr>
        <w:t>评标程序</w:t>
      </w:r>
    </w:p>
    <w:p w14:paraId="4369CAA7">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黑体" w:hAnsi="黑体" w:eastAsia="黑体" w:cs="黑体"/>
          <w:color w:val="auto"/>
          <w:spacing w:val="-1"/>
          <w:sz w:val="24"/>
          <w:szCs w:val="24"/>
          <w:highlight w:val="none"/>
        </w:rPr>
        <w:t>初步评审</w:t>
      </w:r>
    </w:p>
    <w:p w14:paraId="171E701E">
      <w:pPr>
        <w:spacing w:before="120" w:line="379" w:lineRule="exact"/>
        <w:ind w:right="3"/>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3.1.1</w:t>
      </w:r>
      <w:r>
        <w:rPr>
          <w:rFonts w:ascii="Times New Roman" w:hAnsi="Times New Roman" w:eastAsia="Times New Roman" w:cs="Times New Roman"/>
          <w:color w:val="auto"/>
          <w:spacing w:val="41"/>
          <w:position w:val="12"/>
          <w:sz w:val="21"/>
          <w:szCs w:val="21"/>
          <w:highlight w:val="none"/>
        </w:rPr>
        <w:t xml:space="preserve"> </w:t>
      </w:r>
      <w:r>
        <w:rPr>
          <w:rFonts w:ascii="宋体" w:hAnsi="宋体" w:eastAsia="宋体" w:cs="宋体"/>
          <w:color w:val="auto"/>
          <w:position w:val="12"/>
          <w:sz w:val="21"/>
          <w:szCs w:val="21"/>
          <w:highlight w:val="none"/>
        </w:rPr>
        <w:t xml:space="preserve">评标委员会依据本章第 </w:t>
      </w:r>
      <w:r>
        <w:rPr>
          <w:rFonts w:ascii="Times New Roman" w:hAnsi="Times New Roman" w:eastAsia="Times New Roman" w:cs="Times New Roman"/>
          <w:color w:val="auto"/>
          <w:position w:val="12"/>
          <w:sz w:val="21"/>
          <w:szCs w:val="21"/>
          <w:highlight w:val="none"/>
        </w:rPr>
        <w:t>2.1</w:t>
      </w:r>
      <w:r>
        <w:rPr>
          <w:rFonts w:ascii="Times New Roman" w:hAnsi="Times New Roman" w:eastAsia="Times New Roman" w:cs="Times New Roman"/>
          <w:color w:val="auto"/>
          <w:spacing w:val="43"/>
          <w:w w:val="101"/>
          <w:position w:val="12"/>
          <w:sz w:val="21"/>
          <w:szCs w:val="21"/>
          <w:highlight w:val="none"/>
        </w:rPr>
        <w:t xml:space="preserve"> </w:t>
      </w:r>
      <w:r>
        <w:rPr>
          <w:rFonts w:ascii="宋体" w:hAnsi="宋体" w:eastAsia="宋体" w:cs="宋体"/>
          <w:color w:val="auto"/>
          <w:position w:val="12"/>
          <w:sz w:val="21"/>
          <w:szCs w:val="21"/>
          <w:highlight w:val="none"/>
        </w:rPr>
        <w:t>款规定</w:t>
      </w:r>
      <w:r>
        <w:rPr>
          <w:rFonts w:ascii="宋体" w:hAnsi="宋体" w:eastAsia="宋体" w:cs="宋体"/>
          <w:color w:val="auto"/>
          <w:spacing w:val="-1"/>
          <w:position w:val="12"/>
          <w:sz w:val="21"/>
          <w:szCs w:val="21"/>
          <w:highlight w:val="none"/>
        </w:rPr>
        <w:t>的标准对投标文件进行初步评审。有一项不符</w:t>
      </w:r>
    </w:p>
    <w:p w14:paraId="536B1FBA">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合评审标准的，评标委员会应当否决其投标。</w:t>
      </w:r>
    </w:p>
    <w:p w14:paraId="74DF03DD">
      <w:pPr>
        <w:spacing w:before="129" w:line="380"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 xml:space="preserve">3.1.2 </w:t>
      </w:r>
      <w:r>
        <w:rPr>
          <w:rFonts w:ascii="宋体" w:hAnsi="宋体" w:eastAsia="宋体" w:cs="宋体"/>
          <w:color w:val="auto"/>
          <w:spacing w:val="-1"/>
          <w:position w:val="12"/>
          <w:sz w:val="21"/>
          <w:szCs w:val="21"/>
          <w:highlight w:val="none"/>
        </w:rPr>
        <w:t>投标人有以下情形之一的，评</w:t>
      </w:r>
      <w:r>
        <w:rPr>
          <w:rFonts w:ascii="宋体" w:hAnsi="宋体" w:eastAsia="宋体" w:cs="宋体"/>
          <w:color w:val="auto"/>
          <w:spacing w:val="-2"/>
          <w:position w:val="12"/>
          <w:sz w:val="21"/>
          <w:szCs w:val="21"/>
          <w:highlight w:val="none"/>
        </w:rPr>
        <w:t>标委员会应当否决其投标：</w:t>
      </w:r>
    </w:p>
    <w:p w14:paraId="039AFF8D">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）不按评标委员会要求澄清、说明或补正。</w:t>
      </w:r>
    </w:p>
    <w:p w14:paraId="5AD8876F">
      <w:pPr>
        <w:spacing w:before="133"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）有串通投标、弄虚作假、行贿或有其他违法行为；</w:t>
      </w:r>
    </w:p>
    <w:p w14:paraId="60438E8E">
      <w:pPr>
        <w:spacing w:before="130" w:line="37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2"/>
          <w:sz w:val="21"/>
          <w:szCs w:val="21"/>
          <w:highlight w:val="none"/>
        </w:rPr>
        <w:t>1</w:t>
      </w:r>
      <w:r>
        <w:rPr>
          <w:rFonts w:ascii="宋体" w:hAnsi="宋体" w:eastAsia="宋体" w:cs="宋体"/>
          <w:color w:val="auto"/>
          <w:spacing w:val="-2"/>
          <w:position w:val="12"/>
          <w:sz w:val="21"/>
          <w:szCs w:val="21"/>
          <w:highlight w:val="none"/>
        </w:rPr>
        <w:t>）有下列情形之一的，视为投标人相互串通投标：</w:t>
      </w:r>
    </w:p>
    <w:p w14:paraId="1EEE8B29">
      <w:pPr>
        <w:spacing w:line="218"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①</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不同投标人的投标文件由同一单位或者个人编制；</w:t>
      </w:r>
    </w:p>
    <w:p w14:paraId="3263DDA8">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不同投标人委托同一单位或者个人办理投标事宜；</w:t>
      </w:r>
    </w:p>
    <w:p w14:paraId="2D643693">
      <w:pPr>
        <w:spacing w:line="218" w:lineRule="auto"/>
        <w:rPr>
          <w:rFonts w:ascii="宋体" w:hAnsi="宋体" w:eastAsia="宋体" w:cs="宋体"/>
          <w:color w:val="auto"/>
          <w:sz w:val="21"/>
          <w:szCs w:val="21"/>
          <w:highlight w:val="none"/>
        </w:rPr>
        <w:sectPr>
          <w:pgSz w:w="11905" w:h="16839"/>
          <w:pgMar w:top="1431" w:right="1785" w:bottom="996" w:left="1785" w:header="0" w:footer="791" w:gutter="0"/>
          <w:pgNumType w:fmt="decimal"/>
          <w:cols w:space="720" w:num="1"/>
        </w:sectPr>
      </w:pPr>
    </w:p>
    <w:p w14:paraId="63251A00">
      <w:pPr>
        <w:spacing w:before="130" w:line="379"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③ 不同投标人使用同一电脑等电子设备办理投标事宜（下载招标文件、上传投标文件、</w:t>
      </w:r>
    </w:p>
    <w:p w14:paraId="686949F7">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授权委托人或项目经理实名认证等关键环节</w:t>
      </w:r>
      <w:r>
        <w:rPr>
          <w:rFonts w:ascii="宋体" w:hAnsi="宋体" w:eastAsia="宋体" w:cs="宋体"/>
          <w:color w:val="auto"/>
          <w:spacing w:val="-15"/>
          <w:sz w:val="21"/>
          <w:szCs w:val="21"/>
          <w:highlight w:val="none"/>
        </w:rPr>
        <w:t>）；</w:t>
      </w:r>
    </w:p>
    <w:p w14:paraId="70A37005">
      <w:pPr>
        <w:spacing w:before="128"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④</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不同投标人的投标文件载明的项目管理成员为同一人；</w:t>
      </w:r>
    </w:p>
    <w:p w14:paraId="3E4C067F">
      <w:pPr>
        <w:spacing w:before="136"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⑤</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不同投标人的投标文件非典型一致或者投标报价呈规律性差异；</w:t>
      </w:r>
    </w:p>
    <w:p w14:paraId="5C7879FA">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不同投标人的投标文件相互混装；</w:t>
      </w:r>
    </w:p>
    <w:p w14:paraId="0F7B3CBF">
      <w:pPr>
        <w:spacing w:before="131" w:line="218" w:lineRule="auto"/>
        <w:ind w:right="15"/>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⑦ 不同投标人的投标保证金或保函（保险）财务费用从同一单位或者个人的账户转出；</w:t>
      </w:r>
    </w:p>
    <w:p w14:paraId="00D85320">
      <w:pPr>
        <w:spacing w:before="131" w:line="380" w:lineRule="exact"/>
        <w:ind w:left="439"/>
        <w:rPr>
          <w:rFonts w:ascii="宋体" w:hAnsi="宋体" w:eastAsia="宋体" w:cs="宋体"/>
          <w:color w:val="auto"/>
          <w:sz w:val="21"/>
          <w:szCs w:val="21"/>
          <w:highlight w:val="none"/>
        </w:rPr>
      </w:pPr>
      <w:r>
        <w:rPr>
          <w:rFonts w:ascii="宋体" w:hAnsi="宋体" w:eastAsia="宋体" w:cs="宋体"/>
          <w:color w:val="auto"/>
          <w:spacing w:val="-8"/>
          <w:position w:val="12"/>
          <w:sz w:val="21"/>
          <w:szCs w:val="21"/>
          <w:highlight w:val="none"/>
        </w:rPr>
        <w:t>⑧</w:t>
      </w:r>
      <w:r>
        <w:rPr>
          <w:rFonts w:ascii="宋体" w:hAnsi="宋体" w:eastAsia="宋体" w:cs="宋体"/>
          <w:color w:val="auto"/>
          <w:spacing w:val="-54"/>
          <w:position w:val="12"/>
          <w:sz w:val="21"/>
          <w:szCs w:val="21"/>
          <w:highlight w:val="none"/>
        </w:rPr>
        <w:t xml:space="preserve"> </w:t>
      </w:r>
      <w:r>
        <w:rPr>
          <w:rFonts w:ascii="宋体" w:hAnsi="宋体" w:eastAsia="宋体" w:cs="宋体"/>
          <w:color w:val="auto"/>
          <w:spacing w:val="-8"/>
          <w:position w:val="12"/>
          <w:sz w:val="21"/>
          <w:szCs w:val="21"/>
          <w:highlight w:val="none"/>
        </w:rPr>
        <w:t>不同投标人的投标文件存在“</w:t>
      </w:r>
      <w:r>
        <w:rPr>
          <w:rFonts w:ascii="Times New Roman" w:hAnsi="Times New Roman" w:eastAsia="Times New Roman" w:cs="Times New Roman"/>
          <w:color w:val="auto"/>
          <w:spacing w:val="-8"/>
          <w:position w:val="12"/>
          <w:sz w:val="21"/>
          <w:szCs w:val="21"/>
          <w:highlight w:val="none"/>
        </w:rPr>
        <w:t>MAC</w:t>
      </w:r>
      <w:r>
        <w:rPr>
          <w:rFonts w:ascii="Times New Roman" w:hAnsi="Times New Roman" w:eastAsia="Times New Roman" w:cs="Times New Roman"/>
          <w:color w:val="auto"/>
          <w:spacing w:val="-22"/>
          <w:position w:val="12"/>
          <w:sz w:val="21"/>
          <w:szCs w:val="21"/>
          <w:highlight w:val="none"/>
        </w:rPr>
        <w:t xml:space="preserve"> </w:t>
      </w:r>
      <w:r>
        <w:rPr>
          <w:rFonts w:ascii="宋体" w:hAnsi="宋体" w:eastAsia="宋体" w:cs="宋体"/>
          <w:color w:val="auto"/>
          <w:spacing w:val="-8"/>
          <w:position w:val="12"/>
          <w:sz w:val="21"/>
          <w:szCs w:val="21"/>
          <w:highlight w:val="none"/>
        </w:rPr>
        <w:t>地址”、“文件</w:t>
      </w:r>
      <w:r>
        <w:rPr>
          <w:rFonts w:ascii="宋体" w:hAnsi="宋体" w:eastAsia="宋体" w:cs="宋体"/>
          <w:color w:val="auto"/>
          <w:spacing w:val="-9"/>
          <w:position w:val="12"/>
          <w:sz w:val="21"/>
          <w:szCs w:val="21"/>
          <w:highlight w:val="none"/>
        </w:rPr>
        <w:t>创建标识码”、“文件制作机器码”</w:t>
      </w:r>
    </w:p>
    <w:p w14:paraId="1A98FF7B">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等唯一性标识一致等情形。</w:t>
      </w:r>
    </w:p>
    <w:p w14:paraId="35D6A7D8">
      <w:pPr>
        <w:spacing w:before="128"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14:paraId="4FEC11E5">
      <w:pPr>
        <w:spacing w:before="135" w:line="218"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①</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rPr>
        <w:t>使用通过受让或者租借等方式获取的资格、资质证书投标的，即以他人名义</w:t>
      </w:r>
      <w:r>
        <w:rPr>
          <w:rFonts w:ascii="宋体" w:hAnsi="宋体" w:eastAsia="宋体" w:cs="宋体"/>
          <w:color w:val="auto"/>
          <w:spacing w:val="-1"/>
          <w:sz w:val="21"/>
          <w:szCs w:val="21"/>
          <w:highlight w:val="none"/>
        </w:rPr>
        <w:t>投标的。</w:t>
      </w:r>
    </w:p>
    <w:p w14:paraId="57371F49">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②</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使用伪造、变造的许可证件；</w:t>
      </w:r>
    </w:p>
    <w:p w14:paraId="7FB67AE8">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③</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提供虚假的财务状况或者业绩；</w:t>
      </w:r>
    </w:p>
    <w:p w14:paraId="3796AA21">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④</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提供虚假的项目负责人或者主要技术人员简历、社会保险证明；</w:t>
      </w:r>
    </w:p>
    <w:p w14:paraId="05F56A34">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⑤</w:t>
      </w:r>
      <w:r>
        <w:rPr>
          <w:rFonts w:ascii="宋体" w:hAnsi="宋体" w:eastAsia="宋体" w:cs="宋体"/>
          <w:color w:val="auto"/>
          <w:spacing w:val="-37"/>
          <w:sz w:val="21"/>
          <w:szCs w:val="21"/>
          <w:highlight w:val="none"/>
        </w:rPr>
        <w:t xml:space="preserve"> </w:t>
      </w:r>
      <w:r>
        <w:rPr>
          <w:rFonts w:ascii="宋体" w:hAnsi="宋体" w:eastAsia="宋体" w:cs="宋体"/>
          <w:color w:val="auto"/>
          <w:spacing w:val="-4"/>
          <w:sz w:val="21"/>
          <w:szCs w:val="21"/>
          <w:highlight w:val="none"/>
        </w:rPr>
        <w:t>提供虚假的信用状况；</w:t>
      </w:r>
    </w:p>
    <w:p w14:paraId="3A7F3563">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其他弄虚作假的行为。</w:t>
      </w:r>
    </w:p>
    <w:p w14:paraId="645212A6">
      <w:pPr>
        <w:spacing w:before="134" w:line="334" w:lineRule="auto"/>
        <w:ind w:left="18" w:right="175"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3.1.3</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投标报价有算术错误的，评标委</w:t>
      </w:r>
      <w:r>
        <w:rPr>
          <w:rFonts w:ascii="宋体" w:hAnsi="宋体" w:eastAsia="宋体" w:cs="宋体"/>
          <w:color w:val="auto"/>
          <w:sz w:val="21"/>
          <w:szCs w:val="21"/>
          <w:highlight w:val="none"/>
        </w:rPr>
        <w:t xml:space="preserve">员会按以下原则对投标报价进行修正，修正的价 </w:t>
      </w:r>
      <w:r>
        <w:rPr>
          <w:rFonts w:ascii="宋体" w:hAnsi="宋体" w:eastAsia="宋体" w:cs="宋体"/>
          <w:color w:val="auto"/>
          <w:spacing w:val="3"/>
          <w:sz w:val="21"/>
          <w:szCs w:val="21"/>
          <w:highlight w:val="none"/>
        </w:rPr>
        <w:t>格经投标人书面确认后具有约束力。投标人不接受修正价格的，或者修正后</w:t>
      </w:r>
      <w:r>
        <w:rPr>
          <w:rFonts w:ascii="宋体" w:hAnsi="宋体" w:eastAsia="宋体" w:cs="宋体"/>
          <w:color w:val="auto"/>
          <w:spacing w:val="2"/>
          <w:sz w:val="21"/>
          <w:szCs w:val="21"/>
          <w:highlight w:val="none"/>
        </w:rPr>
        <w:t>的投标报价超</w:t>
      </w:r>
    </w:p>
    <w:p w14:paraId="41EDB163">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过最高投标限价的（如有</w:t>
      </w:r>
      <w:r>
        <w:rPr>
          <w:rFonts w:ascii="宋体" w:hAnsi="宋体" w:eastAsia="宋体" w:cs="宋体"/>
          <w:color w:val="auto"/>
          <w:spacing w:val="-7"/>
          <w:sz w:val="21"/>
          <w:szCs w:val="21"/>
          <w:highlight w:val="none"/>
        </w:rPr>
        <w:t>），</w:t>
      </w:r>
      <w:r>
        <w:rPr>
          <w:rFonts w:ascii="宋体" w:hAnsi="宋体" w:eastAsia="宋体" w:cs="宋体"/>
          <w:color w:val="auto"/>
          <w:spacing w:val="-5"/>
          <w:sz w:val="21"/>
          <w:szCs w:val="21"/>
          <w:highlight w:val="none"/>
        </w:rPr>
        <w:t>评标委员会应当否决其投标。</w:t>
      </w:r>
    </w:p>
    <w:p w14:paraId="0B42A4B9">
      <w:pPr>
        <w:spacing w:before="130"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）投标文件中的大写金额与小写金额不一致的， 以大写金额为准；</w:t>
      </w:r>
    </w:p>
    <w:p w14:paraId="4BAB0668">
      <w:pPr>
        <w:spacing w:before="128" w:line="379" w:lineRule="exact"/>
        <w:ind w:left="447"/>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w:t>
      </w:r>
      <w:r>
        <w:rPr>
          <w:rFonts w:ascii="Times New Roman" w:hAnsi="Times New Roman" w:eastAsia="Times New Roman" w:cs="Times New Roman"/>
          <w:color w:val="auto"/>
          <w:position w:val="12"/>
          <w:sz w:val="21"/>
          <w:szCs w:val="21"/>
          <w:highlight w:val="none"/>
        </w:rPr>
        <w:t>2</w:t>
      </w:r>
      <w:r>
        <w:rPr>
          <w:rFonts w:ascii="宋体" w:hAnsi="宋体" w:eastAsia="宋体" w:cs="宋体"/>
          <w:color w:val="auto"/>
          <w:position w:val="12"/>
          <w:sz w:val="21"/>
          <w:szCs w:val="21"/>
          <w:highlight w:val="none"/>
        </w:rPr>
        <w:t>）总价金额与依据单价计算出的结果不一致的，以单价金额为准修正总价，但单价</w:t>
      </w:r>
    </w:p>
    <w:p w14:paraId="5144E3E4">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金额小数点有明显错误的除外。</w:t>
      </w:r>
    </w:p>
    <w:p w14:paraId="07AC72C3">
      <w:pPr>
        <w:spacing w:before="135" w:line="333" w:lineRule="auto"/>
        <w:ind w:left="28" w:right="179" w:firstLine="41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3.1.4</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评标委员会发现投标人的报价明显低于其他投标报</w:t>
      </w:r>
      <w:r>
        <w:rPr>
          <w:rFonts w:ascii="宋体" w:hAnsi="宋体" w:eastAsia="宋体" w:cs="宋体"/>
          <w:color w:val="auto"/>
          <w:sz w:val="21"/>
          <w:szCs w:val="21"/>
          <w:highlight w:val="none"/>
        </w:rPr>
        <w:t xml:space="preserve">价，或者在设有最高投标限价 </w:t>
      </w:r>
      <w:r>
        <w:rPr>
          <w:rFonts w:ascii="宋体" w:hAnsi="宋体" w:eastAsia="宋体" w:cs="宋体"/>
          <w:color w:val="auto"/>
          <w:spacing w:val="3"/>
          <w:sz w:val="21"/>
          <w:szCs w:val="21"/>
          <w:highlight w:val="none"/>
        </w:rPr>
        <w:t>时明显低于最高投标限价，使得其投标报价可能低于</w:t>
      </w:r>
      <w:r>
        <w:rPr>
          <w:rFonts w:ascii="宋体" w:hAnsi="宋体" w:eastAsia="宋体" w:cs="宋体"/>
          <w:color w:val="auto"/>
          <w:spacing w:val="2"/>
          <w:sz w:val="21"/>
          <w:szCs w:val="21"/>
          <w:highlight w:val="none"/>
        </w:rPr>
        <w:t>其个别成本的，应当要求该投标人作</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出书面说明并提供相应的证明材料。投标人不能合理说明或者不能提供相应证明材料的，</w:t>
      </w:r>
    </w:p>
    <w:p w14:paraId="545A9546">
      <w:pPr>
        <w:spacing w:line="219"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由评标委员会认定该投标人以低于成本报价竞标，否决其</w:t>
      </w:r>
      <w:r>
        <w:rPr>
          <w:rFonts w:ascii="宋体" w:hAnsi="宋体" w:eastAsia="宋体" w:cs="宋体"/>
          <w:color w:val="auto"/>
          <w:spacing w:val="-3"/>
          <w:sz w:val="21"/>
          <w:szCs w:val="21"/>
          <w:highlight w:val="none"/>
        </w:rPr>
        <w:t>投标。</w:t>
      </w:r>
    </w:p>
    <w:p w14:paraId="4D329385">
      <w:pPr>
        <w:spacing w:before="130" w:line="379"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3.1.5</w:t>
      </w:r>
      <w:r>
        <w:rPr>
          <w:rFonts w:ascii="Times New Roman" w:hAnsi="Times New Roman" w:eastAsia="Times New Roman" w:cs="Times New Roman"/>
          <w:color w:val="auto"/>
          <w:spacing w:val="31"/>
          <w:w w:val="101"/>
          <w:position w:val="12"/>
          <w:sz w:val="21"/>
          <w:szCs w:val="21"/>
          <w:highlight w:val="none"/>
        </w:rPr>
        <w:t xml:space="preserve"> </w:t>
      </w:r>
      <w:r>
        <w:rPr>
          <w:rFonts w:ascii="宋体" w:hAnsi="宋体" w:eastAsia="宋体" w:cs="宋体"/>
          <w:color w:val="auto"/>
          <w:position w:val="12"/>
          <w:sz w:val="21"/>
          <w:szCs w:val="21"/>
          <w:highlight w:val="none"/>
        </w:rPr>
        <w:t>评标委员会否决不合格投标后，因</w:t>
      </w:r>
      <w:r>
        <w:rPr>
          <w:rFonts w:ascii="宋体" w:hAnsi="宋体" w:eastAsia="宋体" w:cs="宋体"/>
          <w:color w:val="auto"/>
          <w:spacing w:val="-1"/>
          <w:position w:val="12"/>
          <w:sz w:val="21"/>
          <w:szCs w:val="21"/>
          <w:highlight w:val="none"/>
        </w:rPr>
        <w:t>有效投标不足三个使得投标明显缺乏竞争的，</w:t>
      </w:r>
    </w:p>
    <w:p w14:paraId="3B3D90AC">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评标委员会可以否决全部投标。</w:t>
      </w:r>
    </w:p>
    <w:p w14:paraId="0151A4AB">
      <w:pPr>
        <w:spacing w:before="129"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3.2</w:t>
      </w:r>
      <w:r>
        <w:rPr>
          <w:rFonts w:ascii="Times New Roman" w:hAnsi="Times New Roman" w:eastAsia="Times New Roman" w:cs="Times New Roman"/>
          <w:color w:val="auto"/>
          <w:spacing w:val="11"/>
          <w:sz w:val="24"/>
          <w:szCs w:val="24"/>
          <w:highlight w:val="none"/>
        </w:rPr>
        <w:t xml:space="preserve"> </w:t>
      </w:r>
      <w:r>
        <w:rPr>
          <w:rFonts w:ascii="黑体" w:hAnsi="黑体" w:eastAsia="黑体" w:cs="黑体"/>
          <w:color w:val="auto"/>
          <w:spacing w:val="-2"/>
          <w:sz w:val="24"/>
          <w:szCs w:val="24"/>
          <w:highlight w:val="none"/>
        </w:rPr>
        <w:t>详细评审</w:t>
      </w:r>
    </w:p>
    <w:p w14:paraId="2C7538E7">
      <w:pPr>
        <w:spacing w:before="119" w:line="379"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3.2.1</w:t>
      </w:r>
      <w:r>
        <w:rPr>
          <w:rFonts w:ascii="Times New Roman" w:hAnsi="Times New Roman" w:eastAsia="Times New Roman" w:cs="Times New Roman"/>
          <w:color w:val="auto"/>
          <w:spacing w:val="32"/>
          <w:position w:val="12"/>
          <w:sz w:val="21"/>
          <w:szCs w:val="21"/>
          <w:highlight w:val="none"/>
        </w:rPr>
        <w:t xml:space="preserve"> </w:t>
      </w:r>
      <w:r>
        <w:rPr>
          <w:rFonts w:ascii="宋体" w:hAnsi="宋体" w:eastAsia="宋体" w:cs="宋体"/>
          <w:color w:val="auto"/>
          <w:spacing w:val="1"/>
          <w:position w:val="12"/>
          <w:sz w:val="21"/>
          <w:szCs w:val="21"/>
          <w:highlight w:val="none"/>
        </w:rPr>
        <w:t>评标委员会对通过了初步评审的投标文件进行详细</w:t>
      </w:r>
      <w:r>
        <w:rPr>
          <w:rFonts w:ascii="宋体" w:hAnsi="宋体" w:eastAsia="宋体" w:cs="宋体"/>
          <w:color w:val="auto"/>
          <w:position w:val="12"/>
          <w:sz w:val="21"/>
          <w:szCs w:val="21"/>
          <w:highlight w:val="none"/>
        </w:rPr>
        <w:t>评审。如采用入围方式的，则</w:t>
      </w:r>
    </w:p>
    <w:p w14:paraId="21668AB4">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按照评标办法前附表规定的方式进行入围。</w:t>
      </w:r>
    </w:p>
    <w:p w14:paraId="31E2E7D0">
      <w:pPr>
        <w:spacing w:before="129" w:line="380"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3.2.2</w:t>
      </w:r>
      <w:r>
        <w:rPr>
          <w:rFonts w:ascii="Times New Roman" w:hAnsi="Times New Roman" w:eastAsia="Times New Roman" w:cs="Times New Roman"/>
          <w:color w:val="auto"/>
          <w:spacing w:val="31"/>
          <w:w w:val="101"/>
          <w:position w:val="12"/>
          <w:sz w:val="21"/>
          <w:szCs w:val="21"/>
          <w:highlight w:val="none"/>
        </w:rPr>
        <w:t xml:space="preserve"> </w:t>
      </w:r>
      <w:r>
        <w:rPr>
          <w:rFonts w:ascii="宋体" w:hAnsi="宋体" w:eastAsia="宋体" w:cs="宋体"/>
          <w:color w:val="auto"/>
          <w:position w:val="12"/>
          <w:sz w:val="21"/>
          <w:szCs w:val="21"/>
          <w:highlight w:val="none"/>
        </w:rPr>
        <w:t xml:space="preserve">评标委员会按本章第 </w:t>
      </w:r>
      <w:r>
        <w:rPr>
          <w:rFonts w:ascii="Times New Roman" w:hAnsi="Times New Roman" w:eastAsia="Times New Roman" w:cs="Times New Roman"/>
          <w:color w:val="auto"/>
          <w:position w:val="12"/>
          <w:sz w:val="21"/>
          <w:szCs w:val="21"/>
          <w:highlight w:val="none"/>
        </w:rPr>
        <w:t>2.2</w:t>
      </w:r>
      <w:r>
        <w:rPr>
          <w:rFonts w:ascii="Times New Roman" w:hAnsi="Times New Roman" w:eastAsia="Times New Roman" w:cs="Times New Roman"/>
          <w:color w:val="auto"/>
          <w:spacing w:val="43"/>
          <w:position w:val="12"/>
          <w:sz w:val="21"/>
          <w:szCs w:val="21"/>
          <w:highlight w:val="none"/>
        </w:rPr>
        <w:t xml:space="preserve"> </w:t>
      </w:r>
      <w:r>
        <w:rPr>
          <w:rFonts w:ascii="宋体" w:hAnsi="宋体" w:eastAsia="宋体" w:cs="宋体"/>
          <w:color w:val="auto"/>
          <w:position w:val="12"/>
          <w:sz w:val="21"/>
          <w:szCs w:val="21"/>
          <w:highlight w:val="none"/>
        </w:rPr>
        <w:t>款规定的量化因素和分值进行打分</w:t>
      </w:r>
      <w:r>
        <w:rPr>
          <w:rFonts w:ascii="宋体" w:hAnsi="宋体" w:eastAsia="宋体" w:cs="宋体"/>
          <w:color w:val="auto"/>
          <w:spacing w:val="-1"/>
          <w:position w:val="12"/>
          <w:sz w:val="21"/>
          <w:szCs w:val="21"/>
          <w:highlight w:val="none"/>
        </w:rPr>
        <w:t>，并计算出综合评估</w:t>
      </w:r>
    </w:p>
    <w:p w14:paraId="4B09AED7">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得分。</w:t>
      </w:r>
    </w:p>
    <w:p w14:paraId="7262F643">
      <w:pPr>
        <w:spacing w:before="132"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）按本章第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z w:val="21"/>
          <w:szCs w:val="21"/>
          <w:highlight w:val="none"/>
        </w:rPr>
        <w:t>2.2.4</w:t>
      </w: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）目规定的评</w:t>
      </w:r>
      <w:r>
        <w:rPr>
          <w:rFonts w:ascii="宋体" w:hAnsi="宋体" w:eastAsia="宋体" w:cs="宋体"/>
          <w:color w:val="auto"/>
          <w:spacing w:val="-1"/>
          <w:sz w:val="21"/>
          <w:szCs w:val="21"/>
          <w:highlight w:val="none"/>
        </w:rPr>
        <w:t>审因素和分值对经济标计算出得分</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A</w:t>
      </w:r>
      <w:r>
        <w:rPr>
          <w:rFonts w:ascii="宋体" w:hAnsi="宋体" w:eastAsia="宋体" w:cs="宋体"/>
          <w:color w:val="auto"/>
          <w:spacing w:val="-1"/>
          <w:sz w:val="21"/>
          <w:szCs w:val="21"/>
          <w:highlight w:val="none"/>
        </w:rPr>
        <w:t>；</w:t>
      </w:r>
    </w:p>
    <w:p w14:paraId="0E6D4083">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）按本章第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1"/>
          <w:sz w:val="21"/>
          <w:szCs w:val="21"/>
          <w:highlight w:val="none"/>
        </w:rPr>
        <w:t>2.2.4</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）目规定的评审因素和分值对技术标计算出得分</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B</w:t>
      </w:r>
      <w:r>
        <w:rPr>
          <w:rFonts w:ascii="宋体" w:hAnsi="宋体" w:eastAsia="宋体" w:cs="宋体"/>
          <w:color w:val="auto"/>
          <w:spacing w:val="-1"/>
          <w:sz w:val="21"/>
          <w:szCs w:val="21"/>
          <w:highlight w:val="none"/>
        </w:rPr>
        <w:t>；</w:t>
      </w:r>
    </w:p>
    <w:p w14:paraId="739C86F0">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）按本章第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1"/>
          <w:sz w:val="21"/>
          <w:szCs w:val="21"/>
          <w:highlight w:val="none"/>
        </w:rPr>
        <w:t>2.2.4</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）目规定的评审因素和分值对资信标计算出得分</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C</w:t>
      </w:r>
      <w:r>
        <w:rPr>
          <w:rFonts w:ascii="宋体" w:hAnsi="宋体" w:eastAsia="宋体" w:cs="宋体"/>
          <w:color w:val="auto"/>
          <w:spacing w:val="-1"/>
          <w:sz w:val="21"/>
          <w:szCs w:val="21"/>
          <w:highlight w:val="none"/>
        </w:rPr>
        <w:t>；</w:t>
      </w:r>
    </w:p>
    <w:p w14:paraId="060F07B1">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）按本章第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2.2.4</w:t>
      </w: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）目规定的评审</w:t>
      </w:r>
      <w:r>
        <w:rPr>
          <w:rFonts w:ascii="宋体" w:hAnsi="宋体" w:eastAsia="宋体" w:cs="宋体"/>
          <w:color w:val="auto"/>
          <w:spacing w:val="-1"/>
          <w:sz w:val="21"/>
          <w:szCs w:val="21"/>
          <w:highlight w:val="none"/>
        </w:rPr>
        <w:t>因素和分值对其他因素计算出得分</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D</w:t>
      </w:r>
      <w:r>
        <w:rPr>
          <w:rFonts w:ascii="宋体" w:hAnsi="宋体" w:eastAsia="宋体" w:cs="宋体"/>
          <w:color w:val="auto"/>
          <w:spacing w:val="-1"/>
          <w:sz w:val="21"/>
          <w:szCs w:val="21"/>
          <w:highlight w:val="none"/>
        </w:rPr>
        <w:t>。</w:t>
      </w:r>
    </w:p>
    <w:p w14:paraId="19650CB7">
      <w:pPr>
        <w:spacing w:line="220" w:lineRule="auto"/>
        <w:rPr>
          <w:rFonts w:ascii="宋体" w:hAnsi="宋体" w:eastAsia="宋体" w:cs="宋体"/>
          <w:color w:val="auto"/>
          <w:sz w:val="21"/>
          <w:szCs w:val="21"/>
          <w:highlight w:val="none"/>
        </w:rPr>
        <w:sectPr>
          <w:footerReference r:id="rId49" w:type="default"/>
          <w:pgSz w:w="11905" w:h="16839"/>
          <w:pgMar w:top="1431" w:right="1614" w:bottom="996" w:left="1785" w:header="0" w:footer="791" w:gutter="0"/>
          <w:pgNumType w:fmt="decimal"/>
          <w:cols w:space="720" w:num="1"/>
        </w:sectPr>
      </w:pPr>
    </w:p>
    <w:p w14:paraId="178FDE0F">
      <w:pPr>
        <w:spacing w:before="129" w:line="221" w:lineRule="auto"/>
        <w:ind w:left="441"/>
        <w:rPr>
          <w:rFonts w:ascii="宋体" w:hAnsi="宋体" w:eastAsia="宋体" w:cs="宋体"/>
          <w:color w:val="auto"/>
          <w:sz w:val="21"/>
          <w:szCs w:val="21"/>
          <w:highlight w:val="none"/>
        </w:rPr>
      </w:pPr>
      <w:bookmarkStart w:id="122" w:name="bookmark150"/>
      <w:bookmarkEnd w:id="122"/>
      <w:bookmarkStart w:id="123" w:name="bookmark151"/>
      <w:bookmarkEnd w:id="123"/>
      <w:r>
        <w:rPr>
          <w:rFonts w:ascii="Times New Roman" w:hAnsi="Times New Roman" w:eastAsia="Times New Roman" w:cs="Times New Roman"/>
          <w:color w:val="auto"/>
          <w:spacing w:val="-3"/>
          <w:sz w:val="21"/>
          <w:szCs w:val="21"/>
          <w:highlight w:val="none"/>
        </w:rPr>
        <w:t xml:space="preserve">3.2.3 </w:t>
      </w:r>
      <w:r>
        <w:rPr>
          <w:rFonts w:ascii="宋体" w:hAnsi="宋体" w:eastAsia="宋体" w:cs="宋体"/>
          <w:color w:val="auto"/>
          <w:spacing w:val="-3"/>
          <w:sz w:val="21"/>
          <w:szCs w:val="21"/>
          <w:highlight w:val="none"/>
        </w:rPr>
        <w:t>评分分值计算保留小数点后两位， 小数点后第三位“四</w:t>
      </w:r>
      <w:r>
        <w:rPr>
          <w:rFonts w:ascii="宋体" w:hAnsi="宋体" w:eastAsia="宋体" w:cs="宋体"/>
          <w:color w:val="auto"/>
          <w:spacing w:val="-4"/>
          <w:sz w:val="21"/>
          <w:szCs w:val="21"/>
          <w:highlight w:val="none"/>
        </w:rPr>
        <w:t>舍五入”。</w:t>
      </w:r>
    </w:p>
    <w:p w14:paraId="596E18E7">
      <w:pPr>
        <w:spacing w:before="127"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宋体" w:hAnsi="宋体" w:eastAsia="宋体" w:cs="宋体"/>
          <w:color w:val="auto"/>
          <w:spacing w:val="-1"/>
          <w:sz w:val="21"/>
          <w:szCs w:val="21"/>
          <w:highlight w:val="none"/>
        </w:rPr>
        <w:t>投标人得分</w:t>
      </w:r>
      <w:r>
        <w:rPr>
          <w:rFonts w:ascii="Times New Roman" w:hAnsi="Times New Roman" w:eastAsia="Times New Roman" w:cs="Times New Roman"/>
          <w:color w:val="auto"/>
          <w:spacing w:val="-1"/>
          <w:sz w:val="21"/>
          <w:szCs w:val="21"/>
          <w:highlight w:val="none"/>
        </w:rPr>
        <w:t>=A+B+C+D</w:t>
      </w:r>
      <w:r>
        <w:rPr>
          <w:rFonts w:ascii="宋体" w:hAnsi="宋体" w:eastAsia="宋体" w:cs="宋体"/>
          <w:color w:val="auto"/>
          <w:spacing w:val="-1"/>
          <w:sz w:val="21"/>
          <w:szCs w:val="21"/>
          <w:highlight w:val="none"/>
        </w:rPr>
        <w:t>。</w:t>
      </w:r>
    </w:p>
    <w:p w14:paraId="012C4206">
      <w:pPr>
        <w:spacing w:before="128"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3.2.5 </w:t>
      </w:r>
      <w:r>
        <w:rPr>
          <w:rFonts w:ascii="宋体" w:hAnsi="宋体" w:eastAsia="宋体" w:cs="宋体"/>
          <w:color w:val="auto"/>
          <w:sz w:val="21"/>
          <w:szCs w:val="21"/>
          <w:highlight w:val="none"/>
        </w:rPr>
        <w:t>各投标人评分结果汇总确定办法详见评</w:t>
      </w:r>
      <w:r>
        <w:rPr>
          <w:rFonts w:ascii="宋体" w:hAnsi="宋体" w:eastAsia="宋体" w:cs="宋体"/>
          <w:color w:val="auto"/>
          <w:spacing w:val="-1"/>
          <w:sz w:val="21"/>
          <w:szCs w:val="21"/>
          <w:highlight w:val="none"/>
        </w:rPr>
        <w:t>标办法前附表。</w:t>
      </w:r>
    </w:p>
    <w:p w14:paraId="014BD98B">
      <w:pPr>
        <w:spacing w:before="128"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黑体" w:hAnsi="黑体" w:eastAsia="黑体" w:cs="黑体"/>
          <w:color w:val="auto"/>
          <w:spacing w:val="-1"/>
          <w:sz w:val="24"/>
          <w:szCs w:val="24"/>
          <w:highlight w:val="none"/>
        </w:rPr>
        <w:t>投标文件的澄清和补正</w:t>
      </w:r>
    </w:p>
    <w:p w14:paraId="69C7B800">
      <w:pPr>
        <w:spacing w:before="121" w:line="333" w:lineRule="auto"/>
        <w:ind w:left="17" w:right="11" w:firstLine="42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3.3.1</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z w:val="21"/>
          <w:szCs w:val="21"/>
          <w:highlight w:val="none"/>
        </w:rPr>
        <w:t>在评标过程中，评标委员会可以书面形式要求投标人对投标</w:t>
      </w:r>
      <w:r>
        <w:rPr>
          <w:rFonts w:ascii="宋体" w:hAnsi="宋体" w:eastAsia="宋体" w:cs="宋体"/>
          <w:color w:val="auto"/>
          <w:spacing w:val="-1"/>
          <w:sz w:val="21"/>
          <w:szCs w:val="21"/>
          <w:highlight w:val="none"/>
        </w:rPr>
        <w:t>文件中含义不明确、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对同类问题表述不一致或者有明显文字和计算错误的内容作必要的澄清、说明</w:t>
      </w:r>
      <w:r>
        <w:rPr>
          <w:rFonts w:ascii="宋体" w:hAnsi="宋体" w:eastAsia="宋体" w:cs="宋体"/>
          <w:color w:val="auto"/>
          <w:spacing w:val="2"/>
          <w:sz w:val="21"/>
          <w:szCs w:val="21"/>
          <w:highlight w:val="none"/>
        </w:rPr>
        <w:t>或补正。澄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清、说明或补正应以书面方式进行。评标委员会不接受投标人主动提出的澄清</w:t>
      </w:r>
      <w:r>
        <w:rPr>
          <w:rFonts w:ascii="宋体" w:hAnsi="宋体" w:eastAsia="宋体" w:cs="宋体"/>
          <w:color w:val="auto"/>
          <w:spacing w:val="2"/>
          <w:sz w:val="21"/>
          <w:szCs w:val="21"/>
          <w:highlight w:val="none"/>
        </w:rPr>
        <w:t>、说明或补</w:t>
      </w:r>
    </w:p>
    <w:p w14:paraId="3CFD4467">
      <w:pPr>
        <w:spacing w:before="1" w:line="233"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正。</w:t>
      </w:r>
    </w:p>
    <w:p w14:paraId="6CDD206D">
      <w:pPr>
        <w:spacing w:before="118" w:line="379" w:lineRule="exact"/>
        <w:ind w:right="10"/>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6"/>
          <w:position w:val="12"/>
          <w:sz w:val="21"/>
          <w:szCs w:val="21"/>
          <w:highlight w:val="none"/>
        </w:rPr>
        <w:t>3.3.2</w:t>
      </w:r>
      <w:r>
        <w:rPr>
          <w:rFonts w:ascii="Times New Roman" w:hAnsi="Times New Roman" w:eastAsia="Times New Roman" w:cs="Times New Roman"/>
          <w:color w:val="auto"/>
          <w:spacing w:val="38"/>
          <w:position w:val="12"/>
          <w:sz w:val="21"/>
          <w:szCs w:val="21"/>
          <w:highlight w:val="none"/>
        </w:rPr>
        <w:t xml:space="preserve"> </w:t>
      </w:r>
      <w:r>
        <w:rPr>
          <w:rFonts w:ascii="宋体" w:hAnsi="宋体" w:eastAsia="宋体" w:cs="宋体"/>
          <w:color w:val="auto"/>
          <w:spacing w:val="6"/>
          <w:position w:val="12"/>
          <w:sz w:val="21"/>
          <w:szCs w:val="21"/>
          <w:highlight w:val="none"/>
        </w:rPr>
        <w:t>澄清、说明和补正不得超出投标文件的范围且不得改变投标文件的</w:t>
      </w:r>
      <w:r>
        <w:rPr>
          <w:rFonts w:ascii="宋体" w:hAnsi="宋体" w:eastAsia="宋体" w:cs="宋体"/>
          <w:color w:val="auto"/>
          <w:spacing w:val="5"/>
          <w:position w:val="12"/>
          <w:sz w:val="21"/>
          <w:szCs w:val="21"/>
          <w:highlight w:val="none"/>
        </w:rPr>
        <w:t>实质性内容</w:t>
      </w:r>
    </w:p>
    <w:p w14:paraId="439D3DB2">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（算术错误修正的除外）。投标人的书面澄清、说明和补正属于投标文件的组成部分。</w:t>
      </w:r>
    </w:p>
    <w:p w14:paraId="3EC86271">
      <w:pPr>
        <w:spacing w:before="129" w:line="37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3.3.3</w:t>
      </w:r>
      <w:r>
        <w:rPr>
          <w:rFonts w:ascii="Times New Roman" w:hAnsi="Times New Roman" w:eastAsia="Times New Roman" w:cs="Times New Roman"/>
          <w:color w:val="auto"/>
          <w:spacing w:val="32"/>
          <w:position w:val="12"/>
          <w:sz w:val="21"/>
          <w:szCs w:val="21"/>
          <w:highlight w:val="none"/>
        </w:rPr>
        <w:t xml:space="preserve"> </w:t>
      </w:r>
      <w:r>
        <w:rPr>
          <w:rFonts w:ascii="宋体" w:hAnsi="宋体" w:eastAsia="宋体" w:cs="宋体"/>
          <w:color w:val="auto"/>
          <w:spacing w:val="1"/>
          <w:position w:val="12"/>
          <w:sz w:val="21"/>
          <w:szCs w:val="21"/>
          <w:highlight w:val="none"/>
        </w:rPr>
        <w:t>评标委员会对投标人提交的澄清、说明或补正有疑</w:t>
      </w:r>
      <w:r>
        <w:rPr>
          <w:rFonts w:ascii="宋体" w:hAnsi="宋体" w:eastAsia="宋体" w:cs="宋体"/>
          <w:color w:val="auto"/>
          <w:position w:val="12"/>
          <w:sz w:val="21"/>
          <w:szCs w:val="21"/>
          <w:highlight w:val="none"/>
        </w:rPr>
        <w:t>问的，可以要求投标人进一步</w:t>
      </w:r>
    </w:p>
    <w:p w14:paraId="1040645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澄清、说明或补正， 直至满足评标委员会的要求。</w:t>
      </w:r>
    </w:p>
    <w:p w14:paraId="0240BB8A">
      <w:pPr>
        <w:spacing w:before="129" w:line="335" w:lineRule="auto"/>
        <w:ind w:left="18" w:right="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3.3.4</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评标委员会要求投标人对投标文件问题</w:t>
      </w:r>
      <w:r>
        <w:rPr>
          <w:rFonts w:ascii="宋体" w:hAnsi="宋体" w:eastAsia="宋体" w:cs="宋体"/>
          <w:color w:val="auto"/>
          <w:sz w:val="21"/>
          <w:szCs w:val="21"/>
          <w:highlight w:val="none"/>
        </w:rPr>
        <w:t>澄清的通知，以及投标人对投标文件的澄 清通过电子招标投标系统（辽宁省工程建设项</w:t>
      </w:r>
      <w:r>
        <w:rPr>
          <w:rFonts w:ascii="宋体" w:hAnsi="宋体" w:eastAsia="宋体" w:cs="宋体"/>
          <w:color w:val="auto"/>
          <w:spacing w:val="-1"/>
          <w:sz w:val="21"/>
          <w:szCs w:val="21"/>
          <w:highlight w:val="none"/>
        </w:rPr>
        <w:t>目数字化开标评标系统） 以书面形式进行。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投标人的澄清、说明或补正应在评标办法前附表通知规定的时间要求内提交，否则评标委</w:t>
      </w:r>
    </w:p>
    <w:p w14:paraId="5B9B7DE2">
      <w:pPr>
        <w:spacing w:before="1" w:line="219" w:lineRule="auto"/>
        <w:ind w:left="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员会（电子招标投标系统）将拒绝接收。</w:t>
      </w:r>
    </w:p>
    <w:p w14:paraId="347E1C6C">
      <w:pPr>
        <w:spacing w:before="124"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3.4</w:t>
      </w:r>
      <w:r>
        <w:rPr>
          <w:rFonts w:ascii="Times New Roman" w:hAnsi="Times New Roman" w:eastAsia="Times New Roman" w:cs="Times New Roman"/>
          <w:color w:val="auto"/>
          <w:spacing w:val="11"/>
          <w:sz w:val="24"/>
          <w:szCs w:val="24"/>
          <w:highlight w:val="none"/>
        </w:rPr>
        <w:t xml:space="preserve"> </w:t>
      </w:r>
      <w:r>
        <w:rPr>
          <w:rFonts w:ascii="黑体" w:hAnsi="黑体" w:eastAsia="黑体" w:cs="黑体"/>
          <w:color w:val="auto"/>
          <w:spacing w:val="-2"/>
          <w:sz w:val="24"/>
          <w:szCs w:val="24"/>
          <w:highlight w:val="none"/>
        </w:rPr>
        <w:t>评标结果</w:t>
      </w:r>
    </w:p>
    <w:p w14:paraId="2DA67C9A">
      <w:pPr>
        <w:spacing w:before="119" w:line="380" w:lineRule="exact"/>
        <w:ind w:right="3"/>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3.4.1</w:t>
      </w:r>
      <w:r>
        <w:rPr>
          <w:rFonts w:ascii="Times New Roman" w:hAnsi="Times New Roman" w:eastAsia="Times New Roman" w:cs="Times New Roman"/>
          <w:color w:val="auto"/>
          <w:spacing w:val="41"/>
          <w:w w:val="101"/>
          <w:position w:val="12"/>
          <w:sz w:val="21"/>
          <w:szCs w:val="21"/>
          <w:highlight w:val="none"/>
        </w:rPr>
        <w:t xml:space="preserve"> </w:t>
      </w:r>
      <w:r>
        <w:rPr>
          <w:rFonts w:ascii="宋体" w:hAnsi="宋体" w:eastAsia="宋体" w:cs="宋体"/>
          <w:color w:val="auto"/>
          <w:spacing w:val="1"/>
          <w:position w:val="12"/>
          <w:sz w:val="21"/>
          <w:szCs w:val="21"/>
          <w:highlight w:val="none"/>
        </w:rPr>
        <w:t>评标委员会按照本章评标办法前附表规</w:t>
      </w:r>
      <w:r>
        <w:rPr>
          <w:rFonts w:ascii="宋体" w:hAnsi="宋体" w:eastAsia="宋体" w:cs="宋体"/>
          <w:color w:val="auto"/>
          <w:position w:val="12"/>
          <w:sz w:val="21"/>
          <w:szCs w:val="21"/>
          <w:highlight w:val="none"/>
        </w:rPr>
        <w:t>定的推荐方法和第二章“投标人须知”前</w:t>
      </w:r>
    </w:p>
    <w:p w14:paraId="36F20398">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7.1 </w:t>
      </w:r>
      <w:r>
        <w:rPr>
          <w:rFonts w:ascii="宋体" w:hAnsi="宋体" w:eastAsia="宋体" w:cs="宋体"/>
          <w:color w:val="auto"/>
          <w:spacing w:val="-2"/>
          <w:sz w:val="21"/>
          <w:szCs w:val="21"/>
          <w:highlight w:val="none"/>
        </w:rPr>
        <w:t>款推荐的中标候选人数量推荐中标候选人。</w:t>
      </w:r>
    </w:p>
    <w:p w14:paraId="3AB9204A">
      <w:pPr>
        <w:spacing w:before="134"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3.4.2 </w:t>
      </w:r>
      <w:r>
        <w:rPr>
          <w:rFonts w:ascii="宋体" w:hAnsi="宋体" w:eastAsia="宋体" w:cs="宋体"/>
          <w:color w:val="auto"/>
          <w:spacing w:val="-1"/>
          <w:sz w:val="21"/>
          <w:szCs w:val="21"/>
          <w:highlight w:val="none"/>
        </w:rPr>
        <w:t>评标委员会完成评标后，应当向招标人提</w:t>
      </w:r>
      <w:r>
        <w:rPr>
          <w:rFonts w:ascii="宋体" w:hAnsi="宋体" w:eastAsia="宋体" w:cs="宋体"/>
          <w:color w:val="auto"/>
          <w:spacing w:val="-2"/>
          <w:sz w:val="21"/>
          <w:szCs w:val="21"/>
          <w:highlight w:val="none"/>
        </w:rPr>
        <w:t>交书面评标报告。</w:t>
      </w:r>
    </w:p>
    <w:p w14:paraId="09B2F590">
      <w:pPr>
        <w:spacing w:before="132" w:line="333" w:lineRule="auto"/>
        <w:ind w:left="18" w:right="1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3.4.3</w:t>
      </w:r>
      <w:r>
        <w:rPr>
          <w:rFonts w:ascii="Times New Roman" w:hAnsi="Times New Roman" w:eastAsia="Times New Roman" w:cs="Times New Roman"/>
          <w:color w:val="auto"/>
          <w:spacing w:val="56"/>
          <w:sz w:val="21"/>
          <w:szCs w:val="21"/>
          <w:highlight w:val="none"/>
        </w:rPr>
        <w:t xml:space="preserve"> </w:t>
      </w:r>
      <w:r>
        <w:rPr>
          <w:rFonts w:ascii="宋体" w:hAnsi="宋体" w:eastAsia="宋体" w:cs="宋体"/>
          <w:color w:val="auto"/>
          <w:spacing w:val="-1"/>
          <w:sz w:val="21"/>
          <w:szCs w:val="21"/>
          <w:highlight w:val="none"/>
        </w:rPr>
        <w:t>投标人串通投标或弄虚作假或有其他违法行为，评标委员会在评标过程中发现，</w:t>
      </w:r>
      <w:r>
        <w:rPr>
          <w:rFonts w:ascii="宋体" w:hAnsi="宋体" w:eastAsia="宋体" w:cs="宋体"/>
          <w:color w:val="auto"/>
          <w:sz w:val="21"/>
          <w:szCs w:val="21"/>
          <w:highlight w:val="none"/>
        </w:rPr>
        <w:t xml:space="preserve"> 证据确凿的， 经评标委员会成员三分之二以上同意，其投标作否决投标处理；证据不够确</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凿的， 其投标不能作否决投标处理，但评标委员会在向招标人提交书面评标报告时，应予</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说明。在评标结束后发现投标人串通投标或弄虚作假或有其他违法行为，查证属实的， 取</w:t>
      </w:r>
    </w:p>
    <w:p w14:paraId="08923A9D">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消其中标资格。</w:t>
      </w:r>
    </w:p>
    <w:p w14:paraId="383BD626">
      <w:pPr>
        <w:spacing w:line="220" w:lineRule="auto"/>
        <w:rPr>
          <w:rFonts w:ascii="宋体" w:hAnsi="宋体" w:eastAsia="宋体" w:cs="宋体"/>
          <w:color w:val="auto"/>
          <w:sz w:val="21"/>
          <w:szCs w:val="21"/>
          <w:highlight w:val="none"/>
        </w:rPr>
        <w:sectPr>
          <w:footerReference r:id="rId50" w:type="default"/>
          <w:pgSz w:w="11905" w:h="16839"/>
          <w:pgMar w:top="1431" w:right="1785" w:bottom="996" w:left="1785" w:header="0" w:footer="791" w:gutter="0"/>
          <w:pgNumType w:fmt="decimal"/>
          <w:cols w:space="720" w:num="1"/>
        </w:sectPr>
      </w:pPr>
    </w:p>
    <w:p w14:paraId="4EC6CCC4">
      <w:pPr>
        <w:pStyle w:val="3"/>
        <w:spacing w:before="306"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附件</w:t>
      </w:r>
      <w:r>
        <w:rPr>
          <w:rFonts w:ascii="黑体" w:hAnsi="黑体" w:eastAsia="黑体" w:cs="黑体"/>
          <w:color w:val="auto"/>
          <w:spacing w:val="-56"/>
          <w:sz w:val="24"/>
          <w:szCs w:val="24"/>
          <w:highlight w:val="none"/>
        </w:rPr>
        <w:t xml:space="preserve"> </w:t>
      </w:r>
      <w:r>
        <w:rPr>
          <w:color w:val="auto"/>
          <w:spacing w:val="-3"/>
          <w:sz w:val="24"/>
          <w:szCs w:val="24"/>
          <w:highlight w:val="none"/>
        </w:rPr>
        <w:t>A</w:t>
      </w:r>
      <w:r>
        <w:rPr>
          <w:rFonts w:ascii="黑体" w:hAnsi="黑体" w:eastAsia="黑体" w:cs="黑体"/>
          <w:color w:val="auto"/>
          <w:spacing w:val="-3"/>
          <w:sz w:val="24"/>
          <w:szCs w:val="24"/>
          <w:highlight w:val="none"/>
        </w:rPr>
        <w:t>：评标详细程序</w:t>
      </w:r>
    </w:p>
    <w:p w14:paraId="0B88C92F">
      <w:pPr>
        <w:pStyle w:val="3"/>
        <w:spacing w:line="427" w:lineRule="auto"/>
        <w:rPr>
          <w:color w:val="auto"/>
          <w:highlight w:val="none"/>
        </w:rPr>
      </w:pPr>
    </w:p>
    <w:p w14:paraId="206FB091">
      <w:pPr>
        <w:spacing w:before="88" w:line="225" w:lineRule="auto"/>
        <w:ind w:left="3333"/>
        <w:rPr>
          <w:rFonts w:ascii="黑体" w:hAnsi="黑体" w:eastAsia="黑体" w:cs="黑体"/>
          <w:color w:val="auto"/>
          <w:sz w:val="27"/>
          <w:szCs w:val="27"/>
          <w:highlight w:val="none"/>
        </w:rPr>
      </w:pPr>
      <w:bookmarkStart w:id="124" w:name="bookmark155"/>
      <w:bookmarkEnd w:id="124"/>
      <w:bookmarkStart w:id="125" w:name="bookmark154"/>
      <w:bookmarkEnd w:id="125"/>
      <w:bookmarkStart w:id="126" w:name="bookmark152"/>
      <w:bookmarkEnd w:id="126"/>
      <w:bookmarkStart w:id="127" w:name="bookmark153"/>
      <w:bookmarkEnd w:id="127"/>
      <w:bookmarkStart w:id="128" w:name="bookmark156"/>
      <w:bookmarkEnd w:id="128"/>
      <w:bookmarkStart w:id="129" w:name="bookmark157"/>
      <w:bookmarkEnd w:id="129"/>
      <w:r>
        <w:rPr>
          <w:rFonts w:ascii="黑体" w:hAnsi="黑体" w:eastAsia="黑体" w:cs="黑体"/>
          <w:color w:val="auto"/>
          <w:spacing w:val="9"/>
          <w:sz w:val="27"/>
          <w:szCs w:val="27"/>
          <w:highlight w:val="none"/>
          <w14:textOutline w14:w="5050" w14:cap="flat" w14:cmpd="sng">
            <w14:solidFill>
              <w14:srgbClr w14:val="000000"/>
            </w14:solidFill>
            <w14:prstDash w14:val="solid"/>
            <w14:miter w14:val="0"/>
          </w14:textOutline>
        </w:rPr>
        <w:t>评标详细程序</w:t>
      </w:r>
    </w:p>
    <w:p w14:paraId="2FDE6AF1">
      <w:pPr>
        <w:spacing w:before="107"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A0.</w:t>
      </w:r>
      <w:r>
        <w:rPr>
          <w:rFonts w:ascii="黑体" w:hAnsi="黑体" w:eastAsia="黑体" w:cs="黑体"/>
          <w:color w:val="auto"/>
          <w:sz w:val="24"/>
          <w:szCs w:val="24"/>
          <w:highlight w:val="none"/>
        </w:rPr>
        <w:t>总</w:t>
      </w:r>
      <w:r>
        <w:rPr>
          <w:rFonts w:ascii="黑体" w:hAnsi="黑体" w:eastAsia="黑体" w:cs="黑体"/>
          <w:color w:val="auto"/>
          <w:spacing w:val="13"/>
          <w:sz w:val="24"/>
          <w:szCs w:val="24"/>
          <w:highlight w:val="none"/>
        </w:rPr>
        <w:t xml:space="preserve"> </w:t>
      </w:r>
      <w:r>
        <w:rPr>
          <w:rFonts w:ascii="黑体" w:hAnsi="黑体" w:eastAsia="黑体" w:cs="黑体"/>
          <w:color w:val="auto"/>
          <w:sz w:val="24"/>
          <w:szCs w:val="24"/>
          <w:highlight w:val="none"/>
        </w:rPr>
        <w:t>则</w:t>
      </w:r>
    </w:p>
    <w:p w14:paraId="6F00E7B7">
      <w:pPr>
        <w:spacing w:before="143"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本附件是本章“评标办法”的组成部分，是对本章第 3 条所规定的评标程序的进一步</w:t>
      </w:r>
    </w:p>
    <w:p w14:paraId="6488511A">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细化，评标委员会应当按照本附件所规定的详细程序开展并完成评</w:t>
      </w:r>
      <w:r>
        <w:rPr>
          <w:rFonts w:ascii="宋体" w:hAnsi="宋体" w:eastAsia="宋体" w:cs="宋体"/>
          <w:color w:val="auto"/>
          <w:spacing w:val="-1"/>
          <w:sz w:val="21"/>
          <w:szCs w:val="21"/>
          <w:highlight w:val="none"/>
        </w:rPr>
        <w:t>标工作。</w:t>
      </w:r>
    </w:p>
    <w:p w14:paraId="20A3F95C">
      <w:pPr>
        <w:spacing w:before="123"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A1.</w:t>
      </w:r>
      <w:r>
        <w:rPr>
          <w:rFonts w:ascii="黑体" w:hAnsi="黑体" w:eastAsia="黑体" w:cs="黑体"/>
          <w:color w:val="auto"/>
          <w:sz w:val="24"/>
          <w:szCs w:val="24"/>
          <w:highlight w:val="none"/>
        </w:rPr>
        <w:t>基本程序</w:t>
      </w:r>
    </w:p>
    <w:p w14:paraId="4D1F2761">
      <w:pPr>
        <w:spacing w:before="144" w:line="398" w:lineRule="exact"/>
        <w:ind w:left="44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评标活动将按以下五个步骤进行：</w:t>
      </w:r>
    </w:p>
    <w:p w14:paraId="760EF497">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（1）评标准备；</w:t>
      </w:r>
    </w:p>
    <w:p w14:paraId="6FA3DB3B">
      <w:pPr>
        <w:spacing w:before="146"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（2）初步评审；</w:t>
      </w:r>
    </w:p>
    <w:p w14:paraId="1797CDE5">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（3）详细评审；</w:t>
      </w:r>
    </w:p>
    <w:p w14:paraId="6AAFBA94">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（4）澄清、说明或补正；</w:t>
      </w:r>
    </w:p>
    <w:p w14:paraId="4A424C33">
      <w:pPr>
        <w:spacing w:before="148" w:line="37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（5）推荐中标候选人或者直接确定中标人及提交评标报告。</w:t>
      </w:r>
    </w:p>
    <w:p w14:paraId="2968EFD3">
      <w:pPr>
        <w:spacing w:before="1" w:line="218"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A2.</w:t>
      </w:r>
      <w:r>
        <w:rPr>
          <w:rFonts w:ascii="黑体" w:hAnsi="黑体" w:eastAsia="黑体" w:cs="黑体"/>
          <w:color w:val="auto"/>
          <w:sz w:val="24"/>
          <w:szCs w:val="24"/>
          <w:highlight w:val="none"/>
        </w:rPr>
        <w:t>评标准备</w:t>
      </w:r>
    </w:p>
    <w:p w14:paraId="0F4A75BA">
      <w:pPr>
        <w:spacing w:before="139"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A2.1 </w:t>
      </w:r>
      <w:r>
        <w:rPr>
          <w:rFonts w:ascii="黑体" w:hAnsi="黑体" w:eastAsia="黑体" w:cs="黑体"/>
          <w:color w:val="auto"/>
          <w:spacing w:val="-1"/>
          <w:sz w:val="21"/>
          <w:szCs w:val="21"/>
          <w:highlight w:val="none"/>
        </w:rPr>
        <w:t>评标委员会成员签到</w:t>
      </w:r>
    </w:p>
    <w:p w14:paraId="3FB19267">
      <w:pPr>
        <w:spacing w:before="150" w:line="403" w:lineRule="exact"/>
        <w:ind w:right="3"/>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评标委员会成员到达评标现场时应在签到表上签到以证明其出席。评标委员会签到表</w:t>
      </w:r>
    </w:p>
    <w:p w14:paraId="684D36EE">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见</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A-1</w:t>
      </w:r>
      <w:r>
        <w:rPr>
          <w:rFonts w:ascii="宋体" w:hAnsi="宋体" w:eastAsia="宋体" w:cs="宋体"/>
          <w:color w:val="auto"/>
          <w:spacing w:val="-1"/>
          <w:sz w:val="21"/>
          <w:szCs w:val="21"/>
          <w:highlight w:val="none"/>
        </w:rPr>
        <w:t>。并按照要求阅读评标纪律。</w:t>
      </w:r>
    </w:p>
    <w:p w14:paraId="19C41219">
      <w:pPr>
        <w:spacing w:before="147"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评标委员会成员在评标前， 应当签订签署评标专家告知承诺函。评标专家告知承诺函</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见</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A-2。</w:t>
      </w:r>
      <w:r>
        <w:rPr>
          <w:rFonts w:ascii="宋体" w:hAnsi="宋体" w:eastAsia="宋体" w:cs="宋体"/>
          <w:color w:val="auto"/>
          <w:sz w:val="21"/>
          <w:szCs w:val="21"/>
          <w:highlight w:val="none"/>
        </w:rPr>
        <w:t>评标委员会成员对尽职、回避、保密、廉洁， 不参与串通投标等进行承诺，</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承诺遵守有关评标管理规定以及评标纪律，客观、公正地进行评标，并接受</w:t>
      </w:r>
      <w:r>
        <w:rPr>
          <w:rFonts w:ascii="宋体" w:hAnsi="宋体" w:eastAsia="宋体" w:cs="宋体"/>
          <w:color w:val="auto"/>
          <w:spacing w:val="2"/>
          <w:sz w:val="21"/>
          <w:szCs w:val="21"/>
          <w:highlight w:val="none"/>
        </w:rPr>
        <w:t>招投标监管部</w:t>
      </w:r>
    </w:p>
    <w:p w14:paraId="60FDC650">
      <w:pPr>
        <w:spacing w:line="222" w:lineRule="auto"/>
        <w:ind w:left="4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门的监督。</w:t>
      </w:r>
    </w:p>
    <w:p w14:paraId="0DA47EB1">
      <w:pPr>
        <w:spacing w:before="146"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A2.2 </w:t>
      </w:r>
      <w:r>
        <w:rPr>
          <w:rFonts w:ascii="黑体" w:hAnsi="黑体" w:eastAsia="黑体" w:cs="黑体"/>
          <w:color w:val="auto"/>
          <w:spacing w:val="-1"/>
          <w:sz w:val="21"/>
          <w:szCs w:val="21"/>
          <w:highlight w:val="none"/>
        </w:rPr>
        <w:t>评标委员会的分工</w:t>
      </w:r>
    </w:p>
    <w:p w14:paraId="46667FA6">
      <w:pPr>
        <w:spacing w:before="169" w:line="422" w:lineRule="exact"/>
        <w:ind w:right="4"/>
        <w:jc w:val="right"/>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A2.2.1 评标委员会首先推选一名评标委员会主任。评标委员会主任负责评标活动的组</w:t>
      </w:r>
    </w:p>
    <w:p w14:paraId="144A0EB9">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织工作。</w:t>
      </w:r>
    </w:p>
    <w:p w14:paraId="32ADE2EF">
      <w:pPr>
        <w:spacing w:before="153"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A2.2.2 评标委员会主任除履行自己作为</w:t>
      </w:r>
      <w:r>
        <w:rPr>
          <w:rFonts w:ascii="宋体" w:hAnsi="宋体" w:eastAsia="宋体" w:cs="宋体"/>
          <w:color w:val="auto"/>
          <w:position w:val="14"/>
          <w:sz w:val="21"/>
          <w:szCs w:val="21"/>
          <w:highlight w:val="none"/>
        </w:rPr>
        <w:t>评标委员会成员独立评标的职责外，主要负责</w:t>
      </w:r>
    </w:p>
    <w:p w14:paraId="79E25F13">
      <w:pPr>
        <w:spacing w:line="221" w:lineRule="auto"/>
        <w:ind w:left="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以下工作：</w:t>
      </w:r>
    </w:p>
    <w:p w14:paraId="21E0FD62">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（1）组织评标委员会成员学习招标文件中载明的评</w:t>
      </w:r>
      <w:r>
        <w:rPr>
          <w:rFonts w:ascii="宋体" w:hAnsi="宋体" w:eastAsia="宋体" w:cs="宋体"/>
          <w:color w:val="auto"/>
          <w:spacing w:val="-2"/>
          <w:sz w:val="21"/>
          <w:szCs w:val="21"/>
          <w:highlight w:val="none"/>
        </w:rPr>
        <w:t>标标准和方法；</w:t>
      </w:r>
    </w:p>
    <w:p w14:paraId="79BA8B27">
      <w:pPr>
        <w:spacing w:before="172"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（2）提醒招标人做好评标准备工作，包括提供所需的评标基础资料；</w:t>
      </w:r>
    </w:p>
    <w:p w14:paraId="0380F50F">
      <w:pPr>
        <w:spacing w:before="158" w:line="220" w:lineRule="auto"/>
        <w:ind w:right="7"/>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（3）汇总各评标委员会成员认为需要投标人澄清、说明或者补正的问题，组织评标委</w:t>
      </w:r>
    </w:p>
    <w:p w14:paraId="1E5E590A">
      <w:pPr>
        <w:spacing w:before="153" w:line="220" w:lineRule="auto"/>
        <w:ind w:left="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员会对投标人质询并对投标人的答复进行评审；</w:t>
      </w:r>
    </w:p>
    <w:p w14:paraId="03025B4D">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（4）对出现较大争议的事项进行书面记录；</w:t>
      </w:r>
    </w:p>
    <w:p w14:paraId="43F987C3">
      <w:pPr>
        <w:spacing w:before="148"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（5）查验评标用表格和评标记录的完整性及有效性；</w:t>
      </w:r>
    </w:p>
    <w:p w14:paraId="043D0EC3">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（6）组织对评标结论进行复核确认；</w:t>
      </w:r>
    </w:p>
    <w:p w14:paraId="238309D6">
      <w:pPr>
        <w:spacing w:before="147"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（7）组织编写评标报告，推荐中标候选人。</w:t>
      </w:r>
    </w:p>
    <w:p w14:paraId="721E3148">
      <w:pPr>
        <w:spacing w:line="219" w:lineRule="auto"/>
        <w:rPr>
          <w:rFonts w:ascii="宋体" w:hAnsi="宋体" w:eastAsia="宋体" w:cs="宋体"/>
          <w:color w:val="auto"/>
          <w:sz w:val="21"/>
          <w:szCs w:val="21"/>
          <w:highlight w:val="none"/>
        </w:rPr>
        <w:sectPr>
          <w:footerReference r:id="rId51" w:type="default"/>
          <w:pgSz w:w="11905" w:h="16839"/>
          <w:pgMar w:top="1431" w:right="1785" w:bottom="996" w:left="1785" w:header="0" w:footer="791" w:gutter="0"/>
          <w:pgNumType w:fmt="decimal"/>
          <w:cols w:space="720" w:num="1"/>
        </w:sectPr>
      </w:pPr>
    </w:p>
    <w:p w14:paraId="41BDAB24">
      <w:pPr>
        <w:spacing w:before="168" w:line="418" w:lineRule="exact"/>
        <w:ind w:right="4"/>
        <w:jc w:val="right"/>
        <w:rPr>
          <w:rFonts w:ascii="宋体" w:hAnsi="宋体" w:eastAsia="宋体" w:cs="宋体"/>
          <w:color w:val="auto"/>
          <w:sz w:val="21"/>
          <w:szCs w:val="21"/>
          <w:highlight w:val="none"/>
        </w:rPr>
      </w:pPr>
      <w:bookmarkStart w:id="130" w:name="bookmark159"/>
      <w:bookmarkEnd w:id="130"/>
      <w:bookmarkStart w:id="131" w:name="bookmark158"/>
      <w:bookmarkEnd w:id="131"/>
      <w:r>
        <w:rPr>
          <w:rFonts w:ascii="宋体" w:hAnsi="宋体" w:eastAsia="宋体" w:cs="宋体"/>
          <w:color w:val="auto"/>
          <w:position w:val="15"/>
          <w:sz w:val="21"/>
          <w:szCs w:val="21"/>
          <w:highlight w:val="none"/>
        </w:rPr>
        <w:t>A2.2.3 评标委员会主任在与其他评标委员会成员商议的基础上可以将评标委员会按照</w:t>
      </w:r>
    </w:p>
    <w:p w14:paraId="2CB1D565">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评标专家抽取专业划分为技术组和经济组。</w:t>
      </w:r>
    </w:p>
    <w:p w14:paraId="7ECEE1E0">
      <w:pPr>
        <w:spacing w:before="152"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A2.3 </w:t>
      </w:r>
      <w:r>
        <w:rPr>
          <w:rFonts w:ascii="黑体" w:hAnsi="黑体" w:eastAsia="黑体" w:cs="黑体"/>
          <w:color w:val="auto"/>
          <w:spacing w:val="-1"/>
          <w:sz w:val="21"/>
          <w:szCs w:val="21"/>
          <w:highlight w:val="none"/>
        </w:rPr>
        <w:t>熟悉文件资料</w:t>
      </w:r>
    </w:p>
    <w:p w14:paraId="1A65619D">
      <w:pPr>
        <w:spacing w:before="151" w:line="352" w:lineRule="auto"/>
        <w:ind w:left="19" w:right="4" w:firstLine="415"/>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A2.3.1 评标委员会主任应组织评标委员会成员认真研究招标文件，了解和熟悉招标目</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的、招标范围、主要合同条件、技术标准和要求、质量标准和工期要求，掌</w:t>
      </w:r>
      <w:r>
        <w:rPr>
          <w:rFonts w:ascii="宋体" w:hAnsi="宋体" w:eastAsia="宋体" w:cs="宋体"/>
          <w:color w:val="auto"/>
          <w:spacing w:val="2"/>
          <w:sz w:val="21"/>
          <w:szCs w:val="21"/>
          <w:highlight w:val="none"/>
        </w:rPr>
        <w:t>握评标标准和</w:t>
      </w:r>
      <w:r>
        <w:rPr>
          <w:rFonts w:ascii="宋体" w:hAnsi="宋体" w:eastAsia="宋体" w:cs="宋体"/>
          <w:color w:val="auto"/>
          <w:sz w:val="21"/>
          <w:szCs w:val="21"/>
          <w:highlight w:val="none"/>
        </w:rPr>
        <w:t xml:space="preserve"> 方法， 熟悉本章及附件中包括的评标表格的使用，如果本章及附件所附的表格不能满足评</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标所需时，评标委员会应补充编制评标所需的表格。未在招标文件中规定的</w:t>
      </w:r>
      <w:r>
        <w:rPr>
          <w:rFonts w:ascii="宋体" w:hAnsi="宋体" w:eastAsia="宋体" w:cs="宋体"/>
          <w:color w:val="auto"/>
          <w:spacing w:val="2"/>
          <w:sz w:val="21"/>
          <w:szCs w:val="21"/>
          <w:highlight w:val="none"/>
        </w:rPr>
        <w:t>标准和方法不</w:t>
      </w:r>
    </w:p>
    <w:p w14:paraId="1F1EADCF">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得作为评标的依据。</w:t>
      </w:r>
    </w:p>
    <w:p w14:paraId="6EDE4B0F">
      <w:pPr>
        <w:spacing w:before="173" w:line="408" w:lineRule="exact"/>
        <w:ind w:left="434"/>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A2.3.2</w:t>
      </w:r>
      <w:r>
        <w:rPr>
          <w:rFonts w:ascii="宋体" w:hAnsi="宋体" w:eastAsia="宋体" w:cs="宋体"/>
          <w:color w:val="auto"/>
          <w:spacing w:val="-43"/>
          <w:position w:val="15"/>
          <w:sz w:val="21"/>
          <w:szCs w:val="21"/>
          <w:highlight w:val="none"/>
        </w:rPr>
        <w:t xml:space="preserve"> </w:t>
      </w:r>
      <w:r>
        <w:rPr>
          <w:rFonts w:ascii="宋体" w:hAnsi="宋体" w:eastAsia="宋体" w:cs="宋体"/>
          <w:color w:val="auto"/>
          <w:spacing w:val="-1"/>
          <w:position w:val="15"/>
          <w:sz w:val="21"/>
          <w:szCs w:val="21"/>
          <w:highlight w:val="none"/>
        </w:rPr>
        <w:t>招标人或招标代理机构应向评标委员会提供评标所需的信息和</w:t>
      </w:r>
      <w:r>
        <w:rPr>
          <w:rFonts w:ascii="宋体" w:hAnsi="宋体" w:eastAsia="宋体" w:cs="宋体"/>
          <w:color w:val="auto"/>
          <w:spacing w:val="-2"/>
          <w:position w:val="15"/>
          <w:sz w:val="21"/>
          <w:szCs w:val="21"/>
          <w:highlight w:val="none"/>
        </w:rPr>
        <w:t>数据，包括：</w:t>
      </w:r>
    </w:p>
    <w:p w14:paraId="28BFC503">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（1）招标文件及其澄清、修改文件；</w:t>
      </w:r>
    </w:p>
    <w:p w14:paraId="3B8DE953">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（2）投标人的投标文件；</w:t>
      </w:r>
    </w:p>
    <w:p w14:paraId="40F8FDAC">
      <w:pPr>
        <w:spacing w:before="17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（3）开标记录表以及二次刷卡、保证金缴纳等信息；</w:t>
      </w:r>
    </w:p>
    <w:p w14:paraId="3BE4D486">
      <w:pPr>
        <w:spacing w:before="157" w:line="399"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（4）最高投标限价；</w:t>
      </w:r>
    </w:p>
    <w:p w14:paraId="02E381C7">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（5）评标表格；</w:t>
      </w:r>
    </w:p>
    <w:p w14:paraId="3E99AF78">
      <w:pPr>
        <w:spacing w:before="152" w:line="399" w:lineRule="exact"/>
        <w:ind w:right="5"/>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（6）有关的法律、法规、规章、国家标准以及招标人或评标委员会认为必要的其他信</w:t>
      </w:r>
    </w:p>
    <w:p w14:paraId="24B3C007">
      <w:pPr>
        <w:spacing w:before="1" w:line="220" w:lineRule="auto"/>
        <w:ind w:left="2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息和数据。</w:t>
      </w:r>
    </w:p>
    <w:p w14:paraId="16B16DC3">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A2.4 </w:t>
      </w:r>
      <w:r>
        <w:rPr>
          <w:rFonts w:ascii="黑体" w:hAnsi="黑体" w:eastAsia="黑体" w:cs="黑体"/>
          <w:color w:val="auto"/>
          <w:spacing w:val="-1"/>
          <w:sz w:val="21"/>
          <w:szCs w:val="21"/>
          <w:highlight w:val="none"/>
        </w:rPr>
        <w:t>暗标编号</w:t>
      </w:r>
    </w:p>
    <w:p w14:paraId="38E66584">
      <w:pPr>
        <w:spacing w:before="155" w:line="351" w:lineRule="auto"/>
        <w:ind w:left="18" w:right="1"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第二章“投标人须知”前附表第 3.7.4 款要求对技术标采用“模块化暗标”评审方式</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且编制有模块化暗标要求的，则在评标工作开始前，就暗标模块编号与投标人的对应关系</w:t>
      </w:r>
      <w:r>
        <w:rPr>
          <w:rFonts w:ascii="宋体" w:hAnsi="宋体" w:eastAsia="宋体" w:cs="宋体"/>
          <w:color w:val="auto"/>
          <w:sz w:val="21"/>
          <w:szCs w:val="21"/>
          <w:highlight w:val="none"/>
        </w:rPr>
        <w:t xml:space="preserve"> 使用</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A-3</w:t>
      </w:r>
      <w:r>
        <w:rPr>
          <w:rFonts w:ascii="宋体" w:hAnsi="宋体" w:eastAsia="宋体" w:cs="宋体"/>
          <w:color w:val="auto"/>
          <w:sz w:val="21"/>
          <w:szCs w:val="21"/>
          <w:highlight w:val="none"/>
        </w:rPr>
        <w:t xml:space="preserve"> 做好暗标编号记录，暗标模块编号按随机方式编排。在评标委员会技术标成</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员均完成暗标部分评审并对评审结果签字确认和汇总后，招标人方可向评标委员会公</w:t>
      </w:r>
      <w:r>
        <w:rPr>
          <w:rFonts w:ascii="宋体" w:hAnsi="宋体" w:eastAsia="宋体" w:cs="宋体"/>
          <w:color w:val="auto"/>
          <w:spacing w:val="2"/>
          <w:sz w:val="21"/>
          <w:szCs w:val="21"/>
          <w:highlight w:val="none"/>
        </w:rPr>
        <w:t>布暗</w:t>
      </w:r>
    </w:p>
    <w:p w14:paraId="443CA6D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标编号。</w:t>
      </w:r>
    </w:p>
    <w:p w14:paraId="0FE3747C">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A2.5 </w:t>
      </w:r>
      <w:r>
        <w:rPr>
          <w:rFonts w:ascii="黑体" w:hAnsi="黑体" w:eastAsia="黑体" w:cs="黑体"/>
          <w:color w:val="auto"/>
          <w:spacing w:val="-1"/>
          <w:sz w:val="21"/>
          <w:szCs w:val="21"/>
          <w:highlight w:val="none"/>
        </w:rPr>
        <w:t>对投标文件进行基础性数据分析和整理工作</w:t>
      </w:r>
    </w:p>
    <w:p w14:paraId="400A35CC">
      <w:pPr>
        <w:spacing w:before="155" w:line="351" w:lineRule="auto"/>
        <w:ind w:left="18" w:right="1" w:firstLine="416"/>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A2.5.1 在不改变投标人投标文件实质性</w:t>
      </w:r>
      <w:r>
        <w:rPr>
          <w:rFonts w:ascii="宋体" w:hAnsi="宋体" w:eastAsia="宋体" w:cs="宋体"/>
          <w:color w:val="auto"/>
          <w:sz w:val="21"/>
          <w:szCs w:val="21"/>
          <w:highlight w:val="none"/>
        </w:rPr>
        <w:t xml:space="preserve">内容的前提下，评标委员会应当借助计算机辅 </w:t>
      </w:r>
      <w:r>
        <w:rPr>
          <w:rFonts w:ascii="宋体" w:hAnsi="宋体" w:eastAsia="宋体" w:cs="宋体"/>
          <w:color w:val="auto"/>
          <w:spacing w:val="3"/>
          <w:sz w:val="21"/>
          <w:szCs w:val="21"/>
          <w:highlight w:val="none"/>
        </w:rPr>
        <w:t>助评标系统对投标文件进行基础性数据分析和整理，评标委员会对分析成果审</w:t>
      </w:r>
      <w:r>
        <w:rPr>
          <w:rFonts w:ascii="宋体" w:hAnsi="宋体" w:eastAsia="宋体" w:cs="宋体"/>
          <w:color w:val="auto"/>
          <w:spacing w:val="2"/>
          <w:sz w:val="21"/>
          <w:szCs w:val="21"/>
          <w:highlight w:val="none"/>
        </w:rPr>
        <w:t>议后，决定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需要投标人进行书面澄清、说明或补正的，通过电子招标投标系统（辽宁省工程建设项目</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数字化开标评标系统）向投标人发出投标文件澄清通知。《投标</w:t>
      </w:r>
      <w:r>
        <w:rPr>
          <w:rFonts w:ascii="宋体" w:hAnsi="宋体" w:eastAsia="宋体" w:cs="宋体"/>
          <w:color w:val="auto"/>
          <w:spacing w:val="-3"/>
          <w:sz w:val="21"/>
          <w:szCs w:val="21"/>
          <w:highlight w:val="none"/>
        </w:rPr>
        <w:t>文件问题澄清通知》采用投</w:t>
      </w:r>
    </w:p>
    <w:p w14:paraId="7F8A16B3">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标人须知附表六所提供的格式。</w:t>
      </w:r>
    </w:p>
    <w:p w14:paraId="1F0577E9">
      <w:pPr>
        <w:spacing w:before="148" w:line="352" w:lineRule="auto"/>
        <w:ind w:left="19" w:right="2" w:firstLine="41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A2.5.2 投标人接到评标委员会发出的投标文件澄清通知后，</w:t>
      </w:r>
      <w:r>
        <w:rPr>
          <w:rFonts w:ascii="宋体" w:hAnsi="宋体" w:eastAsia="宋体" w:cs="宋体"/>
          <w:color w:val="auto"/>
          <w:spacing w:val="-3"/>
          <w:sz w:val="21"/>
          <w:szCs w:val="21"/>
          <w:highlight w:val="none"/>
        </w:rPr>
        <w:t xml:space="preserve"> </w:t>
      </w:r>
      <w:r>
        <w:rPr>
          <w:rFonts w:ascii="宋体" w:hAnsi="宋体" w:eastAsia="宋体" w:cs="宋体"/>
          <w:color w:val="auto"/>
          <w:spacing w:val="-2"/>
          <w:sz w:val="21"/>
          <w:szCs w:val="21"/>
          <w:highlight w:val="none"/>
        </w:rPr>
        <w:t>应按评标委员会的要求在</w:t>
      </w:r>
      <w:r>
        <w:rPr>
          <w:rFonts w:ascii="宋体" w:hAnsi="宋体" w:eastAsia="宋体" w:cs="宋体"/>
          <w:color w:val="auto"/>
          <w:sz w:val="21"/>
          <w:szCs w:val="21"/>
          <w:highlight w:val="none"/>
        </w:rPr>
        <w:t xml:space="preserve"> 规定的时间内， 通过电子招标投标系统（辽宁省工程建设项目数字化开标评标系统）提交</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投标文件的澄清和相关资料（如有）</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。《投标</w:t>
      </w:r>
      <w:r>
        <w:rPr>
          <w:rFonts w:ascii="宋体" w:hAnsi="宋体" w:eastAsia="宋体" w:cs="宋体"/>
          <w:color w:val="auto"/>
          <w:spacing w:val="-4"/>
          <w:sz w:val="21"/>
          <w:szCs w:val="21"/>
          <w:highlight w:val="none"/>
        </w:rPr>
        <w:t>文件问题的澄清》采用投标人须知附表七所提</w:t>
      </w:r>
    </w:p>
    <w:p w14:paraId="628750C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供的格式。</w:t>
      </w:r>
    </w:p>
    <w:p w14:paraId="18ABEDBD">
      <w:pPr>
        <w:spacing w:line="219" w:lineRule="auto"/>
        <w:rPr>
          <w:rFonts w:ascii="宋体" w:hAnsi="宋体" w:eastAsia="宋体" w:cs="宋体"/>
          <w:color w:val="auto"/>
          <w:sz w:val="21"/>
          <w:szCs w:val="21"/>
          <w:highlight w:val="none"/>
        </w:rPr>
        <w:sectPr>
          <w:footerReference r:id="rId52" w:type="default"/>
          <w:pgSz w:w="11905" w:h="16839"/>
          <w:pgMar w:top="1431" w:right="1785" w:bottom="996" w:left="1785" w:header="0" w:footer="791" w:gutter="0"/>
          <w:pgNumType w:fmt="decimal"/>
          <w:cols w:space="720" w:num="1"/>
        </w:sectPr>
      </w:pPr>
    </w:p>
    <w:p w14:paraId="04CCF555">
      <w:pPr>
        <w:spacing w:before="124" w:line="423" w:lineRule="exact"/>
        <w:ind w:left="11"/>
        <w:rPr>
          <w:rFonts w:ascii="黑体" w:hAnsi="黑体" w:eastAsia="黑体" w:cs="黑体"/>
          <w:color w:val="auto"/>
          <w:sz w:val="24"/>
          <w:szCs w:val="24"/>
          <w:highlight w:val="none"/>
        </w:rPr>
      </w:pPr>
      <w:bookmarkStart w:id="132" w:name="bookmark160"/>
      <w:bookmarkEnd w:id="132"/>
      <w:r>
        <w:rPr>
          <w:rFonts w:ascii="Times New Roman" w:hAnsi="Times New Roman" w:eastAsia="Times New Roman" w:cs="Times New Roman"/>
          <w:color w:val="auto"/>
          <w:position w:val="13"/>
          <w:sz w:val="24"/>
          <w:szCs w:val="24"/>
          <w:highlight w:val="none"/>
        </w:rPr>
        <w:t>A3.</w:t>
      </w:r>
      <w:r>
        <w:rPr>
          <w:rFonts w:ascii="黑体" w:hAnsi="黑体" w:eastAsia="黑体" w:cs="黑体"/>
          <w:color w:val="auto"/>
          <w:position w:val="13"/>
          <w:sz w:val="24"/>
          <w:szCs w:val="24"/>
          <w:highlight w:val="none"/>
        </w:rPr>
        <w:t>初步评审</w:t>
      </w:r>
    </w:p>
    <w:p w14:paraId="445989D6">
      <w:pPr>
        <w:spacing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A3.1 </w:t>
      </w:r>
      <w:r>
        <w:rPr>
          <w:rFonts w:ascii="黑体" w:hAnsi="黑体" w:eastAsia="黑体" w:cs="黑体"/>
          <w:color w:val="auto"/>
          <w:spacing w:val="-1"/>
          <w:sz w:val="21"/>
          <w:szCs w:val="21"/>
          <w:highlight w:val="none"/>
        </w:rPr>
        <w:t>形式评审</w:t>
      </w:r>
    </w:p>
    <w:p w14:paraId="714667BD">
      <w:pPr>
        <w:spacing w:before="153"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评标委员会根据评标办法前附表中规定的评审因素和评审标准， 对投标人的投标文件</w:t>
      </w:r>
    </w:p>
    <w:p w14:paraId="67C841EA">
      <w:pPr>
        <w:spacing w:line="219"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进行形式评审，并使用</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A-4</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记录评审结果。</w:t>
      </w:r>
    </w:p>
    <w:p w14:paraId="2D85B661">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A3.2 </w:t>
      </w:r>
      <w:r>
        <w:rPr>
          <w:rFonts w:ascii="黑体" w:hAnsi="黑体" w:eastAsia="黑体" w:cs="黑体"/>
          <w:color w:val="auto"/>
          <w:spacing w:val="-1"/>
          <w:sz w:val="21"/>
          <w:szCs w:val="21"/>
          <w:highlight w:val="none"/>
        </w:rPr>
        <w:t>资格评审</w:t>
      </w:r>
    </w:p>
    <w:p w14:paraId="69FFA919">
      <w:pPr>
        <w:spacing w:before="154" w:line="398"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评标委员会根据评标办法前附表中规定的评审因素和评审标准， 对投标人的投标文件</w:t>
      </w:r>
    </w:p>
    <w:p w14:paraId="689C9129">
      <w:pPr>
        <w:spacing w:before="1" w:line="219"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进行资格评审，并使用</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A-5</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记录评审结果。</w:t>
      </w:r>
    </w:p>
    <w:p w14:paraId="60A31FD0">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A3.3 </w:t>
      </w:r>
      <w:r>
        <w:rPr>
          <w:rFonts w:ascii="黑体" w:hAnsi="黑体" w:eastAsia="黑体" w:cs="黑体"/>
          <w:color w:val="auto"/>
          <w:spacing w:val="-1"/>
          <w:sz w:val="21"/>
          <w:szCs w:val="21"/>
          <w:highlight w:val="none"/>
        </w:rPr>
        <w:t>响应性评审</w:t>
      </w:r>
    </w:p>
    <w:p w14:paraId="4BBE265E">
      <w:pPr>
        <w:spacing w:before="154" w:line="398" w:lineRule="exact"/>
        <w:ind w:right="4"/>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A3.3.1 评标委员会根据评标办法前附表中规定的评审因素和评审标准，对投标人的投</w:t>
      </w:r>
    </w:p>
    <w:p w14:paraId="06EAB685">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标文件进行响应性评审，并使用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5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A-6</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记</w:t>
      </w:r>
      <w:r>
        <w:rPr>
          <w:rFonts w:ascii="宋体" w:hAnsi="宋体" w:eastAsia="宋体" w:cs="宋体"/>
          <w:color w:val="auto"/>
          <w:spacing w:val="-2"/>
          <w:sz w:val="21"/>
          <w:szCs w:val="21"/>
          <w:highlight w:val="none"/>
        </w:rPr>
        <w:t>录评审结果。</w:t>
      </w:r>
    </w:p>
    <w:p w14:paraId="5671A3F8">
      <w:pPr>
        <w:spacing w:before="148" w:line="352" w:lineRule="auto"/>
        <w:ind w:left="22" w:right="2" w:firstLine="41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A3.3.2 投标人投标价格不得超出（</w:t>
      </w:r>
      <w:r>
        <w:rPr>
          <w:rFonts w:ascii="宋体" w:hAnsi="宋体" w:eastAsia="宋体" w:cs="宋体"/>
          <w:color w:val="auto"/>
          <w:sz w:val="21"/>
          <w:szCs w:val="21"/>
          <w:highlight w:val="none"/>
        </w:rPr>
        <w:t xml:space="preserve">不含等于）按照第二章“投标人须知”前附表载明 </w:t>
      </w:r>
      <w:r>
        <w:rPr>
          <w:rFonts w:ascii="宋体" w:hAnsi="宋体" w:eastAsia="宋体" w:cs="宋体"/>
          <w:color w:val="auto"/>
          <w:spacing w:val="3"/>
          <w:sz w:val="21"/>
          <w:szCs w:val="21"/>
          <w:highlight w:val="none"/>
        </w:rPr>
        <w:t>的最高投标限价（投标人投标价格是指投标函中的大写报价或经投标人</w:t>
      </w:r>
      <w:r>
        <w:rPr>
          <w:rFonts w:ascii="宋体" w:hAnsi="宋体" w:eastAsia="宋体" w:cs="宋体"/>
          <w:color w:val="auto"/>
          <w:spacing w:val="2"/>
          <w:sz w:val="21"/>
          <w:szCs w:val="21"/>
          <w:highlight w:val="none"/>
        </w:rPr>
        <w:t>确认的算术错误修</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正后的价格不超过本项目最高投标限价</w:t>
      </w:r>
      <w:r>
        <w:rPr>
          <w:rFonts w:ascii="宋体" w:hAnsi="宋体" w:eastAsia="宋体" w:cs="宋体"/>
          <w:color w:val="auto"/>
          <w:spacing w:val="-14"/>
          <w:sz w:val="21"/>
          <w:szCs w:val="21"/>
          <w:highlight w:val="none"/>
        </w:rPr>
        <w:t>），</w:t>
      </w:r>
      <w:r>
        <w:rPr>
          <w:rFonts w:ascii="宋体" w:hAnsi="宋体" w:eastAsia="宋体" w:cs="宋体"/>
          <w:color w:val="auto"/>
          <w:spacing w:val="-6"/>
          <w:sz w:val="21"/>
          <w:szCs w:val="21"/>
          <w:highlight w:val="none"/>
        </w:rPr>
        <w:t>凡投标人的投标价格超出最高投标限价的，</w:t>
      </w:r>
      <w:r>
        <w:rPr>
          <w:rFonts w:ascii="宋体" w:hAnsi="宋体" w:eastAsia="宋体" w:cs="宋体"/>
          <w:color w:val="auto"/>
          <w:spacing w:val="55"/>
          <w:sz w:val="21"/>
          <w:szCs w:val="21"/>
          <w:highlight w:val="none"/>
        </w:rPr>
        <w:t xml:space="preserve"> </w:t>
      </w:r>
      <w:r>
        <w:rPr>
          <w:rFonts w:ascii="宋体" w:hAnsi="宋体" w:eastAsia="宋体" w:cs="宋体"/>
          <w:color w:val="auto"/>
          <w:spacing w:val="-6"/>
          <w:sz w:val="21"/>
          <w:szCs w:val="21"/>
          <w:highlight w:val="none"/>
        </w:rPr>
        <w:t>该投</w:t>
      </w:r>
    </w:p>
    <w:p w14:paraId="37981EE1">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标人的投标文件不能通过响应性评审。</w:t>
      </w:r>
    </w:p>
    <w:p w14:paraId="4A35D366">
      <w:pPr>
        <w:spacing w:before="152"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A3.4 </w:t>
      </w:r>
      <w:r>
        <w:rPr>
          <w:rFonts w:ascii="黑体" w:hAnsi="黑体" w:eastAsia="黑体" w:cs="黑体"/>
          <w:color w:val="auto"/>
          <w:spacing w:val="-1"/>
          <w:sz w:val="21"/>
          <w:szCs w:val="21"/>
          <w:highlight w:val="none"/>
        </w:rPr>
        <w:t>算术错误修正</w:t>
      </w:r>
    </w:p>
    <w:p w14:paraId="7DF58514">
      <w:pPr>
        <w:spacing w:before="148" w:line="353" w:lineRule="auto"/>
        <w:ind w:left="35" w:right="6" w:firstLine="404"/>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评标委员会依据本章中规定的相关原则对投标报价中存在的算术错误进行修正， 修正</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的价格经投标人书面确认后具有约束力。投标人不接受修正价格的，或者修正后的投标价</w:t>
      </w:r>
    </w:p>
    <w:p w14:paraId="4039ACDC">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格超过最高投标限价的（如有</w:t>
      </w:r>
      <w:r>
        <w:rPr>
          <w:rFonts w:ascii="宋体" w:hAnsi="宋体" w:eastAsia="宋体" w:cs="宋体"/>
          <w:color w:val="auto"/>
          <w:spacing w:val="-12"/>
          <w:sz w:val="21"/>
          <w:szCs w:val="21"/>
          <w:highlight w:val="none"/>
        </w:rPr>
        <w:t>），</w:t>
      </w:r>
      <w:r>
        <w:rPr>
          <w:rFonts w:ascii="宋体" w:hAnsi="宋体" w:eastAsia="宋体" w:cs="宋体"/>
          <w:color w:val="auto"/>
          <w:spacing w:val="-4"/>
          <w:sz w:val="21"/>
          <w:szCs w:val="21"/>
          <w:highlight w:val="none"/>
        </w:rPr>
        <w:t>其投标应当被否决。</w:t>
      </w:r>
    </w:p>
    <w:p w14:paraId="0BDA7978">
      <w:pPr>
        <w:spacing w:before="149"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A3.5 </w:t>
      </w:r>
      <w:r>
        <w:rPr>
          <w:rFonts w:ascii="黑体" w:hAnsi="黑体" w:eastAsia="黑体" w:cs="黑体"/>
          <w:color w:val="auto"/>
          <w:spacing w:val="-1"/>
          <w:sz w:val="21"/>
          <w:szCs w:val="21"/>
          <w:highlight w:val="none"/>
        </w:rPr>
        <w:t>判断投标报价是否低于成本</w:t>
      </w:r>
    </w:p>
    <w:p w14:paraId="2A29D69C">
      <w:pPr>
        <w:spacing w:before="147" w:line="353" w:lineRule="auto"/>
        <w:ind w:left="21" w:right="2" w:firstLine="419"/>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根据本章第 3.1.4 项的规定， 评标委员会根据评审程序、标准和方</w:t>
      </w:r>
      <w:r>
        <w:rPr>
          <w:rFonts w:ascii="宋体" w:hAnsi="宋体" w:eastAsia="宋体" w:cs="宋体"/>
          <w:color w:val="auto"/>
          <w:spacing w:val="-3"/>
          <w:sz w:val="21"/>
          <w:szCs w:val="21"/>
          <w:highlight w:val="none"/>
        </w:rPr>
        <w:t>法，判断投标报价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是否低于其成本。评标委员会认定投标人以低于成本竞标的，其投标</w:t>
      </w:r>
      <w:r>
        <w:rPr>
          <w:rFonts w:ascii="宋体" w:hAnsi="宋体" w:eastAsia="宋体" w:cs="宋体"/>
          <w:color w:val="auto"/>
          <w:spacing w:val="2"/>
          <w:sz w:val="21"/>
          <w:szCs w:val="21"/>
          <w:highlight w:val="none"/>
        </w:rPr>
        <w:t>应当被否决。并使用</w:t>
      </w:r>
    </w:p>
    <w:p w14:paraId="1B74D876">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6"/>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C-1</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记录评审结果</w:t>
      </w:r>
    </w:p>
    <w:p w14:paraId="73532E83">
      <w:pPr>
        <w:spacing w:before="148" w:line="221"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A3.6 </w:t>
      </w:r>
      <w:r>
        <w:rPr>
          <w:rFonts w:ascii="黑体" w:hAnsi="黑体" w:eastAsia="黑体" w:cs="黑体"/>
          <w:color w:val="auto"/>
          <w:sz w:val="21"/>
          <w:szCs w:val="21"/>
          <w:highlight w:val="none"/>
        </w:rPr>
        <w:t>判断投标是否为应当被否决</w:t>
      </w:r>
    </w:p>
    <w:p w14:paraId="53F384FD">
      <w:pPr>
        <w:spacing w:before="152" w:line="399" w:lineRule="exact"/>
        <w:ind w:right="1"/>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A3.6.1判断投标人的投标是否应当被否决的全部条件（包括本章第3.1</w:t>
      </w:r>
      <w:r>
        <w:rPr>
          <w:rFonts w:ascii="宋体" w:hAnsi="宋体" w:eastAsia="宋体" w:cs="宋体"/>
          <w:color w:val="auto"/>
          <w:spacing w:val="2"/>
          <w:position w:val="14"/>
          <w:sz w:val="21"/>
          <w:szCs w:val="21"/>
          <w:highlight w:val="none"/>
        </w:rPr>
        <w:t>.2项、第3.1.3</w:t>
      </w:r>
    </w:p>
    <w:p w14:paraId="2D825185">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项中规定的条件</w:t>
      </w:r>
      <w:r>
        <w:rPr>
          <w:rFonts w:ascii="宋体" w:hAnsi="宋体" w:eastAsia="宋体" w:cs="宋体"/>
          <w:color w:val="auto"/>
          <w:spacing w:val="-53"/>
          <w:sz w:val="21"/>
          <w:szCs w:val="21"/>
          <w:highlight w:val="none"/>
        </w:rPr>
        <w:t>），</w:t>
      </w:r>
      <w:r>
        <w:rPr>
          <w:rFonts w:ascii="宋体" w:hAnsi="宋体" w:eastAsia="宋体" w:cs="宋体"/>
          <w:color w:val="auto"/>
          <w:spacing w:val="-1"/>
          <w:sz w:val="21"/>
          <w:szCs w:val="21"/>
          <w:highlight w:val="none"/>
        </w:rPr>
        <w:t>在本章前附表中集中列示。并使用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9"/>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A-9</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记录评审结果。</w:t>
      </w:r>
    </w:p>
    <w:p w14:paraId="47A07119">
      <w:pPr>
        <w:spacing w:before="149" w:line="352" w:lineRule="auto"/>
        <w:ind w:left="34" w:right="3" w:firstLine="39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A3.6.2</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本章</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集中列示的否决投标的条件不应与第二章“投标人须知”和本章前</w:t>
      </w:r>
      <w:r>
        <w:rPr>
          <w:rFonts w:ascii="宋体" w:hAnsi="宋体" w:eastAsia="宋体" w:cs="宋体"/>
          <w:color w:val="auto"/>
          <w:sz w:val="21"/>
          <w:szCs w:val="21"/>
          <w:highlight w:val="none"/>
        </w:rPr>
        <w:t xml:space="preserve"> 附表和正文部分包括的否决投标的条件抵触， 如果出现相互矛盾的情况，</w:t>
      </w:r>
      <w:r>
        <w:rPr>
          <w:rFonts w:ascii="宋体" w:hAnsi="宋体" w:eastAsia="宋体" w:cs="宋体"/>
          <w:color w:val="auto"/>
          <w:spacing w:val="-1"/>
          <w:sz w:val="21"/>
          <w:szCs w:val="21"/>
          <w:highlight w:val="none"/>
        </w:rPr>
        <w:t>以本章前附表和</w:t>
      </w:r>
    </w:p>
    <w:p w14:paraId="79B768C1">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正文部分的规定为准。</w:t>
      </w:r>
    </w:p>
    <w:p w14:paraId="625C9F40">
      <w:pPr>
        <w:spacing w:before="147" w:line="404" w:lineRule="exact"/>
        <w:ind w:right="2"/>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A3.6.3 评标委员会在评标（包括初步</w:t>
      </w:r>
      <w:r>
        <w:rPr>
          <w:rFonts w:ascii="宋体" w:hAnsi="宋体" w:eastAsia="宋体" w:cs="宋体"/>
          <w:color w:val="auto"/>
          <w:position w:val="14"/>
          <w:sz w:val="21"/>
          <w:szCs w:val="21"/>
          <w:highlight w:val="none"/>
        </w:rPr>
        <w:t>评审和详细评审）过程中，依据本章前附表和正</w:t>
      </w:r>
    </w:p>
    <w:p w14:paraId="37FDA6D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文部分中规定的否决投标的条件判断投标人的投标是否为应当被否决。</w:t>
      </w:r>
    </w:p>
    <w:p w14:paraId="2A265696">
      <w:pPr>
        <w:spacing w:before="147"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A3.7 </w:t>
      </w:r>
      <w:r>
        <w:rPr>
          <w:rFonts w:ascii="黑体" w:hAnsi="黑体" w:eastAsia="黑体" w:cs="黑体"/>
          <w:color w:val="auto"/>
          <w:sz w:val="21"/>
          <w:szCs w:val="21"/>
          <w:highlight w:val="none"/>
        </w:rPr>
        <w:t>澄清、说明或补正</w:t>
      </w:r>
    </w:p>
    <w:p w14:paraId="0852354A">
      <w:pPr>
        <w:spacing w:before="150" w:line="352" w:lineRule="auto"/>
        <w:ind w:left="18" w:right="3"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在初步评审过程中，评标委员会应当就投标文件中含义不明确、对同类问题表述不一</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致或者有明显文字和计算错误的内容要求投标人进行澄清、说明或者补正。投标人</w:t>
      </w:r>
      <w:r>
        <w:rPr>
          <w:rFonts w:ascii="宋体" w:hAnsi="宋体" w:eastAsia="宋体" w:cs="宋体"/>
          <w:color w:val="auto"/>
          <w:spacing w:val="2"/>
          <w:sz w:val="21"/>
          <w:szCs w:val="21"/>
          <w:highlight w:val="none"/>
        </w:rPr>
        <w:t>对此以</w:t>
      </w:r>
    </w:p>
    <w:p w14:paraId="3E5DD42F">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书面形式予以澄清、说明或者补正。澄清、说明或补正根据本章第</w:t>
      </w:r>
      <w:r>
        <w:rPr>
          <w:rFonts w:ascii="宋体" w:hAnsi="宋体" w:eastAsia="宋体" w:cs="宋体"/>
          <w:color w:val="auto"/>
          <w:spacing w:val="-22"/>
          <w:sz w:val="21"/>
          <w:szCs w:val="21"/>
          <w:highlight w:val="none"/>
        </w:rPr>
        <w:t xml:space="preserve"> </w:t>
      </w:r>
      <w:r>
        <w:rPr>
          <w:rFonts w:ascii="宋体" w:hAnsi="宋体" w:eastAsia="宋体" w:cs="宋体"/>
          <w:color w:val="auto"/>
          <w:spacing w:val="-5"/>
          <w:sz w:val="21"/>
          <w:szCs w:val="21"/>
          <w:highlight w:val="none"/>
        </w:rPr>
        <w:t>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款的规定执行。</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《投</w:t>
      </w:r>
    </w:p>
    <w:p w14:paraId="6DDE63F7">
      <w:pPr>
        <w:spacing w:line="219" w:lineRule="auto"/>
        <w:rPr>
          <w:rFonts w:ascii="宋体" w:hAnsi="宋体" w:eastAsia="宋体" w:cs="宋体"/>
          <w:color w:val="auto"/>
          <w:sz w:val="21"/>
          <w:szCs w:val="21"/>
          <w:highlight w:val="none"/>
        </w:rPr>
        <w:sectPr>
          <w:footerReference r:id="rId53" w:type="default"/>
          <w:pgSz w:w="11905" w:h="16839"/>
          <w:pgMar w:top="1431" w:right="1785" w:bottom="992" w:left="1785" w:header="0" w:footer="791" w:gutter="0"/>
          <w:pgNumType w:fmt="decimal"/>
          <w:cols w:space="720" w:num="1"/>
        </w:sectPr>
      </w:pPr>
    </w:p>
    <w:p w14:paraId="4D24101A">
      <w:pPr>
        <w:spacing w:before="150" w:line="352" w:lineRule="auto"/>
        <w:ind w:left="17" w:firstLine="1"/>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标文件问题澄清通知》</w:t>
      </w:r>
      <w:r>
        <w:rPr>
          <w:rFonts w:ascii="宋体" w:hAnsi="宋体" w:eastAsia="宋体" w:cs="宋体"/>
          <w:color w:val="auto"/>
          <w:spacing w:val="-30"/>
          <w:sz w:val="21"/>
          <w:szCs w:val="21"/>
          <w:highlight w:val="none"/>
        </w:rPr>
        <w:t xml:space="preserve"> </w:t>
      </w:r>
      <w:r>
        <w:rPr>
          <w:rFonts w:ascii="宋体" w:hAnsi="宋体" w:eastAsia="宋体" w:cs="宋体"/>
          <w:color w:val="auto"/>
          <w:spacing w:val="1"/>
          <w:sz w:val="21"/>
          <w:szCs w:val="21"/>
          <w:highlight w:val="none"/>
        </w:rPr>
        <w:t>及《投标文件问题的澄清》采用投标人须知附表六与投标人须知附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表七所提供的格式，并通过电子招标投标系统（辽</w:t>
      </w:r>
      <w:r>
        <w:rPr>
          <w:rFonts w:ascii="宋体" w:hAnsi="宋体" w:eastAsia="宋体" w:cs="宋体"/>
          <w:color w:val="auto"/>
          <w:spacing w:val="2"/>
          <w:sz w:val="21"/>
          <w:szCs w:val="21"/>
          <w:highlight w:val="none"/>
        </w:rPr>
        <w:t>宁省工程建设项目数字化开标评标系统）</w:t>
      </w:r>
    </w:p>
    <w:p w14:paraId="2FEF441B">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以书面形式进行。</w:t>
      </w:r>
    </w:p>
    <w:p w14:paraId="53E763B5">
      <w:pPr>
        <w:spacing w:before="123"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A4.</w:t>
      </w:r>
      <w:r>
        <w:rPr>
          <w:rFonts w:ascii="黑体" w:hAnsi="黑体" w:eastAsia="黑体" w:cs="黑体"/>
          <w:color w:val="auto"/>
          <w:sz w:val="24"/>
          <w:szCs w:val="24"/>
          <w:highlight w:val="none"/>
        </w:rPr>
        <w:t>详细评审</w:t>
      </w:r>
    </w:p>
    <w:p w14:paraId="357FE0AF">
      <w:pPr>
        <w:spacing w:before="138" w:line="403"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只有通过了初步评审、被判定为合格的投标方可进入详细评审。初步评审通过后</w:t>
      </w:r>
      <w:r>
        <w:rPr>
          <w:rFonts w:ascii="宋体" w:hAnsi="宋体" w:eastAsia="宋体" w:cs="宋体"/>
          <w:color w:val="auto"/>
          <w:spacing w:val="2"/>
          <w:position w:val="14"/>
          <w:sz w:val="21"/>
          <w:szCs w:val="21"/>
          <w:highlight w:val="none"/>
        </w:rPr>
        <w:t>，使</w:t>
      </w:r>
    </w:p>
    <w:p w14:paraId="7C50CE6F">
      <w:pPr>
        <w:spacing w:before="1" w:line="219" w:lineRule="auto"/>
        <w:ind w:left="20"/>
        <w:rPr>
          <w:rFonts w:ascii="黑体" w:hAnsi="黑体" w:eastAsia="黑体" w:cs="黑体"/>
          <w:color w:val="auto"/>
          <w:sz w:val="21"/>
          <w:szCs w:val="21"/>
          <w:highlight w:val="none"/>
        </w:rPr>
      </w:pPr>
      <w:r>
        <w:rPr>
          <w:rFonts w:ascii="宋体" w:hAnsi="宋体" w:eastAsia="宋体" w:cs="宋体"/>
          <w:color w:val="auto"/>
          <w:spacing w:val="-1"/>
          <w:sz w:val="21"/>
          <w:szCs w:val="21"/>
          <w:highlight w:val="none"/>
        </w:rPr>
        <w:t>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A-8</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记录初步评审结果</w:t>
      </w:r>
      <w:r>
        <w:rPr>
          <w:rFonts w:ascii="黑体" w:hAnsi="黑体" w:eastAsia="黑体" w:cs="黑体"/>
          <w:color w:val="auto"/>
          <w:spacing w:val="-1"/>
          <w:sz w:val="21"/>
          <w:szCs w:val="21"/>
          <w:highlight w:val="none"/>
        </w:rPr>
        <w:t>。</w:t>
      </w:r>
    </w:p>
    <w:p w14:paraId="232E7648">
      <w:pPr>
        <w:spacing w:before="149"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A4.1 </w:t>
      </w:r>
      <w:r>
        <w:rPr>
          <w:rFonts w:ascii="黑体" w:hAnsi="黑体" w:eastAsia="黑体" w:cs="黑体"/>
          <w:color w:val="auto"/>
          <w:spacing w:val="-1"/>
          <w:sz w:val="21"/>
          <w:szCs w:val="21"/>
          <w:highlight w:val="none"/>
        </w:rPr>
        <w:t>详细评审的程序</w:t>
      </w:r>
    </w:p>
    <w:p w14:paraId="0EE1546D">
      <w:pPr>
        <w:spacing w:before="148" w:line="403" w:lineRule="exact"/>
        <w:ind w:left="44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评标委员会按照本章第</w:t>
      </w:r>
      <w:r>
        <w:rPr>
          <w:rFonts w:ascii="宋体" w:hAnsi="宋体" w:eastAsia="宋体" w:cs="宋体"/>
          <w:color w:val="auto"/>
          <w:spacing w:val="-39"/>
          <w:position w:val="14"/>
          <w:sz w:val="21"/>
          <w:szCs w:val="21"/>
          <w:highlight w:val="none"/>
        </w:rPr>
        <w:t xml:space="preserve"> </w:t>
      </w:r>
      <w:r>
        <w:rPr>
          <w:rFonts w:ascii="宋体" w:hAnsi="宋体" w:eastAsia="宋体" w:cs="宋体"/>
          <w:color w:val="auto"/>
          <w:spacing w:val="-2"/>
          <w:position w:val="14"/>
          <w:sz w:val="21"/>
          <w:szCs w:val="21"/>
          <w:highlight w:val="none"/>
        </w:rPr>
        <w:t>3.2</w:t>
      </w:r>
      <w:r>
        <w:rPr>
          <w:rFonts w:ascii="宋体" w:hAnsi="宋体" w:eastAsia="宋体" w:cs="宋体"/>
          <w:color w:val="auto"/>
          <w:spacing w:val="-43"/>
          <w:position w:val="14"/>
          <w:sz w:val="21"/>
          <w:szCs w:val="21"/>
          <w:highlight w:val="none"/>
        </w:rPr>
        <w:t xml:space="preserve"> </w:t>
      </w:r>
      <w:r>
        <w:rPr>
          <w:rFonts w:ascii="宋体" w:hAnsi="宋体" w:eastAsia="宋体" w:cs="宋体"/>
          <w:color w:val="auto"/>
          <w:spacing w:val="-2"/>
          <w:position w:val="14"/>
          <w:sz w:val="21"/>
          <w:szCs w:val="21"/>
          <w:highlight w:val="none"/>
        </w:rPr>
        <w:t>款中规定的程序</w:t>
      </w:r>
      <w:r>
        <w:rPr>
          <w:rFonts w:ascii="宋体" w:hAnsi="宋体" w:eastAsia="宋体" w:cs="宋体"/>
          <w:color w:val="auto"/>
          <w:spacing w:val="-3"/>
          <w:position w:val="14"/>
          <w:sz w:val="21"/>
          <w:szCs w:val="21"/>
          <w:highlight w:val="none"/>
        </w:rPr>
        <w:t>进行详细评审：</w:t>
      </w:r>
    </w:p>
    <w:p w14:paraId="0E824F2D">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（1）经济标评审和评分；</w:t>
      </w:r>
    </w:p>
    <w:p w14:paraId="06546E39">
      <w:pPr>
        <w:spacing w:before="146"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（2）技术标评审和评分；</w:t>
      </w:r>
    </w:p>
    <w:p w14:paraId="69D3A2D7">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（3）资信标评审和评分；</w:t>
      </w:r>
    </w:p>
    <w:p w14:paraId="5F437B6F">
      <w:pPr>
        <w:spacing w:before="152" w:line="399"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（4）其他因素评审和评分；</w:t>
      </w:r>
    </w:p>
    <w:p w14:paraId="6FC2C6B2">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（5）汇总评分结果。</w:t>
      </w:r>
    </w:p>
    <w:p w14:paraId="584E77DC">
      <w:pPr>
        <w:spacing w:before="146"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A4.2 </w:t>
      </w:r>
      <w:r>
        <w:rPr>
          <w:rFonts w:ascii="黑体" w:hAnsi="黑体" w:eastAsia="黑体" w:cs="黑体"/>
          <w:color w:val="auto"/>
          <w:spacing w:val="-1"/>
          <w:sz w:val="21"/>
          <w:szCs w:val="21"/>
          <w:highlight w:val="none"/>
        </w:rPr>
        <w:t>经济标评审和评分</w:t>
      </w:r>
    </w:p>
    <w:p w14:paraId="7B692844">
      <w:pPr>
        <w:spacing w:before="153" w:line="399" w:lineRule="exact"/>
        <w:ind w:left="43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A4.2.1</w:t>
      </w:r>
      <w:r>
        <w:rPr>
          <w:rFonts w:ascii="宋体" w:hAnsi="宋体" w:eastAsia="宋体" w:cs="宋体"/>
          <w:color w:val="auto"/>
          <w:spacing w:val="-42"/>
          <w:position w:val="14"/>
          <w:sz w:val="21"/>
          <w:szCs w:val="21"/>
          <w:highlight w:val="none"/>
        </w:rPr>
        <w:t xml:space="preserve"> </w:t>
      </w:r>
      <w:r>
        <w:rPr>
          <w:rFonts w:ascii="宋体" w:hAnsi="宋体" w:eastAsia="宋体" w:cs="宋体"/>
          <w:color w:val="auto"/>
          <w:position w:val="14"/>
          <w:sz w:val="21"/>
          <w:szCs w:val="21"/>
          <w:highlight w:val="none"/>
        </w:rPr>
        <w:t>按照评标办法前附表中规定的方法计算</w:t>
      </w:r>
      <w:r>
        <w:rPr>
          <w:rFonts w:ascii="宋体" w:hAnsi="宋体" w:eastAsia="宋体" w:cs="宋体"/>
          <w:color w:val="auto"/>
          <w:spacing w:val="-1"/>
          <w:position w:val="14"/>
          <w:sz w:val="21"/>
          <w:szCs w:val="21"/>
          <w:highlight w:val="none"/>
        </w:rPr>
        <w:t>各投标人的“评标价”。</w:t>
      </w:r>
    </w:p>
    <w:p w14:paraId="35B09A5D">
      <w:pPr>
        <w:spacing w:line="219" w:lineRule="auto"/>
        <w:ind w:left="434"/>
        <w:rPr>
          <w:rFonts w:ascii="宋体" w:hAnsi="宋体" w:eastAsia="宋体" w:cs="宋体"/>
          <w:color w:val="auto"/>
          <w:sz w:val="21"/>
          <w:szCs w:val="21"/>
          <w:highlight w:val="none"/>
        </w:rPr>
      </w:pPr>
      <w:r>
        <w:rPr>
          <w:rFonts w:ascii="宋体" w:hAnsi="宋体" w:eastAsia="宋体" w:cs="宋体"/>
          <w:color w:val="auto"/>
          <w:sz w:val="21"/>
          <w:szCs w:val="21"/>
          <w:highlight w:val="none"/>
        </w:rPr>
        <w:t>A4.2.2</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rPr>
        <w:t>按照评标办法前附表中规定的方法计</w:t>
      </w:r>
      <w:r>
        <w:rPr>
          <w:rFonts w:ascii="宋体" w:hAnsi="宋体" w:eastAsia="宋体" w:cs="宋体"/>
          <w:color w:val="auto"/>
          <w:spacing w:val="-1"/>
          <w:sz w:val="21"/>
          <w:szCs w:val="21"/>
          <w:highlight w:val="none"/>
        </w:rPr>
        <w:t>算“评标基准价”。</w:t>
      </w:r>
    </w:p>
    <w:p w14:paraId="1EB08CD1">
      <w:pPr>
        <w:spacing w:before="149" w:line="404" w:lineRule="exact"/>
        <w:ind w:left="43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A4.2.3 按照评标办法前附表中规定</w:t>
      </w:r>
      <w:r>
        <w:rPr>
          <w:rFonts w:ascii="宋体" w:hAnsi="宋体" w:eastAsia="宋体" w:cs="宋体"/>
          <w:color w:val="auto"/>
          <w:position w:val="14"/>
          <w:sz w:val="21"/>
          <w:szCs w:val="21"/>
          <w:highlight w:val="none"/>
        </w:rPr>
        <w:t>的方法，计算各个已通过了初步评审的投标报价的</w:t>
      </w:r>
    </w:p>
    <w:p w14:paraId="68B03447">
      <w:pPr>
        <w:spacing w:line="220"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“偏差率”。</w:t>
      </w:r>
    </w:p>
    <w:p w14:paraId="4C857282">
      <w:pPr>
        <w:spacing w:before="148" w:line="398"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A4.2.4 按照评标办法前附表中规定的评分标准</w:t>
      </w:r>
      <w:r>
        <w:rPr>
          <w:rFonts w:ascii="宋体" w:hAnsi="宋体" w:eastAsia="宋体" w:cs="宋体"/>
          <w:color w:val="auto"/>
          <w:spacing w:val="-4"/>
          <w:position w:val="14"/>
          <w:sz w:val="21"/>
          <w:szCs w:val="21"/>
          <w:highlight w:val="none"/>
        </w:rPr>
        <w:t>，对照投标报价的偏差率，</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4"/>
          <w:position w:val="14"/>
          <w:sz w:val="21"/>
          <w:szCs w:val="21"/>
          <w:highlight w:val="none"/>
        </w:rPr>
        <w:t>分别对各个</w:t>
      </w:r>
    </w:p>
    <w:p w14:paraId="6DB8F305">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投标报价进行评分， 使用</w:t>
      </w:r>
      <w:r>
        <w:rPr>
          <w:rFonts w:ascii="宋体" w:hAnsi="宋体" w:eastAsia="宋体" w:cs="宋体"/>
          <w:color w:val="auto"/>
          <w:spacing w:val="-7"/>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7"/>
          <w:sz w:val="21"/>
          <w:szCs w:val="21"/>
          <w:highlight w:val="none"/>
          <w14:textOutline w14:w="3831" w14:cap="flat" w14:cmpd="sng">
            <w14:solidFill>
              <w14:srgbClr w14:val="000000"/>
            </w14:solidFill>
            <w14:prstDash w14:val="solid"/>
            <w14:miter w14:val="0"/>
          </w14:textOutline>
        </w:rPr>
        <w:t>A-10</w:t>
      </w:r>
      <w:r>
        <w:rPr>
          <w:rFonts w:ascii="宋体" w:hAnsi="宋体" w:eastAsia="宋体" w:cs="宋体"/>
          <w:color w:val="auto"/>
          <w:spacing w:val="-40"/>
          <w:sz w:val="21"/>
          <w:szCs w:val="21"/>
          <w:highlight w:val="none"/>
        </w:rPr>
        <w:t xml:space="preserve"> </w:t>
      </w:r>
      <w:r>
        <w:rPr>
          <w:rFonts w:ascii="宋体" w:hAnsi="宋体" w:eastAsia="宋体" w:cs="宋体"/>
          <w:color w:val="auto"/>
          <w:spacing w:val="-7"/>
          <w:sz w:val="21"/>
          <w:szCs w:val="21"/>
          <w:highlight w:val="none"/>
        </w:rPr>
        <w:t>记录对经济标的评分结果，</w:t>
      </w:r>
      <w:r>
        <w:rPr>
          <w:rFonts w:ascii="宋体" w:hAnsi="宋体" w:eastAsia="宋体" w:cs="宋体"/>
          <w:color w:val="auto"/>
          <w:spacing w:val="53"/>
          <w:sz w:val="21"/>
          <w:szCs w:val="21"/>
          <w:highlight w:val="none"/>
        </w:rPr>
        <w:t xml:space="preserve"> </w:t>
      </w:r>
      <w:r>
        <w:rPr>
          <w:rFonts w:ascii="宋体" w:hAnsi="宋体" w:eastAsia="宋体" w:cs="宋体"/>
          <w:color w:val="auto"/>
          <w:spacing w:val="-7"/>
          <w:sz w:val="21"/>
          <w:szCs w:val="21"/>
          <w:highlight w:val="none"/>
        </w:rPr>
        <w:t>经济标的得分记录为</w:t>
      </w:r>
      <w:r>
        <w:rPr>
          <w:rFonts w:ascii="宋体" w:hAnsi="宋体" w:eastAsia="宋体" w:cs="宋体"/>
          <w:color w:val="auto"/>
          <w:spacing w:val="-53"/>
          <w:sz w:val="21"/>
          <w:szCs w:val="21"/>
          <w:highlight w:val="none"/>
        </w:rPr>
        <w:t xml:space="preserve"> </w:t>
      </w:r>
      <w:r>
        <w:rPr>
          <w:rFonts w:ascii="宋体" w:hAnsi="宋体" w:eastAsia="宋体" w:cs="宋体"/>
          <w:color w:val="auto"/>
          <w:spacing w:val="-7"/>
          <w:sz w:val="21"/>
          <w:szCs w:val="21"/>
          <w:highlight w:val="none"/>
          <w14:textOutline w14:w="3831" w14:cap="flat" w14:cmpd="sng">
            <w14:solidFill>
              <w14:srgbClr w14:val="000000"/>
            </w14:solidFill>
            <w14:prstDash w14:val="solid"/>
            <w14:miter w14:val="0"/>
          </w14:textOutline>
        </w:rPr>
        <w:t>A</w:t>
      </w:r>
      <w:r>
        <w:rPr>
          <w:rFonts w:ascii="宋体" w:hAnsi="宋体" w:eastAsia="宋体" w:cs="宋体"/>
          <w:color w:val="auto"/>
          <w:spacing w:val="-7"/>
          <w:sz w:val="21"/>
          <w:szCs w:val="21"/>
          <w:highlight w:val="none"/>
        </w:rPr>
        <w:t>。</w:t>
      </w:r>
    </w:p>
    <w:p w14:paraId="5D08D7C0">
      <w:pPr>
        <w:spacing w:before="154"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A4.3 </w:t>
      </w:r>
      <w:r>
        <w:rPr>
          <w:rFonts w:ascii="黑体" w:hAnsi="黑体" w:eastAsia="黑体" w:cs="黑体"/>
          <w:color w:val="auto"/>
          <w:sz w:val="21"/>
          <w:szCs w:val="21"/>
          <w:highlight w:val="none"/>
        </w:rPr>
        <w:t>技术标评审和评分</w:t>
      </w:r>
    </w:p>
    <w:p w14:paraId="1957FC1C">
      <w:pPr>
        <w:spacing w:before="149" w:line="398"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按照评标办法前附表中规定的分值设定、各项评分因素、评分标准， 对施工组织设计</w:t>
      </w:r>
    </w:p>
    <w:p w14:paraId="47C99401">
      <w:pPr>
        <w:spacing w:before="1" w:line="219" w:lineRule="auto"/>
        <w:ind w:left="1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进行评审和评分，并使用</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50"/>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A-11</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记录对技术标的</w:t>
      </w:r>
      <w:r>
        <w:rPr>
          <w:rFonts w:ascii="宋体" w:hAnsi="宋体" w:eastAsia="宋体" w:cs="宋体"/>
          <w:color w:val="auto"/>
          <w:spacing w:val="-5"/>
          <w:sz w:val="21"/>
          <w:szCs w:val="21"/>
          <w:highlight w:val="none"/>
        </w:rPr>
        <w:t>评分结果，</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技术标的得分记录为</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color w:val="auto"/>
          <w:spacing w:val="-5"/>
          <w:sz w:val="21"/>
          <w:szCs w:val="21"/>
          <w:highlight w:val="none"/>
        </w:rPr>
        <w:t>。</w:t>
      </w:r>
    </w:p>
    <w:p w14:paraId="6EE52673">
      <w:pPr>
        <w:spacing w:before="153"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A4.4 </w:t>
      </w:r>
      <w:r>
        <w:rPr>
          <w:rFonts w:ascii="黑体" w:hAnsi="黑体" w:eastAsia="黑体" w:cs="黑体"/>
          <w:color w:val="auto"/>
          <w:spacing w:val="-1"/>
          <w:sz w:val="21"/>
          <w:szCs w:val="21"/>
          <w:highlight w:val="none"/>
        </w:rPr>
        <w:t>资信标评审和评分</w:t>
      </w:r>
    </w:p>
    <w:p w14:paraId="661B35CC">
      <w:pPr>
        <w:spacing w:before="147" w:line="353" w:lineRule="auto"/>
        <w:ind w:left="18" w:right="194"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按照评标办法前附表中规定的分值设定、各项评分因素、评分标准， 对企业业绩、资</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信和项目管理机构等进行评审和评分， 并使用</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A-13</w:t>
      </w:r>
      <w:r>
        <w:rPr>
          <w:rFonts w:ascii="宋体" w:hAnsi="宋体" w:eastAsia="宋体" w:cs="宋体"/>
          <w:color w:val="auto"/>
          <w:spacing w:val="-35"/>
          <w:sz w:val="21"/>
          <w:szCs w:val="21"/>
          <w:highlight w:val="none"/>
        </w:rPr>
        <w:t xml:space="preserve"> </w:t>
      </w:r>
      <w:r>
        <w:rPr>
          <w:rFonts w:ascii="宋体" w:hAnsi="宋体" w:eastAsia="宋体" w:cs="宋体"/>
          <w:color w:val="auto"/>
          <w:spacing w:val="-5"/>
          <w:sz w:val="21"/>
          <w:szCs w:val="21"/>
          <w:highlight w:val="none"/>
        </w:rPr>
        <w:t>记录对资信标的评分</w:t>
      </w:r>
      <w:r>
        <w:rPr>
          <w:rFonts w:ascii="宋体" w:hAnsi="宋体" w:eastAsia="宋体" w:cs="宋体"/>
          <w:color w:val="auto"/>
          <w:spacing w:val="-6"/>
          <w:sz w:val="21"/>
          <w:szCs w:val="21"/>
          <w:highlight w:val="none"/>
        </w:rPr>
        <w:t>结果， 资信标</w:t>
      </w:r>
    </w:p>
    <w:p w14:paraId="4C649029">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的得分记录为</w:t>
      </w:r>
      <w:r>
        <w:rPr>
          <w:rFonts w:ascii="宋体" w:hAnsi="宋体" w:eastAsia="宋体" w:cs="宋体"/>
          <w:color w:val="auto"/>
          <w:spacing w:val="-48"/>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C</w:t>
      </w:r>
      <w:r>
        <w:rPr>
          <w:rFonts w:ascii="宋体" w:hAnsi="宋体" w:eastAsia="宋体" w:cs="宋体"/>
          <w:color w:val="auto"/>
          <w:spacing w:val="-4"/>
          <w:sz w:val="21"/>
          <w:szCs w:val="21"/>
          <w:highlight w:val="none"/>
        </w:rPr>
        <w:t>。</w:t>
      </w:r>
    </w:p>
    <w:p w14:paraId="0AA9741F">
      <w:pPr>
        <w:spacing w:before="147"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A4.5 </w:t>
      </w:r>
      <w:r>
        <w:rPr>
          <w:rFonts w:ascii="黑体" w:hAnsi="黑体" w:eastAsia="黑体" w:cs="黑体"/>
          <w:color w:val="auto"/>
          <w:sz w:val="21"/>
          <w:szCs w:val="21"/>
          <w:highlight w:val="none"/>
        </w:rPr>
        <w:t>其他因素的评审和评分</w:t>
      </w:r>
    </w:p>
    <w:p w14:paraId="3C0D3DF4">
      <w:pPr>
        <w:spacing w:before="148" w:line="353" w:lineRule="auto"/>
        <w:ind w:left="20" w:right="190"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根据评标办法前附表中规定的分值设定、各项评分因素和相应的评分标准， 对其他因</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素（如果有）进行评审和评分，并使用</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A-14</w:t>
      </w:r>
      <w:r>
        <w:rPr>
          <w:rFonts w:ascii="宋体" w:hAnsi="宋体" w:eastAsia="宋体" w:cs="宋体"/>
          <w:color w:val="auto"/>
          <w:spacing w:val="-36"/>
          <w:sz w:val="21"/>
          <w:szCs w:val="21"/>
          <w:highlight w:val="none"/>
        </w:rPr>
        <w:t xml:space="preserve"> </w:t>
      </w:r>
      <w:r>
        <w:rPr>
          <w:rFonts w:ascii="宋体" w:hAnsi="宋体" w:eastAsia="宋体" w:cs="宋体"/>
          <w:color w:val="auto"/>
          <w:sz w:val="21"/>
          <w:szCs w:val="21"/>
          <w:highlight w:val="none"/>
        </w:rPr>
        <w:t>记录对其他因素</w:t>
      </w:r>
      <w:r>
        <w:rPr>
          <w:rFonts w:ascii="宋体" w:hAnsi="宋体" w:eastAsia="宋体" w:cs="宋体"/>
          <w:color w:val="auto"/>
          <w:spacing w:val="-1"/>
          <w:sz w:val="21"/>
          <w:szCs w:val="21"/>
          <w:highlight w:val="none"/>
        </w:rPr>
        <w:t>的评分结果，其他因素的</w:t>
      </w:r>
    </w:p>
    <w:p w14:paraId="4A98C065">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得分记录为</w:t>
      </w:r>
      <w:r>
        <w:rPr>
          <w:rFonts w:ascii="宋体" w:hAnsi="宋体" w:eastAsia="宋体" w:cs="宋体"/>
          <w:color w:val="auto"/>
          <w:spacing w:val="-53"/>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D</w:t>
      </w:r>
      <w:r>
        <w:rPr>
          <w:rFonts w:ascii="宋体" w:hAnsi="宋体" w:eastAsia="宋体" w:cs="宋体"/>
          <w:color w:val="auto"/>
          <w:spacing w:val="-1"/>
          <w:sz w:val="21"/>
          <w:szCs w:val="21"/>
          <w:highlight w:val="none"/>
        </w:rPr>
        <w:t>。</w:t>
      </w:r>
    </w:p>
    <w:p w14:paraId="11889E9B">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A4.6 </w:t>
      </w:r>
      <w:r>
        <w:rPr>
          <w:rFonts w:ascii="黑体" w:hAnsi="黑体" w:eastAsia="黑体" w:cs="黑体"/>
          <w:color w:val="auto"/>
          <w:sz w:val="21"/>
          <w:szCs w:val="21"/>
          <w:highlight w:val="none"/>
        </w:rPr>
        <w:t>澄清、说明或补正</w:t>
      </w:r>
    </w:p>
    <w:p w14:paraId="77EFF333">
      <w:pPr>
        <w:spacing w:before="154" w:line="398" w:lineRule="exact"/>
        <w:ind w:left="44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在详细评审过程中，评标委员会应当就投标文件中含义不明确、对同类问题表述不一</w:t>
      </w:r>
    </w:p>
    <w:p w14:paraId="2420B467">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致或者有明显文字和计算错误的内容要求投标人进行澄清、说明或者补正。投标人</w:t>
      </w:r>
      <w:r>
        <w:rPr>
          <w:rFonts w:ascii="宋体" w:hAnsi="宋体" w:eastAsia="宋体" w:cs="宋体"/>
          <w:color w:val="auto"/>
          <w:spacing w:val="2"/>
          <w:sz w:val="21"/>
          <w:szCs w:val="21"/>
          <w:highlight w:val="none"/>
        </w:rPr>
        <w:t>对此以</w:t>
      </w:r>
    </w:p>
    <w:p w14:paraId="3EAD67A7">
      <w:pPr>
        <w:spacing w:line="220" w:lineRule="auto"/>
        <w:rPr>
          <w:rFonts w:ascii="宋体" w:hAnsi="宋体" w:eastAsia="宋体" w:cs="宋体"/>
          <w:color w:val="auto"/>
          <w:sz w:val="21"/>
          <w:szCs w:val="21"/>
          <w:highlight w:val="none"/>
        </w:rPr>
        <w:sectPr>
          <w:footerReference r:id="rId54" w:type="default"/>
          <w:pgSz w:w="11905" w:h="16839"/>
          <w:pgMar w:top="1431" w:right="1597" w:bottom="996" w:left="1785" w:header="0" w:footer="791" w:gutter="0"/>
          <w:pgNumType w:fmt="decimal"/>
          <w:cols w:space="720" w:num="1"/>
        </w:sectPr>
      </w:pPr>
    </w:p>
    <w:p w14:paraId="181A20B8">
      <w:pPr>
        <w:spacing w:before="148" w:line="352" w:lineRule="auto"/>
        <w:ind w:left="17" w:firstLine="5"/>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书面形式予以澄清、说明或者补正。澄清、说明或补正根据本章第</w:t>
      </w:r>
      <w:r>
        <w:rPr>
          <w:rFonts w:ascii="宋体" w:hAnsi="宋体" w:eastAsia="宋体" w:cs="宋体"/>
          <w:color w:val="auto"/>
          <w:spacing w:val="-22"/>
          <w:sz w:val="21"/>
          <w:szCs w:val="21"/>
          <w:highlight w:val="none"/>
        </w:rPr>
        <w:t xml:space="preserve"> </w:t>
      </w:r>
      <w:r>
        <w:rPr>
          <w:rFonts w:ascii="宋体" w:hAnsi="宋体" w:eastAsia="宋体" w:cs="宋体"/>
          <w:color w:val="auto"/>
          <w:spacing w:val="-5"/>
          <w:sz w:val="21"/>
          <w:szCs w:val="21"/>
          <w:highlight w:val="none"/>
        </w:rPr>
        <w:t>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款的规定执行。</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标文件问题澄清通知》</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及《投标文件问题的澄清》采用投标人须知附表六与投标人须知附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表七所提供的格式，并通过电子招标投标系统</w:t>
      </w:r>
      <w:r>
        <w:rPr>
          <w:rFonts w:ascii="宋体" w:hAnsi="宋体" w:eastAsia="宋体" w:cs="宋体"/>
          <w:color w:val="auto"/>
          <w:spacing w:val="2"/>
          <w:sz w:val="21"/>
          <w:szCs w:val="21"/>
          <w:highlight w:val="none"/>
        </w:rPr>
        <w:t>（辽宁省工程建设项目数字化开标评标系统）</w:t>
      </w:r>
    </w:p>
    <w:p w14:paraId="7D8FD903">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以书面形式进行。</w:t>
      </w:r>
    </w:p>
    <w:p w14:paraId="3CC8CF40">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A4.7 </w:t>
      </w:r>
      <w:r>
        <w:rPr>
          <w:rFonts w:ascii="黑体" w:hAnsi="黑体" w:eastAsia="黑体" w:cs="黑体"/>
          <w:color w:val="auto"/>
          <w:spacing w:val="-1"/>
          <w:sz w:val="21"/>
          <w:szCs w:val="21"/>
          <w:highlight w:val="none"/>
        </w:rPr>
        <w:t>汇总评分（评审）结果</w:t>
      </w:r>
    </w:p>
    <w:p w14:paraId="6B358E1A">
      <w:pPr>
        <w:spacing w:before="153" w:line="398" w:lineRule="exact"/>
        <w:ind w:right="9"/>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评标委员会成员应按照</w:t>
      </w:r>
      <w:r>
        <w:rPr>
          <w:rFonts w:ascii="宋体" w:hAnsi="宋体" w:eastAsia="宋体" w:cs="宋体"/>
          <w:color w:val="auto"/>
          <w:spacing w:val="-2"/>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position w:val="14"/>
          <w:sz w:val="21"/>
          <w:szCs w:val="21"/>
          <w:highlight w:val="none"/>
        </w:rPr>
        <w:t xml:space="preserve"> </w:t>
      </w:r>
      <w:r>
        <w:rPr>
          <w:rFonts w:ascii="宋体" w:hAnsi="宋体" w:eastAsia="宋体" w:cs="宋体"/>
          <w:color w:val="auto"/>
          <w:spacing w:val="-2"/>
          <w:position w:val="14"/>
          <w:sz w:val="21"/>
          <w:szCs w:val="21"/>
          <w:highlight w:val="none"/>
          <w14:textOutline w14:w="3831" w14:cap="flat" w14:cmpd="sng">
            <w14:solidFill>
              <w14:srgbClr w14:val="000000"/>
            </w14:solidFill>
            <w14:prstDash w14:val="solid"/>
            <w14:miter w14:val="0"/>
          </w14:textOutline>
        </w:rPr>
        <w:t>A-15</w:t>
      </w:r>
      <w:r>
        <w:rPr>
          <w:rFonts w:ascii="宋体" w:hAnsi="宋体" w:eastAsia="宋体" w:cs="宋体"/>
          <w:color w:val="auto"/>
          <w:spacing w:val="-2"/>
          <w:position w:val="14"/>
          <w:sz w:val="21"/>
          <w:szCs w:val="21"/>
          <w:highlight w:val="none"/>
        </w:rPr>
        <w:t xml:space="preserve"> 的格式汇总各个评标委员会成员的详细评审评分结果，</w:t>
      </w:r>
    </w:p>
    <w:p w14:paraId="66835E85">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并按照详细评审最终得分由高至低的次序对</w:t>
      </w:r>
      <w:r>
        <w:rPr>
          <w:rFonts w:ascii="宋体" w:hAnsi="宋体" w:eastAsia="宋体" w:cs="宋体"/>
          <w:color w:val="auto"/>
          <w:spacing w:val="-2"/>
          <w:sz w:val="21"/>
          <w:szCs w:val="21"/>
          <w:highlight w:val="none"/>
        </w:rPr>
        <w:t>投标人进行排序。</w:t>
      </w:r>
    </w:p>
    <w:p w14:paraId="1EBA25FB">
      <w:pPr>
        <w:spacing w:before="123" w:line="428" w:lineRule="exact"/>
        <w:ind w:left="11"/>
        <w:rPr>
          <w:rFonts w:ascii="黑体" w:hAnsi="黑体" w:eastAsia="黑体" w:cs="黑体"/>
          <w:color w:val="auto"/>
          <w:sz w:val="24"/>
          <w:szCs w:val="24"/>
          <w:highlight w:val="none"/>
        </w:rPr>
      </w:pPr>
      <w:r>
        <w:rPr>
          <w:rFonts w:ascii="Times New Roman" w:hAnsi="Times New Roman" w:eastAsia="Times New Roman" w:cs="Times New Roman"/>
          <w:color w:val="auto"/>
          <w:position w:val="14"/>
          <w:sz w:val="24"/>
          <w:szCs w:val="24"/>
          <w:highlight w:val="none"/>
        </w:rPr>
        <w:t>A5.</w:t>
      </w:r>
      <w:r>
        <w:rPr>
          <w:rFonts w:ascii="黑体" w:hAnsi="黑体" w:eastAsia="黑体" w:cs="黑体"/>
          <w:color w:val="auto"/>
          <w:position w:val="14"/>
          <w:sz w:val="24"/>
          <w:szCs w:val="24"/>
          <w:highlight w:val="none"/>
        </w:rPr>
        <w:t>推荐中标候选人或者直接确定中标人</w:t>
      </w:r>
    </w:p>
    <w:p w14:paraId="45D84F47">
      <w:pPr>
        <w:spacing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A5.1 </w:t>
      </w:r>
      <w:r>
        <w:rPr>
          <w:rFonts w:ascii="黑体" w:hAnsi="黑体" w:eastAsia="黑体" w:cs="黑体"/>
          <w:color w:val="auto"/>
          <w:spacing w:val="-1"/>
          <w:sz w:val="21"/>
          <w:szCs w:val="21"/>
          <w:highlight w:val="none"/>
        </w:rPr>
        <w:t>推荐中标候选人</w:t>
      </w:r>
    </w:p>
    <w:p w14:paraId="43F33BAD">
      <w:pPr>
        <w:spacing w:before="149" w:line="352" w:lineRule="auto"/>
        <w:ind w:left="21" w:right="85" w:firstLine="4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A5.1.1 评标委员会按照本章评标办法前附表规定的推荐方法和第二章“投标人须知”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前附表第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7.1 </w:t>
      </w:r>
      <w:r>
        <w:rPr>
          <w:rFonts w:ascii="宋体" w:hAnsi="宋体" w:eastAsia="宋体" w:cs="宋体"/>
          <w:color w:val="auto"/>
          <w:spacing w:val="-3"/>
          <w:sz w:val="21"/>
          <w:szCs w:val="21"/>
          <w:highlight w:val="none"/>
        </w:rPr>
        <w:t>款推荐的中标候选人数量，按照</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1"/>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A-17</w:t>
      </w:r>
      <w:r>
        <w:rPr>
          <w:rFonts w:ascii="宋体" w:hAnsi="宋体" w:eastAsia="宋体" w:cs="宋体"/>
          <w:color w:val="auto"/>
          <w:spacing w:val="-20"/>
          <w:sz w:val="21"/>
          <w:szCs w:val="21"/>
          <w:highlight w:val="none"/>
        </w:rPr>
        <w:t xml:space="preserve"> </w:t>
      </w:r>
      <w:r>
        <w:rPr>
          <w:rFonts w:ascii="宋体" w:hAnsi="宋体" w:eastAsia="宋体" w:cs="宋体"/>
          <w:color w:val="auto"/>
          <w:spacing w:val="-3"/>
          <w:sz w:val="21"/>
          <w:szCs w:val="21"/>
          <w:highlight w:val="none"/>
        </w:rPr>
        <w:t>格式推荐中标候选人。 评标委员会</w:t>
      </w:r>
    </w:p>
    <w:p w14:paraId="32919C22">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在推荐中标候选人时，应遵照以下原则:</w:t>
      </w:r>
    </w:p>
    <w:p w14:paraId="37A3A0FE">
      <w:pPr>
        <w:spacing w:before="149" w:line="352" w:lineRule="auto"/>
        <w:ind w:left="28" w:right="192"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（1）评标委员会按照本章评标办法前附表规定的方法推荐中标候选人。招标文件允许</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多标段投标、多标段中标的， 各标段中标候选人的推荐按规定执行，对某些标段</w:t>
      </w:r>
      <w:r>
        <w:rPr>
          <w:rFonts w:ascii="宋体" w:hAnsi="宋体" w:eastAsia="宋体" w:cs="宋体"/>
          <w:color w:val="auto"/>
          <w:spacing w:val="-1"/>
          <w:sz w:val="21"/>
          <w:szCs w:val="21"/>
          <w:highlight w:val="none"/>
        </w:rPr>
        <w:t>由此产生</w:t>
      </w:r>
    </w:p>
    <w:p w14:paraId="40142DC0">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的空缺由排序在后的投标人依次替补。</w:t>
      </w:r>
    </w:p>
    <w:p w14:paraId="2C02A575">
      <w:pPr>
        <w:spacing w:before="148" w:line="352" w:lineRule="auto"/>
        <w:ind w:left="19" w:right="195"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（2）如果评标委员会根据本章的规定否决有关投标后，有效投标不足三个，且少于第 二章“投标人须知”前附表第 7.1 款规定的中标候选人数量的，则评标委员会可以将所有</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有效投标人作为中标候选人向招标人推荐。如果因有效投标不足三个使得投标明显</w:t>
      </w:r>
      <w:r>
        <w:rPr>
          <w:rFonts w:ascii="宋体" w:hAnsi="宋体" w:eastAsia="宋体" w:cs="宋体"/>
          <w:color w:val="auto"/>
          <w:spacing w:val="2"/>
          <w:sz w:val="21"/>
          <w:szCs w:val="21"/>
          <w:highlight w:val="none"/>
        </w:rPr>
        <w:t>缺乏竞</w:t>
      </w:r>
    </w:p>
    <w:p w14:paraId="53896A0A">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争的，评标委员会可以否决所有投标， 并建议招标人重新招标。</w:t>
      </w:r>
    </w:p>
    <w:p w14:paraId="06B96CAA">
      <w:pPr>
        <w:spacing w:before="148" w:line="404"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A5.1.2</w:t>
      </w:r>
      <w:r>
        <w:rPr>
          <w:rFonts w:ascii="宋体" w:hAnsi="宋体" w:eastAsia="宋体" w:cs="宋体"/>
          <w:color w:val="auto"/>
          <w:spacing w:val="-38"/>
          <w:position w:val="14"/>
          <w:sz w:val="21"/>
          <w:szCs w:val="21"/>
          <w:highlight w:val="none"/>
        </w:rPr>
        <w:t xml:space="preserve"> </w:t>
      </w:r>
      <w:r>
        <w:rPr>
          <w:rFonts w:ascii="宋体" w:hAnsi="宋体" w:eastAsia="宋体" w:cs="宋体"/>
          <w:color w:val="auto"/>
          <w:spacing w:val="-3"/>
          <w:position w:val="14"/>
          <w:sz w:val="21"/>
          <w:szCs w:val="21"/>
          <w:highlight w:val="none"/>
        </w:rPr>
        <w:t>投标人数量少于三个或者所有投标被否决的，</w:t>
      </w:r>
      <w:r>
        <w:rPr>
          <w:rFonts w:ascii="宋体" w:hAnsi="宋体" w:eastAsia="宋体" w:cs="宋体"/>
          <w:color w:val="auto"/>
          <w:spacing w:val="-26"/>
          <w:position w:val="14"/>
          <w:sz w:val="21"/>
          <w:szCs w:val="21"/>
          <w:highlight w:val="none"/>
        </w:rPr>
        <w:t xml:space="preserve"> </w:t>
      </w:r>
      <w:r>
        <w:rPr>
          <w:rFonts w:ascii="宋体" w:hAnsi="宋体" w:eastAsia="宋体" w:cs="宋体"/>
          <w:color w:val="auto"/>
          <w:spacing w:val="-3"/>
          <w:position w:val="14"/>
          <w:sz w:val="21"/>
          <w:szCs w:val="21"/>
          <w:highlight w:val="none"/>
        </w:rPr>
        <w:t>招标人应当依法重新招标。</w:t>
      </w:r>
    </w:p>
    <w:p w14:paraId="195DC860">
      <w:pPr>
        <w:spacing w:before="1"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A5.2 </w:t>
      </w:r>
      <w:r>
        <w:rPr>
          <w:rFonts w:ascii="黑体" w:hAnsi="黑体" w:eastAsia="黑体" w:cs="黑体"/>
          <w:color w:val="auto"/>
          <w:spacing w:val="-1"/>
          <w:sz w:val="21"/>
          <w:szCs w:val="21"/>
          <w:highlight w:val="none"/>
        </w:rPr>
        <w:t>直接确定中标人</w:t>
      </w:r>
    </w:p>
    <w:p w14:paraId="434AF9C6">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第二章“投标人须知”前附表授权评标委员会直接确定中标人的，评标委员会按照最</w:t>
      </w:r>
    </w:p>
    <w:p w14:paraId="1AE10058">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终得分由高至低的次序排列。</w:t>
      </w:r>
    </w:p>
    <w:p w14:paraId="2B86A576">
      <w:pPr>
        <w:spacing w:before="152"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A5.3 </w:t>
      </w:r>
      <w:r>
        <w:rPr>
          <w:rFonts w:ascii="黑体" w:hAnsi="黑体" w:eastAsia="黑体" w:cs="黑体"/>
          <w:color w:val="auto"/>
          <w:spacing w:val="-1"/>
          <w:sz w:val="21"/>
          <w:szCs w:val="21"/>
          <w:highlight w:val="none"/>
        </w:rPr>
        <w:t>编制评标报告</w:t>
      </w:r>
    </w:p>
    <w:p w14:paraId="17D1888C">
      <w:pPr>
        <w:spacing w:before="149" w:line="353" w:lineRule="auto"/>
        <w:ind w:left="17" w:right="189"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评标委员会根据本章第 3.4.2 项的规定向招标人提交评标报告。评标报告应当由全体</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评标委员会成员签字， 并于评标结束时抄送有关行政监督部门。评标报告应当包括以下内</w:t>
      </w:r>
    </w:p>
    <w:p w14:paraId="65229740">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容：</w:t>
      </w:r>
    </w:p>
    <w:p w14:paraId="6ABAF7C2">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（1）基本情况和数据表；</w:t>
      </w:r>
    </w:p>
    <w:p w14:paraId="15E858D8">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（2）评标委员会成员名单；</w:t>
      </w:r>
    </w:p>
    <w:p w14:paraId="55DE7BCB">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（3）开标记录；</w:t>
      </w:r>
    </w:p>
    <w:p w14:paraId="01EA303C">
      <w:pPr>
        <w:spacing w:before="146" w:line="399"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（4）通过初步评审的投标人一览表；</w:t>
      </w:r>
    </w:p>
    <w:p w14:paraId="27B80389">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（5）被否决投标的情况说明；</w:t>
      </w:r>
    </w:p>
    <w:p w14:paraId="02A61523">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（6）评标标准、评标方法或者评标因素一览表；</w:t>
      </w:r>
    </w:p>
    <w:p w14:paraId="78435048">
      <w:pPr>
        <w:spacing w:before="148"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（7）经评审的价格一览表（包括评标委员会在评标过程中所形成的所有记载评标结果、</w:t>
      </w:r>
    </w:p>
    <w:p w14:paraId="312C34F8">
      <w:pPr>
        <w:spacing w:line="219" w:lineRule="auto"/>
        <w:rPr>
          <w:rFonts w:ascii="宋体" w:hAnsi="宋体" w:eastAsia="宋体" w:cs="宋体"/>
          <w:color w:val="auto"/>
          <w:sz w:val="21"/>
          <w:szCs w:val="21"/>
          <w:highlight w:val="none"/>
        </w:rPr>
        <w:sectPr>
          <w:footerReference r:id="rId55" w:type="default"/>
          <w:pgSz w:w="11905" w:h="16839"/>
          <w:pgMar w:top="1431" w:right="1598" w:bottom="992" w:left="1785" w:header="0" w:footer="791" w:gutter="0"/>
          <w:pgNumType w:fmt="decimal"/>
          <w:cols w:space="720" w:num="1"/>
        </w:sectPr>
      </w:pPr>
    </w:p>
    <w:p w14:paraId="2EEE1B52">
      <w:pPr>
        <w:spacing w:before="149" w:line="398" w:lineRule="exact"/>
        <w:ind w:left="23"/>
        <w:rPr>
          <w:rFonts w:ascii="宋体" w:hAnsi="宋体" w:eastAsia="宋体" w:cs="宋体"/>
          <w:color w:val="auto"/>
          <w:sz w:val="21"/>
          <w:szCs w:val="21"/>
          <w:highlight w:val="none"/>
        </w:rPr>
      </w:pPr>
      <w:bookmarkStart w:id="133" w:name="bookmark163"/>
      <w:bookmarkEnd w:id="133"/>
      <w:bookmarkStart w:id="134" w:name="bookmark165"/>
      <w:bookmarkEnd w:id="134"/>
      <w:bookmarkStart w:id="135" w:name="bookmark161"/>
      <w:bookmarkEnd w:id="135"/>
      <w:bookmarkStart w:id="136" w:name="bookmark164"/>
      <w:bookmarkEnd w:id="136"/>
      <w:bookmarkStart w:id="137" w:name="bookmark167"/>
      <w:bookmarkEnd w:id="137"/>
      <w:bookmarkStart w:id="138" w:name="bookmark162"/>
      <w:bookmarkEnd w:id="138"/>
      <w:bookmarkStart w:id="139" w:name="bookmark166"/>
      <w:bookmarkEnd w:id="139"/>
      <w:r>
        <w:rPr>
          <w:rFonts w:ascii="宋体" w:hAnsi="宋体" w:eastAsia="宋体" w:cs="宋体"/>
          <w:color w:val="auto"/>
          <w:spacing w:val="-1"/>
          <w:position w:val="14"/>
          <w:sz w:val="21"/>
          <w:szCs w:val="21"/>
          <w:highlight w:val="none"/>
        </w:rPr>
        <w:t>结论的表格、说明、记录等文件</w:t>
      </w:r>
      <w:r>
        <w:rPr>
          <w:rFonts w:ascii="宋体" w:hAnsi="宋体" w:eastAsia="宋体" w:cs="宋体"/>
          <w:color w:val="auto"/>
          <w:spacing w:val="-55"/>
          <w:w w:val="98"/>
          <w:position w:val="14"/>
          <w:sz w:val="21"/>
          <w:szCs w:val="21"/>
          <w:highlight w:val="none"/>
        </w:rPr>
        <w:t>）；</w:t>
      </w:r>
    </w:p>
    <w:p w14:paraId="26522643">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（8）经评审的投标人排序；</w:t>
      </w:r>
    </w:p>
    <w:p w14:paraId="386DB757">
      <w:pPr>
        <w:spacing w:before="151"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（9）推荐的中标候选人名单（如果第二章“投标人须知”前附表授权评标委员会直接</w:t>
      </w:r>
    </w:p>
    <w:p w14:paraId="2762D166">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确定中标人，则为“确定的中标人”）与签订合同前要处理的事宜；</w:t>
      </w:r>
    </w:p>
    <w:p w14:paraId="38F9667C">
      <w:pPr>
        <w:spacing w:before="146" w:line="37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（10）澄清、说明、补正事项纪要。</w:t>
      </w:r>
    </w:p>
    <w:p w14:paraId="35400D59">
      <w:pPr>
        <w:spacing w:before="1" w:line="218"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A6.</w:t>
      </w:r>
      <w:r>
        <w:rPr>
          <w:rFonts w:ascii="黑体" w:hAnsi="黑体" w:eastAsia="黑体" w:cs="黑体"/>
          <w:color w:val="auto"/>
          <w:sz w:val="24"/>
          <w:szCs w:val="24"/>
          <w:highlight w:val="none"/>
        </w:rPr>
        <w:t>特殊情况的处置程序</w:t>
      </w:r>
    </w:p>
    <w:p w14:paraId="57C2BFBF">
      <w:pPr>
        <w:spacing w:before="13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A6.1 </w:t>
      </w:r>
      <w:r>
        <w:rPr>
          <w:rFonts w:ascii="黑体" w:hAnsi="黑体" w:eastAsia="黑体" w:cs="黑体"/>
          <w:color w:val="auto"/>
          <w:sz w:val="21"/>
          <w:szCs w:val="21"/>
          <w:highlight w:val="none"/>
        </w:rPr>
        <w:t>暗标评审的评审程序规定（适用于对技术标进行暗</w:t>
      </w:r>
      <w:r>
        <w:rPr>
          <w:rFonts w:ascii="黑体" w:hAnsi="黑体" w:eastAsia="黑体" w:cs="黑体"/>
          <w:color w:val="auto"/>
          <w:spacing w:val="-1"/>
          <w:sz w:val="21"/>
          <w:szCs w:val="21"/>
          <w:highlight w:val="none"/>
        </w:rPr>
        <w:t>标评审的）</w:t>
      </w:r>
    </w:p>
    <w:p w14:paraId="359664C2">
      <w:pPr>
        <w:spacing w:before="150" w:line="352" w:lineRule="auto"/>
        <w:ind w:left="17" w:right="174" w:firstLine="42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如果第二章“投标人须知”前附表第</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3.7.4 </w:t>
      </w:r>
      <w:r>
        <w:rPr>
          <w:rFonts w:ascii="宋体" w:hAnsi="宋体" w:eastAsia="宋体" w:cs="宋体"/>
          <w:color w:val="auto"/>
          <w:spacing w:val="-3"/>
          <w:sz w:val="21"/>
          <w:szCs w:val="21"/>
          <w:highlight w:val="none"/>
        </w:rPr>
        <w:t>项要求对技术标采用模块化暗标方式， 如果</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技术标是详细评审阶段的评审内容的，则评标委员会需将技术标（暗标）的格式类评审在</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初步评审阶段完成，详细评审阶段发现某个模块存在出现投标人的名称和其它可识别投标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人身份的字符、徽标、人员名称等以及雷同性标记内容，仍可对投标人的投标</w:t>
      </w:r>
      <w:r>
        <w:rPr>
          <w:rFonts w:ascii="宋体" w:hAnsi="宋体" w:eastAsia="宋体" w:cs="宋体"/>
          <w:color w:val="auto"/>
          <w:spacing w:val="2"/>
          <w:sz w:val="21"/>
          <w:szCs w:val="21"/>
          <w:highlight w:val="none"/>
        </w:rPr>
        <w:t>文件进行否</w:t>
      </w:r>
      <w:r>
        <w:rPr>
          <w:rFonts w:ascii="宋体" w:hAnsi="宋体" w:eastAsia="宋体" w:cs="宋体"/>
          <w:color w:val="auto"/>
          <w:sz w:val="21"/>
          <w:szCs w:val="21"/>
          <w:highlight w:val="none"/>
        </w:rPr>
        <w:t xml:space="preserve"> 决，否决任一模块代表着本投标人的投标文件全部被否决。 电子招标投标系统（辽宁省工</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程建设项目数字化开标评标系统）</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应采取措施，在经济标、技术标、资信标、其他因素的</w:t>
      </w:r>
      <w:r>
        <w:rPr>
          <w:rFonts w:ascii="宋体" w:hAnsi="宋体" w:eastAsia="宋体" w:cs="宋体"/>
          <w:color w:val="auto"/>
          <w:sz w:val="21"/>
          <w:szCs w:val="21"/>
          <w:highlight w:val="none"/>
        </w:rPr>
        <w:t xml:space="preserve"> 评审完成后， 再公开相应暗标编号与投标人名称之间的对应关系。初步评审被否决的投标</w:t>
      </w:r>
    </w:p>
    <w:p w14:paraId="02C1363D">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不再进入详细评审阶段。</w:t>
      </w:r>
    </w:p>
    <w:p w14:paraId="3B9B0007">
      <w:pPr>
        <w:spacing w:before="147"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A6.2 </w:t>
      </w:r>
      <w:r>
        <w:rPr>
          <w:rFonts w:ascii="黑体" w:hAnsi="黑体" w:eastAsia="黑体" w:cs="黑体"/>
          <w:color w:val="auto"/>
          <w:spacing w:val="-1"/>
          <w:sz w:val="21"/>
          <w:szCs w:val="21"/>
          <w:highlight w:val="none"/>
        </w:rPr>
        <w:t>关于评标活动暂停</w:t>
      </w:r>
    </w:p>
    <w:p w14:paraId="4539C835">
      <w:pPr>
        <w:spacing w:before="148" w:line="404" w:lineRule="exact"/>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A6.2.1 评标委员会应当执行连续评标的原则，</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4"/>
          <w:position w:val="14"/>
          <w:sz w:val="21"/>
          <w:szCs w:val="21"/>
          <w:highlight w:val="none"/>
        </w:rPr>
        <w:t>按评标办法中规定的程序</w:t>
      </w:r>
      <w:r>
        <w:rPr>
          <w:rFonts w:ascii="宋体" w:hAnsi="宋体" w:eastAsia="宋体" w:cs="宋体"/>
          <w:color w:val="auto"/>
          <w:spacing w:val="-5"/>
          <w:position w:val="14"/>
          <w:sz w:val="21"/>
          <w:szCs w:val="21"/>
          <w:highlight w:val="none"/>
        </w:rPr>
        <w:t>、内容、方法、</w:t>
      </w:r>
    </w:p>
    <w:p w14:paraId="6E3F5696">
      <w:pPr>
        <w:spacing w:line="220"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标准完成全部评标工作。只有发生不可抗力导</w:t>
      </w:r>
      <w:r>
        <w:rPr>
          <w:rFonts w:ascii="宋体" w:hAnsi="宋体" w:eastAsia="宋体" w:cs="宋体"/>
          <w:color w:val="auto"/>
          <w:spacing w:val="-1"/>
          <w:sz w:val="21"/>
          <w:szCs w:val="21"/>
          <w:highlight w:val="none"/>
        </w:rPr>
        <w:t>致评标工作无法继续时， 评标活动方可暂停。</w:t>
      </w:r>
    </w:p>
    <w:p w14:paraId="37F5A038">
      <w:pPr>
        <w:spacing w:before="148" w:line="398"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A6.2.2 发生评标暂停情况时，</w:t>
      </w:r>
      <w:r>
        <w:rPr>
          <w:rFonts w:ascii="宋体" w:hAnsi="宋体" w:eastAsia="宋体" w:cs="宋体"/>
          <w:color w:val="auto"/>
          <w:spacing w:val="51"/>
          <w:position w:val="14"/>
          <w:sz w:val="21"/>
          <w:szCs w:val="21"/>
          <w:highlight w:val="none"/>
        </w:rPr>
        <w:t xml:space="preserve"> </w:t>
      </w:r>
      <w:r>
        <w:rPr>
          <w:rFonts w:ascii="宋体" w:hAnsi="宋体" w:eastAsia="宋体" w:cs="宋体"/>
          <w:color w:val="auto"/>
          <w:spacing w:val="-3"/>
          <w:position w:val="14"/>
          <w:sz w:val="21"/>
          <w:szCs w:val="21"/>
          <w:highlight w:val="none"/>
        </w:rPr>
        <w:t>评标委员会应当封存</w:t>
      </w:r>
      <w:r>
        <w:rPr>
          <w:rFonts w:ascii="宋体" w:hAnsi="宋体" w:eastAsia="宋体" w:cs="宋体"/>
          <w:color w:val="auto"/>
          <w:spacing w:val="-4"/>
          <w:position w:val="14"/>
          <w:sz w:val="21"/>
          <w:szCs w:val="21"/>
          <w:highlight w:val="none"/>
        </w:rPr>
        <w:t>全部投标文件和评标记录，待不可</w:t>
      </w:r>
    </w:p>
    <w:p w14:paraId="3385D71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抗力的影响结束且具备继续评标的条件时，由原评标委员会继续评标。</w:t>
      </w:r>
    </w:p>
    <w:p w14:paraId="39E5F060">
      <w:pPr>
        <w:spacing w:before="154"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A6.3 </w:t>
      </w:r>
      <w:r>
        <w:rPr>
          <w:rFonts w:ascii="黑体" w:hAnsi="黑体" w:eastAsia="黑体" w:cs="黑体"/>
          <w:color w:val="auto"/>
          <w:spacing w:val="-1"/>
          <w:sz w:val="21"/>
          <w:szCs w:val="21"/>
          <w:highlight w:val="none"/>
        </w:rPr>
        <w:t>关于评标中途更换评标委员会成员</w:t>
      </w:r>
    </w:p>
    <w:p w14:paraId="45F4274F">
      <w:pPr>
        <w:spacing w:before="150" w:line="352" w:lineRule="auto"/>
        <w:ind w:left="446" w:right="1482" w:hanging="1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A6.3.1</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除非发生下列情况之一，评标委员会成</w:t>
      </w:r>
      <w:r>
        <w:rPr>
          <w:rFonts w:ascii="宋体" w:hAnsi="宋体" w:eastAsia="宋体" w:cs="宋体"/>
          <w:color w:val="auto"/>
          <w:spacing w:val="-3"/>
          <w:sz w:val="21"/>
          <w:szCs w:val="21"/>
          <w:highlight w:val="none"/>
        </w:rPr>
        <w:t xml:space="preserve">员不得在评标中途更换： </w:t>
      </w:r>
      <w:r>
        <w:rPr>
          <w:rFonts w:ascii="宋体" w:hAnsi="宋体" w:eastAsia="宋体" w:cs="宋体"/>
          <w:color w:val="auto"/>
          <w:spacing w:val="-4"/>
          <w:sz w:val="21"/>
          <w:szCs w:val="21"/>
          <w:highlight w:val="none"/>
        </w:rPr>
        <w:t>（1）因不可抗拒的客观原因， 不能到场</w:t>
      </w:r>
      <w:r>
        <w:rPr>
          <w:rFonts w:ascii="宋体" w:hAnsi="宋体" w:eastAsia="宋体" w:cs="宋体"/>
          <w:color w:val="auto"/>
          <w:spacing w:val="-5"/>
          <w:sz w:val="21"/>
          <w:szCs w:val="21"/>
          <w:highlight w:val="none"/>
        </w:rPr>
        <w:t>或需在评标中途退出评标活动。</w:t>
      </w:r>
    </w:p>
    <w:p w14:paraId="452C02A6">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（2）根据法律法规规定，某个或某几个评标委员会成员需要回避。</w:t>
      </w:r>
    </w:p>
    <w:p w14:paraId="267EE39D">
      <w:pPr>
        <w:spacing w:before="148" w:line="399" w:lineRule="exact"/>
        <w:ind w:left="43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A6.3.2 退出评标的评标委员会成员，</w:t>
      </w:r>
      <w:r>
        <w:rPr>
          <w:rFonts w:ascii="宋体" w:hAnsi="宋体" w:eastAsia="宋体" w:cs="宋体"/>
          <w:color w:val="auto"/>
          <w:position w:val="14"/>
          <w:sz w:val="21"/>
          <w:szCs w:val="21"/>
          <w:highlight w:val="none"/>
        </w:rPr>
        <w:t>其已完成的评标行为无效。由招标人根据本招标</w:t>
      </w:r>
    </w:p>
    <w:p w14:paraId="3E30287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文件规定的评标委员会成员生产方式另行确定替代者进</w:t>
      </w:r>
      <w:r>
        <w:rPr>
          <w:rFonts w:ascii="宋体" w:hAnsi="宋体" w:eastAsia="宋体" w:cs="宋体"/>
          <w:color w:val="auto"/>
          <w:spacing w:val="-2"/>
          <w:sz w:val="21"/>
          <w:szCs w:val="21"/>
          <w:highlight w:val="none"/>
        </w:rPr>
        <w:t>行评标。</w:t>
      </w:r>
    </w:p>
    <w:p w14:paraId="5958DD52">
      <w:pPr>
        <w:spacing w:before="153"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A6.4 </w:t>
      </w:r>
      <w:r>
        <w:rPr>
          <w:rFonts w:ascii="黑体" w:hAnsi="黑体" w:eastAsia="黑体" w:cs="黑体"/>
          <w:color w:val="auto"/>
          <w:sz w:val="21"/>
          <w:szCs w:val="21"/>
          <w:highlight w:val="none"/>
        </w:rPr>
        <w:t>评标争议处理</w:t>
      </w:r>
    </w:p>
    <w:p w14:paraId="0C584CE3">
      <w:pPr>
        <w:spacing w:before="148" w:line="220" w:lineRule="auto"/>
        <w:ind w:left="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A6.4.1</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评标委员会全体成员应独立评审，对所提出的评审意见承担个人责任。</w:t>
      </w:r>
    </w:p>
    <w:p w14:paraId="3EBC01F2">
      <w:pPr>
        <w:spacing w:before="147" w:line="353" w:lineRule="auto"/>
        <w:ind w:left="17" w:right="174" w:firstLine="4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A6.4.2 在任何评标环节中，需评标委</w:t>
      </w:r>
      <w:r>
        <w:rPr>
          <w:rFonts w:ascii="宋体" w:hAnsi="宋体" w:eastAsia="宋体" w:cs="宋体"/>
          <w:color w:val="auto"/>
          <w:sz w:val="21"/>
          <w:szCs w:val="21"/>
          <w:highlight w:val="none"/>
        </w:rPr>
        <w:t xml:space="preserve">员会就某项定性的评审结论做出表决的，由评标 </w:t>
      </w:r>
      <w:r>
        <w:rPr>
          <w:rFonts w:ascii="宋体" w:hAnsi="宋体" w:eastAsia="宋体" w:cs="宋体"/>
          <w:color w:val="auto"/>
          <w:spacing w:val="3"/>
          <w:sz w:val="21"/>
          <w:szCs w:val="21"/>
          <w:highlight w:val="none"/>
        </w:rPr>
        <w:t>委员会全体成员按照少数服从多数的原则，以记名投票方式表决。表决不得违</w:t>
      </w:r>
      <w:r>
        <w:rPr>
          <w:rFonts w:ascii="宋体" w:hAnsi="宋体" w:eastAsia="宋体" w:cs="宋体"/>
          <w:color w:val="auto"/>
          <w:spacing w:val="2"/>
          <w:sz w:val="21"/>
          <w:szCs w:val="21"/>
          <w:highlight w:val="none"/>
        </w:rPr>
        <w:t>背法律、法</w:t>
      </w:r>
    </w:p>
    <w:p w14:paraId="5007A153">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规、规章和招标文件的规定。</w:t>
      </w:r>
    </w:p>
    <w:p w14:paraId="0E717FD0">
      <w:pPr>
        <w:spacing w:before="149" w:line="352" w:lineRule="auto"/>
        <w:ind w:left="19" w:right="173" w:firstLine="4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A6.4.3 评标委员会成员对书面决议或评审结论持有异议的， 可以书面阐述其不同意见</w:t>
      </w:r>
      <w:r>
        <w:rPr>
          <w:rFonts w:ascii="宋体" w:hAnsi="宋体" w:eastAsia="宋体" w:cs="宋体"/>
          <w:color w:val="auto"/>
          <w:sz w:val="21"/>
          <w:szCs w:val="21"/>
          <w:highlight w:val="none"/>
        </w:rPr>
        <w:t xml:space="preserve"> 和理由。拒绝在书面决议或评标报告上签名， 且不陈述其不同意见和理由的，视为同意书</w:t>
      </w:r>
    </w:p>
    <w:p w14:paraId="290A8A56">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面决议或评标结论， 评标委员会应当对此在评标报告中做出书面</w:t>
      </w:r>
      <w:r>
        <w:rPr>
          <w:rFonts w:ascii="宋体" w:hAnsi="宋体" w:eastAsia="宋体" w:cs="宋体"/>
          <w:color w:val="auto"/>
          <w:spacing w:val="-5"/>
          <w:sz w:val="21"/>
          <w:szCs w:val="21"/>
          <w:highlight w:val="none"/>
        </w:rPr>
        <w:t>说明。</w:t>
      </w:r>
    </w:p>
    <w:p w14:paraId="1C5E951B">
      <w:pPr>
        <w:spacing w:line="219" w:lineRule="auto"/>
        <w:rPr>
          <w:rFonts w:ascii="宋体" w:hAnsi="宋体" w:eastAsia="宋体" w:cs="宋体"/>
          <w:color w:val="auto"/>
          <w:sz w:val="21"/>
          <w:szCs w:val="21"/>
          <w:highlight w:val="none"/>
        </w:rPr>
        <w:sectPr>
          <w:footerReference r:id="rId56" w:type="default"/>
          <w:pgSz w:w="11905" w:h="16839"/>
          <w:pgMar w:top="1431" w:right="1613" w:bottom="996" w:left="1785" w:header="0" w:footer="791" w:gutter="0"/>
          <w:pgNumType w:fmt="decimal"/>
          <w:cols w:space="720" w:num="1"/>
        </w:sectPr>
      </w:pPr>
    </w:p>
    <w:p w14:paraId="056EC7A2">
      <w:pPr>
        <w:spacing w:before="123" w:line="220" w:lineRule="auto"/>
        <w:ind w:left="11"/>
        <w:rPr>
          <w:rFonts w:ascii="黑体" w:hAnsi="黑体" w:eastAsia="黑体" w:cs="黑体"/>
          <w:color w:val="auto"/>
          <w:sz w:val="24"/>
          <w:szCs w:val="24"/>
          <w:highlight w:val="none"/>
        </w:rPr>
      </w:pPr>
      <w:bookmarkStart w:id="140" w:name="bookmark170"/>
      <w:bookmarkEnd w:id="140"/>
      <w:bookmarkStart w:id="141" w:name="bookmark168"/>
      <w:bookmarkEnd w:id="141"/>
      <w:bookmarkStart w:id="142" w:name="bookmark169"/>
      <w:bookmarkEnd w:id="142"/>
      <w:r>
        <w:rPr>
          <w:rFonts w:ascii="Times New Roman" w:hAnsi="Times New Roman" w:eastAsia="Times New Roman" w:cs="Times New Roman"/>
          <w:color w:val="auto"/>
          <w:sz w:val="24"/>
          <w:szCs w:val="24"/>
          <w:highlight w:val="none"/>
        </w:rPr>
        <w:t>A7.</w:t>
      </w:r>
      <w:r>
        <w:rPr>
          <w:rFonts w:ascii="黑体" w:hAnsi="黑体" w:eastAsia="黑体" w:cs="黑体"/>
          <w:color w:val="auto"/>
          <w:sz w:val="24"/>
          <w:szCs w:val="24"/>
          <w:highlight w:val="none"/>
        </w:rPr>
        <w:t>补充条款</w:t>
      </w:r>
    </w:p>
    <w:p w14:paraId="4B598FB5">
      <w:pPr>
        <w:pStyle w:val="3"/>
        <w:spacing w:line="257" w:lineRule="auto"/>
        <w:rPr>
          <w:color w:val="auto"/>
          <w:highlight w:val="none"/>
        </w:rPr>
      </w:pPr>
    </w:p>
    <w:p w14:paraId="45871CD9">
      <w:pPr>
        <w:spacing w:line="35" w:lineRule="exact"/>
        <w:ind w:firstLine="454"/>
        <w:rPr>
          <w:color w:val="auto"/>
          <w:highlight w:val="none"/>
        </w:rPr>
      </w:pPr>
      <w:r>
        <w:rPr>
          <w:color w:val="auto"/>
          <w:highlight w:val="none"/>
        </w:rPr>
        <w:drawing>
          <wp:inline distT="0" distB="0" distL="0" distR="0">
            <wp:extent cx="229870"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5"/>
                    <a:stretch>
                      <a:fillRect/>
                    </a:stretch>
                  </pic:blipFill>
                  <pic:spPr>
                    <a:xfrm>
                      <a:off x="0" y="0"/>
                      <a:ext cx="230302" cy="22352"/>
                    </a:xfrm>
                    <a:prstGeom prst="rect">
                      <a:avLst/>
                    </a:prstGeom>
                  </pic:spPr>
                </pic:pic>
              </a:graphicData>
            </a:graphic>
          </wp:inline>
        </w:drawing>
      </w:r>
    </w:p>
    <w:p w14:paraId="6ADA221B">
      <w:pPr>
        <w:spacing w:line="35" w:lineRule="exact"/>
        <w:rPr>
          <w:color w:val="auto"/>
          <w:highlight w:val="none"/>
        </w:rPr>
        <w:sectPr>
          <w:footerReference r:id="rId57" w:type="default"/>
          <w:pgSz w:w="11905" w:h="16839"/>
          <w:pgMar w:top="1431" w:right="1785" w:bottom="996" w:left="1785" w:header="0" w:footer="791" w:gutter="0"/>
          <w:pgNumType w:fmt="decimal"/>
          <w:cols w:space="720" w:num="1"/>
        </w:sectPr>
      </w:pPr>
    </w:p>
    <w:p w14:paraId="7CDF2F9A">
      <w:pPr>
        <w:pStyle w:val="3"/>
        <w:spacing w:before="306" w:line="220" w:lineRule="auto"/>
        <w:ind w:left="32"/>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附件</w:t>
      </w:r>
      <w:r>
        <w:rPr>
          <w:rFonts w:ascii="黑体" w:hAnsi="黑体" w:eastAsia="黑体" w:cs="黑体"/>
          <w:color w:val="auto"/>
          <w:spacing w:val="-42"/>
          <w:sz w:val="24"/>
          <w:szCs w:val="24"/>
          <w:highlight w:val="none"/>
        </w:rPr>
        <w:t xml:space="preserve"> </w:t>
      </w:r>
      <w:r>
        <w:rPr>
          <w:color w:val="auto"/>
          <w:spacing w:val="-5"/>
          <w:sz w:val="24"/>
          <w:szCs w:val="24"/>
          <w:highlight w:val="none"/>
        </w:rPr>
        <w:t>B</w:t>
      </w:r>
      <w:r>
        <w:rPr>
          <w:rFonts w:ascii="黑体" w:hAnsi="黑体" w:eastAsia="黑体" w:cs="黑体"/>
          <w:color w:val="auto"/>
          <w:spacing w:val="-5"/>
          <w:sz w:val="24"/>
          <w:szCs w:val="24"/>
          <w:highlight w:val="none"/>
        </w:rPr>
        <w:t>：否决投标的条件</w:t>
      </w:r>
    </w:p>
    <w:p w14:paraId="48444495">
      <w:pPr>
        <w:pStyle w:val="3"/>
        <w:spacing w:line="427" w:lineRule="auto"/>
        <w:rPr>
          <w:color w:val="auto"/>
          <w:highlight w:val="none"/>
        </w:rPr>
      </w:pPr>
    </w:p>
    <w:p w14:paraId="22EB660C">
      <w:pPr>
        <w:spacing w:before="88" w:line="225" w:lineRule="auto"/>
        <w:ind w:left="3195"/>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14:textOutline w14:w="5050" w14:cap="flat" w14:cmpd="sng">
            <w14:solidFill>
              <w14:srgbClr w14:val="000000"/>
            </w14:solidFill>
            <w14:prstDash w14:val="solid"/>
            <w14:miter w14:val="0"/>
          </w14:textOutline>
        </w:rPr>
        <w:t>否决投标的条件</w:t>
      </w:r>
    </w:p>
    <w:p w14:paraId="77A8DA77">
      <w:pPr>
        <w:spacing w:before="106"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B0.</w:t>
      </w:r>
      <w:r>
        <w:rPr>
          <w:rFonts w:ascii="黑体" w:hAnsi="黑体" w:eastAsia="黑体" w:cs="黑体"/>
          <w:color w:val="auto"/>
          <w:spacing w:val="-1"/>
          <w:sz w:val="24"/>
          <w:szCs w:val="24"/>
          <w:highlight w:val="none"/>
        </w:rPr>
        <w:t>总</w:t>
      </w:r>
      <w:r>
        <w:rPr>
          <w:rFonts w:ascii="黑体" w:hAnsi="黑体" w:eastAsia="黑体" w:cs="黑体"/>
          <w:color w:val="auto"/>
          <w:spacing w:val="14"/>
          <w:sz w:val="24"/>
          <w:szCs w:val="24"/>
          <w:highlight w:val="none"/>
        </w:rPr>
        <w:t xml:space="preserve"> </w:t>
      </w:r>
      <w:r>
        <w:rPr>
          <w:rFonts w:ascii="黑体" w:hAnsi="黑体" w:eastAsia="黑体" w:cs="黑体"/>
          <w:color w:val="auto"/>
          <w:spacing w:val="-1"/>
          <w:sz w:val="24"/>
          <w:szCs w:val="24"/>
          <w:highlight w:val="none"/>
        </w:rPr>
        <w:t>则</w:t>
      </w:r>
    </w:p>
    <w:p w14:paraId="1912C354">
      <w:pPr>
        <w:spacing w:before="162" w:line="432" w:lineRule="exact"/>
        <w:ind w:left="442"/>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本附件所集中列示的否决投标的条件，是本章“评标办法”的组成部分，是对第二章</w:t>
      </w:r>
    </w:p>
    <w:p w14:paraId="7AA19D3F">
      <w:pPr>
        <w:spacing w:line="219" w:lineRule="auto"/>
        <w:ind w:left="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“投标人须知”和本章正文部分所规定的否决投标的条件的总结和补充，如果出现不一致</w:t>
      </w:r>
    </w:p>
    <w:p w14:paraId="5874A764">
      <w:pPr>
        <w:spacing w:before="178" w:line="383" w:lineRule="exact"/>
        <w:ind w:left="35"/>
        <w:rPr>
          <w:rFonts w:ascii="宋体" w:hAnsi="宋体" w:eastAsia="宋体" w:cs="宋体"/>
          <w:color w:val="auto"/>
          <w:sz w:val="21"/>
          <w:szCs w:val="21"/>
          <w:highlight w:val="none"/>
        </w:rPr>
      </w:pPr>
      <w:r>
        <w:rPr>
          <w:rFonts w:ascii="宋体" w:hAnsi="宋体" w:eastAsia="宋体" w:cs="宋体"/>
          <w:color w:val="auto"/>
          <w:spacing w:val="-9"/>
          <w:position w:val="13"/>
          <w:sz w:val="21"/>
          <w:szCs w:val="21"/>
          <w:highlight w:val="none"/>
        </w:rPr>
        <w:t>的情况，</w:t>
      </w:r>
      <w:r>
        <w:rPr>
          <w:rFonts w:ascii="宋体" w:hAnsi="宋体" w:eastAsia="宋体" w:cs="宋体"/>
          <w:color w:val="auto"/>
          <w:spacing w:val="40"/>
          <w:position w:val="13"/>
          <w:sz w:val="21"/>
          <w:szCs w:val="21"/>
          <w:highlight w:val="none"/>
        </w:rPr>
        <w:t xml:space="preserve"> </w:t>
      </w:r>
      <w:r>
        <w:rPr>
          <w:rFonts w:ascii="宋体" w:hAnsi="宋体" w:eastAsia="宋体" w:cs="宋体"/>
          <w:color w:val="auto"/>
          <w:spacing w:val="-9"/>
          <w:position w:val="13"/>
          <w:sz w:val="21"/>
          <w:szCs w:val="21"/>
          <w:highlight w:val="none"/>
        </w:rPr>
        <w:t>以本章前附表和正文部分的规定为准。</w:t>
      </w:r>
    </w:p>
    <w:p w14:paraId="3E32F346">
      <w:pPr>
        <w:spacing w:before="1"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B1.</w:t>
      </w:r>
      <w:r>
        <w:rPr>
          <w:rFonts w:ascii="黑体" w:hAnsi="黑体" w:eastAsia="黑体" w:cs="黑体"/>
          <w:color w:val="auto"/>
          <w:spacing w:val="-1"/>
          <w:sz w:val="24"/>
          <w:szCs w:val="24"/>
          <w:highlight w:val="none"/>
        </w:rPr>
        <w:t>否决投标的条件</w:t>
      </w:r>
    </w:p>
    <w:p w14:paraId="2D6FAB16">
      <w:pPr>
        <w:spacing w:before="161" w:line="220" w:lineRule="auto"/>
        <w:ind w:left="443"/>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投标人或其投标文件有下列情形之一的，评标委员</w:t>
      </w:r>
      <w:r>
        <w:rPr>
          <w:rFonts w:ascii="宋体" w:hAnsi="宋体" w:eastAsia="宋体" w:cs="宋体"/>
          <w:color w:val="auto"/>
          <w:spacing w:val="-1"/>
          <w:sz w:val="21"/>
          <w:szCs w:val="21"/>
          <w:highlight w:val="none"/>
        </w:rPr>
        <w:t>会应当否决其投标：</w:t>
      </w:r>
    </w:p>
    <w:p w14:paraId="1EEF990A">
      <w:pPr>
        <w:spacing w:before="182" w:line="432" w:lineRule="exact"/>
        <w:ind w:left="436"/>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B1.1 在形式评审、资格评审、响应性评审</w:t>
      </w:r>
      <w:r>
        <w:rPr>
          <w:rFonts w:ascii="宋体" w:hAnsi="宋体" w:eastAsia="宋体" w:cs="宋体"/>
          <w:color w:val="auto"/>
          <w:spacing w:val="-4"/>
          <w:position w:val="16"/>
          <w:sz w:val="21"/>
          <w:szCs w:val="21"/>
          <w:highlight w:val="none"/>
        </w:rPr>
        <w:t>中，</w:t>
      </w:r>
      <w:r>
        <w:rPr>
          <w:rFonts w:ascii="宋体" w:hAnsi="宋体" w:eastAsia="宋体" w:cs="宋体"/>
          <w:color w:val="auto"/>
          <w:spacing w:val="50"/>
          <w:position w:val="16"/>
          <w:sz w:val="21"/>
          <w:szCs w:val="21"/>
          <w:highlight w:val="none"/>
        </w:rPr>
        <w:t xml:space="preserve"> </w:t>
      </w:r>
      <w:r>
        <w:rPr>
          <w:rFonts w:ascii="宋体" w:hAnsi="宋体" w:eastAsia="宋体" w:cs="宋体"/>
          <w:color w:val="auto"/>
          <w:spacing w:val="-4"/>
          <w:position w:val="16"/>
          <w:sz w:val="21"/>
          <w:szCs w:val="21"/>
          <w:highlight w:val="none"/>
        </w:rPr>
        <w:t>评标委员会认定投标人的投标文件不符</w:t>
      </w:r>
    </w:p>
    <w:p w14:paraId="691EC649">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合评标办法前附表中规定的任何一项评审标准的。</w:t>
      </w:r>
      <w:r>
        <w:rPr>
          <w:rFonts w:ascii="宋体" w:hAnsi="宋体" w:eastAsia="宋体" w:cs="宋体"/>
          <w:color w:val="auto"/>
          <w:spacing w:val="-2"/>
          <w:sz w:val="21"/>
          <w:szCs w:val="21"/>
          <w:highlight w:val="none"/>
        </w:rPr>
        <w:t>主要包括以下内容：</w:t>
      </w:r>
    </w:p>
    <w:p w14:paraId="2029D64C">
      <w:pPr>
        <w:spacing w:before="178" w:line="432" w:lineRule="exact"/>
        <w:ind w:left="447"/>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w:t>
      </w:r>
      <w:r>
        <w:rPr>
          <w:rFonts w:ascii="Times New Roman" w:hAnsi="Times New Roman" w:eastAsia="Times New Roman" w:cs="Times New Roman"/>
          <w:color w:val="auto"/>
          <w:position w:val="16"/>
          <w:sz w:val="21"/>
          <w:szCs w:val="21"/>
          <w:highlight w:val="none"/>
        </w:rPr>
        <w:t>1</w:t>
      </w:r>
      <w:r>
        <w:rPr>
          <w:rFonts w:ascii="宋体" w:hAnsi="宋体" w:eastAsia="宋体" w:cs="宋体"/>
          <w:color w:val="auto"/>
          <w:position w:val="16"/>
          <w:sz w:val="21"/>
          <w:szCs w:val="21"/>
          <w:highlight w:val="none"/>
        </w:rPr>
        <w:t>）投标人名称与营业执照、资质证书、安全生产许可证不一致；或提供无效的营业</w:t>
      </w:r>
    </w:p>
    <w:p w14:paraId="3D48BF69">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执照、资质证书、安全生产许可证的；</w:t>
      </w:r>
    </w:p>
    <w:p w14:paraId="32FF5312">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2</w:t>
      </w:r>
      <w:r>
        <w:rPr>
          <w:rFonts w:ascii="宋体" w:hAnsi="宋体" w:eastAsia="宋体" w:cs="宋体"/>
          <w:color w:val="auto"/>
          <w:spacing w:val="-1"/>
          <w:position w:val="16"/>
          <w:sz w:val="21"/>
          <w:szCs w:val="21"/>
          <w:highlight w:val="none"/>
        </w:rPr>
        <w:t xml:space="preserve">）未按照第二章“投标人须知”第 </w:t>
      </w:r>
      <w:r>
        <w:rPr>
          <w:rFonts w:ascii="Times New Roman" w:hAnsi="Times New Roman" w:eastAsia="Times New Roman" w:cs="Times New Roman"/>
          <w:color w:val="auto"/>
          <w:spacing w:val="-1"/>
          <w:position w:val="16"/>
          <w:sz w:val="21"/>
          <w:szCs w:val="21"/>
          <w:highlight w:val="none"/>
        </w:rPr>
        <w:t>3.7.3</w:t>
      </w: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4</w:t>
      </w:r>
      <w:r>
        <w:rPr>
          <w:rFonts w:ascii="宋体" w:hAnsi="宋体" w:eastAsia="宋体" w:cs="宋体"/>
          <w:color w:val="auto"/>
          <w:spacing w:val="-1"/>
          <w:position w:val="16"/>
          <w:sz w:val="21"/>
          <w:szCs w:val="21"/>
          <w:highlight w:val="none"/>
        </w:rPr>
        <w:t>）</w:t>
      </w:r>
      <w:r>
        <w:rPr>
          <w:rFonts w:ascii="宋体" w:hAnsi="宋体" w:eastAsia="宋体" w:cs="宋体"/>
          <w:color w:val="auto"/>
          <w:spacing w:val="-55"/>
          <w:position w:val="16"/>
          <w:sz w:val="21"/>
          <w:szCs w:val="21"/>
          <w:highlight w:val="none"/>
        </w:rPr>
        <w:t xml:space="preserve"> </w:t>
      </w:r>
      <w:r>
        <w:rPr>
          <w:rFonts w:ascii="宋体" w:hAnsi="宋体" w:eastAsia="宋体" w:cs="宋体"/>
          <w:color w:val="auto"/>
          <w:spacing w:val="-1"/>
          <w:position w:val="16"/>
          <w:sz w:val="21"/>
          <w:szCs w:val="21"/>
          <w:highlight w:val="none"/>
        </w:rPr>
        <w:t>目规定和第八章“投标文件格式</w:t>
      </w:r>
      <w:r>
        <w:rPr>
          <w:rFonts w:ascii="宋体" w:hAnsi="宋体" w:eastAsia="宋体" w:cs="宋体"/>
          <w:color w:val="auto"/>
          <w:spacing w:val="-2"/>
          <w:position w:val="16"/>
          <w:sz w:val="21"/>
          <w:szCs w:val="21"/>
          <w:highlight w:val="none"/>
        </w:rPr>
        <w:t>”的</w:t>
      </w:r>
    </w:p>
    <w:p w14:paraId="76B2A1E5">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要求进行电子签章的；</w:t>
      </w:r>
    </w:p>
    <w:p w14:paraId="52B7E589">
      <w:pPr>
        <w:spacing w:before="177" w:line="380" w:lineRule="auto"/>
        <w:ind w:left="19" w:firstLine="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）联合体投标没有提交共同投标协议或共同投标协议未按招标文件提供的格式签署、</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提交， 未明确联合体牵头人和各方权利与义务，未承诺就中标项目向招标人承担连带责任</w:t>
      </w:r>
    </w:p>
    <w:p w14:paraId="02412D01">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28"/>
          <w:sz w:val="21"/>
          <w:szCs w:val="21"/>
          <w:highlight w:val="none"/>
        </w:rPr>
        <w:t>的（如有</w:t>
      </w:r>
      <w:r>
        <w:rPr>
          <w:rFonts w:ascii="宋体" w:hAnsi="宋体" w:eastAsia="宋体" w:cs="宋体"/>
          <w:color w:val="auto"/>
          <w:spacing w:val="-14"/>
          <w:sz w:val="21"/>
          <w:szCs w:val="21"/>
          <w:highlight w:val="none"/>
        </w:rPr>
        <w:t>）；</w:t>
      </w:r>
    </w:p>
    <w:p w14:paraId="058B6421">
      <w:pPr>
        <w:spacing w:before="176" w:line="432" w:lineRule="exact"/>
        <w:ind w:left="447"/>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w:t>
      </w:r>
      <w:r>
        <w:rPr>
          <w:rFonts w:ascii="Times New Roman" w:hAnsi="Times New Roman" w:eastAsia="Times New Roman" w:cs="Times New Roman"/>
          <w:color w:val="auto"/>
          <w:position w:val="17"/>
          <w:sz w:val="21"/>
          <w:szCs w:val="21"/>
          <w:highlight w:val="none"/>
        </w:rPr>
        <w:t>4</w:t>
      </w:r>
      <w:r>
        <w:rPr>
          <w:rFonts w:ascii="宋体" w:hAnsi="宋体" w:eastAsia="宋体" w:cs="宋体"/>
          <w:color w:val="auto"/>
          <w:position w:val="17"/>
          <w:sz w:val="21"/>
          <w:szCs w:val="21"/>
          <w:highlight w:val="none"/>
        </w:rPr>
        <w:t>）同一投标人提交两个以上不同的投标文件或者投标报价的（但招标文件要求提交</w:t>
      </w:r>
    </w:p>
    <w:p w14:paraId="76BFCFF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备选投标的除外</w:t>
      </w:r>
      <w:r>
        <w:rPr>
          <w:rFonts w:ascii="宋体" w:hAnsi="宋体" w:eastAsia="宋体" w:cs="宋体"/>
          <w:color w:val="auto"/>
          <w:spacing w:val="-18"/>
          <w:sz w:val="21"/>
          <w:szCs w:val="21"/>
          <w:highlight w:val="none"/>
        </w:rPr>
        <w:t>）；</w:t>
      </w:r>
    </w:p>
    <w:p w14:paraId="69EA3669">
      <w:pPr>
        <w:spacing w:before="176"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）未按照招标文件的要求报送应有的投标报价表格的；</w:t>
      </w:r>
    </w:p>
    <w:p w14:paraId="6CD54194">
      <w:pPr>
        <w:spacing w:before="18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）项目经理二次刷卡实名认证未通过的；</w:t>
      </w:r>
    </w:p>
    <w:p w14:paraId="3D139612">
      <w:pPr>
        <w:spacing w:before="18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）法定代表人或授权委托人未完成实名认证的；</w:t>
      </w:r>
    </w:p>
    <w:p w14:paraId="4FA084BC">
      <w:pPr>
        <w:spacing w:before="17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8</w:t>
      </w:r>
      <w:r>
        <w:rPr>
          <w:rFonts w:ascii="宋体" w:hAnsi="宋体" w:eastAsia="宋体" w:cs="宋体"/>
          <w:color w:val="auto"/>
          <w:spacing w:val="-2"/>
          <w:sz w:val="21"/>
          <w:szCs w:val="21"/>
          <w:highlight w:val="none"/>
        </w:rPr>
        <w:t>）未按招标文件要求编制技术标（暗标）投标文件的；</w:t>
      </w:r>
    </w:p>
    <w:p w14:paraId="2A1EC315">
      <w:pPr>
        <w:spacing w:before="18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9</w:t>
      </w:r>
      <w:r>
        <w:rPr>
          <w:rFonts w:ascii="宋体" w:hAnsi="宋体" w:eastAsia="宋体" w:cs="宋体"/>
          <w:color w:val="auto"/>
          <w:spacing w:val="-2"/>
          <w:sz w:val="21"/>
          <w:szCs w:val="21"/>
          <w:highlight w:val="none"/>
        </w:rPr>
        <w:t>）投标人资质条件不符合国家规定和招标文件要求的；</w:t>
      </w:r>
    </w:p>
    <w:p w14:paraId="35803B2F">
      <w:pPr>
        <w:spacing w:before="176" w:line="432" w:lineRule="exact"/>
        <w:ind w:left="447"/>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10</w:t>
      </w:r>
      <w:r>
        <w:rPr>
          <w:rFonts w:ascii="宋体" w:hAnsi="宋体" w:eastAsia="宋体" w:cs="宋体"/>
          <w:color w:val="auto"/>
          <w:spacing w:val="3"/>
          <w:position w:val="16"/>
          <w:sz w:val="21"/>
          <w:szCs w:val="21"/>
          <w:highlight w:val="none"/>
        </w:rPr>
        <w:t>）项目负责人资格不符合招标文件规定的专业等级要</w:t>
      </w:r>
      <w:r>
        <w:rPr>
          <w:rFonts w:ascii="宋体" w:hAnsi="宋体" w:eastAsia="宋体" w:cs="宋体"/>
          <w:color w:val="auto"/>
          <w:spacing w:val="2"/>
          <w:position w:val="16"/>
          <w:sz w:val="21"/>
          <w:szCs w:val="21"/>
          <w:highlight w:val="none"/>
        </w:rPr>
        <w:t>求，或已在其他在建工程担</w:t>
      </w:r>
    </w:p>
    <w:p w14:paraId="2CCB23D5">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任项目经理（同一工程相邻分段发包或者分期施工的除外</w:t>
      </w:r>
      <w:r>
        <w:rPr>
          <w:rFonts w:ascii="宋体" w:hAnsi="宋体" w:eastAsia="宋体" w:cs="宋体"/>
          <w:color w:val="auto"/>
          <w:spacing w:val="-13"/>
          <w:sz w:val="21"/>
          <w:szCs w:val="21"/>
          <w:highlight w:val="none"/>
        </w:rPr>
        <w:t>）；</w:t>
      </w:r>
    </w:p>
    <w:p w14:paraId="62171F38">
      <w:pPr>
        <w:spacing w:before="17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11</w:t>
      </w:r>
      <w:r>
        <w:rPr>
          <w:rFonts w:ascii="宋体" w:hAnsi="宋体" w:eastAsia="宋体" w:cs="宋体"/>
          <w:color w:val="auto"/>
          <w:spacing w:val="-1"/>
          <w:sz w:val="21"/>
          <w:szCs w:val="21"/>
          <w:highlight w:val="none"/>
        </w:rPr>
        <w:t>）具有投标人须知第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10</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rPr>
        <w:t>至（</w:t>
      </w:r>
      <w:r>
        <w:rPr>
          <w:rFonts w:ascii="Times New Roman" w:hAnsi="Times New Roman" w:eastAsia="Times New Roman" w:cs="Times New Roman"/>
          <w:color w:val="auto"/>
          <w:spacing w:val="-2"/>
          <w:sz w:val="21"/>
          <w:szCs w:val="21"/>
          <w:highlight w:val="none"/>
        </w:rPr>
        <w:t>17</w:t>
      </w:r>
      <w:r>
        <w:rPr>
          <w:rFonts w:ascii="宋体" w:hAnsi="宋体" w:eastAsia="宋体" w:cs="宋体"/>
          <w:color w:val="auto"/>
          <w:spacing w:val="-2"/>
          <w:sz w:val="21"/>
          <w:szCs w:val="21"/>
          <w:highlight w:val="none"/>
        </w:rPr>
        <w:t>）条目规定的情形；</w:t>
      </w:r>
    </w:p>
    <w:p w14:paraId="46B1EEC7">
      <w:pPr>
        <w:spacing w:before="18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12</w:t>
      </w:r>
      <w:r>
        <w:rPr>
          <w:rFonts w:ascii="宋体" w:hAnsi="宋体" w:eastAsia="宋体" w:cs="宋体"/>
          <w:color w:val="auto"/>
          <w:spacing w:val="-2"/>
          <w:sz w:val="21"/>
          <w:szCs w:val="21"/>
          <w:highlight w:val="none"/>
        </w:rPr>
        <w:t>）未按招标文件要求提交投标保证金</w:t>
      </w:r>
      <w:r>
        <w:rPr>
          <w:rFonts w:ascii="宋体" w:hAnsi="宋体" w:eastAsia="宋体" w:cs="宋体"/>
          <w:color w:val="auto"/>
          <w:spacing w:val="-3"/>
          <w:sz w:val="21"/>
          <w:szCs w:val="21"/>
          <w:highlight w:val="none"/>
        </w:rPr>
        <w:t>的；</w:t>
      </w:r>
    </w:p>
    <w:p w14:paraId="195FC4CA">
      <w:pPr>
        <w:spacing w:before="181" w:line="427" w:lineRule="exact"/>
        <w:ind w:left="447"/>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13</w:t>
      </w:r>
      <w:r>
        <w:rPr>
          <w:rFonts w:ascii="宋体" w:hAnsi="宋体" w:eastAsia="宋体" w:cs="宋体"/>
          <w:color w:val="auto"/>
          <w:spacing w:val="3"/>
          <w:position w:val="16"/>
          <w:sz w:val="21"/>
          <w:szCs w:val="21"/>
          <w:highlight w:val="none"/>
        </w:rPr>
        <w:t>）投标人填写的清单编码、清单名称、项目特征、计</w:t>
      </w:r>
      <w:r>
        <w:rPr>
          <w:rFonts w:ascii="宋体" w:hAnsi="宋体" w:eastAsia="宋体" w:cs="宋体"/>
          <w:color w:val="auto"/>
          <w:spacing w:val="2"/>
          <w:position w:val="16"/>
          <w:sz w:val="21"/>
          <w:szCs w:val="21"/>
          <w:highlight w:val="none"/>
        </w:rPr>
        <w:t>量单位、工程量与招标文件</w:t>
      </w:r>
    </w:p>
    <w:p w14:paraId="1C029EC9">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给定的工程量清单不一致的；</w:t>
      </w:r>
    </w:p>
    <w:p w14:paraId="60340AF8">
      <w:pPr>
        <w:spacing w:before="180"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14</w:t>
      </w:r>
      <w:r>
        <w:rPr>
          <w:rFonts w:ascii="宋体" w:hAnsi="宋体" w:eastAsia="宋体" w:cs="宋体"/>
          <w:color w:val="auto"/>
          <w:spacing w:val="3"/>
          <w:sz w:val="21"/>
          <w:szCs w:val="21"/>
          <w:highlight w:val="none"/>
        </w:rPr>
        <w:t>）投标人修改招标文件给定的工程量清单中所列价格</w:t>
      </w:r>
      <w:r>
        <w:rPr>
          <w:rFonts w:ascii="宋体" w:hAnsi="宋体" w:eastAsia="宋体" w:cs="宋体"/>
          <w:color w:val="auto"/>
          <w:spacing w:val="2"/>
          <w:sz w:val="21"/>
          <w:szCs w:val="21"/>
          <w:highlight w:val="none"/>
        </w:rPr>
        <w:t>（包括暂列金额、材料暂估</w:t>
      </w:r>
    </w:p>
    <w:p w14:paraId="3C6F092E">
      <w:pPr>
        <w:spacing w:line="219" w:lineRule="auto"/>
        <w:rPr>
          <w:rFonts w:ascii="宋体" w:hAnsi="宋体" w:eastAsia="宋体" w:cs="宋体"/>
          <w:color w:val="auto"/>
          <w:sz w:val="21"/>
          <w:szCs w:val="21"/>
          <w:highlight w:val="none"/>
        </w:rPr>
        <w:sectPr>
          <w:footerReference r:id="rId58" w:type="default"/>
          <w:pgSz w:w="11905" w:h="16839"/>
          <w:pgMar w:top="1431" w:right="1614" w:bottom="996" w:left="1785" w:header="0" w:footer="791" w:gutter="0"/>
          <w:pgNumType w:fmt="decimal"/>
          <w:cols w:space="720" w:num="1"/>
        </w:sectPr>
      </w:pPr>
    </w:p>
    <w:p w14:paraId="609EFAC4">
      <w:pPr>
        <w:spacing w:before="173" w:line="219" w:lineRule="auto"/>
        <w:ind w:left="19"/>
        <w:rPr>
          <w:rFonts w:ascii="宋体" w:hAnsi="宋体" w:eastAsia="宋体" w:cs="宋体"/>
          <w:color w:val="auto"/>
          <w:sz w:val="21"/>
          <w:szCs w:val="21"/>
          <w:highlight w:val="none"/>
        </w:rPr>
      </w:pPr>
      <w:bookmarkStart w:id="143" w:name="bookmark175"/>
      <w:bookmarkEnd w:id="143"/>
      <w:bookmarkStart w:id="144" w:name="bookmark176"/>
      <w:bookmarkEnd w:id="144"/>
      <w:bookmarkStart w:id="145" w:name="bookmark174"/>
      <w:bookmarkEnd w:id="145"/>
      <w:bookmarkStart w:id="146" w:name="bookmark171"/>
      <w:bookmarkEnd w:id="146"/>
      <w:bookmarkStart w:id="147" w:name="bookmark173"/>
      <w:bookmarkEnd w:id="147"/>
      <w:bookmarkStart w:id="148" w:name="bookmark172"/>
      <w:bookmarkEnd w:id="148"/>
      <w:r>
        <w:rPr>
          <w:rFonts w:ascii="宋体" w:hAnsi="宋体" w:eastAsia="宋体" w:cs="宋体"/>
          <w:color w:val="auto"/>
          <w:spacing w:val="-4"/>
          <w:sz w:val="21"/>
          <w:szCs w:val="21"/>
          <w:highlight w:val="none"/>
        </w:rPr>
        <w:t>价、专业工程暂估价等）的；</w:t>
      </w:r>
    </w:p>
    <w:p w14:paraId="1561169C">
      <w:pPr>
        <w:spacing w:before="17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15</w:t>
      </w:r>
      <w:r>
        <w:rPr>
          <w:rFonts w:ascii="宋体" w:hAnsi="宋体" w:eastAsia="宋体" w:cs="宋体"/>
          <w:color w:val="auto"/>
          <w:spacing w:val="-3"/>
          <w:sz w:val="21"/>
          <w:szCs w:val="21"/>
          <w:highlight w:val="none"/>
        </w:rPr>
        <w:t>）工期未响应招标文件规定的；</w:t>
      </w:r>
    </w:p>
    <w:p w14:paraId="0A5F81AA">
      <w:pPr>
        <w:spacing w:before="18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16</w:t>
      </w:r>
      <w:r>
        <w:rPr>
          <w:rFonts w:ascii="宋体" w:hAnsi="宋体" w:eastAsia="宋体" w:cs="宋体"/>
          <w:color w:val="auto"/>
          <w:spacing w:val="-2"/>
          <w:sz w:val="21"/>
          <w:szCs w:val="21"/>
          <w:highlight w:val="none"/>
        </w:rPr>
        <w:t>）投标人不接受算术错误修正后的报</w:t>
      </w:r>
      <w:r>
        <w:rPr>
          <w:rFonts w:ascii="宋体" w:hAnsi="宋体" w:eastAsia="宋体" w:cs="宋体"/>
          <w:color w:val="auto"/>
          <w:spacing w:val="-3"/>
          <w:sz w:val="21"/>
          <w:szCs w:val="21"/>
          <w:highlight w:val="none"/>
        </w:rPr>
        <w:t>价；</w:t>
      </w:r>
    </w:p>
    <w:p w14:paraId="7BA5DC0C">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4"/>
          <w:position w:val="16"/>
          <w:sz w:val="21"/>
          <w:szCs w:val="21"/>
          <w:highlight w:val="none"/>
        </w:rPr>
        <w:t>（</w:t>
      </w:r>
      <w:r>
        <w:rPr>
          <w:rFonts w:ascii="Times New Roman" w:hAnsi="Times New Roman" w:eastAsia="Times New Roman" w:cs="Times New Roman"/>
          <w:color w:val="auto"/>
          <w:spacing w:val="-4"/>
          <w:position w:val="16"/>
          <w:sz w:val="21"/>
          <w:szCs w:val="21"/>
          <w:highlight w:val="none"/>
        </w:rPr>
        <w:t>17</w:t>
      </w:r>
      <w:r>
        <w:rPr>
          <w:rFonts w:ascii="宋体" w:hAnsi="宋体" w:eastAsia="宋体" w:cs="宋体"/>
          <w:color w:val="auto"/>
          <w:spacing w:val="-4"/>
          <w:position w:val="16"/>
          <w:sz w:val="21"/>
          <w:szCs w:val="21"/>
          <w:highlight w:val="none"/>
        </w:rPr>
        <w:t>）投标报价（含修正后） 高于招标文件设定的最高投标限价的；</w:t>
      </w:r>
    </w:p>
    <w:p w14:paraId="2CE25A8B">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18</w:t>
      </w:r>
      <w:r>
        <w:rPr>
          <w:rFonts w:ascii="宋体" w:hAnsi="宋体" w:eastAsia="宋体" w:cs="宋体"/>
          <w:color w:val="auto"/>
          <w:spacing w:val="-3"/>
          <w:sz w:val="21"/>
          <w:szCs w:val="21"/>
          <w:highlight w:val="none"/>
        </w:rPr>
        <w:t>）质量不满足招标文件规定的；</w:t>
      </w:r>
    </w:p>
    <w:p w14:paraId="42B60AF4">
      <w:pPr>
        <w:spacing w:before="18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19</w:t>
      </w:r>
      <w:r>
        <w:rPr>
          <w:rFonts w:ascii="宋体" w:hAnsi="宋体" w:eastAsia="宋体" w:cs="宋体"/>
          <w:color w:val="auto"/>
          <w:spacing w:val="-2"/>
          <w:sz w:val="21"/>
          <w:szCs w:val="21"/>
          <w:highlight w:val="none"/>
        </w:rPr>
        <w:t>）投标有效期不符合招标文件规定的；</w:t>
      </w:r>
    </w:p>
    <w:p w14:paraId="7EAD1417">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2"/>
          <w:position w:val="16"/>
          <w:sz w:val="21"/>
          <w:szCs w:val="21"/>
          <w:highlight w:val="none"/>
        </w:rPr>
        <w:t>（</w:t>
      </w:r>
      <w:r>
        <w:rPr>
          <w:rFonts w:ascii="Times New Roman" w:hAnsi="Times New Roman" w:eastAsia="Times New Roman" w:cs="Times New Roman"/>
          <w:color w:val="auto"/>
          <w:spacing w:val="-2"/>
          <w:position w:val="16"/>
          <w:sz w:val="21"/>
          <w:szCs w:val="21"/>
          <w:highlight w:val="none"/>
        </w:rPr>
        <w:t>20</w:t>
      </w:r>
      <w:r>
        <w:rPr>
          <w:rFonts w:ascii="宋体" w:hAnsi="宋体" w:eastAsia="宋体" w:cs="宋体"/>
          <w:color w:val="auto"/>
          <w:spacing w:val="-2"/>
          <w:position w:val="16"/>
          <w:sz w:val="21"/>
          <w:szCs w:val="21"/>
          <w:highlight w:val="none"/>
        </w:rPr>
        <w:t>）权利义务承诺不符合或低于招标文件规定的；</w:t>
      </w:r>
    </w:p>
    <w:p w14:paraId="04C8965F">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21</w:t>
      </w:r>
      <w:r>
        <w:rPr>
          <w:rFonts w:ascii="宋体" w:hAnsi="宋体" w:eastAsia="宋体" w:cs="宋体"/>
          <w:color w:val="auto"/>
          <w:spacing w:val="-3"/>
          <w:sz w:val="21"/>
          <w:szCs w:val="21"/>
          <w:highlight w:val="none"/>
        </w:rPr>
        <w:t>）技术标准和要求不符合招标文件规定的；</w:t>
      </w:r>
    </w:p>
    <w:p w14:paraId="4FCF61ED">
      <w:pPr>
        <w:spacing w:before="17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22</w:t>
      </w:r>
      <w:r>
        <w:rPr>
          <w:rFonts w:ascii="宋体" w:hAnsi="宋体" w:eastAsia="宋体" w:cs="宋体"/>
          <w:color w:val="auto"/>
          <w:spacing w:val="-1"/>
          <w:sz w:val="21"/>
          <w:szCs w:val="21"/>
          <w:highlight w:val="none"/>
        </w:rPr>
        <w:t>）分包计划不符合招标文件规定的。</w:t>
      </w:r>
    </w:p>
    <w:p w14:paraId="239FC189">
      <w:pPr>
        <w:spacing w:before="181" w:line="220" w:lineRule="auto"/>
        <w:ind w:left="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B1.2</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不按评标委员会要求澄清、说明或补正的。</w:t>
      </w:r>
    </w:p>
    <w:p w14:paraId="434BFEB9">
      <w:pPr>
        <w:spacing w:before="177" w:line="220" w:lineRule="auto"/>
        <w:ind w:left="436"/>
        <w:rPr>
          <w:rFonts w:ascii="宋体" w:hAnsi="宋体" w:eastAsia="宋体" w:cs="宋体"/>
          <w:color w:val="auto"/>
          <w:sz w:val="21"/>
          <w:szCs w:val="21"/>
          <w:highlight w:val="none"/>
        </w:rPr>
      </w:pPr>
      <w:r>
        <w:rPr>
          <w:rFonts w:ascii="宋体" w:hAnsi="宋体" w:eastAsia="宋体" w:cs="宋体"/>
          <w:color w:val="auto"/>
          <w:sz w:val="21"/>
          <w:szCs w:val="21"/>
          <w:highlight w:val="none"/>
        </w:rPr>
        <w:t>B1.3</w:t>
      </w:r>
      <w:r>
        <w:rPr>
          <w:rFonts w:ascii="宋体" w:hAnsi="宋体" w:eastAsia="宋体" w:cs="宋体"/>
          <w:color w:val="auto"/>
          <w:spacing w:val="-43"/>
          <w:sz w:val="21"/>
          <w:szCs w:val="21"/>
          <w:highlight w:val="none"/>
        </w:rPr>
        <w:t xml:space="preserve"> </w:t>
      </w:r>
      <w:r>
        <w:rPr>
          <w:rFonts w:ascii="宋体" w:hAnsi="宋体" w:eastAsia="宋体" w:cs="宋体"/>
          <w:color w:val="auto"/>
          <w:sz w:val="21"/>
          <w:szCs w:val="21"/>
          <w:highlight w:val="none"/>
        </w:rPr>
        <w:t>有串通投标、弄虚作假或有其他违法行为的</w:t>
      </w:r>
      <w:r>
        <w:rPr>
          <w:rFonts w:ascii="宋体" w:hAnsi="宋体" w:eastAsia="宋体" w:cs="宋体"/>
          <w:color w:val="auto"/>
          <w:spacing w:val="-1"/>
          <w:sz w:val="21"/>
          <w:szCs w:val="21"/>
          <w:highlight w:val="none"/>
        </w:rPr>
        <w:t>。包括以下内容：</w:t>
      </w:r>
    </w:p>
    <w:p w14:paraId="0CB27D1A">
      <w:pPr>
        <w:spacing w:before="139" w:line="38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3"/>
          <w:sz w:val="21"/>
          <w:szCs w:val="21"/>
          <w:highlight w:val="none"/>
        </w:rPr>
        <w:t>（</w:t>
      </w:r>
      <w:r>
        <w:rPr>
          <w:rFonts w:ascii="Times New Roman" w:hAnsi="Times New Roman" w:eastAsia="Times New Roman" w:cs="Times New Roman"/>
          <w:color w:val="auto"/>
          <w:spacing w:val="-1"/>
          <w:position w:val="13"/>
          <w:sz w:val="21"/>
          <w:szCs w:val="21"/>
          <w:highlight w:val="none"/>
        </w:rPr>
        <w:t>1</w:t>
      </w:r>
      <w:r>
        <w:rPr>
          <w:rFonts w:ascii="宋体" w:hAnsi="宋体" w:eastAsia="宋体" w:cs="宋体"/>
          <w:color w:val="auto"/>
          <w:spacing w:val="-1"/>
          <w:position w:val="13"/>
          <w:sz w:val="21"/>
          <w:szCs w:val="21"/>
          <w:highlight w:val="none"/>
        </w:rPr>
        <w:t>）有下列情形之一的，视为投标人相互串通投标：</w:t>
      </w:r>
    </w:p>
    <w:p w14:paraId="1DDD96CF">
      <w:pPr>
        <w:spacing w:line="218"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①</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不同投标人的投标文件由同一单位或者个人编制；</w:t>
      </w:r>
    </w:p>
    <w:p w14:paraId="26BE8689">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不同投标人委托同一单位或者个人办理投标事宜；</w:t>
      </w:r>
    </w:p>
    <w:p w14:paraId="1ED21F1A">
      <w:pPr>
        <w:spacing w:before="130" w:line="380"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③ 不同投标人使用同一电脑等电子设备办理投标事宜（下载招标文件、上传投标文件、</w:t>
      </w:r>
    </w:p>
    <w:p w14:paraId="290B040E">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授权委托人或项目经理实名认证等关键环节</w:t>
      </w:r>
      <w:r>
        <w:rPr>
          <w:rFonts w:ascii="宋体" w:hAnsi="宋体" w:eastAsia="宋体" w:cs="宋体"/>
          <w:color w:val="auto"/>
          <w:spacing w:val="-15"/>
          <w:sz w:val="21"/>
          <w:szCs w:val="21"/>
          <w:highlight w:val="none"/>
        </w:rPr>
        <w:t>）；</w:t>
      </w:r>
    </w:p>
    <w:p w14:paraId="78EF22A1">
      <w:pPr>
        <w:spacing w:before="128"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④</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不同投标人的投标文件载明的项目管理成员为同一人；</w:t>
      </w:r>
    </w:p>
    <w:p w14:paraId="1C6B54C1">
      <w:pPr>
        <w:spacing w:before="131" w:line="384" w:lineRule="exact"/>
        <w:ind w:left="439"/>
        <w:rPr>
          <w:rFonts w:ascii="宋体" w:hAnsi="宋体" w:eastAsia="宋体" w:cs="宋体"/>
          <w:color w:val="auto"/>
          <w:sz w:val="21"/>
          <w:szCs w:val="21"/>
          <w:highlight w:val="none"/>
        </w:rPr>
      </w:pPr>
      <w:r>
        <w:rPr>
          <w:rFonts w:ascii="宋体" w:hAnsi="宋体" w:eastAsia="宋体" w:cs="宋体"/>
          <w:color w:val="auto"/>
          <w:spacing w:val="-1"/>
          <w:position w:val="13"/>
          <w:sz w:val="21"/>
          <w:szCs w:val="21"/>
          <w:highlight w:val="none"/>
        </w:rPr>
        <w:t>⑤</w:t>
      </w:r>
      <w:r>
        <w:rPr>
          <w:rFonts w:ascii="宋体" w:hAnsi="宋体" w:eastAsia="宋体" w:cs="宋体"/>
          <w:color w:val="auto"/>
          <w:spacing w:val="-27"/>
          <w:position w:val="13"/>
          <w:sz w:val="21"/>
          <w:szCs w:val="21"/>
          <w:highlight w:val="none"/>
        </w:rPr>
        <w:t xml:space="preserve"> </w:t>
      </w:r>
      <w:r>
        <w:rPr>
          <w:rFonts w:ascii="宋体" w:hAnsi="宋体" w:eastAsia="宋体" w:cs="宋体"/>
          <w:color w:val="auto"/>
          <w:spacing w:val="-1"/>
          <w:position w:val="13"/>
          <w:sz w:val="21"/>
          <w:szCs w:val="21"/>
          <w:highlight w:val="none"/>
        </w:rPr>
        <w:t>不同投标人的投标文件非典型一致或者投标报价呈规律性差异；</w:t>
      </w:r>
    </w:p>
    <w:p w14:paraId="668848F9">
      <w:pPr>
        <w:spacing w:before="1"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不同投标人的投标文件相互混装；</w:t>
      </w:r>
    </w:p>
    <w:p w14:paraId="2003DA76">
      <w:pPr>
        <w:spacing w:before="130" w:line="380" w:lineRule="exact"/>
        <w:ind w:right="15"/>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⑦ 不同投标人的投标保证金或保函（保险）财务费用从同一单位或者个人的账户转出；</w:t>
      </w:r>
    </w:p>
    <w:p w14:paraId="644A85EC">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⑧</w:t>
      </w:r>
      <w:r>
        <w:rPr>
          <w:rFonts w:ascii="宋体" w:hAnsi="宋体" w:eastAsia="宋体" w:cs="宋体"/>
          <w:color w:val="auto"/>
          <w:spacing w:val="-54"/>
          <w:sz w:val="21"/>
          <w:szCs w:val="21"/>
          <w:highlight w:val="none"/>
        </w:rPr>
        <w:t xml:space="preserve"> </w:t>
      </w:r>
      <w:r>
        <w:rPr>
          <w:rFonts w:ascii="宋体" w:hAnsi="宋体" w:eastAsia="宋体" w:cs="宋体"/>
          <w:color w:val="auto"/>
          <w:spacing w:val="-8"/>
          <w:sz w:val="21"/>
          <w:szCs w:val="21"/>
          <w:highlight w:val="none"/>
        </w:rPr>
        <w:t>不同投标人的投标文件存在“</w:t>
      </w:r>
      <w:r>
        <w:rPr>
          <w:rFonts w:ascii="Times New Roman" w:hAnsi="Times New Roman" w:eastAsia="Times New Roman" w:cs="Times New Roman"/>
          <w:color w:val="auto"/>
          <w:spacing w:val="-8"/>
          <w:sz w:val="21"/>
          <w:szCs w:val="21"/>
          <w:highlight w:val="none"/>
        </w:rPr>
        <w:t>MAC</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8"/>
          <w:sz w:val="21"/>
          <w:szCs w:val="21"/>
          <w:highlight w:val="none"/>
        </w:rPr>
        <w:t>地址”、“文件</w:t>
      </w:r>
      <w:r>
        <w:rPr>
          <w:rFonts w:ascii="宋体" w:hAnsi="宋体" w:eastAsia="宋体" w:cs="宋体"/>
          <w:color w:val="auto"/>
          <w:spacing w:val="-9"/>
          <w:sz w:val="21"/>
          <w:szCs w:val="21"/>
          <w:highlight w:val="none"/>
        </w:rPr>
        <w:t>创建标识码”、“文件制作机器码”</w:t>
      </w:r>
    </w:p>
    <w:p w14:paraId="6AE05C35">
      <w:pPr>
        <w:spacing w:before="131"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等唯一性标识一致等情形。</w:t>
      </w:r>
    </w:p>
    <w:p w14:paraId="659783D9">
      <w:pPr>
        <w:spacing w:before="12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14:paraId="47F78139">
      <w:pPr>
        <w:spacing w:before="129" w:line="384" w:lineRule="exact"/>
        <w:jc w:val="right"/>
        <w:rPr>
          <w:rFonts w:ascii="宋体" w:hAnsi="宋体" w:eastAsia="宋体" w:cs="宋体"/>
          <w:color w:val="auto"/>
          <w:sz w:val="21"/>
          <w:szCs w:val="21"/>
          <w:highlight w:val="none"/>
        </w:rPr>
      </w:pPr>
      <w:r>
        <w:rPr>
          <w:rFonts w:ascii="宋体" w:hAnsi="宋体" w:eastAsia="宋体" w:cs="宋体"/>
          <w:color w:val="auto"/>
          <w:position w:val="13"/>
          <w:sz w:val="21"/>
          <w:szCs w:val="21"/>
          <w:highlight w:val="none"/>
        </w:rPr>
        <w:t>①</w:t>
      </w:r>
      <w:r>
        <w:rPr>
          <w:rFonts w:ascii="宋体" w:hAnsi="宋体" w:eastAsia="宋体" w:cs="宋体"/>
          <w:color w:val="auto"/>
          <w:spacing w:val="-19"/>
          <w:position w:val="13"/>
          <w:sz w:val="21"/>
          <w:szCs w:val="21"/>
          <w:highlight w:val="none"/>
        </w:rPr>
        <w:t xml:space="preserve"> </w:t>
      </w:r>
      <w:r>
        <w:rPr>
          <w:rFonts w:ascii="宋体" w:hAnsi="宋体" w:eastAsia="宋体" w:cs="宋体"/>
          <w:color w:val="auto"/>
          <w:position w:val="13"/>
          <w:sz w:val="21"/>
          <w:szCs w:val="21"/>
          <w:highlight w:val="none"/>
        </w:rPr>
        <w:t>使用通过受让或者租借等方式获取的资格、资质证书投标的，即以他人名义</w:t>
      </w:r>
      <w:r>
        <w:rPr>
          <w:rFonts w:ascii="宋体" w:hAnsi="宋体" w:eastAsia="宋体" w:cs="宋体"/>
          <w:color w:val="auto"/>
          <w:spacing w:val="-1"/>
          <w:position w:val="13"/>
          <w:sz w:val="21"/>
          <w:szCs w:val="21"/>
          <w:highlight w:val="none"/>
        </w:rPr>
        <w:t>投标的。</w:t>
      </w:r>
    </w:p>
    <w:p w14:paraId="1F02DA46">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②</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使用伪造、变造的许可证件；</w:t>
      </w:r>
    </w:p>
    <w:p w14:paraId="2ADFF6ED">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③</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提供虚假的财务状况或者业绩；</w:t>
      </w:r>
    </w:p>
    <w:p w14:paraId="74AC9BD9">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④</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提供虚假的项目负责人或者主要技术人员简历、社会保险证明；</w:t>
      </w:r>
    </w:p>
    <w:p w14:paraId="6F8E77F4">
      <w:pPr>
        <w:spacing w:before="131" w:line="379" w:lineRule="exact"/>
        <w:ind w:left="439"/>
        <w:rPr>
          <w:rFonts w:ascii="宋体" w:hAnsi="宋体" w:eastAsia="宋体" w:cs="宋体"/>
          <w:color w:val="auto"/>
          <w:sz w:val="21"/>
          <w:szCs w:val="21"/>
          <w:highlight w:val="none"/>
        </w:rPr>
      </w:pPr>
      <w:r>
        <w:rPr>
          <w:rFonts w:ascii="宋体" w:hAnsi="宋体" w:eastAsia="宋体" w:cs="宋体"/>
          <w:color w:val="auto"/>
          <w:spacing w:val="-4"/>
          <w:position w:val="12"/>
          <w:sz w:val="21"/>
          <w:szCs w:val="21"/>
          <w:highlight w:val="none"/>
        </w:rPr>
        <w:t>⑤</w:t>
      </w:r>
      <w:r>
        <w:rPr>
          <w:rFonts w:ascii="宋体" w:hAnsi="宋体" w:eastAsia="宋体" w:cs="宋体"/>
          <w:color w:val="auto"/>
          <w:spacing w:val="-37"/>
          <w:position w:val="12"/>
          <w:sz w:val="21"/>
          <w:szCs w:val="21"/>
          <w:highlight w:val="none"/>
        </w:rPr>
        <w:t xml:space="preserve"> </w:t>
      </w:r>
      <w:r>
        <w:rPr>
          <w:rFonts w:ascii="宋体" w:hAnsi="宋体" w:eastAsia="宋体" w:cs="宋体"/>
          <w:color w:val="auto"/>
          <w:spacing w:val="-4"/>
          <w:position w:val="12"/>
          <w:sz w:val="21"/>
          <w:szCs w:val="21"/>
          <w:highlight w:val="none"/>
        </w:rPr>
        <w:t>提供虚假的信用状况；</w:t>
      </w:r>
    </w:p>
    <w:p w14:paraId="169AB9A2">
      <w:pPr>
        <w:spacing w:before="1"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其他弄虚作假的行为。</w:t>
      </w:r>
    </w:p>
    <w:p w14:paraId="24A3ABED">
      <w:pPr>
        <w:spacing w:before="174" w:line="375" w:lineRule="exact"/>
        <w:ind w:left="436"/>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B1.4</w:t>
      </w:r>
      <w:r>
        <w:rPr>
          <w:rFonts w:ascii="宋体" w:hAnsi="宋体" w:eastAsia="宋体" w:cs="宋体"/>
          <w:color w:val="auto"/>
          <w:spacing w:val="-40"/>
          <w:position w:val="12"/>
          <w:sz w:val="21"/>
          <w:szCs w:val="21"/>
          <w:highlight w:val="none"/>
        </w:rPr>
        <w:t xml:space="preserve"> </w:t>
      </w:r>
      <w:r>
        <w:rPr>
          <w:rFonts w:ascii="宋体" w:hAnsi="宋体" w:eastAsia="宋体" w:cs="宋体"/>
          <w:color w:val="auto"/>
          <w:spacing w:val="-2"/>
          <w:position w:val="12"/>
          <w:sz w:val="21"/>
          <w:szCs w:val="21"/>
          <w:highlight w:val="none"/>
        </w:rPr>
        <w:t>有第二章“投标人须知”第</w:t>
      </w:r>
      <w:r>
        <w:rPr>
          <w:rFonts w:ascii="宋体" w:hAnsi="宋体" w:eastAsia="宋体" w:cs="宋体"/>
          <w:color w:val="auto"/>
          <w:spacing w:val="-27"/>
          <w:position w:val="12"/>
          <w:sz w:val="21"/>
          <w:szCs w:val="21"/>
          <w:highlight w:val="none"/>
        </w:rPr>
        <w:t xml:space="preserve"> </w:t>
      </w:r>
      <w:r>
        <w:rPr>
          <w:rFonts w:ascii="宋体" w:hAnsi="宋体" w:eastAsia="宋体" w:cs="宋体"/>
          <w:color w:val="auto"/>
          <w:spacing w:val="-2"/>
          <w:position w:val="12"/>
          <w:sz w:val="21"/>
          <w:szCs w:val="21"/>
          <w:highlight w:val="none"/>
        </w:rPr>
        <w:t>1.4.3</w:t>
      </w:r>
      <w:r>
        <w:rPr>
          <w:rFonts w:ascii="宋体" w:hAnsi="宋体" w:eastAsia="宋体" w:cs="宋体"/>
          <w:color w:val="auto"/>
          <w:spacing w:val="-45"/>
          <w:position w:val="12"/>
          <w:sz w:val="21"/>
          <w:szCs w:val="21"/>
          <w:highlight w:val="none"/>
        </w:rPr>
        <w:t xml:space="preserve"> </w:t>
      </w:r>
      <w:r>
        <w:rPr>
          <w:rFonts w:ascii="宋体" w:hAnsi="宋体" w:eastAsia="宋体" w:cs="宋体"/>
          <w:color w:val="auto"/>
          <w:spacing w:val="-2"/>
          <w:position w:val="12"/>
          <w:sz w:val="21"/>
          <w:szCs w:val="21"/>
          <w:highlight w:val="none"/>
        </w:rPr>
        <w:t>项规定的任何一种情形。包括以下内容：</w:t>
      </w:r>
    </w:p>
    <w:p w14:paraId="2E9CB825">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）为招标人不具有独立法人资格的附属机构（单位</w:t>
      </w:r>
      <w:r>
        <w:rPr>
          <w:rFonts w:ascii="宋体" w:hAnsi="宋体" w:eastAsia="宋体" w:cs="宋体"/>
          <w:color w:val="auto"/>
          <w:spacing w:val="-20"/>
          <w:sz w:val="21"/>
          <w:szCs w:val="21"/>
          <w:highlight w:val="none"/>
        </w:rPr>
        <w:t>）；</w:t>
      </w:r>
    </w:p>
    <w:p w14:paraId="0113D4B7">
      <w:pPr>
        <w:spacing w:before="110" w:line="268" w:lineRule="auto"/>
        <w:ind w:left="447" w:right="108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）为本标段前期准备提供设计或咨询服务的，但设计施工总承包的除外；</w:t>
      </w:r>
      <w:r>
        <w:rPr>
          <w:rFonts w:ascii="宋体" w:hAnsi="宋体" w:eastAsia="宋体" w:cs="宋体"/>
          <w:color w:val="auto"/>
          <w:spacing w:val="3"/>
          <w:sz w:val="21"/>
          <w:szCs w:val="21"/>
          <w:highlight w:val="none"/>
        </w:rPr>
        <w:t xml:space="preserve"> </w:t>
      </w: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）为本标段的监理人；</w:t>
      </w:r>
    </w:p>
    <w:p w14:paraId="27C19D65">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）为本标段的代建人；</w:t>
      </w:r>
    </w:p>
    <w:p w14:paraId="18D43E71">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）为本标段提供招标代理服务；</w:t>
      </w:r>
    </w:p>
    <w:p w14:paraId="6A46EE69">
      <w:pPr>
        <w:spacing w:line="220" w:lineRule="auto"/>
        <w:rPr>
          <w:rFonts w:ascii="宋体" w:hAnsi="宋体" w:eastAsia="宋体" w:cs="宋体"/>
          <w:color w:val="auto"/>
          <w:sz w:val="21"/>
          <w:szCs w:val="21"/>
          <w:highlight w:val="none"/>
        </w:rPr>
        <w:sectPr>
          <w:footerReference r:id="rId59" w:type="default"/>
          <w:pgSz w:w="11905" w:h="16839"/>
          <w:pgMar w:top="1431" w:right="1614" w:bottom="996" w:left="1785" w:header="0" w:footer="791" w:gutter="0"/>
          <w:pgNumType w:fmt="decimal"/>
          <w:cols w:space="720" w:num="1"/>
        </w:sectPr>
      </w:pPr>
    </w:p>
    <w:p w14:paraId="42E60038">
      <w:pPr>
        <w:spacing w:before="116" w:line="268" w:lineRule="auto"/>
        <w:ind w:left="447" w:right="173"/>
        <w:rPr>
          <w:rFonts w:ascii="宋体" w:hAnsi="宋体" w:eastAsia="宋体" w:cs="宋体"/>
          <w:color w:val="auto"/>
          <w:sz w:val="21"/>
          <w:szCs w:val="21"/>
          <w:highlight w:val="none"/>
        </w:rPr>
      </w:pPr>
      <w:bookmarkStart w:id="149" w:name="bookmark177"/>
      <w:bookmarkEnd w:id="149"/>
      <w:bookmarkStart w:id="150" w:name="bookmark178"/>
      <w:bookmarkEnd w:id="150"/>
      <w:bookmarkStart w:id="151" w:name="bookmark179"/>
      <w:bookmarkEnd w:id="151"/>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）与本标段的监理人或代建人或招标代理机构同为一个法定代表人或单位负责人；</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）与本标段的监理人或代建人或招标代理机构</w:t>
      </w:r>
      <w:r>
        <w:rPr>
          <w:rFonts w:ascii="宋体" w:hAnsi="宋体" w:eastAsia="宋体" w:cs="宋体"/>
          <w:color w:val="auto"/>
          <w:spacing w:val="-2"/>
          <w:sz w:val="21"/>
          <w:szCs w:val="21"/>
          <w:highlight w:val="none"/>
        </w:rPr>
        <w:t>相互控股或参股；</w:t>
      </w:r>
    </w:p>
    <w:p w14:paraId="67A2AE0D">
      <w:pPr>
        <w:spacing w:before="110" w:line="269" w:lineRule="auto"/>
        <w:ind w:left="20" w:right="116"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8</w:t>
      </w:r>
      <w:r>
        <w:rPr>
          <w:rFonts w:ascii="宋体" w:hAnsi="宋体" w:eastAsia="宋体" w:cs="宋体"/>
          <w:color w:val="auto"/>
          <w:sz w:val="21"/>
          <w:szCs w:val="21"/>
          <w:highlight w:val="none"/>
        </w:rPr>
        <w:t>）与本标段的监理人或代建人或招标代理机构的法定代表人或单位</w:t>
      </w:r>
      <w:r>
        <w:rPr>
          <w:rFonts w:ascii="宋体" w:hAnsi="宋体" w:eastAsia="宋体" w:cs="宋体"/>
          <w:color w:val="auto"/>
          <w:spacing w:val="-1"/>
          <w:sz w:val="21"/>
          <w:szCs w:val="21"/>
          <w:highlight w:val="none"/>
        </w:rPr>
        <w:t>负责人相互任职</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或工作；</w:t>
      </w:r>
    </w:p>
    <w:p w14:paraId="7639CF98">
      <w:pPr>
        <w:spacing w:before="107" w:line="270" w:lineRule="auto"/>
        <w:ind w:left="35" w:right="104" w:firstLine="411"/>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9</w:t>
      </w:r>
      <w:r>
        <w:rPr>
          <w:rFonts w:ascii="宋体" w:hAnsi="宋体" w:eastAsia="宋体" w:cs="宋体"/>
          <w:color w:val="auto"/>
          <w:sz w:val="21"/>
          <w:szCs w:val="21"/>
          <w:highlight w:val="none"/>
        </w:rPr>
        <w:t>）单位负责人为同一人或者存在控股、管理关系的不同单位，同时参加本标段投标</w:t>
      </w:r>
      <w:r>
        <w:rPr>
          <w:rFonts w:ascii="宋体" w:hAnsi="宋体" w:eastAsia="宋体" w:cs="宋体"/>
          <w:color w:val="auto"/>
          <w:spacing w:val="5"/>
          <w:sz w:val="21"/>
          <w:szCs w:val="21"/>
          <w:highlight w:val="none"/>
        </w:rPr>
        <w:t xml:space="preserve"> </w:t>
      </w:r>
      <w:r>
        <w:rPr>
          <w:rFonts w:ascii="宋体" w:hAnsi="宋体" w:eastAsia="宋体" w:cs="宋体"/>
          <w:color w:val="auto"/>
          <w:spacing w:val="-19"/>
          <w:sz w:val="21"/>
          <w:szCs w:val="21"/>
          <w:highlight w:val="none"/>
        </w:rPr>
        <w:t>的；</w:t>
      </w:r>
    </w:p>
    <w:p w14:paraId="26225197">
      <w:pPr>
        <w:spacing w:before="105" w:line="285" w:lineRule="auto"/>
        <w:ind w:left="20" w:right="111"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宋体" w:hAnsi="宋体" w:eastAsia="宋体" w:cs="宋体"/>
          <w:color w:val="auto"/>
          <w:spacing w:val="3"/>
          <w:sz w:val="21"/>
          <w:szCs w:val="21"/>
          <w:highlight w:val="none"/>
        </w:rPr>
        <w:t>）被依法暂停或取消投标资格（指被本招标项目所在</w:t>
      </w:r>
      <w:r>
        <w:rPr>
          <w:rFonts w:ascii="宋体" w:hAnsi="宋体" w:eastAsia="宋体" w:cs="宋体"/>
          <w:color w:val="auto"/>
          <w:spacing w:val="2"/>
          <w:sz w:val="21"/>
          <w:szCs w:val="21"/>
          <w:highlight w:val="none"/>
        </w:rPr>
        <w:t>地县级及以上住房城乡建设</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主管部门或其他行政主管部门暂停或取消投标资格或禁止进入该区域建设</w:t>
      </w:r>
      <w:r>
        <w:rPr>
          <w:rFonts w:ascii="宋体" w:hAnsi="宋体" w:eastAsia="宋体" w:cs="宋体"/>
          <w:color w:val="auto"/>
          <w:spacing w:val="2"/>
          <w:sz w:val="21"/>
          <w:szCs w:val="21"/>
          <w:highlight w:val="none"/>
        </w:rPr>
        <w:t>市场且处于有效</w:t>
      </w:r>
      <w:r>
        <w:rPr>
          <w:rFonts w:ascii="宋体" w:hAnsi="宋体" w:eastAsia="宋体" w:cs="宋体"/>
          <w:color w:val="auto"/>
          <w:sz w:val="21"/>
          <w:szCs w:val="21"/>
          <w:highlight w:val="none"/>
        </w:rPr>
        <w:t xml:space="preserve"> </w:t>
      </w:r>
      <w:r>
        <w:rPr>
          <w:rFonts w:ascii="宋体" w:hAnsi="宋体" w:eastAsia="宋体" w:cs="宋体"/>
          <w:color w:val="auto"/>
          <w:spacing w:val="-38"/>
          <w:w w:val="98"/>
          <w:sz w:val="21"/>
          <w:szCs w:val="21"/>
          <w:highlight w:val="none"/>
        </w:rPr>
        <w:t>期内</w:t>
      </w:r>
      <w:r>
        <w:rPr>
          <w:rFonts w:ascii="宋体" w:hAnsi="宋体" w:eastAsia="宋体" w:cs="宋体"/>
          <w:color w:val="auto"/>
          <w:spacing w:val="-21"/>
          <w:sz w:val="21"/>
          <w:szCs w:val="21"/>
          <w:highlight w:val="none"/>
        </w:rPr>
        <w:t>）；</w:t>
      </w:r>
    </w:p>
    <w:p w14:paraId="653FC447">
      <w:pPr>
        <w:spacing w:before="10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宋体" w:hAnsi="宋体" w:eastAsia="宋体" w:cs="宋体"/>
          <w:color w:val="auto"/>
          <w:spacing w:val="-2"/>
          <w:sz w:val="21"/>
          <w:szCs w:val="21"/>
          <w:highlight w:val="none"/>
        </w:rPr>
        <w:t>）被责令停产停业、暂扣或者吊销许可证、暂扣或者吊销执照；</w:t>
      </w:r>
    </w:p>
    <w:p w14:paraId="33332EA5">
      <w:pPr>
        <w:spacing w:before="110"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宋体" w:hAnsi="宋体" w:eastAsia="宋体" w:cs="宋体"/>
          <w:color w:val="auto"/>
          <w:spacing w:val="-4"/>
          <w:sz w:val="21"/>
          <w:szCs w:val="21"/>
          <w:highlight w:val="none"/>
        </w:rPr>
        <w:t>）进入清算程序，或被宣告破产， 或其他丧失履约能力的情形；</w:t>
      </w:r>
    </w:p>
    <w:p w14:paraId="7A298B8F">
      <w:pPr>
        <w:spacing w:before="111" w:line="268" w:lineRule="auto"/>
        <w:ind w:left="20" w:right="10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13</w:t>
      </w:r>
      <w:r>
        <w:rPr>
          <w:rFonts w:ascii="宋体" w:hAnsi="宋体" w:eastAsia="宋体" w:cs="宋体"/>
          <w:color w:val="auto"/>
          <w:spacing w:val="-2"/>
          <w:sz w:val="21"/>
          <w:szCs w:val="21"/>
          <w:highlight w:val="none"/>
        </w:rPr>
        <w:t>）在最近三年内有骗取中标或严重违约或重大工程质量问题的 （以相关行业主</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管</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部门的行政处罚决定或司法机关出具的有关法律文书为准</w:t>
      </w:r>
      <w:r>
        <w:rPr>
          <w:rFonts w:ascii="宋体" w:hAnsi="宋体" w:eastAsia="宋体" w:cs="宋体"/>
          <w:color w:val="auto"/>
          <w:spacing w:val="-15"/>
          <w:sz w:val="21"/>
          <w:szCs w:val="21"/>
          <w:highlight w:val="none"/>
        </w:rPr>
        <w:t>）；</w:t>
      </w:r>
    </w:p>
    <w:p w14:paraId="643EDB29">
      <w:pPr>
        <w:spacing w:before="110" w:line="269" w:lineRule="auto"/>
        <w:ind w:left="21" w:right="106"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宋体" w:hAnsi="宋体"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宋体" w:hAnsi="宋体" w:eastAsia="宋体" w:cs="宋体"/>
          <w:color w:val="auto"/>
          <w:sz w:val="21"/>
          <w:szCs w:val="21"/>
          <w:highlight w:val="none"/>
        </w:rPr>
        <w:t>）中被列入严重违法</w:t>
      </w:r>
      <w:r>
        <w:rPr>
          <w:rFonts w:ascii="宋体" w:hAnsi="宋体" w:eastAsia="宋体" w:cs="宋体"/>
          <w:color w:val="auto"/>
          <w:spacing w:val="-1"/>
          <w:sz w:val="21"/>
          <w:szCs w:val="21"/>
          <w:highlight w:val="none"/>
        </w:rPr>
        <w:t>失 信</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企业名单；</w:t>
      </w:r>
    </w:p>
    <w:p w14:paraId="6BD6E0D1">
      <w:pPr>
        <w:spacing w:before="108" w:line="265" w:lineRule="auto"/>
        <w:ind w:left="24" w:firstLine="422"/>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15</w:t>
      </w:r>
      <w:r>
        <w:rPr>
          <w:rFonts w:ascii="宋体" w:hAnsi="宋体" w:eastAsia="宋体" w:cs="宋体"/>
          <w:color w:val="auto"/>
          <w:spacing w:val="1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cn</w:t>
      </w:r>
      <w:r>
        <w:rPr>
          <w:rFonts w:ascii="宋体" w:hAnsi="宋体" w:eastAsia="宋体" w:cs="宋体"/>
          <w:color w:val="auto"/>
          <w:spacing w:val="15"/>
          <w:sz w:val="21"/>
          <w:szCs w:val="21"/>
          <w:highlight w:val="none"/>
        </w:rPr>
        <w:t>）或“中国执行信息公开网”</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被列入</w:t>
      </w:r>
      <w:r>
        <w:rPr>
          <w:rFonts w:ascii="宋体" w:hAnsi="宋体" w:eastAsia="宋体" w:cs="宋体"/>
          <w:color w:val="auto"/>
          <w:spacing w:val="-3"/>
          <w:sz w:val="21"/>
          <w:szCs w:val="21"/>
          <w:highlight w:val="none"/>
        </w:rPr>
        <w:t>失信被执行人名单；</w:t>
      </w:r>
    </w:p>
    <w:p w14:paraId="78ABE55F">
      <w:pPr>
        <w:spacing w:before="118" w:line="268" w:lineRule="auto"/>
        <w:ind w:left="18" w:right="112"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16</w:t>
      </w:r>
      <w:r>
        <w:rPr>
          <w:rFonts w:ascii="宋体" w:hAnsi="宋体" w:eastAsia="宋体" w:cs="宋体"/>
          <w:color w:val="auto"/>
          <w:spacing w:val="1"/>
          <w:sz w:val="21"/>
          <w:szCs w:val="21"/>
          <w:highlight w:val="none"/>
        </w:rPr>
        <w:t>）在辽宁省建设工程招投标监督平台</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辽宁建设工程信息网上被列</w:t>
      </w:r>
      <w:r>
        <w:rPr>
          <w:rFonts w:ascii="宋体" w:hAnsi="宋体" w:eastAsia="宋体" w:cs="宋体"/>
          <w:color w:val="auto"/>
          <w:sz w:val="21"/>
          <w:szCs w:val="21"/>
          <w:highlight w:val="none"/>
        </w:rPr>
        <w:t xml:space="preserve">入不良行为记录 </w:t>
      </w:r>
      <w:r>
        <w:rPr>
          <w:rFonts w:ascii="宋体" w:hAnsi="宋体" w:eastAsia="宋体" w:cs="宋体"/>
          <w:color w:val="auto"/>
          <w:spacing w:val="-5"/>
          <w:sz w:val="21"/>
          <w:szCs w:val="21"/>
          <w:highlight w:val="none"/>
        </w:rPr>
        <w:t>且在公布期内的；</w:t>
      </w:r>
    </w:p>
    <w:p w14:paraId="380FD046">
      <w:pPr>
        <w:spacing w:before="11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17</w:t>
      </w:r>
      <w:r>
        <w:rPr>
          <w:rFonts w:ascii="宋体" w:hAnsi="宋体" w:eastAsia="宋体" w:cs="宋体"/>
          <w:color w:val="auto"/>
          <w:spacing w:val="-2"/>
          <w:sz w:val="21"/>
          <w:szCs w:val="21"/>
          <w:highlight w:val="none"/>
        </w:rPr>
        <w:t>）法律法规规定的其他情形。</w:t>
      </w:r>
    </w:p>
    <w:p w14:paraId="6AEC4379">
      <w:pPr>
        <w:spacing w:before="108" w:line="221"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B1.5</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未如实填写近年发生的诉讼及仲裁情况，隐</w:t>
      </w:r>
      <w:r>
        <w:rPr>
          <w:rFonts w:ascii="宋体" w:hAnsi="宋体" w:eastAsia="宋体" w:cs="宋体"/>
          <w:color w:val="auto"/>
          <w:spacing w:val="-2"/>
          <w:sz w:val="21"/>
          <w:szCs w:val="21"/>
          <w:highlight w:val="none"/>
        </w:rPr>
        <w:t>瞒真实情况的。</w:t>
      </w:r>
    </w:p>
    <w:p w14:paraId="5C3711B0">
      <w:pPr>
        <w:spacing w:before="167" w:line="428" w:lineRule="exact"/>
        <w:ind w:left="436"/>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B1.6 未按招标文件要求进行实名身份认证的或同一标段实名身份认证中存在不同投标</w:t>
      </w:r>
    </w:p>
    <w:p w14:paraId="1584F65A">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人之间身份证识别器码一致的。</w:t>
      </w:r>
    </w:p>
    <w:p w14:paraId="542E4CCE">
      <w:pPr>
        <w:spacing w:before="181" w:line="219"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B1.7</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投标报价明显低于企业成本可能影响履约的。</w:t>
      </w:r>
    </w:p>
    <w:p w14:paraId="141A88B3">
      <w:pPr>
        <w:spacing w:before="178" w:line="220" w:lineRule="auto"/>
        <w:ind w:left="43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B1.8</w:t>
      </w:r>
      <w:r>
        <w:rPr>
          <w:rFonts w:ascii="宋体" w:hAnsi="宋体" w:eastAsia="宋体" w:cs="宋体"/>
          <w:color w:val="auto"/>
          <w:spacing w:val="-36"/>
          <w:sz w:val="21"/>
          <w:szCs w:val="21"/>
          <w:highlight w:val="none"/>
        </w:rPr>
        <w:t xml:space="preserve"> </w:t>
      </w:r>
      <w:r>
        <w:rPr>
          <w:rFonts w:ascii="宋体" w:hAnsi="宋体" w:eastAsia="宋体" w:cs="宋体"/>
          <w:color w:val="auto"/>
          <w:spacing w:val="-5"/>
          <w:sz w:val="21"/>
          <w:szCs w:val="21"/>
          <w:highlight w:val="none"/>
        </w:rPr>
        <w:t>未按招标文件要求采用建筑信息模型技术的（如有）。</w:t>
      </w:r>
    </w:p>
    <w:p w14:paraId="0216BD80">
      <w:pPr>
        <w:spacing w:before="182" w:line="221"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B1.9</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技术标不同模块赋分点之间多个模块固定位置存在内容表述非必要性雷同的。</w:t>
      </w:r>
    </w:p>
    <w:p w14:paraId="2BA16B4A">
      <w:pPr>
        <w:pStyle w:val="3"/>
        <w:spacing w:line="245" w:lineRule="auto"/>
        <w:rPr>
          <w:color w:val="auto"/>
          <w:highlight w:val="none"/>
        </w:rPr>
      </w:pPr>
    </w:p>
    <w:p w14:paraId="6CA44BB6">
      <w:pPr>
        <w:spacing w:before="68" w:line="147" w:lineRule="exact"/>
        <w:ind w:left="467"/>
        <w:rPr>
          <w:rFonts w:ascii="仿宋" w:hAnsi="仿宋" w:eastAsia="仿宋" w:cs="仿宋"/>
          <w:color w:val="auto"/>
          <w:sz w:val="21"/>
          <w:szCs w:val="21"/>
          <w:highlight w:val="none"/>
        </w:rPr>
      </w:pPr>
      <w:r>
        <w:rPr>
          <w:rFonts w:ascii="仿宋" w:hAnsi="仿宋" w:eastAsia="仿宋" w:cs="仿宋"/>
          <w:color w:val="auto"/>
          <w:spacing w:val="-9"/>
          <w:position w:val="-3"/>
          <w:sz w:val="21"/>
          <w:szCs w:val="21"/>
          <w:highlight w:val="none"/>
        </w:rPr>
        <w:t>……</w:t>
      </w:r>
    </w:p>
    <w:p w14:paraId="0CE41FBC">
      <w:pPr>
        <w:spacing w:line="147" w:lineRule="exact"/>
        <w:rPr>
          <w:rFonts w:ascii="仿宋" w:hAnsi="仿宋" w:eastAsia="仿宋" w:cs="仿宋"/>
          <w:color w:val="auto"/>
          <w:sz w:val="21"/>
          <w:szCs w:val="21"/>
          <w:highlight w:val="none"/>
        </w:rPr>
        <w:sectPr>
          <w:footerReference r:id="rId60" w:type="default"/>
          <w:pgSz w:w="11905" w:h="16839"/>
          <w:pgMar w:top="1431" w:right="1685" w:bottom="996" w:left="1785" w:header="0" w:footer="791" w:gutter="0"/>
          <w:pgNumType w:fmt="decimal"/>
          <w:cols w:space="720" w:num="1"/>
        </w:sectPr>
      </w:pPr>
    </w:p>
    <w:p w14:paraId="166B5181">
      <w:pPr>
        <w:pStyle w:val="3"/>
        <w:spacing w:before="307" w:line="218" w:lineRule="auto"/>
        <w:ind w:left="262"/>
        <w:rPr>
          <w:rFonts w:ascii="黑体" w:hAnsi="黑体" w:eastAsia="黑体" w:cs="黑体"/>
          <w:color w:val="auto"/>
          <w:sz w:val="24"/>
          <w:szCs w:val="24"/>
          <w:highlight w:val="none"/>
        </w:rPr>
      </w:pPr>
      <w:r>
        <w:rPr>
          <w:rFonts w:ascii="黑体" w:hAnsi="黑体" w:eastAsia="黑体" w:cs="黑体"/>
          <w:color w:val="auto"/>
          <w:spacing w:val="-6"/>
          <w:sz w:val="24"/>
          <w:szCs w:val="24"/>
          <w:highlight w:val="none"/>
        </w:rPr>
        <w:t>附件</w:t>
      </w:r>
      <w:r>
        <w:rPr>
          <w:rFonts w:ascii="黑体" w:hAnsi="黑体" w:eastAsia="黑体" w:cs="黑体"/>
          <w:color w:val="auto"/>
          <w:spacing w:val="-48"/>
          <w:sz w:val="24"/>
          <w:szCs w:val="24"/>
          <w:highlight w:val="none"/>
        </w:rPr>
        <w:t xml:space="preserve"> </w:t>
      </w:r>
      <w:r>
        <w:rPr>
          <w:color w:val="auto"/>
          <w:spacing w:val="-6"/>
          <w:sz w:val="24"/>
          <w:szCs w:val="24"/>
          <w:highlight w:val="none"/>
        </w:rPr>
        <w:t>C</w:t>
      </w:r>
      <w:r>
        <w:rPr>
          <w:rFonts w:ascii="黑体" w:hAnsi="黑体" w:eastAsia="黑体" w:cs="黑体"/>
          <w:color w:val="auto"/>
          <w:spacing w:val="-6"/>
          <w:sz w:val="24"/>
          <w:szCs w:val="24"/>
          <w:highlight w:val="none"/>
        </w:rPr>
        <w:t>：定标办法</w:t>
      </w:r>
    </w:p>
    <w:p w14:paraId="6F531A31">
      <w:pPr>
        <w:pStyle w:val="3"/>
        <w:spacing w:line="471" w:lineRule="auto"/>
        <w:rPr>
          <w:color w:val="auto"/>
          <w:highlight w:val="none"/>
        </w:rPr>
      </w:pPr>
    </w:p>
    <w:p w14:paraId="753F0204">
      <w:pPr>
        <w:spacing w:before="88" w:line="216" w:lineRule="auto"/>
        <w:ind w:left="3426"/>
        <w:rPr>
          <w:rFonts w:ascii="黑体" w:hAnsi="黑体" w:eastAsia="黑体" w:cs="黑体"/>
          <w:color w:val="auto"/>
          <w:sz w:val="27"/>
          <w:szCs w:val="27"/>
          <w:highlight w:val="none"/>
        </w:rPr>
      </w:pPr>
      <w:bookmarkStart w:id="152" w:name="bookmark183"/>
      <w:bookmarkEnd w:id="152"/>
      <w:bookmarkStart w:id="153" w:name="bookmark186"/>
      <w:bookmarkEnd w:id="153"/>
      <w:bookmarkStart w:id="154" w:name="bookmark181"/>
      <w:bookmarkEnd w:id="154"/>
      <w:bookmarkStart w:id="155" w:name="bookmark184"/>
      <w:bookmarkEnd w:id="155"/>
      <w:bookmarkStart w:id="156" w:name="bookmark180"/>
      <w:bookmarkEnd w:id="156"/>
      <w:bookmarkStart w:id="157" w:name="bookmark185"/>
      <w:bookmarkEnd w:id="157"/>
      <w:bookmarkStart w:id="158" w:name="bookmark182"/>
      <w:bookmarkEnd w:id="158"/>
      <w:bookmarkStart w:id="159" w:name="bookmark187"/>
      <w:bookmarkEnd w:id="159"/>
      <w:r>
        <w:rPr>
          <w:rFonts w:ascii="黑体" w:hAnsi="黑体" w:eastAsia="黑体" w:cs="黑体"/>
          <w:color w:val="auto"/>
          <w:spacing w:val="7"/>
          <w:sz w:val="27"/>
          <w:szCs w:val="27"/>
          <w:highlight w:val="none"/>
        </w:rPr>
        <w:t>定标办法前附表</w:t>
      </w:r>
    </w:p>
    <w:tbl>
      <w:tblPr>
        <w:tblStyle w:val="10"/>
        <w:tblW w:w="879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07"/>
        <w:gridCol w:w="2030"/>
        <w:gridCol w:w="3827"/>
        <w:gridCol w:w="1564"/>
      </w:tblGrid>
      <w:tr w14:paraId="4BA7C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370" w:type="dxa"/>
            <w:gridSpan w:val="2"/>
            <w:tcBorders>
              <w:top w:val="single" w:color="000000" w:sz="2" w:space="0"/>
              <w:left w:val="single" w:color="000000" w:sz="2" w:space="0"/>
            </w:tcBorders>
            <w:vAlign w:val="top"/>
          </w:tcPr>
          <w:p w14:paraId="5B7D030B">
            <w:pPr>
              <w:pStyle w:val="11"/>
              <w:spacing w:before="34" w:line="212" w:lineRule="auto"/>
              <w:ind w:left="379"/>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030" w:type="dxa"/>
            <w:tcBorders>
              <w:top w:val="single" w:color="000000" w:sz="2" w:space="0"/>
            </w:tcBorders>
            <w:vAlign w:val="top"/>
          </w:tcPr>
          <w:p w14:paraId="1CAA38A8">
            <w:pPr>
              <w:pStyle w:val="11"/>
              <w:spacing w:before="34" w:line="212" w:lineRule="auto"/>
              <w:ind w:left="601"/>
              <w:rPr>
                <w:color w:val="auto"/>
                <w:highlight w:val="none"/>
              </w:rPr>
            </w:pPr>
            <w:r>
              <w:rPr>
                <w:color w:val="auto"/>
                <w:spacing w:val="-1"/>
                <w:highlight w:val="none"/>
                <w14:textOutline w14:w="3831" w14:cap="flat" w14:cmpd="sng">
                  <w14:solidFill>
                    <w14:srgbClr w14:val="000000"/>
                  </w14:solidFill>
                  <w14:prstDash w14:val="solid"/>
                  <w14:miter w14:val="0"/>
                </w14:textOutline>
              </w:rPr>
              <w:t>条款内容</w:t>
            </w:r>
          </w:p>
        </w:tc>
        <w:tc>
          <w:tcPr>
            <w:tcW w:w="5391" w:type="dxa"/>
            <w:gridSpan w:val="2"/>
            <w:tcBorders>
              <w:top w:val="single" w:color="000000" w:sz="2" w:space="0"/>
              <w:right w:val="single" w:color="000000" w:sz="2" w:space="0"/>
            </w:tcBorders>
            <w:vAlign w:val="top"/>
          </w:tcPr>
          <w:p w14:paraId="63BCA221">
            <w:pPr>
              <w:pStyle w:val="11"/>
              <w:spacing w:before="34" w:line="212" w:lineRule="auto"/>
              <w:ind w:left="2451"/>
              <w:rPr>
                <w:color w:val="auto"/>
                <w:highlight w:val="none"/>
              </w:rPr>
            </w:pPr>
            <w:r>
              <w:rPr>
                <w:color w:val="auto"/>
                <w:spacing w:val="-1"/>
                <w:highlight w:val="none"/>
                <w14:textOutline w14:w="3831" w14:cap="flat" w14:cmpd="sng">
                  <w14:solidFill>
                    <w14:srgbClr w14:val="000000"/>
                  </w14:solidFill>
                  <w14:prstDash w14:val="solid"/>
                  <w14:miter w14:val="0"/>
                </w14:textOutline>
              </w:rPr>
              <w:t>编列内容</w:t>
            </w:r>
          </w:p>
        </w:tc>
      </w:tr>
      <w:tr w14:paraId="68E75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63" w:type="dxa"/>
            <w:vMerge w:val="restart"/>
            <w:tcBorders>
              <w:left w:val="single" w:color="000000" w:sz="2" w:space="0"/>
              <w:bottom w:val="nil"/>
              <w:right w:val="single" w:color="000000" w:sz="2" w:space="0"/>
            </w:tcBorders>
            <w:vAlign w:val="top"/>
          </w:tcPr>
          <w:p w14:paraId="73EA0697">
            <w:pPr>
              <w:spacing w:line="270" w:lineRule="auto"/>
              <w:rPr>
                <w:rFonts w:ascii="Arial"/>
                <w:color w:val="auto"/>
                <w:sz w:val="21"/>
                <w:highlight w:val="none"/>
              </w:rPr>
            </w:pPr>
          </w:p>
          <w:p w14:paraId="0DB0B907">
            <w:pPr>
              <w:spacing w:line="271" w:lineRule="auto"/>
              <w:rPr>
                <w:rFonts w:ascii="Arial"/>
                <w:color w:val="auto"/>
                <w:sz w:val="21"/>
                <w:highlight w:val="none"/>
              </w:rPr>
            </w:pPr>
          </w:p>
          <w:p w14:paraId="3DF05E81">
            <w:pPr>
              <w:pStyle w:val="11"/>
              <w:spacing w:before="68" w:line="183" w:lineRule="auto"/>
              <w:ind w:left="183"/>
              <w:rPr>
                <w:color w:val="auto"/>
                <w:highlight w:val="none"/>
              </w:rPr>
            </w:pPr>
            <w:r>
              <w:rPr>
                <w:color w:val="auto"/>
                <w:spacing w:val="-2"/>
                <w:highlight w:val="none"/>
              </w:rPr>
              <w:t>2.1</w:t>
            </w:r>
          </w:p>
        </w:tc>
        <w:tc>
          <w:tcPr>
            <w:tcW w:w="707" w:type="dxa"/>
            <w:vMerge w:val="restart"/>
            <w:tcBorders>
              <w:left w:val="single" w:color="000000" w:sz="2" w:space="0"/>
              <w:bottom w:val="nil"/>
            </w:tcBorders>
            <w:vAlign w:val="top"/>
          </w:tcPr>
          <w:p w14:paraId="69DF2C08">
            <w:pPr>
              <w:spacing w:line="369" w:lineRule="auto"/>
              <w:rPr>
                <w:rFonts w:ascii="Arial"/>
                <w:color w:val="auto"/>
                <w:sz w:val="21"/>
                <w:highlight w:val="none"/>
              </w:rPr>
            </w:pPr>
          </w:p>
          <w:p w14:paraId="01314DD9">
            <w:pPr>
              <w:pStyle w:val="11"/>
              <w:spacing w:before="68" w:line="231" w:lineRule="auto"/>
              <w:ind w:left="148" w:right="138" w:firstLine="3"/>
              <w:rPr>
                <w:color w:val="auto"/>
                <w:highlight w:val="none"/>
              </w:rPr>
            </w:pPr>
            <w:r>
              <w:rPr>
                <w:color w:val="auto"/>
                <w:spacing w:val="-6"/>
                <w:highlight w:val="none"/>
              </w:rPr>
              <w:t>定标</w:t>
            </w:r>
            <w:r>
              <w:rPr>
                <w:color w:val="auto"/>
                <w:highlight w:val="none"/>
              </w:rPr>
              <w:t xml:space="preserve"> </w:t>
            </w:r>
            <w:r>
              <w:rPr>
                <w:color w:val="auto"/>
                <w:spacing w:val="-4"/>
                <w:highlight w:val="none"/>
              </w:rPr>
              <w:t>准备</w:t>
            </w:r>
          </w:p>
        </w:tc>
        <w:tc>
          <w:tcPr>
            <w:tcW w:w="2030" w:type="dxa"/>
            <w:vAlign w:val="top"/>
          </w:tcPr>
          <w:p w14:paraId="1D0777FC">
            <w:pPr>
              <w:pStyle w:val="11"/>
              <w:spacing w:before="160" w:line="220" w:lineRule="auto"/>
              <w:ind w:left="292"/>
              <w:rPr>
                <w:color w:val="auto"/>
                <w:highlight w:val="none"/>
              </w:rPr>
            </w:pPr>
            <w:r>
              <w:rPr>
                <w:color w:val="auto"/>
                <w:spacing w:val="-2"/>
                <w:highlight w:val="none"/>
              </w:rPr>
              <w:t>定标委员会组成</w:t>
            </w:r>
          </w:p>
        </w:tc>
        <w:tc>
          <w:tcPr>
            <w:tcW w:w="5391" w:type="dxa"/>
            <w:gridSpan w:val="2"/>
            <w:tcBorders>
              <w:right w:val="single" w:color="000000" w:sz="2" w:space="0"/>
            </w:tcBorders>
            <w:vAlign w:val="top"/>
          </w:tcPr>
          <w:p w14:paraId="32768C5C">
            <w:pPr>
              <w:pStyle w:val="11"/>
              <w:spacing w:before="25" w:line="213" w:lineRule="auto"/>
              <w:ind w:left="115" w:right="101" w:firstLine="346"/>
              <w:rPr>
                <w:color w:val="auto"/>
                <w:highlight w:val="none"/>
              </w:rPr>
            </w:pPr>
            <w:r>
              <w:rPr>
                <w:color w:val="auto"/>
                <w:spacing w:val="-1"/>
                <w:highlight w:val="none"/>
              </w:rPr>
              <w:t>定标委员会由本单位或本系统在职人员或邀请外部专</w:t>
            </w:r>
            <w:r>
              <w:rPr>
                <w:color w:val="auto"/>
                <w:spacing w:val="12"/>
                <w:highlight w:val="none"/>
              </w:rPr>
              <w:t xml:space="preserve"> </w:t>
            </w:r>
            <w:r>
              <w:rPr>
                <w:color w:val="auto"/>
                <w:spacing w:val="-4"/>
                <w:highlight w:val="none"/>
              </w:rPr>
              <w:t>业技术人员共</w:t>
            </w:r>
            <w:r>
              <w:rPr>
                <w:color w:val="auto"/>
                <w:spacing w:val="22"/>
                <w:highlight w:val="none"/>
              </w:rPr>
              <w:t xml:space="preserve">   </w:t>
            </w:r>
            <w:r>
              <w:rPr>
                <w:color w:val="auto"/>
                <w:spacing w:val="-4"/>
                <w:highlight w:val="none"/>
              </w:rPr>
              <w:t>人组成。</w:t>
            </w:r>
          </w:p>
        </w:tc>
      </w:tr>
      <w:tr w14:paraId="6BB37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63" w:type="dxa"/>
            <w:vMerge w:val="continue"/>
            <w:tcBorders>
              <w:top w:val="nil"/>
              <w:left w:val="single" w:color="000000" w:sz="2" w:space="0"/>
              <w:right w:val="single" w:color="000000" w:sz="2" w:space="0"/>
            </w:tcBorders>
            <w:vAlign w:val="top"/>
          </w:tcPr>
          <w:p w14:paraId="129466F4">
            <w:pPr>
              <w:rPr>
                <w:rFonts w:ascii="Arial"/>
                <w:color w:val="auto"/>
                <w:sz w:val="21"/>
                <w:highlight w:val="none"/>
              </w:rPr>
            </w:pPr>
          </w:p>
        </w:tc>
        <w:tc>
          <w:tcPr>
            <w:tcW w:w="707" w:type="dxa"/>
            <w:vMerge w:val="continue"/>
            <w:tcBorders>
              <w:top w:val="nil"/>
              <w:left w:val="single" w:color="000000" w:sz="2" w:space="0"/>
            </w:tcBorders>
            <w:vAlign w:val="top"/>
          </w:tcPr>
          <w:p w14:paraId="0A708F83">
            <w:pPr>
              <w:rPr>
                <w:rFonts w:ascii="Arial"/>
                <w:color w:val="auto"/>
                <w:sz w:val="21"/>
                <w:highlight w:val="none"/>
              </w:rPr>
            </w:pPr>
          </w:p>
        </w:tc>
        <w:tc>
          <w:tcPr>
            <w:tcW w:w="2030" w:type="dxa"/>
            <w:vAlign w:val="top"/>
          </w:tcPr>
          <w:p w14:paraId="3E61F4F8">
            <w:pPr>
              <w:spacing w:line="257" w:lineRule="auto"/>
              <w:rPr>
                <w:rFonts w:ascii="Arial"/>
                <w:color w:val="auto"/>
                <w:sz w:val="21"/>
                <w:highlight w:val="none"/>
              </w:rPr>
            </w:pPr>
          </w:p>
          <w:p w14:paraId="69E01C6E">
            <w:pPr>
              <w:pStyle w:val="11"/>
              <w:spacing w:before="68" w:line="221" w:lineRule="auto"/>
              <w:ind w:left="604"/>
              <w:rPr>
                <w:color w:val="auto"/>
                <w:highlight w:val="none"/>
              </w:rPr>
            </w:pPr>
            <w:r>
              <w:rPr>
                <w:color w:val="auto"/>
                <w:spacing w:val="-2"/>
                <w:highlight w:val="none"/>
              </w:rPr>
              <w:t>定标原则</w:t>
            </w:r>
          </w:p>
        </w:tc>
        <w:tc>
          <w:tcPr>
            <w:tcW w:w="5391" w:type="dxa"/>
            <w:gridSpan w:val="2"/>
            <w:tcBorders>
              <w:right w:val="single" w:color="000000" w:sz="2" w:space="0"/>
            </w:tcBorders>
            <w:vAlign w:val="top"/>
          </w:tcPr>
          <w:p w14:paraId="67CFB9E9">
            <w:pPr>
              <w:pStyle w:val="11"/>
              <w:spacing w:before="52" w:line="227" w:lineRule="auto"/>
              <w:ind w:left="115" w:right="101" w:firstLine="345"/>
              <w:jc w:val="both"/>
              <w:rPr>
                <w:color w:val="auto"/>
                <w:highlight w:val="none"/>
              </w:rPr>
            </w:pPr>
            <w:r>
              <w:rPr>
                <w:color w:val="auto"/>
                <w:spacing w:val="-1"/>
                <w:highlight w:val="none"/>
              </w:rPr>
              <w:t>定标工作由招标人组建的定标委员会负责。招标人应</w:t>
            </w:r>
            <w:r>
              <w:rPr>
                <w:color w:val="auto"/>
                <w:spacing w:val="12"/>
                <w:highlight w:val="none"/>
              </w:rPr>
              <w:t xml:space="preserve"> </w:t>
            </w:r>
            <w:r>
              <w:rPr>
                <w:color w:val="auto"/>
                <w:spacing w:val="5"/>
                <w:highlight w:val="none"/>
              </w:rPr>
              <w:t>当根据招标项目类型、项目具体特点和实现履约需要分</w:t>
            </w:r>
            <w:r>
              <w:rPr>
                <w:color w:val="auto"/>
                <w:highlight w:val="none"/>
              </w:rPr>
              <w:t xml:space="preserve"> </w:t>
            </w:r>
            <w:r>
              <w:rPr>
                <w:color w:val="auto"/>
                <w:spacing w:val="-2"/>
                <w:highlight w:val="none"/>
              </w:rPr>
              <w:t>类确定单一或若干定标因素。</w:t>
            </w:r>
          </w:p>
        </w:tc>
      </w:tr>
      <w:tr w14:paraId="74D4B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7FB54640">
            <w:pPr>
              <w:pStyle w:val="11"/>
              <w:spacing w:before="41" w:line="199" w:lineRule="auto"/>
              <w:ind w:left="379"/>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030" w:type="dxa"/>
            <w:vAlign w:val="top"/>
          </w:tcPr>
          <w:p w14:paraId="1BCDAB2D">
            <w:pPr>
              <w:pStyle w:val="11"/>
              <w:spacing w:before="41" w:line="199" w:lineRule="auto"/>
              <w:ind w:left="604"/>
              <w:rPr>
                <w:color w:val="auto"/>
                <w:highlight w:val="none"/>
              </w:rPr>
            </w:pPr>
            <w:r>
              <w:rPr>
                <w:color w:val="auto"/>
                <w:spacing w:val="-2"/>
                <w:highlight w:val="none"/>
                <w14:textOutline w14:w="3831" w14:cap="flat" w14:cmpd="sng">
                  <w14:solidFill>
                    <w14:srgbClr w14:val="000000"/>
                  </w14:solidFill>
                  <w14:prstDash w14:val="solid"/>
                  <w14:miter w14:val="0"/>
                </w14:textOutline>
              </w:rPr>
              <w:t>定标因素</w:t>
            </w:r>
          </w:p>
        </w:tc>
        <w:tc>
          <w:tcPr>
            <w:tcW w:w="3827" w:type="dxa"/>
            <w:tcBorders>
              <w:right w:val="single" w:color="000000" w:sz="2" w:space="0"/>
            </w:tcBorders>
            <w:vAlign w:val="top"/>
          </w:tcPr>
          <w:p w14:paraId="6CE548A0">
            <w:pPr>
              <w:pStyle w:val="11"/>
              <w:spacing w:before="41" w:line="199" w:lineRule="auto"/>
              <w:ind w:left="1671"/>
              <w:rPr>
                <w:color w:val="auto"/>
                <w:highlight w:val="none"/>
              </w:rPr>
            </w:pPr>
            <w:r>
              <w:rPr>
                <w:color w:val="auto"/>
                <w:spacing w:val="-2"/>
                <w:highlight w:val="none"/>
                <w14:textOutline w14:w="3831" w14:cap="flat" w14:cmpd="sng">
                  <w14:solidFill>
                    <w14:srgbClr w14:val="000000"/>
                  </w14:solidFill>
                  <w14:prstDash w14:val="solid"/>
                  <w14:miter w14:val="0"/>
                </w14:textOutline>
              </w:rPr>
              <w:t>定标规则</w:t>
            </w:r>
          </w:p>
        </w:tc>
        <w:tc>
          <w:tcPr>
            <w:tcW w:w="1564" w:type="dxa"/>
            <w:tcBorders>
              <w:left w:val="single" w:color="000000" w:sz="2" w:space="0"/>
              <w:right w:val="single" w:color="000000" w:sz="2" w:space="0"/>
            </w:tcBorders>
            <w:vAlign w:val="top"/>
          </w:tcPr>
          <w:p w14:paraId="4D58BBA5">
            <w:pPr>
              <w:pStyle w:val="11"/>
              <w:spacing w:before="41" w:line="199" w:lineRule="auto"/>
              <w:ind w:left="314"/>
              <w:rPr>
                <w:color w:val="auto"/>
                <w:highlight w:val="none"/>
              </w:rPr>
            </w:pPr>
            <w:r>
              <w:rPr>
                <w:color w:val="auto"/>
                <w:spacing w:val="-1"/>
                <w:highlight w:val="none"/>
                <w14:textOutline w14:w="3831" w14:cap="flat" w14:cmpd="sng">
                  <w14:solidFill>
                    <w14:srgbClr w14:val="000000"/>
                  </w14:solidFill>
                  <w14:prstDash w14:val="solid"/>
                  <w14:miter w14:val="0"/>
                </w14:textOutline>
              </w:rPr>
              <w:t>权重（%）</w:t>
            </w:r>
          </w:p>
        </w:tc>
      </w:tr>
      <w:tr w14:paraId="4ED16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restart"/>
            <w:tcBorders>
              <w:left w:val="single" w:color="000000" w:sz="2" w:space="0"/>
              <w:bottom w:val="nil"/>
            </w:tcBorders>
            <w:vAlign w:val="top"/>
          </w:tcPr>
          <w:p w14:paraId="4A24BE68">
            <w:pPr>
              <w:spacing w:line="252" w:lineRule="auto"/>
              <w:rPr>
                <w:rFonts w:ascii="Arial"/>
                <w:color w:val="auto"/>
                <w:sz w:val="21"/>
                <w:highlight w:val="none"/>
              </w:rPr>
            </w:pPr>
          </w:p>
          <w:p w14:paraId="2757039B">
            <w:pPr>
              <w:spacing w:line="252" w:lineRule="auto"/>
              <w:rPr>
                <w:rFonts w:ascii="Arial"/>
                <w:color w:val="auto"/>
                <w:sz w:val="21"/>
                <w:highlight w:val="none"/>
              </w:rPr>
            </w:pPr>
          </w:p>
          <w:p w14:paraId="6E65F261">
            <w:pPr>
              <w:spacing w:line="253" w:lineRule="auto"/>
              <w:rPr>
                <w:rFonts w:ascii="Arial"/>
                <w:color w:val="auto"/>
                <w:sz w:val="21"/>
                <w:highlight w:val="none"/>
              </w:rPr>
            </w:pPr>
          </w:p>
          <w:p w14:paraId="0D5F6445">
            <w:pPr>
              <w:spacing w:line="253" w:lineRule="auto"/>
              <w:rPr>
                <w:rFonts w:ascii="Arial"/>
                <w:color w:val="auto"/>
                <w:sz w:val="21"/>
                <w:highlight w:val="none"/>
              </w:rPr>
            </w:pPr>
          </w:p>
          <w:p w14:paraId="69BDB7E9">
            <w:pPr>
              <w:spacing w:line="253" w:lineRule="auto"/>
              <w:rPr>
                <w:rFonts w:ascii="Arial"/>
                <w:color w:val="auto"/>
                <w:sz w:val="21"/>
                <w:highlight w:val="none"/>
              </w:rPr>
            </w:pPr>
          </w:p>
          <w:p w14:paraId="5E20C68F">
            <w:pPr>
              <w:spacing w:line="253" w:lineRule="auto"/>
              <w:rPr>
                <w:rFonts w:ascii="Arial"/>
                <w:color w:val="auto"/>
                <w:sz w:val="21"/>
                <w:highlight w:val="none"/>
              </w:rPr>
            </w:pPr>
          </w:p>
          <w:p w14:paraId="51641BB7">
            <w:pPr>
              <w:spacing w:line="253" w:lineRule="auto"/>
              <w:rPr>
                <w:rFonts w:ascii="Arial"/>
                <w:color w:val="auto"/>
                <w:sz w:val="21"/>
                <w:highlight w:val="none"/>
              </w:rPr>
            </w:pPr>
          </w:p>
          <w:p w14:paraId="1C5A84DA">
            <w:pPr>
              <w:spacing w:line="253" w:lineRule="auto"/>
              <w:rPr>
                <w:rFonts w:ascii="Arial"/>
                <w:color w:val="auto"/>
                <w:sz w:val="21"/>
                <w:highlight w:val="none"/>
              </w:rPr>
            </w:pPr>
          </w:p>
          <w:p w14:paraId="2BE56A9E">
            <w:pPr>
              <w:spacing w:line="253" w:lineRule="auto"/>
              <w:rPr>
                <w:rFonts w:ascii="Arial"/>
                <w:color w:val="auto"/>
                <w:sz w:val="21"/>
                <w:highlight w:val="none"/>
              </w:rPr>
            </w:pPr>
          </w:p>
          <w:p w14:paraId="62ECC6F3">
            <w:pPr>
              <w:spacing w:line="253" w:lineRule="auto"/>
              <w:rPr>
                <w:rFonts w:ascii="Arial"/>
                <w:color w:val="auto"/>
                <w:sz w:val="21"/>
                <w:highlight w:val="none"/>
              </w:rPr>
            </w:pPr>
          </w:p>
          <w:p w14:paraId="4C6858F9">
            <w:pPr>
              <w:spacing w:line="253" w:lineRule="auto"/>
              <w:rPr>
                <w:rFonts w:ascii="Arial"/>
                <w:color w:val="auto"/>
                <w:sz w:val="21"/>
                <w:highlight w:val="none"/>
              </w:rPr>
            </w:pPr>
          </w:p>
          <w:p w14:paraId="6D29FA52">
            <w:pPr>
              <w:pStyle w:val="11"/>
              <w:spacing w:before="68" w:line="182" w:lineRule="auto"/>
              <w:ind w:left="539"/>
              <w:rPr>
                <w:color w:val="auto"/>
                <w:highlight w:val="none"/>
              </w:rPr>
            </w:pPr>
            <w:r>
              <w:rPr>
                <w:color w:val="auto"/>
                <w:spacing w:val="-2"/>
                <w:highlight w:val="none"/>
              </w:rPr>
              <w:t>2.2</w:t>
            </w:r>
          </w:p>
        </w:tc>
        <w:tc>
          <w:tcPr>
            <w:tcW w:w="2030" w:type="dxa"/>
            <w:vAlign w:val="top"/>
          </w:tcPr>
          <w:p w14:paraId="187EB9C9">
            <w:pPr>
              <w:pStyle w:val="11"/>
              <w:spacing w:before="41" w:line="199" w:lineRule="auto"/>
              <w:ind w:left="181"/>
              <w:rPr>
                <w:color w:val="auto"/>
                <w:highlight w:val="none"/>
              </w:rPr>
            </w:pPr>
            <w:r>
              <w:rPr>
                <w:color w:val="auto"/>
                <w:spacing w:val="-1"/>
                <w:highlight w:val="none"/>
              </w:rPr>
              <w:t>评标报告审核报告</w:t>
            </w:r>
          </w:p>
        </w:tc>
        <w:tc>
          <w:tcPr>
            <w:tcW w:w="3827" w:type="dxa"/>
            <w:tcBorders>
              <w:right w:val="single" w:color="000000" w:sz="2" w:space="0"/>
            </w:tcBorders>
            <w:vAlign w:val="top"/>
          </w:tcPr>
          <w:p w14:paraId="72E46E2B">
            <w:pPr>
              <w:rPr>
                <w:rFonts w:ascii="Arial"/>
                <w:color w:val="auto"/>
                <w:sz w:val="21"/>
                <w:highlight w:val="none"/>
              </w:rPr>
            </w:pPr>
          </w:p>
        </w:tc>
        <w:tc>
          <w:tcPr>
            <w:tcW w:w="1564" w:type="dxa"/>
            <w:tcBorders>
              <w:left w:val="single" w:color="000000" w:sz="2" w:space="0"/>
              <w:right w:val="single" w:color="000000" w:sz="2" w:space="0"/>
            </w:tcBorders>
            <w:vAlign w:val="top"/>
          </w:tcPr>
          <w:p w14:paraId="08EAB2E9">
            <w:pPr>
              <w:pStyle w:val="11"/>
              <w:spacing w:before="41" w:line="199" w:lineRule="auto"/>
              <w:ind w:left="160"/>
              <w:rPr>
                <w:color w:val="auto"/>
                <w:highlight w:val="none"/>
              </w:rPr>
            </w:pPr>
            <w:r>
              <w:rPr>
                <w:color w:val="auto"/>
                <w:spacing w:val="-1"/>
                <w:highlight w:val="none"/>
                <w14:textOutline w14:w="3831" w14:cap="flat" w14:cmpd="sng">
                  <w14:solidFill>
                    <w14:srgbClr w14:val="000000"/>
                  </w14:solidFill>
                  <w14:prstDash w14:val="solid"/>
                  <w14:miter w14:val="0"/>
                </w14:textOutline>
              </w:rPr>
              <w:t>非必须设定项</w:t>
            </w:r>
          </w:p>
        </w:tc>
      </w:tr>
      <w:tr w14:paraId="442FF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1078DAAA">
            <w:pPr>
              <w:rPr>
                <w:rFonts w:ascii="Arial"/>
                <w:color w:val="auto"/>
                <w:sz w:val="21"/>
                <w:highlight w:val="none"/>
              </w:rPr>
            </w:pPr>
          </w:p>
        </w:tc>
        <w:tc>
          <w:tcPr>
            <w:tcW w:w="2030" w:type="dxa"/>
            <w:vAlign w:val="top"/>
          </w:tcPr>
          <w:p w14:paraId="68AA563C">
            <w:pPr>
              <w:pStyle w:val="11"/>
              <w:spacing w:before="36" w:line="200" w:lineRule="auto"/>
              <w:ind w:left="185"/>
              <w:rPr>
                <w:color w:val="auto"/>
                <w:highlight w:val="none"/>
              </w:rPr>
            </w:pPr>
            <w:r>
              <w:rPr>
                <w:color w:val="auto"/>
                <w:spacing w:val="-1"/>
                <w:highlight w:val="none"/>
              </w:rPr>
              <w:t>履约能力核查报告</w:t>
            </w:r>
          </w:p>
        </w:tc>
        <w:tc>
          <w:tcPr>
            <w:tcW w:w="3827" w:type="dxa"/>
            <w:tcBorders>
              <w:right w:val="single" w:color="000000" w:sz="2" w:space="0"/>
            </w:tcBorders>
            <w:vAlign w:val="top"/>
          </w:tcPr>
          <w:p w14:paraId="5285D6D3">
            <w:pPr>
              <w:rPr>
                <w:rFonts w:ascii="Arial"/>
                <w:color w:val="auto"/>
                <w:sz w:val="21"/>
                <w:highlight w:val="none"/>
              </w:rPr>
            </w:pPr>
          </w:p>
        </w:tc>
        <w:tc>
          <w:tcPr>
            <w:tcW w:w="1564" w:type="dxa"/>
            <w:tcBorders>
              <w:left w:val="single" w:color="000000" w:sz="2" w:space="0"/>
              <w:right w:val="single" w:color="000000" w:sz="2" w:space="0"/>
            </w:tcBorders>
            <w:vAlign w:val="top"/>
          </w:tcPr>
          <w:p w14:paraId="53D6357D">
            <w:pPr>
              <w:rPr>
                <w:rFonts w:ascii="Arial"/>
                <w:color w:val="auto"/>
                <w:sz w:val="21"/>
                <w:highlight w:val="none"/>
              </w:rPr>
            </w:pPr>
          </w:p>
        </w:tc>
      </w:tr>
      <w:tr w14:paraId="3B9E2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A7038AA">
            <w:pPr>
              <w:rPr>
                <w:rFonts w:ascii="Arial"/>
                <w:color w:val="auto"/>
                <w:sz w:val="21"/>
                <w:highlight w:val="none"/>
              </w:rPr>
            </w:pPr>
          </w:p>
        </w:tc>
        <w:tc>
          <w:tcPr>
            <w:tcW w:w="2030" w:type="dxa"/>
            <w:vAlign w:val="top"/>
          </w:tcPr>
          <w:p w14:paraId="7362B3C8">
            <w:pPr>
              <w:pStyle w:val="11"/>
              <w:spacing w:before="40" w:line="200" w:lineRule="auto"/>
              <w:ind w:left="602"/>
              <w:rPr>
                <w:color w:val="auto"/>
                <w:highlight w:val="none"/>
              </w:rPr>
            </w:pPr>
            <w:r>
              <w:rPr>
                <w:color w:val="auto"/>
                <w:spacing w:val="-2"/>
                <w:highlight w:val="none"/>
              </w:rPr>
              <w:t>投标报价</w:t>
            </w:r>
          </w:p>
        </w:tc>
        <w:tc>
          <w:tcPr>
            <w:tcW w:w="3827" w:type="dxa"/>
            <w:tcBorders>
              <w:right w:val="single" w:color="000000" w:sz="2" w:space="0"/>
            </w:tcBorders>
            <w:vAlign w:val="top"/>
          </w:tcPr>
          <w:p w14:paraId="5DD4319F">
            <w:pPr>
              <w:rPr>
                <w:rFonts w:ascii="Arial"/>
                <w:color w:val="auto"/>
                <w:sz w:val="21"/>
                <w:highlight w:val="none"/>
              </w:rPr>
            </w:pPr>
          </w:p>
        </w:tc>
        <w:tc>
          <w:tcPr>
            <w:tcW w:w="1564" w:type="dxa"/>
            <w:tcBorders>
              <w:left w:val="single" w:color="000000" w:sz="2" w:space="0"/>
              <w:right w:val="single" w:color="000000" w:sz="2" w:space="0"/>
            </w:tcBorders>
            <w:vAlign w:val="top"/>
          </w:tcPr>
          <w:p w14:paraId="23F8F386">
            <w:pPr>
              <w:rPr>
                <w:rFonts w:ascii="Arial"/>
                <w:color w:val="auto"/>
                <w:sz w:val="21"/>
                <w:highlight w:val="none"/>
              </w:rPr>
            </w:pPr>
          </w:p>
        </w:tc>
      </w:tr>
      <w:tr w14:paraId="158E0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1754AAFC">
            <w:pPr>
              <w:rPr>
                <w:rFonts w:ascii="Arial"/>
                <w:color w:val="auto"/>
                <w:sz w:val="21"/>
                <w:highlight w:val="none"/>
              </w:rPr>
            </w:pPr>
          </w:p>
        </w:tc>
        <w:tc>
          <w:tcPr>
            <w:tcW w:w="2030" w:type="dxa"/>
            <w:vAlign w:val="top"/>
          </w:tcPr>
          <w:p w14:paraId="1E746573">
            <w:pPr>
              <w:pStyle w:val="11"/>
              <w:spacing w:before="40" w:line="200" w:lineRule="auto"/>
              <w:ind w:left="618"/>
              <w:rPr>
                <w:color w:val="auto"/>
                <w:highlight w:val="none"/>
              </w:rPr>
            </w:pPr>
            <w:r>
              <w:rPr>
                <w:color w:val="auto"/>
                <w:spacing w:val="-5"/>
                <w:highlight w:val="none"/>
              </w:rPr>
              <w:t>团队实力</w:t>
            </w:r>
          </w:p>
        </w:tc>
        <w:tc>
          <w:tcPr>
            <w:tcW w:w="3827" w:type="dxa"/>
            <w:tcBorders>
              <w:right w:val="single" w:color="000000" w:sz="2" w:space="0"/>
            </w:tcBorders>
            <w:vAlign w:val="top"/>
          </w:tcPr>
          <w:p w14:paraId="30864E52">
            <w:pPr>
              <w:rPr>
                <w:rFonts w:ascii="Arial"/>
                <w:color w:val="auto"/>
                <w:sz w:val="21"/>
                <w:highlight w:val="none"/>
              </w:rPr>
            </w:pPr>
          </w:p>
        </w:tc>
        <w:tc>
          <w:tcPr>
            <w:tcW w:w="1564" w:type="dxa"/>
            <w:tcBorders>
              <w:left w:val="single" w:color="000000" w:sz="2" w:space="0"/>
              <w:right w:val="single" w:color="000000" w:sz="2" w:space="0"/>
            </w:tcBorders>
            <w:vAlign w:val="top"/>
          </w:tcPr>
          <w:p w14:paraId="1AA04918">
            <w:pPr>
              <w:rPr>
                <w:rFonts w:ascii="Arial"/>
                <w:color w:val="auto"/>
                <w:sz w:val="21"/>
                <w:highlight w:val="none"/>
              </w:rPr>
            </w:pPr>
          </w:p>
        </w:tc>
      </w:tr>
      <w:tr w14:paraId="5286D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559CC22C">
            <w:pPr>
              <w:rPr>
                <w:rFonts w:ascii="Arial"/>
                <w:color w:val="auto"/>
                <w:sz w:val="21"/>
                <w:highlight w:val="none"/>
              </w:rPr>
            </w:pPr>
          </w:p>
        </w:tc>
        <w:tc>
          <w:tcPr>
            <w:tcW w:w="2030" w:type="dxa"/>
            <w:vAlign w:val="top"/>
          </w:tcPr>
          <w:p w14:paraId="630EE98D">
            <w:pPr>
              <w:pStyle w:val="11"/>
              <w:spacing w:before="41" w:line="200" w:lineRule="auto"/>
              <w:ind w:left="604"/>
              <w:rPr>
                <w:color w:val="auto"/>
                <w:highlight w:val="none"/>
              </w:rPr>
            </w:pPr>
            <w:r>
              <w:rPr>
                <w:color w:val="auto"/>
                <w:spacing w:val="-2"/>
                <w:highlight w:val="none"/>
              </w:rPr>
              <w:t>实施方案</w:t>
            </w:r>
          </w:p>
        </w:tc>
        <w:tc>
          <w:tcPr>
            <w:tcW w:w="3827" w:type="dxa"/>
            <w:tcBorders>
              <w:right w:val="single" w:color="000000" w:sz="2" w:space="0"/>
            </w:tcBorders>
            <w:vAlign w:val="top"/>
          </w:tcPr>
          <w:p w14:paraId="456D7A30">
            <w:pPr>
              <w:rPr>
                <w:rFonts w:ascii="Arial"/>
                <w:color w:val="auto"/>
                <w:sz w:val="21"/>
                <w:highlight w:val="none"/>
              </w:rPr>
            </w:pPr>
          </w:p>
        </w:tc>
        <w:tc>
          <w:tcPr>
            <w:tcW w:w="1564" w:type="dxa"/>
            <w:tcBorders>
              <w:left w:val="single" w:color="000000" w:sz="2" w:space="0"/>
              <w:right w:val="single" w:color="000000" w:sz="2" w:space="0"/>
            </w:tcBorders>
            <w:vAlign w:val="top"/>
          </w:tcPr>
          <w:p w14:paraId="25161547">
            <w:pPr>
              <w:rPr>
                <w:rFonts w:ascii="Arial"/>
                <w:color w:val="auto"/>
                <w:sz w:val="21"/>
                <w:highlight w:val="none"/>
              </w:rPr>
            </w:pPr>
          </w:p>
        </w:tc>
      </w:tr>
      <w:tr w14:paraId="3337D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8" w:hRule="atLeast"/>
        </w:trPr>
        <w:tc>
          <w:tcPr>
            <w:tcW w:w="1370" w:type="dxa"/>
            <w:gridSpan w:val="2"/>
            <w:vMerge w:val="continue"/>
            <w:tcBorders>
              <w:top w:val="nil"/>
              <w:left w:val="single" w:color="000000" w:sz="2" w:space="0"/>
              <w:bottom w:val="nil"/>
            </w:tcBorders>
            <w:vAlign w:val="top"/>
          </w:tcPr>
          <w:p w14:paraId="0ED703E3">
            <w:pPr>
              <w:rPr>
                <w:rFonts w:ascii="Arial"/>
                <w:color w:val="auto"/>
                <w:sz w:val="21"/>
                <w:highlight w:val="none"/>
              </w:rPr>
            </w:pPr>
          </w:p>
        </w:tc>
        <w:tc>
          <w:tcPr>
            <w:tcW w:w="2030" w:type="dxa"/>
            <w:vAlign w:val="top"/>
          </w:tcPr>
          <w:p w14:paraId="3510B364">
            <w:pPr>
              <w:pStyle w:val="11"/>
              <w:spacing w:before="40" w:line="200" w:lineRule="auto"/>
              <w:ind w:left="182"/>
              <w:rPr>
                <w:color w:val="auto"/>
                <w:highlight w:val="none"/>
              </w:rPr>
            </w:pPr>
            <w:r>
              <w:rPr>
                <w:color w:val="auto"/>
                <w:spacing w:val="-1"/>
                <w:highlight w:val="none"/>
              </w:rPr>
              <w:t>相匹配的履约能力</w:t>
            </w:r>
          </w:p>
        </w:tc>
        <w:tc>
          <w:tcPr>
            <w:tcW w:w="3827" w:type="dxa"/>
            <w:tcBorders>
              <w:right w:val="single" w:color="000000" w:sz="2" w:space="0"/>
            </w:tcBorders>
            <w:vAlign w:val="top"/>
          </w:tcPr>
          <w:p w14:paraId="39173E56">
            <w:pPr>
              <w:rPr>
                <w:rFonts w:ascii="Arial"/>
                <w:color w:val="auto"/>
                <w:sz w:val="21"/>
                <w:highlight w:val="none"/>
              </w:rPr>
            </w:pPr>
          </w:p>
        </w:tc>
        <w:tc>
          <w:tcPr>
            <w:tcW w:w="1564" w:type="dxa"/>
            <w:tcBorders>
              <w:left w:val="single" w:color="000000" w:sz="2" w:space="0"/>
              <w:right w:val="single" w:color="000000" w:sz="2" w:space="0"/>
            </w:tcBorders>
            <w:vAlign w:val="top"/>
          </w:tcPr>
          <w:p w14:paraId="2092F758">
            <w:pPr>
              <w:rPr>
                <w:rFonts w:ascii="Arial"/>
                <w:color w:val="auto"/>
                <w:sz w:val="21"/>
                <w:highlight w:val="none"/>
              </w:rPr>
            </w:pPr>
          </w:p>
        </w:tc>
      </w:tr>
      <w:tr w14:paraId="0FE44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98299C2">
            <w:pPr>
              <w:rPr>
                <w:rFonts w:ascii="Arial"/>
                <w:color w:val="auto"/>
                <w:sz w:val="21"/>
                <w:highlight w:val="none"/>
              </w:rPr>
            </w:pPr>
          </w:p>
        </w:tc>
        <w:tc>
          <w:tcPr>
            <w:tcW w:w="2030" w:type="dxa"/>
            <w:vAlign w:val="top"/>
          </w:tcPr>
          <w:p w14:paraId="1C262D5F">
            <w:pPr>
              <w:pStyle w:val="11"/>
              <w:spacing w:before="40" w:line="200" w:lineRule="auto"/>
              <w:ind w:left="603"/>
              <w:rPr>
                <w:color w:val="auto"/>
                <w:highlight w:val="none"/>
              </w:rPr>
            </w:pPr>
            <w:r>
              <w:rPr>
                <w:color w:val="auto"/>
                <w:spacing w:val="-2"/>
                <w:highlight w:val="none"/>
              </w:rPr>
              <w:t>履约评价</w:t>
            </w:r>
          </w:p>
        </w:tc>
        <w:tc>
          <w:tcPr>
            <w:tcW w:w="3827" w:type="dxa"/>
            <w:tcBorders>
              <w:right w:val="single" w:color="000000" w:sz="2" w:space="0"/>
            </w:tcBorders>
            <w:vAlign w:val="top"/>
          </w:tcPr>
          <w:p w14:paraId="3C3333C2">
            <w:pPr>
              <w:rPr>
                <w:rFonts w:ascii="Arial"/>
                <w:color w:val="auto"/>
                <w:sz w:val="21"/>
                <w:highlight w:val="none"/>
              </w:rPr>
            </w:pPr>
          </w:p>
        </w:tc>
        <w:tc>
          <w:tcPr>
            <w:tcW w:w="1564" w:type="dxa"/>
            <w:tcBorders>
              <w:left w:val="single" w:color="000000" w:sz="2" w:space="0"/>
              <w:right w:val="single" w:color="000000" w:sz="2" w:space="0"/>
            </w:tcBorders>
            <w:vAlign w:val="top"/>
          </w:tcPr>
          <w:p w14:paraId="0327060F">
            <w:pPr>
              <w:rPr>
                <w:rFonts w:ascii="Arial"/>
                <w:color w:val="auto"/>
                <w:sz w:val="21"/>
                <w:highlight w:val="none"/>
              </w:rPr>
            </w:pPr>
          </w:p>
        </w:tc>
      </w:tr>
      <w:tr w14:paraId="3FBB1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32D730FC">
            <w:pPr>
              <w:rPr>
                <w:rFonts w:ascii="Arial"/>
                <w:color w:val="auto"/>
                <w:sz w:val="21"/>
                <w:highlight w:val="none"/>
              </w:rPr>
            </w:pPr>
          </w:p>
        </w:tc>
        <w:tc>
          <w:tcPr>
            <w:tcW w:w="2030" w:type="dxa"/>
            <w:vAlign w:val="top"/>
          </w:tcPr>
          <w:p w14:paraId="21427F06">
            <w:pPr>
              <w:pStyle w:val="11"/>
              <w:spacing w:before="40" w:line="200" w:lineRule="auto"/>
              <w:ind w:left="810"/>
              <w:rPr>
                <w:color w:val="auto"/>
                <w:highlight w:val="none"/>
              </w:rPr>
            </w:pPr>
            <w:r>
              <w:rPr>
                <w:color w:val="auto"/>
                <w:spacing w:val="-2"/>
                <w:highlight w:val="none"/>
              </w:rPr>
              <w:t>信用</w:t>
            </w:r>
          </w:p>
        </w:tc>
        <w:tc>
          <w:tcPr>
            <w:tcW w:w="3827" w:type="dxa"/>
            <w:tcBorders>
              <w:right w:val="single" w:color="000000" w:sz="2" w:space="0"/>
            </w:tcBorders>
            <w:vAlign w:val="top"/>
          </w:tcPr>
          <w:p w14:paraId="31522244">
            <w:pPr>
              <w:rPr>
                <w:rFonts w:ascii="Arial"/>
                <w:color w:val="auto"/>
                <w:sz w:val="21"/>
                <w:highlight w:val="none"/>
              </w:rPr>
            </w:pPr>
          </w:p>
        </w:tc>
        <w:tc>
          <w:tcPr>
            <w:tcW w:w="1564" w:type="dxa"/>
            <w:tcBorders>
              <w:left w:val="single" w:color="000000" w:sz="2" w:space="0"/>
              <w:right w:val="single" w:color="000000" w:sz="2" w:space="0"/>
            </w:tcBorders>
            <w:vAlign w:val="top"/>
          </w:tcPr>
          <w:p w14:paraId="7CDB6D4B">
            <w:pPr>
              <w:rPr>
                <w:rFonts w:ascii="Arial"/>
                <w:color w:val="auto"/>
                <w:sz w:val="21"/>
                <w:highlight w:val="none"/>
              </w:rPr>
            </w:pPr>
          </w:p>
        </w:tc>
      </w:tr>
      <w:tr w14:paraId="114D6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5CD9711E">
            <w:pPr>
              <w:rPr>
                <w:rFonts w:ascii="Arial"/>
                <w:color w:val="auto"/>
                <w:sz w:val="21"/>
                <w:highlight w:val="none"/>
              </w:rPr>
            </w:pPr>
          </w:p>
        </w:tc>
        <w:tc>
          <w:tcPr>
            <w:tcW w:w="2030" w:type="dxa"/>
            <w:vAlign w:val="top"/>
          </w:tcPr>
          <w:p w14:paraId="6F43E971">
            <w:pPr>
              <w:pStyle w:val="11"/>
              <w:spacing w:before="35" w:line="201" w:lineRule="auto"/>
              <w:ind w:left="602"/>
              <w:rPr>
                <w:color w:val="auto"/>
                <w:highlight w:val="none"/>
              </w:rPr>
            </w:pPr>
            <w:r>
              <w:rPr>
                <w:color w:val="auto"/>
                <w:spacing w:val="-2"/>
                <w:highlight w:val="none"/>
              </w:rPr>
              <w:t>综合实力</w:t>
            </w:r>
          </w:p>
        </w:tc>
        <w:tc>
          <w:tcPr>
            <w:tcW w:w="3827" w:type="dxa"/>
            <w:tcBorders>
              <w:right w:val="single" w:color="000000" w:sz="2" w:space="0"/>
            </w:tcBorders>
            <w:vAlign w:val="top"/>
          </w:tcPr>
          <w:p w14:paraId="7339DB60">
            <w:pPr>
              <w:rPr>
                <w:rFonts w:ascii="Arial"/>
                <w:color w:val="auto"/>
                <w:sz w:val="21"/>
                <w:highlight w:val="none"/>
              </w:rPr>
            </w:pPr>
          </w:p>
        </w:tc>
        <w:tc>
          <w:tcPr>
            <w:tcW w:w="1564" w:type="dxa"/>
            <w:tcBorders>
              <w:left w:val="single" w:color="000000" w:sz="2" w:space="0"/>
              <w:right w:val="single" w:color="000000" w:sz="2" w:space="0"/>
            </w:tcBorders>
            <w:vAlign w:val="top"/>
          </w:tcPr>
          <w:p w14:paraId="00A3EEA5">
            <w:pPr>
              <w:rPr>
                <w:rFonts w:ascii="Arial"/>
                <w:color w:val="auto"/>
                <w:sz w:val="21"/>
                <w:highlight w:val="none"/>
              </w:rPr>
            </w:pPr>
          </w:p>
        </w:tc>
      </w:tr>
      <w:tr w14:paraId="64241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321049C5">
            <w:pPr>
              <w:rPr>
                <w:rFonts w:ascii="Arial"/>
                <w:color w:val="auto"/>
                <w:sz w:val="21"/>
                <w:highlight w:val="none"/>
              </w:rPr>
            </w:pPr>
          </w:p>
        </w:tc>
        <w:tc>
          <w:tcPr>
            <w:tcW w:w="2030" w:type="dxa"/>
            <w:vAlign w:val="top"/>
          </w:tcPr>
          <w:p w14:paraId="7D7AE3DA">
            <w:pPr>
              <w:pStyle w:val="11"/>
              <w:spacing w:before="39" w:line="201" w:lineRule="auto"/>
              <w:ind w:left="393"/>
              <w:rPr>
                <w:color w:val="auto"/>
                <w:highlight w:val="none"/>
              </w:rPr>
            </w:pPr>
            <w:r>
              <w:rPr>
                <w:color w:val="auto"/>
                <w:spacing w:val="-1"/>
                <w:highlight w:val="none"/>
              </w:rPr>
              <w:t>产品性能指标</w:t>
            </w:r>
          </w:p>
        </w:tc>
        <w:tc>
          <w:tcPr>
            <w:tcW w:w="3827" w:type="dxa"/>
            <w:tcBorders>
              <w:right w:val="single" w:color="000000" w:sz="2" w:space="0"/>
            </w:tcBorders>
            <w:vAlign w:val="top"/>
          </w:tcPr>
          <w:p w14:paraId="6D2A343D">
            <w:pPr>
              <w:rPr>
                <w:rFonts w:ascii="Arial"/>
                <w:color w:val="auto"/>
                <w:sz w:val="21"/>
                <w:highlight w:val="none"/>
              </w:rPr>
            </w:pPr>
          </w:p>
        </w:tc>
        <w:tc>
          <w:tcPr>
            <w:tcW w:w="1564" w:type="dxa"/>
            <w:tcBorders>
              <w:left w:val="single" w:color="000000" w:sz="2" w:space="0"/>
              <w:right w:val="single" w:color="000000" w:sz="2" w:space="0"/>
            </w:tcBorders>
            <w:vAlign w:val="top"/>
          </w:tcPr>
          <w:p w14:paraId="7BA35CB2">
            <w:pPr>
              <w:rPr>
                <w:rFonts w:ascii="Arial"/>
                <w:color w:val="auto"/>
                <w:sz w:val="21"/>
                <w:highlight w:val="none"/>
              </w:rPr>
            </w:pPr>
          </w:p>
        </w:tc>
      </w:tr>
      <w:tr w14:paraId="5A75A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3D54579F">
            <w:pPr>
              <w:rPr>
                <w:rFonts w:ascii="Arial"/>
                <w:color w:val="auto"/>
                <w:sz w:val="21"/>
                <w:highlight w:val="none"/>
              </w:rPr>
            </w:pPr>
          </w:p>
        </w:tc>
        <w:tc>
          <w:tcPr>
            <w:tcW w:w="2030" w:type="dxa"/>
            <w:vAlign w:val="top"/>
          </w:tcPr>
          <w:p w14:paraId="79520B7D">
            <w:pPr>
              <w:pStyle w:val="11"/>
              <w:spacing w:before="39" w:line="202" w:lineRule="auto"/>
              <w:ind w:left="494"/>
              <w:rPr>
                <w:color w:val="auto"/>
                <w:highlight w:val="none"/>
              </w:rPr>
            </w:pPr>
            <w:r>
              <w:rPr>
                <w:color w:val="auto"/>
                <w:spacing w:val="-1"/>
                <w:highlight w:val="none"/>
              </w:rPr>
              <w:t>产品性价比</w:t>
            </w:r>
          </w:p>
        </w:tc>
        <w:tc>
          <w:tcPr>
            <w:tcW w:w="3827" w:type="dxa"/>
            <w:tcBorders>
              <w:right w:val="single" w:color="000000" w:sz="2" w:space="0"/>
            </w:tcBorders>
            <w:vAlign w:val="top"/>
          </w:tcPr>
          <w:p w14:paraId="236B533E">
            <w:pPr>
              <w:rPr>
                <w:rFonts w:ascii="Arial"/>
                <w:color w:val="auto"/>
                <w:sz w:val="21"/>
                <w:highlight w:val="none"/>
              </w:rPr>
            </w:pPr>
          </w:p>
        </w:tc>
        <w:tc>
          <w:tcPr>
            <w:tcW w:w="1564" w:type="dxa"/>
            <w:tcBorders>
              <w:left w:val="single" w:color="000000" w:sz="2" w:space="0"/>
              <w:right w:val="single" w:color="000000" w:sz="2" w:space="0"/>
            </w:tcBorders>
            <w:vAlign w:val="top"/>
          </w:tcPr>
          <w:p w14:paraId="736C3242">
            <w:pPr>
              <w:rPr>
                <w:rFonts w:ascii="Arial"/>
                <w:color w:val="auto"/>
                <w:sz w:val="21"/>
                <w:highlight w:val="none"/>
              </w:rPr>
            </w:pPr>
          </w:p>
        </w:tc>
      </w:tr>
      <w:tr w14:paraId="024CB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0C793EF0">
            <w:pPr>
              <w:rPr>
                <w:rFonts w:ascii="Arial"/>
                <w:color w:val="auto"/>
                <w:sz w:val="21"/>
                <w:highlight w:val="none"/>
              </w:rPr>
            </w:pPr>
          </w:p>
        </w:tc>
        <w:tc>
          <w:tcPr>
            <w:tcW w:w="2030" w:type="dxa"/>
            <w:vAlign w:val="top"/>
          </w:tcPr>
          <w:p w14:paraId="3D3CCD7F">
            <w:pPr>
              <w:pStyle w:val="11"/>
              <w:spacing w:before="39" w:line="201" w:lineRule="auto"/>
              <w:ind w:left="291"/>
              <w:rPr>
                <w:color w:val="auto"/>
                <w:highlight w:val="none"/>
              </w:rPr>
            </w:pPr>
            <w:r>
              <w:rPr>
                <w:color w:val="auto"/>
                <w:spacing w:val="-2"/>
                <w:highlight w:val="none"/>
              </w:rPr>
              <w:t>商务条款响应度</w:t>
            </w:r>
          </w:p>
        </w:tc>
        <w:tc>
          <w:tcPr>
            <w:tcW w:w="3827" w:type="dxa"/>
            <w:tcBorders>
              <w:right w:val="single" w:color="000000" w:sz="2" w:space="0"/>
            </w:tcBorders>
            <w:vAlign w:val="top"/>
          </w:tcPr>
          <w:p w14:paraId="644BF6F6">
            <w:pPr>
              <w:rPr>
                <w:rFonts w:ascii="Arial"/>
                <w:color w:val="auto"/>
                <w:sz w:val="21"/>
                <w:highlight w:val="none"/>
              </w:rPr>
            </w:pPr>
          </w:p>
        </w:tc>
        <w:tc>
          <w:tcPr>
            <w:tcW w:w="1564" w:type="dxa"/>
            <w:tcBorders>
              <w:left w:val="single" w:color="000000" w:sz="2" w:space="0"/>
              <w:right w:val="single" w:color="000000" w:sz="2" w:space="0"/>
            </w:tcBorders>
            <w:vAlign w:val="top"/>
          </w:tcPr>
          <w:p w14:paraId="7A4ED4C2">
            <w:pPr>
              <w:rPr>
                <w:rFonts w:ascii="Arial"/>
                <w:color w:val="auto"/>
                <w:sz w:val="21"/>
                <w:highlight w:val="none"/>
              </w:rPr>
            </w:pPr>
          </w:p>
        </w:tc>
      </w:tr>
      <w:tr w14:paraId="07D56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BD10EA4">
            <w:pPr>
              <w:rPr>
                <w:rFonts w:ascii="Arial"/>
                <w:color w:val="auto"/>
                <w:sz w:val="21"/>
                <w:highlight w:val="none"/>
              </w:rPr>
            </w:pPr>
          </w:p>
        </w:tc>
        <w:tc>
          <w:tcPr>
            <w:tcW w:w="2030" w:type="dxa"/>
            <w:vAlign w:val="top"/>
          </w:tcPr>
          <w:p w14:paraId="3794AC98">
            <w:pPr>
              <w:pStyle w:val="11"/>
              <w:spacing w:before="39" w:line="201" w:lineRule="auto"/>
              <w:ind w:left="600"/>
              <w:rPr>
                <w:color w:val="auto"/>
                <w:highlight w:val="none"/>
              </w:rPr>
            </w:pPr>
            <w:r>
              <w:rPr>
                <w:color w:val="auto"/>
                <w:spacing w:val="-1"/>
                <w:highlight w:val="none"/>
              </w:rPr>
              <w:t>质保服务</w:t>
            </w:r>
          </w:p>
        </w:tc>
        <w:tc>
          <w:tcPr>
            <w:tcW w:w="3827" w:type="dxa"/>
            <w:tcBorders>
              <w:right w:val="single" w:color="000000" w:sz="2" w:space="0"/>
            </w:tcBorders>
            <w:vAlign w:val="top"/>
          </w:tcPr>
          <w:p w14:paraId="00087C17">
            <w:pPr>
              <w:rPr>
                <w:rFonts w:ascii="Arial"/>
                <w:color w:val="auto"/>
                <w:sz w:val="21"/>
                <w:highlight w:val="none"/>
              </w:rPr>
            </w:pPr>
          </w:p>
        </w:tc>
        <w:tc>
          <w:tcPr>
            <w:tcW w:w="1564" w:type="dxa"/>
            <w:tcBorders>
              <w:left w:val="single" w:color="000000" w:sz="2" w:space="0"/>
              <w:right w:val="single" w:color="000000" w:sz="2" w:space="0"/>
            </w:tcBorders>
            <w:vAlign w:val="top"/>
          </w:tcPr>
          <w:p w14:paraId="54012429">
            <w:pPr>
              <w:rPr>
                <w:rFonts w:ascii="Arial"/>
                <w:color w:val="auto"/>
                <w:sz w:val="21"/>
                <w:highlight w:val="none"/>
              </w:rPr>
            </w:pPr>
          </w:p>
        </w:tc>
      </w:tr>
      <w:tr w14:paraId="5BCD9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24EFDB21">
            <w:pPr>
              <w:rPr>
                <w:rFonts w:ascii="Arial"/>
                <w:color w:val="auto"/>
                <w:sz w:val="21"/>
                <w:highlight w:val="none"/>
              </w:rPr>
            </w:pPr>
          </w:p>
        </w:tc>
        <w:tc>
          <w:tcPr>
            <w:tcW w:w="2030" w:type="dxa"/>
            <w:vAlign w:val="top"/>
          </w:tcPr>
          <w:p w14:paraId="3549D8F9">
            <w:pPr>
              <w:pStyle w:val="11"/>
              <w:spacing w:before="39" w:line="221" w:lineRule="auto"/>
              <w:ind w:left="812" w:right="161" w:hanging="630"/>
              <w:rPr>
                <w:color w:val="auto"/>
                <w:highlight w:val="none"/>
              </w:rPr>
            </w:pPr>
            <w:r>
              <w:rPr>
                <w:color w:val="auto"/>
                <w:spacing w:val="-1"/>
                <w:highlight w:val="none"/>
              </w:rPr>
              <w:t>科技创新（四新技</w:t>
            </w:r>
            <w:r>
              <w:rPr>
                <w:color w:val="auto"/>
                <w:spacing w:val="3"/>
                <w:highlight w:val="none"/>
              </w:rPr>
              <w:t xml:space="preserve"> </w:t>
            </w:r>
            <w:r>
              <w:rPr>
                <w:color w:val="auto"/>
                <w:spacing w:val="-6"/>
                <w:highlight w:val="none"/>
              </w:rPr>
              <w:t>术）</w:t>
            </w:r>
          </w:p>
        </w:tc>
        <w:tc>
          <w:tcPr>
            <w:tcW w:w="3827" w:type="dxa"/>
            <w:tcBorders>
              <w:right w:val="single" w:color="000000" w:sz="2" w:space="0"/>
            </w:tcBorders>
            <w:vAlign w:val="top"/>
          </w:tcPr>
          <w:p w14:paraId="3AB38B85">
            <w:pPr>
              <w:rPr>
                <w:rFonts w:ascii="Arial"/>
                <w:color w:val="auto"/>
                <w:sz w:val="21"/>
                <w:highlight w:val="none"/>
              </w:rPr>
            </w:pPr>
          </w:p>
        </w:tc>
        <w:tc>
          <w:tcPr>
            <w:tcW w:w="1564" w:type="dxa"/>
            <w:tcBorders>
              <w:left w:val="single" w:color="000000" w:sz="2" w:space="0"/>
              <w:right w:val="single" w:color="000000" w:sz="2" w:space="0"/>
            </w:tcBorders>
            <w:vAlign w:val="top"/>
          </w:tcPr>
          <w:p w14:paraId="2F0FDF4B">
            <w:pPr>
              <w:rPr>
                <w:rFonts w:ascii="Arial"/>
                <w:color w:val="auto"/>
                <w:sz w:val="21"/>
                <w:highlight w:val="none"/>
              </w:rPr>
            </w:pPr>
          </w:p>
        </w:tc>
      </w:tr>
      <w:tr w14:paraId="2553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303F307F">
            <w:pPr>
              <w:rPr>
                <w:rFonts w:ascii="Arial"/>
                <w:color w:val="auto"/>
                <w:sz w:val="21"/>
                <w:highlight w:val="none"/>
              </w:rPr>
            </w:pPr>
          </w:p>
        </w:tc>
        <w:tc>
          <w:tcPr>
            <w:tcW w:w="2030" w:type="dxa"/>
            <w:vAlign w:val="top"/>
          </w:tcPr>
          <w:p w14:paraId="43A1E85E">
            <w:pPr>
              <w:pStyle w:val="11"/>
              <w:spacing w:before="34" w:line="202" w:lineRule="auto"/>
              <w:ind w:left="601"/>
              <w:rPr>
                <w:color w:val="auto"/>
                <w:highlight w:val="none"/>
              </w:rPr>
            </w:pPr>
            <w:r>
              <w:rPr>
                <w:color w:val="auto"/>
                <w:spacing w:val="-1"/>
                <w:highlight w:val="none"/>
              </w:rPr>
              <w:t>绿色低碳</w:t>
            </w:r>
          </w:p>
        </w:tc>
        <w:tc>
          <w:tcPr>
            <w:tcW w:w="3827" w:type="dxa"/>
            <w:tcBorders>
              <w:right w:val="single" w:color="000000" w:sz="2" w:space="0"/>
            </w:tcBorders>
            <w:vAlign w:val="top"/>
          </w:tcPr>
          <w:p w14:paraId="6B12051D">
            <w:pPr>
              <w:rPr>
                <w:rFonts w:ascii="Arial"/>
                <w:color w:val="auto"/>
                <w:sz w:val="21"/>
                <w:highlight w:val="none"/>
              </w:rPr>
            </w:pPr>
          </w:p>
        </w:tc>
        <w:tc>
          <w:tcPr>
            <w:tcW w:w="1564" w:type="dxa"/>
            <w:tcBorders>
              <w:left w:val="single" w:color="000000" w:sz="2" w:space="0"/>
              <w:right w:val="single" w:color="000000" w:sz="2" w:space="0"/>
            </w:tcBorders>
            <w:vAlign w:val="top"/>
          </w:tcPr>
          <w:p w14:paraId="368E7989">
            <w:pPr>
              <w:rPr>
                <w:rFonts w:ascii="Arial"/>
                <w:color w:val="auto"/>
                <w:sz w:val="21"/>
                <w:highlight w:val="none"/>
              </w:rPr>
            </w:pPr>
          </w:p>
        </w:tc>
      </w:tr>
      <w:tr w14:paraId="00CA6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5968D9ED">
            <w:pPr>
              <w:rPr>
                <w:rFonts w:ascii="Arial"/>
                <w:color w:val="auto"/>
                <w:sz w:val="21"/>
                <w:highlight w:val="none"/>
              </w:rPr>
            </w:pPr>
          </w:p>
        </w:tc>
        <w:tc>
          <w:tcPr>
            <w:tcW w:w="2030" w:type="dxa"/>
            <w:vAlign w:val="top"/>
          </w:tcPr>
          <w:p w14:paraId="014DE0B6">
            <w:pPr>
              <w:pStyle w:val="11"/>
              <w:spacing w:before="38" w:line="203" w:lineRule="auto"/>
              <w:ind w:left="604"/>
              <w:rPr>
                <w:color w:val="auto"/>
                <w:highlight w:val="none"/>
              </w:rPr>
            </w:pPr>
            <w:r>
              <w:rPr>
                <w:color w:val="auto"/>
                <w:spacing w:val="-2"/>
                <w:highlight w:val="none"/>
              </w:rPr>
              <w:t>智能建造</w:t>
            </w:r>
          </w:p>
        </w:tc>
        <w:tc>
          <w:tcPr>
            <w:tcW w:w="3827" w:type="dxa"/>
            <w:tcBorders>
              <w:right w:val="single" w:color="000000" w:sz="2" w:space="0"/>
            </w:tcBorders>
            <w:vAlign w:val="top"/>
          </w:tcPr>
          <w:p w14:paraId="0E98A222">
            <w:pPr>
              <w:rPr>
                <w:rFonts w:ascii="Arial"/>
                <w:color w:val="auto"/>
                <w:sz w:val="21"/>
                <w:highlight w:val="none"/>
              </w:rPr>
            </w:pPr>
          </w:p>
        </w:tc>
        <w:tc>
          <w:tcPr>
            <w:tcW w:w="1564" w:type="dxa"/>
            <w:tcBorders>
              <w:left w:val="single" w:color="000000" w:sz="2" w:space="0"/>
              <w:right w:val="single" w:color="000000" w:sz="2" w:space="0"/>
            </w:tcBorders>
            <w:vAlign w:val="top"/>
          </w:tcPr>
          <w:p w14:paraId="4B667E52">
            <w:pPr>
              <w:rPr>
                <w:rFonts w:ascii="Arial"/>
                <w:color w:val="auto"/>
                <w:sz w:val="21"/>
                <w:highlight w:val="none"/>
              </w:rPr>
            </w:pPr>
          </w:p>
        </w:tc>
      </w:tr>
      <w:tr w14:paraId="3DDB8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762E9C8F">
            <w:pPr>
              <w:rPr>
                <w:rFonts w:ascii="Arial"/>
                <w:color w:val="auto"/>
                <w:sz w:val="21"/>
                <w:highlight w:val="none"/>
              </w:rPr>
            </w:pPr>
          </w:p>
        </w:tc>
        <w:tc>
          <w:tcPr>
            <w:tcW w:w="2030" w:type="dxa"/>
            <w:vAlign w:val="top"/>
          </w:tcPr>
          <w:p w14:paraId="455B8445">
            <w:pPr>
              <w:pStyle w:val="11"/>
              <w:spacing w:before="36" w:line="222" w:lineRule="auto"/>
              <w:ind w:left="391" w:right="161" w:hanging="207"/>
              <w:rPr>
                <w:color w:val="auto"/>
                <w:highlight w:val="none"/>
              </w:rPr>
            </w:pPr>
            <w:r>
              <w:rPr>
                <w:color w:val="auto"/>
                <w:spacing w:val="-1"/>
                <w:highlight w:val="none"/>
              </w:rPr>
              <w:t>大型企业与中小企</w:t>
            </w:r>
            <w:r>
              <w:rPr>
                <w:color w:val="auto"/>
                <w:highlight w:val="none"/>
              </w:rPr>
              <w:t xml:space="preserve"> </w:t>
            </w:r>
            <w:r>
              <w:rPr>
                <w:color w:val="auto"/>
                <w:spacing w:val="-1"/>
                <w:highlight w:val="none"/>
              </w:rPr>
              <w:t>业组成联合体</w:t>
            </w:r>
          </w:p>
        </w:tc>
        <w:tc>
          <w:tcPr>
            <w:tcW w:w="3827" w:type="dxa"/>
            <w:tcBorders>
              <w:right w:val="single" w:color="000000" w:sz="2" w:space="0"/>
            </w:tcBorders>
            <w:vAlign w:val="top"/>
          </w:tcPr>
          <w:p w14:paraId="0492831B">
            <w:pPr>
              <w:rPr>
                <w:rFonts w:ascii="Arial"/>
                <w:color w:val="auto"/>
                <w:sz w:val="21"/>
                <w:highlight w:val="none"/>
              </w:rPr>
            </w:pPr>
          </w:p>
        </w:tc>
        <w:tc>
          <w:tcPr>
            <w:tcW w:w="1564" w:type="dxa"/>
            <w:tcBorders>
              <w:left w:val="single" w:color="000000" w:sz="2" w:space="0"/>
              <w:right w:val="single" w:color="000000" w:sz="2" w:space="0"/>
            </w:tcBorders>
            <w:vAlign w:val="top"/>
          </w:tcPr>
          <w:p w14:paraId="5258E200">
            <w:pPr>
              <w:rPr>
                <w:rFonts w:ascii="Arial"/>
                <w:color w:val="auto"/>
                <w:sz w:val="21"/>
                <w:highlight w:val="none"/>
              </w:rPr>
            </w:pPr>
          </w:p>
        </w:tc>
      </w:tr>
      <w:tr w14:paraId="22CAF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370" w:type="dxa"/>
            <w:gridSpan w:val="2"/>
            <w:vMerge w:val="continue"/>
            <w:tcBorders>
              <w:top w:val="nil"/>
              <w:left w:val="single" w:color="000000" w:sz="2" w:space="0"/>
            </w:tcBorders>
            <w:vAlign w:val="top"/>
          </w:tcPr>
          <w:p w14:paraId="72015FAB">
            <w:pPr>
              <w:rPr>
                <w:rFonts w:ascii="Arial"/>
                <w:color w:val="auto"/>
                <w:sz w:val="21"/>
                <w:highlight w:val="none"/>
              </w:rPr>
            </w:pPr>
          </w:p>
        </w:tc>
        <w:tc>
          <w:tcPr>
            <w:tcW w:w="2030" w:type="dxa"/>
            <w:vAlign w:val="top"/>
          </w:tcPr>
          <w:p w14:paraId="3642D901">
            <w:pPr>
              <w:pStyle w:val="11"/>
              <w:spacing w:before="161" w:line="221" w:lineRule="auto"/>
              <w:ind w:left="824"/>
              <w:rPr>
                <w:color w:val="auto"/>
                <w:highlight w:val="none"/>
              </w:rPr>
            </w:pPr>
            <w:r>
              <w:rPr>
                <w:color w:val="auto"/>
                <w:spacing w:val="-5"/>
                <w:highlight w:val="none"/>
              </w:rPr>
              <w:t>……</w:t>
            </w:r>
          </w:p>
        </w:tc>
        <w:tc>
          <w:tcPr>
            <w:tcW w:w="3827" w:type="dxa"/>
            <w:tcBorders>
              <w:right w:val="single" w:color="000000" w:sz="2" w:space="0"/>
            </w:tcBorders>
            <w:vAlign w:val="top"/>
          </w:tcPr>
          <w:p w14:paraId="4A079EA4">
            <w:pPr>
              <w:rPr>
                <w:rFonts w:ascii="Arial"/>
                <w:color w:val="auto"/>
                <w:sz w:val="21"/>
                <w:highlight w:val="none"/>
              </w:rPr>
            </w:pPr>
          </w:p>
        </w:tc>
        <w:tc>
          <w:tcPr>
            <w:tcW w:w="1564" w:type="dxa"/>
            <w:tcBorders>
              <w:left w:val="single" w:color="000000" w:sz="2" w:space="0"/>
              <w:right w:val="single" w:color="000000" w:sz="2" w:space="0"/>
            </w:tcBorders>
            <w:vAlign w:val="top"/>
          </w:tcPr>
          <w:p w14:paraId="51448FFA">
            <w:pPr>
              <w:rPr>
                <w:rFonts w:ascii="Arial"/>
                <w:color w:val="auto"/>
                <w:sz w:val="21"/>
                <w:highlight w:val="none"/>
              </w:rPr>
            </w:pPr>
          </w:p>
        </w:tc>
      </w:tr>
      <w:tr w14:paraId="558EE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1CCAE44F">
            <w:pPr>
              <w:pStyle w:val="11"/>
              <w:spacing w:before="35" w:line="204" w:lineRule="auto"/>
              <w:ind w:left="379"/>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030" w:type="dxa"/>
            <w:vAlign w:val="top"/>
          </w:tcPr>
          <w:p w14:paraId="52DA71F7">
            <w:pPr>
              <w:pStyle w:val="11"/>
              <w:spacing w:before="35" w:line="204" w:lineRule="auto"/>
              <w:ind w:left="601"/>
              <w:rPr>
                <w:color w:val="auto"/>
                <w:highlight w:val="none"/>
              </w:rPr>
            </w:pPr>
            <w:r>
              <w:rPr>
                <w:color w:val="auto"/>
                <w:spacing w:val="-1"/>
                <w:highlight w:val="none"/>
                <w14:textOutline w14:w="3831" w14:cap="flat" w14:cmpd="sng">
                  <w14:solidFill>
                    <w14:srgbClr w14:val="000000"/>
                  </w14:solidFill>
                  <w14:prstDash w14:val="solid"/>
                  <w14:miter w14:val="0"/>
                </w14:textOutline>
              </w:rPr>
              <w:t>条款内容</w:t>
            </w:r>
          </w:p>
        </w:tc>
        <w:tc>
          <w:tcPr>
            <w:tcW w:w="5391" w:type="dxa"/>
            <w:gridSpan w:val="2"/>
            <w:tcBorders>
              <w:right w:val="single" w:color="000000" w:sz="2" w:space="0"/>
            </w:tcBorders>
            <w:vAlign w:val="top"/>
          </w:tcPr>
          <w:p w14:paraId="0ADD52C1">
            <w:pPr>
              <w:pStyle w:val="11"/>
              <w:spacing w:before="35" w:line="204" w:lineRule="auto"/>
              <w:ind w:left="2451"/>
              <w:rPr>
                <w:color w:val="auto"/>
                <w:highlight w:val="none"/>
              </w:rPr>
            </w:pPr>
            <w:r>
              <w:rPr>
                <w:color w:val="auto"/>
                <w:spacing w:val="-1"/>
                <w:highlight w:val="none"/>
                <w14:textOutline w14:w="3831" w14:cap="flat" w14:cmpd="sng">
                  <w14:solidFill>
                    <w14:srgbClr w14:val="000000"/>
                  </w14:solidFill>
                  <w14:prstDash w14:val="solid"/>
                  <w14:miter w14:val="0"/>
                </w14:textOutline>
              </w:rPr>
              <w:t>编列内容</w:t>
            </w:r>
          </w:p>
        </w:tc>
      </w:tr>
      <w:tr w14:paraId="6CFE1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6" w:hRule="atLeast"/>
        </w:trPr>
        <w:tc>
          <w:tcPr>
            <w:tcW w:w="1370" w:type="dxa"/>
            <w:gridSpan w:val="2"/>
            <w:tcBorders>
              <w:left w:val="single" w:color="000000" w:sz="2" w:space="0"/>
              <w:bottom w:val="single" w:color="000000" w:sz="2" w:space="0"/>
            </w:tcBorders>
            <w:vAlign w:val="top"/>
          </w:tcPr>
          <w:p w14:paraId="67897EB0">
            <w:pPr>
              <w:spacing w:line="261" w:lineRule="auto"/>
              <w:rPr>
                <w:rFonts w:ascii="Arial"/>
                <w:color w:val="auto"/>
                <w:sz w:val="21"/>
                <w:highlight w:val="none"/>
              </w:rPr>
            </w:pPr>
          </w:p>
          <w:p w14:paraId="7A9EF3BE">
            <w:pPr>
              <w:spacing w:line="261" w:lineRule="auto"/>
              <w:rPr>
                <w:rFonts w:ascii="Arial"/>
                <w:color w:val="auto"/>
                <w:sz w:val="21"/>
                <w:highlight w:val="none"/>
              </w:rPr>
            </w:pPr>
          </w:p>
          <w:p w14:paraId="2CEE5C8B">
            <w:pPr>
              <w:spacing w:line="261" w:lineRule="auto"/>
              <w:rPr>
                <w:rFonts w:ascii="Arial"/>
                <w:color w:val="auto"/>
                <w:sz w:val="21"/>
                <w:highlight w:val="none"/>
              </w:rPr>
            </w:pPr>
          </w:p>
          <w:p w14:paraId="76608091">
            <w:pPr>
              <w:spacing w:line="261" w:lineRule="auto"/>
              <w:rPr>
                <w:rFonts w:ascii="Arial"/>
                <w:color w:val="auto"/>
                <w:sz w:val="21"/>
                <w:highlight w:val="none"/>
              </w:rPr>
            </w:pPr>
          </w:p>
          <w:p w14:paraId="6EE78C42">
            <w:pPr>
              <w:spacing w:line="262" w:lineRule="auto"/>
              <w:rPr>
                <w:rFonts w:ascii="Arial"/>
                <w:color w:val="auto"/>
                <w:sz w:val="21"/>
                <w:highlight w:val="none"/>
              </w:rPr>
            </w:pPr>
          </w:p>
          <w:p w14:paraId="2FD8CD6B">
            <w:pPr>
              <w:spacing w:line="262" w:lineRule="auto"/>
              <w:rPr>
                <w:rFonts w:ascii="Arial"/>
                <w:color w:val="auto"/>
                <w:sz w:val="21"/>
                <w:highlight w:val="none"/>
              </w:rPr>
            </w:pPr>
          </w:p>
          <w:p w14:paraId="7DB9DA7C">
            <w:pPr>
              <w:spacing w:line="262" w:lineRule="auto"/>
              <w:rPr>
                <w:rFonts w:ascii="Arial"/>
                <w:color w:val="auto"/>
                <w:sz w:val="21"/>
                <w:highlight w:val="none"/>
              </w:rPr>
            </w:pPr>
          </w:p>
          <w:p w14:paraId="5FC3117A">
            <w:pPr>
              <w:pStyle w:val="11"/>
              <w:spacing w:before="69" w:line="182" w:lineRule="auto"/>
              <w:ind w:left="539"/>
              <w:rPr>
                <w:color w:val="auto"/>
                <w:highlight w:val="none"/>
              </w:rPr>
            </w:pPr>
            <w:r>
              <w:rPr>
                <w:color w:val="auto"/>
                <w:spacing w:val="-2"/>
                <w:highlight w:val="none"/>
              </w:rPr>
              <w:t>2.3</w:t>
            </w:r>
          </w:p>
        </w:tc>
        <w:tc>
          <w:tcPr>
            <w:tcW w:w="2030" w:type="dxa"/>
            <w:tcBorders>
              <w:bottom w:val="single" w:color="000000" w:sz="2" w:space="0"/>
            </w:tcBorders>
            <w:vAlign w:val="top"/>
          </w:tcPr>
          <w:p w14:paraId="76B4BF16">
            <w:pPr>
              <w:spacing w:line="256" w:lineRule="auto"/>
              <w:rPr>
                <w:rFonts w:ascii="Arial"/>
                <w:color w:val="auto"/>
                <w:sz w:val="21"/>
                <w:highlight w:val="none"/>
              </w:rPr>
            </w:pPr>
          </w:p>
          <w:p w14:paraId="7C63D2BD">
            <w:pPr>
              <w:spacing w:line="256" w:lineRule="auto"/>
              <w:rPr>
                <w:rFonts w:ascii="Arial"/>
                <w:color w:val="auto"/>
                <w:sz w:val="21"/>
                <w:highlight w:val="none"/>
              </w:rPr>
            </w:pPr>
          </w:p>
          <w:p w14:paraId="1EBFEF87">
            <w:pPr>
              <w:spacing w:line="256" w:lineRule="auto"/>
              <w:rPr>
                <w:rFonts w:ascii="Arial"/>
                <w:color w:val="auto"/>
                <w:sz w:val="21"/>
                <w:highlight w:val="none"/>
              </w:rPr>
            </w:pPr>
          </w:p>
          <w:p w14:paraId="0418C03C">
            <w:pPr>
              <w:spacing w:line="256" w:lineRule="auto"/>
              <w:rPr>
                <w:rFonts w:ascii="Arial"/>
                <w:color w:val="auto"/>
                <w:sz w:val="21"/>
                <w:highlight w:val="none"/>
              </w:rPr>
            </w:pPr>
          </w:p>
          <w:p w14:paraId="27444484">
            <w:pPr>
              <w:spacing w:line="257" w:lineRule="auto"/>
              <w:rPr>
                <w:rFonts w:ascii="Arial"/>
                <w:color w:val="auto"/>
                <w:sz w:val="21"/>
                <w:highlight w:val="none"/>
              </w:rPr>
            </w:pPr>
          </w:p>
          <w:p w14:paraId="215BB564">
            <w:pPr>
              <w:spacing w:line="257" w:lineRule="auto"/>
              <w:rPr>
                <w:rFonts w:ascii="Arial"/>
                <w:color w:val="auto"/>
                <w:sz w:val="21"/>
                <w:highlight w:val="none"/>
              </w:rPr>
            </w:pPr>
          </w:p>
          <w:p w14:paraId="31E6B973">
            <w:pPr>
              <w:spacing w:line="257" w:lineRule="auto"/>
              <w:rPr>
                <w:rFonts w:ascii="Arial"/>
                <w:color w:val="auto"/>
                <w:sz w:val="21"/>
                <w:highlight w:val="none"/>
              </w:rPr>
            </w:pPr>
          </w:p>
          <w:p w14:paraId="3C8EE7FD">
            <w:pPr>
              <w:pStyle w:val="11"/>
              <w:spacing w:before="68" w:line="221" w:lineRule="auto"/>
              <w:ind w:left="604"/>
              <w:rPr>
                <w:color w:val="auto"/>
                <w:highlight w:val="none"/>
              </w:rPr>
            </w:pPr>
            <w:r>
              <w:rPr>
                <w:color w:val="auto"/>
                <w:spacing w:val="-2"/>
                <w:highlight w:val="none"/>
              </w:rPr>
              <w:t>定标办法</w:t>
            </w:r>
          </w:p>
        </w:tc>
        <w:tc>
          <w:tcPr>
            <w:tcW w:w="5391" w:type="dxa"/>
            <w:gridSpan w:val="2"/>
            <w:tcBorders>
              <w:bottom w:val="single" w:color="000000" w:sz="2" w:space="0"/>
              <w:right w:val="single" w:color="000000" w:sz="2" w:space="0"/>
            </w:tcBorders>
            <w:vAlign w:val="top"/>
          </w:tcPr>
          <w:p w14:paraId="3E11CCFB">
            <w:pPr>
              <w:pStyle w:val="11"/>
              <w:spacing w:before="126" w:line="221" w:lineRule="auto"/>
              <w:ind w:left="137"/>
              <w:rPr>
                <w:color w:val="auto"/>
                <w:highlight w:val="none"/>
              </w:rPr>
            </w:pPr>
            <w:r>
              <w:rPr>
                <w:color w:val="auto"/>
                <w:spacing w:val="-4"/>
                <w:highlight w:val="none"/>
                <w14:textOutline w14:w="3831" w14:cap="flat" w14:cmpd="sng">
                  <w14:solidFill>
                    <w14:srgbClr w14:val="000000"/>
                  </w14:solidFill>
                  <w14:prstDash w14:val="solid"/>
                  <w14:miter w14:val="0"/>
                </w14:textOutline>
              </w:rPr>
              <w:t>□集中票决法</w:t>
            </w:r>
          </w:p>
          <w:p w14:paraId="7D13A225">
            <w:pPr>
              <w:pStyle w:val="11"/>
              <w:spacing w:before="133" w:line="221" w:lineRule="auto"/>
              <w:ind w:left="559"/>
              <w:rPr>
                <w:color w:val="auto"/>
                <w:highlight w:val="none"/>
              </w:rPr>
            </w:pPr>
            <w:r>
              <w:rPr>
                <w:color w:val="auto"/>
                <w:spacing w:val="-4"/>
                <w:highlight w:val="none"/>
              </w:rPr>
              <w:t>□直接票决定标法</w:t>
            </w:r>
          </w:p>
          <w:p w14:paraId="0BD877C8">
            <w:pPr>
              <w:pStyle w:val="11"/>
              <w:spacing w:before="127" w:line="221" w:lineRule="auto"/>
              <w:ind w:left="559"/>
              <w:rPr>
                <w:color w:val="auto"/>
                <w:highlight w:val="none"/>
              </w:rPr>
            </w:pPr>
            <w:r>
              <w:rPr>
                <w:color w:val="auto"/>
                <w:spacing w:val="-4"/>
                <w:highlight w:val="none"/>
              </w:rPr>
              <w:t>□逐轮票决定标法</w:t>
            </w:r>
          </w:p>
          <w:p w14:paraId="684BD5C0">
            <w:pPr>
              <w:pStyle w:val="11"/>
              <w:spacing w:before="128" w:line="219" w:lineRule="auto"/>
              <w:ind w:left="559"/>
              <w:rPr>
                <w:color w:val="auto"/>
                <w:highlight w:val="none"/>
              </w:rPr>
            </w:pPr>
            <w:r>
              <w:rPr>
                <w:color w:val="auto"/>
                <w:spacing w:val="-4"/>
                <w:highlight w:val="none"/>
              </w:rPr>
              <w:t>□票决低价定标法</w:t>
            </w:r>
          </w:p>
          <w:p w14:paraId="4796D5BD">
            <w:pPr>
              <w:pStyle w:val="11"/>
              <w:spacing w:before="129" w:line="221" w:lineRule="auto"/>
              <w:ind w:left="559"/>
              <w:rPr>
                <w:color w:val="auto"/>
                <w:highlight w:val="none"/>
              </w:rPr>
            </w:pPr>
            <w:r>
              <w:rPr>
                <w:color w:val="auto"/>
                <w:spacing w:val="-4"/>
                <w:highlight w:val="none"/>
              </w:rPr>
              <w:t>□票决抽签定标法</w:t>
            </w:r>
          </w:p>
          <w:p w14:paraId="1BC4BBD0">
            <w:pPr>
              <w:pStyle w:val="11"/>
              <w:spacing w:before="128" w:line="336" w:lineRule="auto"/>
              <w:ind w:left="115" w:right="106" w:firstLine="428"/>
              <w:jc w:val="both"/>
              <w:rPr>
                <w:color w:val="auto"/>
                <w:highlight w:val="none"/>
              </w:rPr>
            </w:pPr>
            <w:r>
              <w:rPr>
                <w:color w:val="auto"/>
                <w:spacing w:val="5"/>
                <w:highlight w:val="none"/>
              </w:rPr>
              <w:t>定标委员会成员按照票决方法、规则独立行使投票</w:t>
            </w:r>
            <w:r>
              <w:rPr>
                <w:color w:val="auto"/>
                <w:spacing w:val="2"/>
                <w:highlight w:val="none"/>
              </w:rPr>
              <w:t xml:space="preserve"> </w:t>
            </w:r>
            <w:r>
              <w:rPr>
                <w:color w:val="auto"/>
                <w:spacing w:val="5"/>
                <w:highlight w:val="none"/>
              </w:rPr>
              <w:t>权，不得弃权或产生废票。投票采用实名方式，定标委</w:t>
            </w:r>
          </w:p>
          <w:p w14:paraId="113C7D7F">
            <w:pPr>
              <w:pStyle w:val="11"/>
              <w:spacing w:before="1" w:line="219" w:lineRule="auto"/>
              <w:ind w:left="124"/>
              <w:rPr>
                <w:color w:val="auto"/>
                <w:highlight w:val="none"/>
              </w:rPr>
            </w:pPr>
            <w:r>
              <w:rPr>
                <w:color w:val="auto"/>
                <w:spacing w:val="-2"/>
                <w:highlight w:val="none"/>
              </w:rPr>
              <w:t>员会在投票时应当写明投票理由。</w:t>
            </w:r>
          </w:p>
          <w:p w14:paraId="17182752">
            <w:pPr>
              <w:pStyle w:val="11"/>
              <w:spacing w:before="128" w:line="221" w:lineRule="auto"/>
              <w:ind w:left="137"/>
              <w:rPr>
                <w:color w:val="auto"/>
                <w:highlight w:val="none"/>
              </w:rPr>
            </w:pPr>
            <w:r>
              <w:rPr>
                <w:color w:val="auto"/>
                <w:spacing w:val="-26"/>
                <w:highlight w:val="none"/>
                <w14:textOutline w14:w="3831" w14:cap="flat" w14:cmpd="sng">
                  <w14:solidFill>
                    <w14:srgbClr w14:val="000000"/>
                  </w14:solidFill>
                  <w14:prstDash w14:val="solid"/>
                  <w14:miter w14:val="0"/>
                </w14:textOutline>
              </w:rPr>
              <w:t>□集体议事法：</w:t>
            </w:r>
            <w:r>
              <w:rPr>
                <w:color w:val="auto"/>
                <w:spacing w:val="55"/>
                <w:highlight w:val="none"/>
              </w:rPr>
              <w:t xml:space="preserve"> </w:t>
            </w:r>
            <w:r>
              <w:rPr>
                <w:color w:val="auto"/>
                <w:highlight w:val="none"/>
                <w:u w:val="single" w:color="auto"/>
              </w:rPr>
              <w:t xml:space="preserve">            </w:t>
            </w:r>
          </w:p>
          <w:p w14:paraId="7009CDB2">
            <w:pPr>
              <w:pStyle w:val="11"/>
              <w:spacing w:before="162" w:line="221" w:lineRule="auto"/>
              <w:ind w:left="137"/>
              <w:rPr>
                <w:color w:val="auto"/>
                <w:highlight w:val="none"/>
              </w:rPr>
            </w:pPr>
            <w:r>
              <w:rPr>
                <w:color w:val="auto"/>
                <w:spacing w:val="-3"/>
                <w:highlight w:val="none"/>
                <w14:textOutline w14:w="3831" w14:cap="flat" w14:cmpd="sng">
                  <w14:solidFill>
                    <w14:srgbClr w14:val="000000"/>
                  </w14:solidFill>
                  <w14:prstDash w14:val="solid"/>
                  <w14:miter w14:val="0"/>
                </w14:textOutline>
              </w:rPr>
              <w:t>□其他定标法：</w:t>
            </w:r>
            <w:r>
              <w:rPr>
                <w:color w:val="auto"/>
                <w:highlight w:val="none"/>
                <w:u w:val="single" w:color="auto"/>
              </w:rPr>
              <w:t xml:space="preserve">            </w:t>
            </w:r>
          </w:p>
        </w:tc>
      </w:tr>
    </w:tbl>
    <w:p w14:paraId="2A35073D">
      <w:pPr>
        <w:pStyle w:val="3"/>
        <w:rPr>
          <w:color w:val="auto"/>
          <w:highlight w:val="none"/>
        </w:rPr>
      </w:pPr>
    </w:p>
    <w:p w14:paraId="607C0A95">
      <w:pPr>
        <w:rPr>
          <w:color w:val="auto"/>
          <w:highlight w:val="none"/>
        </w:rPr>
        <w:sectPr>
          <w:footerReference r:id="rId61" w:type="default"/>
          <w:pgSz w:w="11905" w:h="16839"/>
          <w:pgMar w:top="1431" w:right="1551" w:bottom="996" w:left="1555" w:header="0" w:footer="791" w:gutter="0"/>
          <w:pgNumType w:fmt="decimal"/>
          <w:cols w:space="720" w:num="1"/>
        </w:sectPr>
      </w:pPr>
    </w:p>
    <w:p w14:paraId="323E387B">
      <w:pPr>
        <w:spacing w:before="86" w:line="499" w:lineRule="exact"/>
        <w:ind w:left="17"/>
        <w:rPr>
          <w:rFonts w:ascii="黑体" w:hAnsi="黑体" w:eastAsia="黑体" w:cs="黑体"/>
          <w:color w:val="auto"/>
          <w:sz w:val="27"/>
          <w:szCs w:val="27"/>
          <w:highlight w:val="none"/>
        </w:rPr>
      </w:pPr>
      <w:bookmarkStart w:id="160" w:name="bookmark188"/>
      <w:bookmarkEnd w:id="160"/>
      <w:bookmarkStart w:id="161" w:name="bookmark192"/>
      <w:bookmarkEnd w:id="161"/>
      <w:bookmarkStart w:id="162" w:name="bookmark190"/>
      <w:bookmarkEnd w:id="162"/>
      <w:bookmarkStart w:id="163" w:name="bookmark193"/>
      <w:bookmarkEnd w:id="163"/>
      <w:bookmarkStart w:id="164" w:name="bookmark189"/>
      <w:bookmarkEnd w:id="164"/>
      <w:bookmarkStart w:id="165" w:name="bookmark191"/>
      <w:bookmarkEnd w:id="165"/>
      <w:bookmarkStart w:id="166" w:name="bookmark194"/>
      <w:bookmarkEnd w:id="166"/>
      <w:r>
        <w:rPr>
          <w:rFonts w:ascii="黑体" w:hAnsi="黑体" w:eastAsia="黑体" w:cs="黑体"/>
          <w:color w:val="auto"/>
          <w:spacing w:val="7"/>
          <w:position w:val="16"/>
          <w:sz w:val="27"/>
          <w:szCs w:val="27"/>
          <w:highlight w:val="none"/>
        </w:rPr>
        <w:t>定标办法正文</w:t>
      </w:r>
    </w:p>
    <w:p w14:paraId="5819C126">
      <w:pPr>
        <w:spacing w:before="1" w:line="223"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w:t>
      </w:r>
      <w:r>
        <w:rPr>
          <w:rFonts w:ascii="黑体" w:hAnsi="黑体" w:eastAsia="黑体" w:cs="黑体"/>
          <w:color w:val="auto"/>
          <w:spacing w:val="1"/>
          <w:sz w:val="27"/>
          <w:szCs w:val="27"/>
          <w:highlight w:val="none"/>
        </w:rPr>
        <w:t>定标方法</w:t>
      </w:r>
    </w:p>
    <w:p w14:paraId="7BFBB834">
      <w:pPr>
        <w:spacing w:before="119" w:line="37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position w:val="12"/>
          <w:sz w:val="21"/>
          <w:szCs w:val="21"/>
          <w:highlight w:val="none"/>
        </w:rPr>
        <w:t>1.1</w:t>
      </w:r>
      <w:r>
        <w:rPr>
          <w:rFonts w:ascii="Times New Roman" w:hAnsi="Times New Roman" w:eastAsia="Times New Roman" w:cs="Times New Roman"/>
          <w:color w:val="auto"/>
          <w:spacing w:val="31"/>
          <w:w w:val="101"/>
          <w:position w:val="12"/>
          <w:sz w:val="21"/>
          <w:szCs w:val="21"/>
          <w:highlight w:val="none"/>
        </w:rPr>
        <w:t xml:space="preserve"> </w:t>
      </w:r>
      <w:r>
        <w:rPr>
          <w:rFonts w:ascii="宋体" w:hAnsi="宋体" w:eastAsia="宋体" w:cs="宋体"/>
          <w:color w:val="auto"/>
          <w:spacing w:val="-5"/>
          <w:position w:val="12"/>
          <w:sz w:val="21"/>
          <w:szCs w:val="21"/>
          <w:highlight w:val="none"/>
        </w:rPr>
        <w:t>定标委员会应严格按照评定分离操作规程及相关规定执行，</w:t>
      </w:r>
      <w:r>
        <w:rPr>
          <w:rFonts w:ascii="宋体" w:hAnsi="宋体" w:eastAsia="宋体" w:cs="宋体"/>
          <w:color w:val="auto"/>
          <w:spacing w:val="54"/>
          <w:position w:val="12"/>
          <w:sz w:val="21"/>
          <w:szCs w:val="21"/>
          <w:highlight w:val="none"/>
        </w:rPr>
        <w:t xml:space="preserve"> </w:t>
      </w:r>
      <w:r>
        <w:rPr>
          <w:rFonts w:ascii="宋体" w:hAnsi="宋体" w:eastAsia="宋体" w:cs="宋体"/>
          <w:color w:val="auto"/>
          <w:spacing w:val="-5"/>
          <w:position w:val="12"/>
          <w:sz w:val="21"/>
          <w:szCs w:val="21"/>
          <w:highlight w:val="none"/>
        </w:rPr>
        <w:t>不得随意改变已确定且</w:t>
      </w:r>
    </w:p>
    <w:p w14:paraId="00077E9C">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备案登记的定标程序、定标因素和规则、定</w:t>
      </w:r>
      <w:r>
        <w:rPr>
          <w:rFonts w:ascii="宋体" w:hAnsi="宋体" w:eastAsia="宋体" w:cs="宋体"/>
          <w:color w:val="auto"/>
          <w:spacing w:val="-2"/>
          <w:sz w:val="21"/>
          <w:szCs w:val="21"/>
          <w:highlight w:val="none"/>
        </w:rPr>
        <w:t>标方法。</w:t>
      </w:r>
    </w:p>
    <w:p w14:paraId="0362990B">
      <w:pPr>
        <w:spacing w:before="128" w:line="220"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1.2</w:t>
      </w:r>
      <w:r>
        <w:rPr>
          <w:rFonts w:ascii="Times New Roman" w:hAnsi="Times New Roman" w:eastAsia="Times New Roman" w:cs="Times New Roman"/>
          <w:color w:val="auto"/>
          <w:spacing w:val="23"/>
          <w:w w:val="101"/>
          <w:sz w:val="21"/>
          <w:szCs w:val="21"/>
          <w:highlight w:val="none"/>
        </w:rPr>
        <w:t xml:space="preserve"> </w:t>
      </w:r>
      <w:r>
        <w:rPr>
          <w:rFonts w:ascii="宋体" w:hAnsi="宋体" w:eastAsia="宋体" w:cs="宋体"/>
          <w:color w:val="auto"/>
          <w:spacing w:val="-1"/>
          <w:sz w:val="21"/>
          <w:szCs w:val="21"/>
          <w:highlight w:val="none"/>
        </w:rPr>
        <w:t>招标人根据招标项目类型、项目具体特点</w:t>
      </w:r>
      <w:r>
        <w:rPr>
          <w:rFonts w:ascii="宋体" w:hAnsi="宋体" w:eastAsia="宋体" w:cs="宋体"/>
          <w:color w:val="auto"/>
          <w:spacing w:val="-2"/>
          <w:sz w:val="21"/>
          <w:szCs w:val="21"/>
          <w:highlight w:val="none"/>
        </w:rPr>
        <w:t>和实现履约确定的定标因素作为定标依据。</w:t>
      </w:r>
    </w:p>
    <w:p w14:paraId="119066BE">
      <w:pPr>
        <w:spacing w:before="130" w:line="37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1.3</w:t>
      </w:r>
      <w:r>
        <w:rPr>
          <w:rFonts w:ascii="Times New Roman" w:hAnsi="Times New Roman" w:eastAsia="Times New Roman" w:cs="Times New Roman"/>
          <w:color w:val="auto"/>
          <w:spacing w:val="28"/>
          <w:w w:val="101"/>
          <w:position w:val="12"/>
          <w:sz w:val="21"/>
          <w:szCs w:val="21"/>
          <w:highlight w:val="none"/>
        </w:rPr>
        <w:t xml:space="preserve"> </w:t>
      </w:r>
      <w:r>
        <w:rPr>
          <w:rFonts w:ascii="宋体" w:hAnsi="宋体" w:eastAsia="宋体" w:cs="宋体"/>
          <w:color w:val="auto"/>
          <w:spacing w:val="-1"/>
          <w:position w:val="12"/>
          <w:sz w:val="21"/>
          <w:szCs w:val="21"/>
          <w:highlight w:val="none"/>
        </w:rPr>
        <w:t>定标委员会按照招标文件明确规定的定标因素、定标规则和定标方法进行定标</w:t>
      </w:r>
      <w:r>
        <w:rPr>
          <w:rFonts w:ascii="宋体" w:hAnsi="宋体" w:eastAsia="宋体" w:cs="宋体"/>
          <w:color w:val="auto"/>
          <w:spacing w:val="-2"/>
          <w:position w:val="12"/>
          <w:sz w:val="21"/>
          <w:szCs w:val="21"/>
          <w:highlight w:val="none"/>
        </w:rPr>
        <w:t>，确</w:t>
      </w:r>
    </w:p>
    <w:p w14:paraId="3E45ABAA">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定中标人。</w:t>
      </w:r>
    </w:p>
    <w:p w14:paraId="6C0908EA">
      <w:pPr>
        <w:spacing w:before="185" w:line="441" w:lineRule="exact"/>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7"/>
          <w:position w:val="12"/>
          <w:sz w:val="27"/>
          <w:szCs w:val="27"/>
          <w:highlight w:val="none"/>
        </w:rPr>
        <w:t>2.</w:t>
      </w:r>
      <w:r>
        <w:rPr>
          <w:rFonts w:ascii="黑体" w:hAnsi="黑体" w:eastAsia="黑体" w:cs="黑体"/>
          <w:color w:val="auto"/>
          <w:spacing w:val="7"/>
          <w:position w:val="12"/>
          <w:sz w:val="27"/>
          <w:szCs w:val="27"/>
          <w:highlight w:val="none"/>
        </w:rPr>
        <w:t>定标流程及规则</w:t>
      </w:r>
    </w:p>
    <w:p w14:paraId="0C37F460">
      <w:pPr>
        <w:spacing w:before="1" w:line="218"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2.</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 xml:space="preserve">1 </w:t>
      </w:r>
      <w:r>
        <w:rPr>
          <w:rFonts w:ascii="黑体" w:hAnsi="黑体" w:eastAsia="黑体" w:cs="黑体"/>
          <w:color w:val="auto"/>
          <w:spacing w:val="-4"/>
          <w:sz w:val="24"/>
          <w:szCs w:val="24"/>
          <w:highlight w:val="none"/>
        </w:rPr>
        <w:t>组建定标委员会</w:t>
      </w:r>
    </w:p>
    <w:p w14:paraId="03C23DD6">
      <w:pPr>
        <w:spacing w:before="29" w:line="247" w:lineRule="auto"/>
        <w:ind w:left="22" w:right="182"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定标前，招标人负责组建定标委员会，负责定标工作。定标委员会人员组成详见</w:t>
      </w:r>
      <w:r>
        <w:rPr>
          <w:rFonts w:ascii="宋体" w:hAnsi="宋体" w:eastAsia="宋体" w:cs="宋体"/>
          <w:color w:val="auto"/>
          <w:spacing w:val="2"/>
          <w:sz w:val="21"/>
          <w:szCs w:val="21"/>
          <w:highlight w:val="none"/>
        </w:rPr>
        <w:t>定标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办法前附表。</w:t>
      </w:r>
    </w:p>
    <w:p w14:paraId="6EEE94AF">
      <w:pPr>
        <w:spacing w:before="147"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2.2 </w:t>
      </w:r>
      <w:r>
        <w:rPr>
          <w:rFonts w:ascii="黑体" w:hAnsi="黑体" w:eastAsia="黑体" w:cs="黑体"/>
          <w:color w:val="auto"/>
          <w:spacing w:val="-2"/>
          <w:sz w:val="24"/>
          <w:szCs w:val="24"/>
          <w:highlight w:val="none"/>
        </w:rPr>
        <w:t>定标因素及规则</w:t>
      </w:r>
    </w:p>
    <w:p w14:paraId="15B61CCB">
      <w:pPr>
        <w:spacing w:before="125" w:line="379" w:lineRule="exact"/>
        <w:ind w:left="447"/>
        <w:rPr>
          <w:rFonts w:ascii="宋体" w:hAnsi="宋体" w:eastAsia="宋体" w:cs="宋体"/>
          <w:color w:val="auto"/>
          <w:sz w:val="21"/>
          <w:szCs w:val="21"/>
          <w:highlight w:val="none"/>
        </w:rPr>
      </w:pPr>
      <w:r>
        <w:rPr>
          <w:rFonts w:ascii="宋体" w:hAnsi="宋体" w:eastAsia="宋体" w:cs="宋体"/>
          <w:color w:val="auto"/>
          <w:spacing w:val="-9"/>
          <w:position w:val="12"/>
          <w:sz w:val="21"/>
          <w:szCs w:val="21"/>
          <w:highlight w:val="none"/>
        </w:rPr>
        <w:t>（</w:t>
      </w:r>
      <w:r>
        <w:rPr>
          <w:rFonts w:ascii="Times New Roman" w:hAnsi="Times New Roman" w:eastAsia="Times New Roman" w:cs="Times New Roman"/>
          <w:color w:val="auto"/>
          <w:spacing w:val="-9"/>
          <w:position w:val="12"/>
          <w:sz w:val="21"/>
          <w:szCs w:val="21"/>
          <w:highlight w:val="none"/>
        </w:rPr>
        <w:t>1</w:t>
      </w:r>
      <w:r>
        <w:rPr>
          <w:rFonts w:ascii="宋体" w:hAnsi="宋体" w:eastAsia="宋体" w:cs="宋体"/>
          <w:color w:val="auto"/>
          <w:spacing w:val="-9"/>
          <w:position w:val="12"/>
          <w:sz w:val="21"/>
          <w:szCs w:val="21"/>
          <w:highlight w:val="none"/>
        </w:rPr>
        <w:t>）定标因素： 见定标办法前附表；</w:t>
      </w:r>
    </w:p>
    <w:p w14:paraId="739C690F">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）定标规则： 见定标办法前附表。</w:t>
      </w:r>
    </w:p>
    <w:p w14:paraId="4E89EE62">
      <w:pPr>
        <w:spacing w:before="124" w:line="218"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2.3 </w:t>
      </w:r>
      <w:r>
        <w:rPr>
          <w:rFonts w:ascii="黑体" w:hAnsi="黑体" w:eastAsia="黑体" w:cs="黑体"/>
          <w:color w:val="auto"/>
          <w:spacing w:val="-2"/>
          <w:sz w:val="24"/>
          <w:szCs w:val="24"/>
          <w:highlight w:val="none"/>
        </w:rPr>
        <w:t>定标办法</w:t>
      </w:r>
    </w:p>
    <w:p w14:paraId="1FE85562">
      <w:pPr>
        <w:spacing w:before="120" w:line="380" w:lineRule="exact"/>
        <w:ind w:left="446"/>
        <w:rPr>
          <w:rFonts w:ascii="宋体" w:hAnsi="宋体" w:eastAsia="宋体" w:cs="宋体"/>
          <w:color w:val="auto"/>
          <w:sz w:val="21"/>
          <w:szCs w:val="21"/>
          <w:highlight w:val="none"/>
        </w:rPr>
      </w:pPr>
      <w:r>
        <w:rPr>
          <w:rFonts w:ascii="宋体" w:hAnsi="宋体" w:eastAsia="宋体" w:cs="宋体"/>
          <w:color w:val="auto"/>
          <w:spacing w:val="3"/>
          <w:position w:val="12"/>
          <w:sz w:val="21"/>
          <w:szCs w:val="21"/>
          <w:highlight w:val="none"/>
        </w:rPr>
        <w:t>定标办法包括集中票决法、集体议事法或招标人结合项目具体特点和实际情况制</w:t>
      </w:r>
      <w:r>
        <w:rPr>
          <w:rFonts w:ascii="宋体" w:hAnsi="宋体" w:eastAsia="宋体" w:cs="宋体"/>
          <w:color w:val="auto"/>
          <w:spacing w:val="2"/>
          <w:position w:val="12"/>
          <w:sz w:val="21"/>
          <w:szCs w:val="21"/>
          <w:highlight w:val="none"/>
        </w:rPr>
        <w:t>定的</w:t>
      </w:r>
    </w:p>
    <w:p w14:paraId="582273BA">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其他定标法。</w:t>
      </w:r>
    </w:p>
    <w:p w14:paraId="796D82BB">
      <w:pPr>
        <w:spacing w:before="133" w:line="379"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2.3.1</w:t>
      </w:r>
      <w:r>
        <w:rPr>
          <w:rFonts w:ascii="Times New Roman" w:hAnsi="Times New Roman" w:eastAsia="Times New Roman" w:cs="Times New Roman"/>
          <w:color w:val="auto"/>
          <w:spacing w:val="43"/>
          <w:position w:val="12"/>
          <w:sz w:val="21"/>
          <w:szCs w:val="21"/>
          <w:highlight w:val="none"/>
        </w:rPr>
        <w:t xml:space="preserve"> </w:t>
      </w:r>
      <w:r>
        <w:rPr>
          <w:rFonts w:ascii="宋体" w:hAnsi="宋体" w:eastAsia="宋体" w:cs="宋体"/>
          <w:color w:val="auto"/>
          <w:spacing w:val="1"/>
          <w:position w:val="12"/>
          <w:sz w:val="21"/>
          <w:szCs w:val="21"/>
          <w:highlight w:val="none"/>
        </w:rPr>
        <w:t>集中票决法包括直接票决定标法、逐轮票决定</w:t>
      </w:r>
      <w:r>
        <w:rPr>
          <w:rFonts w:ascii="宋体" w:hAnsi="宋体" w:eastAsia="宋体" w:cs="宋体"/>
          <w:color w:val="auto"/>
          <w:position w:val="12"/>
          <w:sz w:val="21"/>
          <w:szCs w:val="21"/>
          <w:highlight w:val="none"/>
        </w:rPr>
        <w:t>标法、票决低价定标法、票决抽签</w:t>
      </w:r>
    </w:p>
    <w:p w14:paraId="689AA347">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定标法。</w:t>
      </w:r>
    </w:p>
    <w:p w14:paraId="7AD57ADC">
      <w:pPr>
        <w:spacing w:before="127" w:line="334" w:lineRule="auto"/>
        <w:ind w:left="20" w:right="181" w:firstLine="41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"2.3.1.1"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2.3.1.1</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9"/>
          <w:w w:val="101"/>
          <w:sz w:val="21"/>
          <w:szCs w:val="21"/>
          <w:highlight w:val="none"/>
        </w:rPr>
        <w:t xml:space="preserve"> </w:t>
      </w:r>
      <w:r>
        <w:rPr>
          <w:rFonts w:ascii="宋体" w:hAnsi="宋体" w:eastAsia="宋体" w:cs="宋体"/>
          <w:color w:val="auto"/>
          <w:spacing w:val="2"/>
          <w:sz w:val="21"/>
          <w:szCs w:val="21"/>
          <w:highlight w:val="none"/>
        </w:rPr>
        <w:t>直接票决定标法。通过投票，取票数最多且超过半数的为中标人。若中</w:t>
      </w:r>
      <w:r>
        <w:rPr>
          <w:rFonts w:ascii="宋体" w:hAnsi="宋体" w:eastAsia="宋体" w:cs="宋体"/>
          <w:color w:val="auto"/>
          <w:spacing w:val="1"/>
          <w:sz w:val="21"/>
          <w:szCs w:val="21"/>
          <w:highlight w:val="none"/>
        </w:rPr>
        <w:t>标候选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人票数均未超过半数的，取票数前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2"/>
          <w:sz w:val="21"/>
          <w:szCs w:val="21"/>
          <w:highlight w:val="none"/>
        </w:rPr>
        <w:t xml:space="preserve">名再次票决确定中标人。因并列无法确定前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2"/>
          <w:sz w:val="21"/>
          <w:szCs w:val="21"/>
          <w:highlight w:val="none"/>
        </w:rPr>
        <w:t>名时，</w:t>
      </w:r>
    </w:p>
    <w:p w14:paraId="7AFCAA4D">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按价格由低到高选取前</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 </w:t>
      </w:r>
      <w:r>
        <w:rPr>
          <w:rFonts w:ascii="宋体" w:hAnsi="宋体" w:eastAsia="宋体" w:cs="宋体"/>
          <w:color w:val="auto"/>
          <w:spacing w:val="-3"/>
          <w:sz w:val="21"/>
          <w:szCs w:val="21"/>
          <w:highlight w:val="none"/>
        </w:rPr>
        <w:t>名。</w:t>
      </w:r>
    </w:p>
    <w:p w14:paraId="13704E9C">
      <w:pPr>
        <w:spacing w:before="130" w:line="384"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"2.3.1.2" </w:instrText>
      </w:r>
      <w:r>
        <w:rPr>
          <w:color w:val="auto"/>
          <w:highlight w:val="none"/>
        </w:rPr>
        <w:fldChar w:fldCharType="separate"/>
      </w:r>
      <w:r>
        <w:rPr>
          <w:rFonts w:ascii="Times New Roman" w:hAnsi="Times New Roman" w:eastAsia="Times New Roman" w:cs="Times New Roman"/>
          <w:color w:val="auto"/>
          <w:spacing w:val="-4"/>
          <w:position w:val="13"/>
          <w:sz w:val="21"/>
          <w:szCs w:val="21"/>
          <w:highlight w:val="none"/>
        </w:rPr>
        <w:t>2.3.1.2</w:t>
      </w:r>
      <w:r>
        <w:rPr>
          <w:rFonts w:ascii="Times New Roman" w:hAnsi="Times New Roman" w:eastAsia="Times New Roman" w:cs="Times New Roman"/>
          <w:color w:val="auto"/>
          <w:spacing w:val="-4"/>
          <w:position w:val="13"/>
          <w:sz w:val="21"/>
          <w:szCs w:val="21"/>
          <w:highlight w:val="none"/>
        </w:rPr>
        <w:fldChar w:fldCharType="end"/>
      </w:r>
      <w:r>
        <w:rPr>
          <w:rFonts w:ascii="Times New Roman" w:hAnsi="Times New Roman" w:eastAsia="Times New Roman" w:cs="Times New Roman"/>
          <w:color w:val="auto"/>
          <w:spacing w:val="43"/>
          <w:w w:val="101"/>
          <w:position w:val="13"/>
          <w:sz w:val="21"/>
          <w:szCs w:val="21"/>
          <w:highlight w:val="none"/>
        </w:rPr>
        <w:t xml:space="preserve"> </w:t>
      </w:r>
      <w:r>
        <w:rPr>
          <w:rFonts w:ascii="宋体" w:hAnsi="宋体" w:eastAsia="宋体" w:cs="宋体"/>
          <w:color w:val="auto"/>
          <w:spacing w:val="-4"/>
          <w:position w:val="13"/>
          <w:sz w:val="21"/>
          <w:szCs w:val="21"/>
          <w:highlight w:val="none"/>
        </w:rPr>
        <w:t xml:space="preserve">逐轮票决定标法。通过投票，每轮淘汰 </w:t>
      </w:r>
      <w:r>
        <w:rPr>
          <w:rFonts w:ascii="Times New Roman" w:hAnsi="Times New Roman" w:eastAsia="Times New Roman" w:cs="Times New Roman"/>
          <w:color w:val="auto"/>
          <w:spacing w:val="-4"/>
          <w:position w:val="13"/>
          <w:sz w:val="21"/>
          <w:szCs w:val="21"/>
          <w:highlight w:val="none"/>
        </w:rPr>
        <w:t xml:space="preserve">1  </w:t>
      </w:r>
      <w:r>
        <w:rPr>
          <w:rFonts w:ascii="宋体" w:hAnsi="宋体" w:eastAsia="宋体" w:cs="宋体"/>
          <w:color w:val="auto"/>
          <w:spacing w:val="-4"/>
          <w:position w:val="13"/>
          <w:sz w:val="21"/>
          <w:szCs w:val="21"/>
          <w:highlight w:val="none"/>
        </w:rPr>
        <w:t>名票数最少的中标</w:t>
      </w:r>
      <w:r>
        <w:rPr>
          <w:rFonts w:ascii="宋体" w:hAnsi="宋体" w:eastAsia="宋体" w:cs="宋体"/>
          <w:color w:val="auto"/>
          <w:spacing w:val="-5"/>
          <w:position w:val="13"/>
          <w:sz w:val="21"/>
          <w:szCs w:val="21"/>
          <w:highlight w:val="none"/>
        </w:rPr>
        <w:t>候选人，</w:t>
      </w:r>
      <w:r>
        <w:rPr>
          <w:rFonts w:ascii="宋体" w:hAnsi="宋体" w:eastAsia="宋体" w:cs="宋体"/>
          <w:color w:val="auto"/>
          <w:spacing w:val="53"/>
          <w:position w:val="13"/>
          <w:sz w:val="21"/>
          <w:szCs w:val="21"/>
          <w:highlight w:val="none"/>
        </w:rPr>
        <w:t xml:space="preserve"> </w:t>
      </w:r>
      <w:r>
        <w:rPr>
          <w:rFonts w:ascii="宋体" w:hAnsi="宋体" w:eastAsia="宋体" w:cs="宋体"/>
          <w:color w:val="auto"/>
          <w:spacing w:val="-5"/>
          <w:position w:val="13"/>
          <w:sz w:val="21"/>
          <w:szCs w:val="21"/>
          <w:highlight w:val="none"/>
        </w:rPr>
        <w:t>最终确定</w:t>
      </w:r>
    </w:p>
    <w:p w14:paraId="347F67E7">
      <w:pPr>
        <w:spacing w:line="219"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中标人。票数最少中标候选人出现并列时，淘汰报价高者。</w:t>
      </w:r>
    </w:p>
    <w:p w14:paraId="2711F3DE">
      <w:pPr>
        <w:spacing w:before="130" w:line="379"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"2.3.1.3" </w:instrText>
      </w:r>
      <w:r>
        <w:rPr>
          <w:color w:val="auto"/>
          <w:highlight w:val="none"/>
        </w:rPr>
        <w:fldChar w:fldCharType="separate"/>
      </w:r>
      <w:r>
        <w:rPr>
          <w:rFonts w:ascii="Times New Roman" w:hAnsi="Times New Roman" w:eastAsia="Times New Roman" w:cs="Times New Roman"/>
          <w:color w:val="auto"/>
          <w:spacing w:val="2"/>
          <w:position w:val="12"/>
          <w:sz w:val="21"/>
          <w:szCs w:val="21"/>
          <w:highlight w:val="none"/>
        </w:rPr>
        <w:t>2.3.1.3</w:t>
      </w:r>
      <w:r>
        <w:rPr>
          <w:rFonts w:ascii="Times New Roman" w:hAnsi="Times New Roman" w:eastAsia="Times New Roman" w:cs="Times New Roman"/>
          <w:color w:val="auto"/>
          <w:spacing w:val="2"/>
          <w:position w:val="12"/>
          <w:sz w:val="21"/>
          <w:szCs w:val="21"/>
          <w:highlight w:val="none"/>
        </w:rPr>
        <w:fldChar w:fldCharType="end"/>
      </w:r>
      <w:r>
        <w:rPr>
          <w:rFonts w:ascii="Times New Roman" w:hAnsi="Times New Roman" w:eastAsia="Times New Roman" w:cs="Times New Roman"/>
          <w:color w:val="auto"/>
          <w:spacing w:val="39"/>
          <w:w w:val="101"/>
          <w:position w:val="12"/>
          <w:sz w:val="21"/>
          <w:szCs w:val="21"/>
          <w:highlight w:val="none"/>
        </w:rPr>
        <w:t xml:space="preserve"> </w:t>
      </w:r>
      <w:r>
        <w:rPr>
          <w:rFonts w:ascii="宋体" w:hAnsi="宋体" w:eastAsia="宋体" w:cs="宋体"/>
          <w:color w:val="auto"/>
          <w:spacing w:val="2"/>
          <w:position w:val="12"/>
          <w:sz w:val="21"/>
          <w:szCs w:val="21"/>
          <w:highlight w:val="none"/>
        </w:rPr>
        <w:t>票决低价定标法。由定标委员会从进入票决定标的投标人中，以投票表</w:t>
      </w:r>
      <w:r>
        <w:rPr>
          <w:rFonts w:ascii="宋体" w:hAnsi="宋体" w:eastAsia="宋体" w:cs="宋体"/>
          <w:color w:val="auto"/>
          <w:spacing w:val="1"/>
          <w:position w:val="12"/>
          <w:sz w:val="21"/>
          <w:szCs w:val="21"/>
          <w:highlight w:val="none"/>
        </w:rPr>
        <w:t>决方式</w:t>
      </w:r>
    </w:p>
    <w:p w14:paraId="40FD7E74">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确定不少于</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名投标人，以投标报价最低投标人确定为中标人。</w:t>
      </w:r>
    </w:p>
    <w:p w14:paraId="7159D3AD">
      <w:pPr>
        <w:spacing w:before="131" w:line="379"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"2.3.1.4" </w:instrText>
      </w:r>
      <w:r>
        <w:rPr>
          <w:color w:val="auto"/>
          <w:highlight w:val="none"/>
        </w:rPr>
        <w:fldChar w:fldCharType="separate"/>
      </w:r>
      <w:r>
        <w:rPr>
          <w:rFonts w:ascii="Times New Roman" w:hAnsi="Times New Roman" w:eastAsia="Times New Roman" w:cs="Times New Roman"/>
          <w:color w:val="auto"/>
          <w:spacing w:val="2"/>
          <w:position w:val="12"/>
          <w:sz w:val="21"/>
          <w:szCs w:val="21"/>
          <w:highlight w:val="none"/>
        </w:rPr>
        <w:t>2.3.1.4</w:t>
      </w:r>
      <w:r>
        <w:rPr>
          <w:rFonts w:ascii="Times New Roman" w:hAnsi="Times New Roman" w:eastAsia="Times New Roman" w:cs="Times New Roman"/>
          <w:color w:val="auto"/>
          <w:spacing w:val="2"/>
          <w:position w:val="12"/>
          <w:sz w:val="21"/>
          <w:szCs w:val="21"/>
          <w:highlight w:val="none"/>
        </w:rPr>
        <w:fldChar w:fldCharType="end"/>
      </w:r>
      <w:r>
        <w:rPr>
          <w:rFonts w:ascii="Times New Roman" w:hAnsi="Times New Roman" w:eastAsia="Times New Roman" w:cs="Times New Roman"/>
          <w:color w:val="auto"/>
          <w:spacing w:val="39"/>
          <w:w w:val="101"/>
          <w:position w:val="12"/>
          <w:sz w:val="21"/>
          <w:szCs w:val="21"/>
          <w:highlight w:val="none"/>
        </w:rPr>
        <w:t xml:space="preserve"> </w:t>
      </w:r>
      <w:r>
        <w:rPr>
          <w:rFonts w:ascii="宋体" w:hAnsi="宋体" w:eastAsia="宋体" w:cs="宋体"/>
          <w:color w:val="auto"/>
          <w:spacing w:val="2"/>
          <w:position w:val="12"/>
          <w:sz w:val="21"/>
          <w:szCs w:val="21"/>
          <w:highlight w:val="none"/>
        </w:rPr>
        <w:t>票决抽签定标法。由定标委员会从进入票决定标的投标人中，以投票表</w:t>
      </w:r>
      <w:r>
        <w:rPr>
          <w:rFonts w:ascii="宋体" w:hAnsi="宋体" w:eastAsia="宋体" w:cs="宋体"/>
          <w:color w:val="auto"/>
          <w:spacing w:val="1"/>
          <w:position w:val="12"/>
          <w:sz w:val="21"/>
          <w:szCs w:val="21"/>
          <w:highlight w:val="none"/>
        </w:rPr>
        <w:t>决方式</w:t>
      </w:r>
    </w:p>
    <w:p w14:paraId="273FE10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确定不少于</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 </w:t>
      </w:r>
      <w:r>
        <w:rPr>
          <w:rFonts w:ascii="宋体" w:hAnsi="宋体" w:eastAsia="宋体" w:cs="宋体"/>
          <w:color w:val="auto"/>
          <w:spacing w:val="-1"/>
          <w:sz w:val="21"/>
          <w:szCs w:val="21"/>
          <w:highlight w:val="none"/>
        </w:rPr>
        <w:t>名投标人，以随机抽签方式确定中标人。</w:t>
      </w:r>
    </w:p>
    <w:p w14:paraId="019A2DE9">
      <w:pPr>
        <w:spacing w:before="12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2.3.2 </w:t>
      </w:r>
      <w:r>
        <w:rPr>
          <w:rFonts w:ascii="宋体" w:hAnsi="宋体" w:eastAsia="宋体" w:cs="宋体"/>
          <w:color w:val="auto"/>
          <w:spacing w:val="-1"/>
          <w:sz w:val="21"/>
          <w:szCs w:val="21"/>
          <w:highlight w:val="none"/>
        </w:rPr>
        <w:t>集体议事法</w:t>
      </w:r>
    </w:p>
    <w:p w14:paraId="27F10C3B">
      <w:pPr>
        <w:spacing w:before="134" w:line="379" w:lineRule="exact"/>
        <w:ind w:left="443"/>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指定标委员会进行集体商议，定标委员各自发表意见， 最终由定标委员会组长确定中</w:t>
      </w:r>
    </w:p>
    <w:p w14:paraId="557FEEAE">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标人的定标方法，具体方法见定标办法前附表。</w:t>
      </w:r>
    </w:p>
    <w:p w14:paraId="54D06ABA">
      <w:pPr>
        <w:spacing w:before="130"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2.3.3 </w:t>
      </w:r>
      <w:r>
        <w:rPr>
          <w:rFonts w:ascii="宋体" w:hAnsi="宋体" w:eastAsia="宋体" w:cs="宋体"/>
          <w:color w:val="auto"/>
          <w:spacing w:val="-1"/>
          <w:sz w:val="21"/>
          <w:szCs w:val="21"/>
          <w:highlight w:val="none"/>
        </w:rPr>
        <w:t>其他定标法</w:t>
      </w:r>
    </w:p>
    <w:p w14:paraId="467D9075">
      <w:pPr>
        <w:spacing w:before="127" w:line="379" w:lineRule="exact"/>
        <w:ind w:left="442"/>
        <w:rPr>
          <w:rFonts w:ascii="宋体" w:hAnsi="宋体" w:eastAsia="宋体" w:cs="宋体"/>
          <w:color w:val="auto"/>
          <w:sz w:val="21"/>
          <w:szCs w:val="21"/>
          <w:highlight w:val="none"/>
        </w:rPr>
      </w:pPr>
      <w:r>
        <w:rPr>
          <w:rFonts w:ascii="宋体" w:hAnsi="宋体" w:eastAsia="宋体" w:cs="宋体"/>
          <w:color w:val="auto"/>
          <w:spacing w:val="3"/>
          <w:position w:val="12"/>
          <w:sz w:val="21"/>
          <w:szCs w:val="21"/>
          <w:highlight w:val="none"/>
        </w:rPr>
        <w:t>招标人结合项目具体特点和实际情况制定的合理且规则明确的定标办法，具体方法见</w:t>
      </w:r>
    </w:p>
    <w:p w14:paraId="0A6A1658">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定标办法前附表。</w:t>
      </w:r>
    </w:p>
    <w:p w14:paraId="5DCCB887">
      <w:pPr>
        <w:spacing w:line="219" w:lineRule="auto"/>
        <w:rPr>
          <w:rFonts w:ascii="宋体" w:hAnsi="宋体" w:eastAsia="宋体" w:cs="宋体"/>
          <w:color w:val="auto"/>
          <w:sz w:val="21"/>
          <w:szCs w:val="21"/>
          <w:highlight w:val="none"/>
        </w:rPr>
        <w:sectPr>
          <w:footerReference r:id="rId62" w:type="default"/>
          <w:pgSz w:w="11905" w:h="16839"/>
          <w:pgMar w:top="1431" w:right="1609" w:bottom="996" w:left="1785" w:header="0" w:footer="791" w:gutter="0"/>
          <w:pgNumType w:fmt="decimal"/>
          <w:cols w:space="720" w:num="1"/>
        </w:sectPr>
      </w:pPr>
    </w:p>
    <w:p w14:paraId="6D97140D">
      <w:pPr>
        <w:spacing w:before="86" w:line="224" w:lineRule="auto"/>
        <w:ind w:left="21"/>
        <w:rPr>
          <w:rFonts w:ascii="黑体" w:hAnsi="黑体" w:eastAsia="黑体" w:cs="黑体"/>
          <w:color w:val="auto"/>
          <w:sz w:val="27"/>
          <w:szCs w:val="27"/>
          <w:highlight w:val="none"/>
        </w:rPr>
      </w:pPr>
      <w:bookmarkStart w:id="167" w:name="bookmark197"/>
      <w:bookmarkEnd w:id="167"/>
      <w:bookmarkStart w:id="168" w:name="bookmark199"/>
      <w:bookmarkEnd w:id="168"/>
      <w:bookmarkStart w:id="169" w:name="bookmark196"/>
      <w:bookmarkEnd w:id="169"/>
      <w:bookmarkStart w:id="170" w:name="bookmark198"/>
      <w:bookmarkEnd w:id="170"/>
      <w:bookmarkStart w:id="171" w:name="bookmark195"/>
      <w:bookmarkEnd w:id="171"/>
      <w:r>
        <w:rPr>
          <w:rFonts w:ascii="Times New Roman" w:hAnsi="Times New Roman" w:eastAsia="Times New Roman" w:cs="Times New Roman"/>
          <w:color w:val="auto"/>
          <w:spacing w:val="5"/>
          <w:sz w:val="27"/>
          <w:szCs w:val="27"/>
          <w:highlight w:val="none"/>
        </w:rPr>
        <w:t>3.</w:t>
      </w:r>
      <w:r>
        <w:rPr>
          <w:rFonts w:ascii="黑体" w:hAnsi="黑体" w:eastAsia="黑体" w:cs="黑体"/>
          <w:color w:val="auto"/>
          <w:spacing w:val="5"/>
          <w:sz w:val="27"/>
          <w:szCs w:val="27"/>
          <w:highlight w:val="none"/>
        </w:rPr>
        <w:t>重新定标</w:t>
      </w:r>
    </w:p>
    <w:p w14:paraId="6E847731">
      <w:pPr>
        <w:spacing w:before="114" w:line="384" w:lineRule="exact"/>
        <w:ind w:right="6"/>
        <w:jc w:val="right"/>
        <w:rPr>
          <w:rFonts w:ascii="宋体" w:hAnsi="宋体" w:eastAsia="宋体" w:cs="宋体"/>
          <w:color w:val="auto"/>
          <w:sz w:val="21"/>
          <w:szCs w:val="21"/>
          <w:highlight w:val="none"/>
        </w:rPr>
      </w:pPr>
      <w:r>
        <w:rPr>
          <w:rFonts w:ascii="宋体" w:hAnsi="宋体" w:eastAsia="宋体" w:cs="宋体"/>
          <w:color w:val="auto"/>
          <w:position w:val="13"/>
          <w:sz w:val="21"/>
          <w:szCs w:val="21"/>
          <w:highlight w:val="none"/>
        </w:rPr>
        <w:t>定标后有下列情形之一的， 招标人可从其他定标候选人中采用原定标方办法，由原定</w:t>
      </w:r>
    </w:p>
    <w:p w14:paraId="21EC016F">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标委员会重新确定中标人：</w:t>
      </w:r>
    </w:p>
    <w:p w14:paraId="01370207">
      <w:pPr>
        <w:spacing w:before="129"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3.1</w:t>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3"/>
          <w:sz w:val="21"/>
          <w:szCs w:val="21"/>
          <w:highlight w:val="none"/>
        </w:rPr>
        <w:t>中标人放弃中标或者拒不签订合同的；</w:t>
      </w:r>
    </w:p>
    <w:p w14:paraId="79FC2941">
      <w:pPr>
        <w:spacing w:before="127"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2"/>
          <w:sz w:val="21"/>
          <w:szCs w:val="21"/>
          <w:highlight w:val="none"/>
        </w:rPr>
        <w:t>中标人不按照招标文件要求提交履约担保的；</w:t>
      </w:r>
    </w:p>
    <w:p w14:paraId="6E9C615E">
      <w:pPr>
        <w:spacing w:before="128"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3.3 </w:t>
      </w:r>
      <w:r>
        <w:rPr>
          <w:rFonts w:ascii="宋体" w:hAnsi="宋体" w:eastAsia="宋体" w:cs="宋体"/>
          <w:color w:val="auto"/>
          <w:spacing w:val="-3"/>
          <w:sz w:val="21"/>
          <w:szCs w:val="21"/>
          <w:highlight w:val="none"/>
        </w:rPr>
        <w:t>被查实存在影响中标结果的违法行为的；</w:t>
      </w:r>
    </w:p>
    <w:p w14:paraId="34BF3952">
      <w:pPr>
        <w:spacing w:before="128"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 </w:t>
      </w:r>
      <w:r>
        <w:rPr>
          <w:rFonts w:ascii="宋体" w:hAnsi="宋体" w:eastAsia="宋体" w:cs="宋体"/>
          <w:color w:val="auto"/>
          <w:spacing w:val="-1"/>
          <w:sz w:val="21"/>
          <w:szCs w:val="21"/>
          <w:highlight w:val="none"/>
        </w:rPr>
        <w:t>法律法规规定的其他情形。</w:t>
      </w:r>
    </w:p>
    <w:p w14:paraId="0E97345A">
      <w:pPr>
        <w:spacing w:before="186" w:line="224" w:lineRule="auto"/>
        <w:ind w:left="14"/>
        <w:rPr>
          <w:rFonts w:ascii="黑体" w:hAnsi="黑体" w:eastAsia="黑体" w:cs="黑体"/>
          <w:color w:val="auto"/>
          <w:sz w:val="27"/>
          <w:szCs w:val="27"/>
          <w:highlight w:val="none"/>
        </w:rPr>
      </w:pPr>
      <w:r>
        <w:rPr>
          <w:rFonts w:ascii="Times New Roman" w:hAnsi="Times New Roman" w:eastAsia="Times New Roman" w:cs="Times New Roman"/>
          <w:color w:val="auto"/>
          <w:spacing w:val="5"/>
          <w:sz w:val="27"/>
          <w:szCs w:val="27"/>
          <w:highlight w:val="none"/>
        </w:rPr>
        <w:t>4.</w:t>
      </w:r>
      <w:r>
        <w:rPr>
          <w:rFonts w:ascii="黑体" w:hAnsi="黑体" w:eastAsia="黑体" w:cs="黑体"/>
          <w:color w:val="auto"/>
          <w:spacing w:val="5"/>
          <w:sz w:val="27"/>
          <w:szCs w:val="27"/>
          <w:highlight w:val="none"/>
        </w:rPr>
        <w:t>监督</w:t>
      </w:r>
    </w:p>
    <w:p w14:paraId="033C477B">
      <w:pPr>
        <w:spacing w:before="119" w:line="379" w:lineRule="exact"/>
        <w:ind w:right="6"/>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招标人负责组建监督小组， 对“评定分离”招投标活动全过程进行监督，重点监督招</w:t>
      </w:r>
    </w:p>
    <w:p w14:paraId="6693DD67">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标人是否按照确定的定标办法定标。</w:t>
      </w:r>
    </w:p>
    <w:p w14:paraId="5285A2FC">
      <w:pPr>
        <w:spacing w:line="220" w:lineRule="auto"/>
        <w:rPr>
          <w:rFonts w:ascii="宋体" w:hAnsi="宋体" w:eastAsia="宋体" w:cs="宋体"/>
          <w:color w:val="auto"/>
          <w:sz w:val="21"/>
          <w:szCs w:val="21"/>
          <w:highlight w:val="none"/>
        </w:rPr>
        <w:sectPr>
          <w:footerReference r:id="rId63" w:type="default"/>
          <w:pgSz w:w="11905" w:h="16839"/>
          <w:pgMar w:top="1431" w:right="1785" w:bottom="996" w:left="1785" w:header="0" w:footer="791" w:gutter="0"/>
          <w:pgNumType w:fmt="decimal"/>
          <w:cols w:space="720" w:num="1"/>
        </w:sectPr>
      </w:pPr>
    </w:p>
    <w:p w14:paraId="701BAED1">
      <w:pPr>
        <w:spacing w:before="86" w:line="224" w:lineRule="auto"/>
        <w:ind w:left="1796"/>
        <w:rPr>
          <w:rFonts w:ascii="黑体" w:hAnsi="黑体" w:eastAsia="黑体" w:cs="黑体"/>
          <w:color w:val="auto"/>
          <w:sz w:val="27"/>
          <w:szCs w:val="27"/>
          <w:highlight w:val="none"/>
        </w:rPr>
      </w:pPr>
      <w:bookmarkStart w:id="172" w:name="bookmark200"/>
      <w:bookmarkEnd w:id="172"/>
      <w:bookmarkStart w:id="173" w:name="bookmark201"/>
      <w:bookmarkEnd w:id="173"/>
      <w:bookmarkStart w:id="174" w:name="bookmark202"/>
      <w:bookmarkEnd w:id="174"/>
      <w:r>
        <w:rPr>
          <w:rFonts w:ascii="黑体" w:hAnsi="黑体" w:eastAsia="黑体" w:cs="黑体"/>
          <w:color w:val="auto"/>
          <w:spacing w:val="8"/>
          <w:sz w:val="27"/>
          <w:szCs w:val="27"/>
          <w:highlight w:val="none"/>
        </w:rPr>
        <w:t>评标办法前附表（经评审的最低投标价法）</w:t>
      </w:r>
    </w:p>
    <w:p w14:paraId="0FABA04C">
      <w:pPr>
        <w:spacing w:before="155"/>
        <w:rPr>
          <w:color w:val="auto"/>
          <w:highlight w:val="none"/>
        </w:rPr>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14:paraId="5BAD1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99" w:type="dxa"/>
            <w:gridSpan w:val="2"/>
            <w:vAlign w:val="top"/>
          </w:tcPr>
          <w:p w14:paraId="414ED403">
            <w:pPr>
              <w:pStyle w:val="11"/>
              <w:spacing w:before="158" w:line="221" w:lineRule="auto"/>
              <w:ind w:left="586"/>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328" w:type="dxa"/>
            <w:vAlign w:val="top"/>
          </w:tcPr>
          <w:p w14:paraId="718B9820">
            <w:pPr>
              <w:pStyle w:val="11"/>
              <w:spacing w:before="158" w:line="221" w:lineRule="auto"/>
              <w:ind w:left="743"/>
              <w:rPr>
                <w:color w:val="auto"/>
                <w:highlight w:val="none"/>
              </w:rPr>
            </w:pPr>
            <w:r>
              <w:rPr>
                <w:color w:val="auto"/>
                <w:spacing w:val="-1"/>
                <w:highlight w:val="none"/>
                <w14:textOutline w14:w="3831" w14:cap="flat" w14:cmpd="sng">
                  <w14:solidFill>
                    <w14:srgbClr w14:val="000000"/>
                  </w14:solidFill>
                  <w14:prstDash w14:val="solid"/>
                  <w14:miter w14:val="0"/>
                </w14:textOutline>
              </w:rPr>
              <w:t>评审因素</w:t>
            </w:r>
          </w:p>
        </w:tc>
        <w:tc>
          <w:tcPr>
            <w:tcW w:w="4775" w:type="dxa"/>
            <w:vAlign w:val="top"/>
          </w:tcPr>
          <w:p w14:paraId="445E5E6A">
            <w:pPr>
              <w:pStyle w:val="11"/>
              <w:spacing w:before="159" w:line="221" w:lineRule="auto"/>
              <w:ind w:left="1896"/>
              <w:rPr>
                <w:color w:val="auto"/>
                <w:highlight w:val="none"/>
              </w:rPr>
            </w:pPr>
            <w:r>
              <w:rPr>
                <w:color w:val="auto"/>
                <w:spacing w:val="-1"/>
                <w:highlight w:val="none"/>
                <w14:textOutline w14:w="3831" w14:cap="flat" w14:cmpd="sng">
                  <w14:solidFill>
                    <w14:srgbClr w14:val="000000"/>
                  </w14:solidFill>
                  <w14:prstDash w14:val="solid"/>
                  <w14:miter w14:val="0"/>
                </w14:textOutline>
              </w:rPr>
              <w:t>评审标准</w:t>
            </w:r>
          </w:p>
        </w:tc>
      </w:tr>
      <w:tr w14:paraId="0AFFE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33897D18">
            <w:pPr>
              <w:spacing w:line="249" w:lineRule="auto"/>
              <w:rPr>
                <w:rFonts w:ascii="Arial"/>
                <w:color w:val="auto"/>
                <w:sz w:val="21"/>
                <w:highlight w:val="none"/>
              </w:rPr>
            </w:pPr>
          </w:p>
          <w:p w14:paraId="653C2B80">
            <w:pPr>
              <w:spacing w:line="249" w:lineRule="auto"/>
              <w:rPr>
                <w:rFonts w:ascii="Arial"/>
                <w:color w:val="auto"/>
                <w:sz w:val="21"/>
                <w:highlight w:val="none"/>
              </w:rPr>
            </w:pPr>
          </w:p>
          <w:p w14:paraId="6A13115A">
            <w:pPr>
              <w:spacing w:line="249" w:lineRule="auto"/>
              <w:rPr>
                <w:rFonts w:ascii="Arial"/>
                <w:color w:val="auto"/>
                <w:sz w:val="21"/>
                <w:highlight w:val="none"/>
              </w:rPr>
            </w:pPr>
          </w:p>
          <w:p w14:paraId="45187766">
            <w:pPr>
              <w:spacing w:line="249" w:lineRule="auto"/>
              <w:rPr>
                <w:rFonts w:ascii="Arial"/>
                <w:color w:val="auto"/>
                <w:sz w:val="21"/>
                <w:highlight w:val="none"/>
              </w:rPr>
            </w:pPr>
          </w:p>
          <w:p w14:paraId="6152567A">
            <w:pPr>
              <w:spacing w:line="249" w:lineRule="auto"/>
              <w:rPr>
                <w:rFonts w:ascii="Arial"/>
                <w:color w:val="auto"/>
                <w:sz w:val="21"/>
                <w:highlight w:val="none"/>
              </w:rPr>
            </w:pPr>
          </w:p>
          <w:p w14:paraId="3FC69D1E">
            <w:pPr>
              <w:spacing w:line="249" w:lineRule="auto"/>
              <w:rPr>
                <w:rFonts w:ascii="Arial"/>
                <w:color w:val="auto"/>
                <w:sz w:val="21"/>
                <w:highlight w:val="none"/>
              </w:rPr>
            </w:pPr>
          </w:p>
          <w:p w14:paraId="3DF8E083">
            <w:pPr>
              <w:spacing w:line="249" w:lineRule="auto"/>
              <w:rPr>
                <w:rFonts w:ascii="Arial"/>
                <w:color w:val="auto"/>
                <w:sz w:val="21"/>
                <w:highlight w:val="none"/>
              </w:rPr>
            </w:pPr>
          </w:p>
          <w:p w14:paraId="5A181B6D">
            <w:pPr>
              <w:spacing w:line="249" w:lineRule="auto"/>
              <w:rPr>
                <w:rFonts w:ascii="Arial"/>
                <w:color w:val="auto"/>
                <w:sz w:val="21"/>
                <w:highlight w:val="none"/>
              </w:rPr>
            </w:pPr>
          </w:p>
          <w:p w14:paraId="519FF778">
            <w:pPr>
              <w:spacing w:line="249" w:lineRule="auto"/>
              <w:rPr>
                <w:rFonts w:ascii="Arial"/>
                <w:color w:val="auto"/>
                <w:sz w:val="21"/>
                <w:highlight w:val="none"/>
              </w:rPr>
            </w:pPr>
          </w:p>
          <w:p w14:paraId="26BB9A3D">
            <w:pPr>
              <w:spacing w:line="249" w:lineRule="auto"/>
              <w:rPr>
                <w:rFonts w:ascii="Arial"/>
                <w:color w:val="auto"/>
                <w:sz w:val="21"/>
                <w:highlight w:val="none"/>
              </w:rPr>
            </w:pPr>
          </w:p>
          <w:p w14:paraId="5C206AF7">
            <w:pPr>
              <w:spacing w:line="249" w:lineRule="auto"/>
              <w:rPr>
                <w:rFonts w:ascii="Arial"/>
                <w:color w:val="auto"/>
                <w:sz w:val="21"/>
                <w:highlight w:val="none"/>
              </w:rPr>
            </w:pPr>
          </w:p>
          <w:p w14:paraId="27459382">
            <w:pPr>
              <w:spacing w:line="249" w:lineRule="auto"/>
              <w:rPr>
                <w:rFonts w:ascii="Arial"/>
                <w:color w:val="auto"/>
                <w:sz w:val="21"/>
                <w:highlight w:val="none"/>
              </w:rPr>
            </w:pPr>
          </w:p>
          <w:p w14:paraId="75C8B8C2">
            <w:pPr>
              <w:spacing w:line="249" w:lineRule="auto"/>
              <w:rPr>
                <w:rFonts w:ascii="Arial"/>
                <w:color w:val="auto"/>
                <w:sz w:val="21"/>
                <w:highlight w:val="none"/>
              </w:rPr>
            </w:pPr>
          </w:p>
          <w:p w14:paraId="5B9D84C2">
            <w:pPr>
              <w:spacing w:line="250" w:lineRule="auto"/>
              <w:rPr>
                <w:rFonts w:ascii="Arial"/>
                <w:color w:val="auto"/>
                <w:sz w:val="21"/>
                <w:highlight w:val="none"/>
              </w:rPr>
            </w:pPr>
          </w:p>
          <w:p w14:paraId="0EAA6C75">
            <w:pPr>
              <w:spacing w:line="250" w:lineRule="auto"/>
              <w:rPr>
                <w:rFonts w:ascii="Arial"/>
                <w:color w:val="auto"/>
                <w:sz w:val="21"/>
                <w:highlight w:val="none"/>
              </w:rPr>
            </w:pPr>
          </w:p>
          <w:p w14:paraId="4AD3B4C5">
            <w:pPr>
              <w:spacing w:before="61" w:line="189" w:lineRule="auto"/>
              <w:ind w:left="1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2.1.1</w:t>
            </w:r>
          </w:p>
        </w:tc>
        <w:tc>
          <w:tcPr>
            <w:tcW w:w="1060" w:type="dxa"/>
            <w:vMerge w:val="restart"/>
            <w:tcBorders>
              <w:bottom w:val="nil"/>
            </w:tcBorders>
            <w:vAlign w:val="top"/>
          </w:tcPr>
          <w:p w14:paraId="72EAFF98">
            <w:pPr>
              <w:spacing w:line="252" w:lineRule="auto"/>
              <w:rPr>
                <w:rFonts w:ascii="Arial"/>
                <w:color w:val="auto"/>
                <w:sz w:val="21"/>
                <w:highlight w:val="none"/>
              </w:rPr>
            </w:pPr>
          </w:p>
          <w:p w14:paraId="6D38049C">
            <w:pPr>
              <w:spacing w:line="252" w:lineRule="auto"/>
              <w:rPr>
                <w:rFonts w:ascii="Arial"/>
                <w:color w:val="auto"/>
                <w:sz w:val="21"/>
                <w:highlight w:val="none"/>
              </w:rPr>
            </w:pPr>
          </w:p>
          <w:p w14:paraId="55848974">
            <w:pPr>
              <w:spacing w:line="252" w:lineRule="auto"/>
              <w:rPr>
                <w:rFonts w:ascii="Arial"/>
                <w:color w:val="auto"/>
                <w:sz w:val="21"/>
                <w:highlight w:val="none"/>
              </w:rPr>
            </w:pPr>
          </w:p>
          <w:p w14:paraId="27DBF5D3">
            <w:pPr>
              <w:spacing w:line="252" w:lineRule="auto"/>
              <w:rPr>
                <w:rFonts w:ascii="Arial"/>
                <w:color w:val="auto"/>
                <w:sz w:val="21"/>
                <w:highlight w:val="none"/>
              </w:rPr>
            </w:pPr>
          </w:p>
          <w:p w14:paraId="2C3383F4">
            <w:pPr>
              <w:spacing w:line="252" w:lineRule="auto"/>
              <w:rPr>
                <w:rFonts w:ascii="Arial"/>
                <w:color w:val="auto"/>
                <w:sz w:val="21"/>
                <w:highlight w:val="none"/>
              </w:rPr>
            </w:pPr>
          </w:p>
          <w:p w14:paraId="6FD0ACAF">
            <w:pPr>
              <w:spacing w:line="252" w:lineRule="auto"/>
              <w:rPr>
                <w:rFonts w:ascii="Arial"/>
                <w:color w:val="auto"/>
                <w:sz w:val="21"/>
                <w:highlight w:val="none"/>
              </w:rPr>
            </w:pPr>
          </w:p>
          <w:p w14:paraId="526B466F">
            <w:pPr>
              <w:spacing w:line="252" w:lineRule="auto"/>
              <w:rPr>
                <w:rFonts w:ascii="Arial"/>
                <w:color w:val="auto"/>
                <w:sz w:val="21"/>
                <w:highlight w:val="none"/>
              </w:rPr>
            </w:pPr>
          </w:p>
          <w:p w14:paraId="6F720AFB">
            <w:pPr>
              <w:spacing w:line="252" w:lineRule="auto"/>
              <w:rPr>
                <w:rFonts w:ascii="Arial"/>
                <w:color w:val="auto"/>
                <w:sz w:val="21"/>
                <w:highlight w:val="none"/>
              </w:rPr>
            </w:pPr>
          </w:p>
          <w:p w14:paraId="0363B1F6">
            <w:pPr>
              <w:spacing w:line="252" w:lineRule="auto"/>
              <w:rPr>
                <w:rFonts w:ascii="Arial"/>
                <w:color w:val="auto"/>
                <w:sz w:val="21"/>
                <w:highlight w:val="none"/>
              </w:rPr>
            </w:pPr>
          </w:p>
          <w:p w14:paraId="6FB0C39B">
            <w:pPr>
              <w:spacing w:line="252" w:lineRule="auto"/>
              <w:rPr>
                <w:rFonts w:ascii="Arial"/>
                <w:color w:val="auto"/>
                <w:sz w:val="21"/>
                <w:highlight w:val="none"/>
              </w:rPr>
            </w:pPr>
          </w:p>
          <w:p w14:paraId="16C99150">
            <w:pPr>
              <w:spacing w:line="252" w:lineRule="auto"/>
              <w:rPr>
                <w:rFonts w:ascii="Arial"/>
                <w:color w:val="auto"/>
                <w:sz w:val="21"/>
                <w:highlight w:val="none"/>
              </w:rPr>
            </w:pPr>
          </w:p>
          <w:p w14:paraId="0E6020B7">
            <w:pPr>
              <w:spacing w:line="253" w:lineRule="auto"/>
              <w:rPr>
                <w:rFonts w:ascii="Arial"/>
                <w:color w:val="auto"/>
                <w:sz w:val="21"/>
                <w:highlight w:val="none"/>
              </w:rPr>
            </w:pPr>
          </w:p>
          <w:p w14:paraId="07F1C2DC">
            <w:pPr>
              <w:spacing w:line="253" w:lineRule="auto"/>
              <w:rPr>
                <w:rFonts w:ascii="Arial"/>
                <w:color w:val="auto"/>
                <w:sz w:val="21"/>
                <w:highlight w:val="none"/>
              </w:rPr>
            </w:pPr>
          </w:p>
          <w:p w14:paraId="7CD69509">
            <w:pPr>
              <w:pStyle w:val="11"/>
              <w:spacing w:before="68" w:line="418" w:lineRule="exact"/>
              <w:ind w:left="323"/>
              <w:rPr>
                <w:color w:val="auto"/>
                <w:highlight w:val="none"/>
              </w:rPr>
            </w:pPr>
            <w:r>
              <w:rPr>
                <w:color w:val="auto"/>
                <w:spacing w:val="-3"/>
                <w:position w:val="15"/>
                <w:highlight w:val="none"/>
              </w:rPr>
              <w:t>形式</w:t>
            </w:r>
          </w:p>
          <w:p w14:paraId="412CC605">
            <w:pPr>
              <w:pStyle w:val="11"/>
              <w:spacing w:line="221" w:lineRule="auto"/>
              <w:ind w:left="319"/>
              <w:rPr>
                <w:color w:val="auto"/>
                <w:highlight w:val="none"/>
              </w:rPr>
            </w:pPr>
            <w:r>
              <w:rPr>
                <w:color w:val="auto"/>
                <w:spacing w:val="-2"/>
                <w:highlight w:val="none"/>
              </w:rPr>
              <w:t>评审</w:t>
            </w:r>
          </w:p>
          <w:p w14:paraId="09B16C6F">
            <w:pPr>
              <w:pStyle w:val="11"/>
              <w:spacing w:before="171" w:line="221" w:lineRule="auto"/>
              <w:ind w:left="321"/>
              <w:rPr>
                <w:color w:val="auto"/>
                <w:highlight w:val="none"/>
              </w:rPr>
            </w:pPr>
            <w:r>
              <w:rPr>
                <w:color w:val="auto"/>
                <w:spacing w:val="-2"/>
                <w:highlight w:val="none"/>
              </w:rPr>
              <w:t>标准</w:t>
            </w:r>
          </w:p>
        </w:tc>
        <w:tc>
          <w:tcPr>
            <w:tcW w:w="2328" w:type="dxa"/>
            <w:vAlign w:val="top"/>
          </w:tcPr>
          <w:p w14:paraId="74C4B937">
            <w:pPr>
              <w:pStyle w:val="11"/>
              <w:spacing w:before="160" w:line="221" w:lineRule="auto"/>
              <w:ind w:left="646"/>
              <w:rPr>
                <w:color w:val="auto"/>
                <w:highlight w:val="none"/>
              </w:rPr>
            </w:pPr>
            <w:r>
              <w:rPr>
                <w:color w:val="auto"/>
                <w:spacing w:val="-1"/>
                <w:highlight w:val="none"/>
              </w:rPr>
              <w:t>投标人名称</w:t>
            </w:r>
          </w:p>
        </w:tc>
        <w:tc>
          <w:tcPr>
            <w:tcW w:w="4775" w:type="dxa"/>
            <w:vAlign w:val="top"/>
          </w:tcPr>
          <w:p w14:paraId="7D588096">
            <w:pPr>
              <w:pStyle w:val="11"/>
              <w:spacing w:before="159" w:line="220" w:lineRule="auto"/>
              <w:ind w:left="115"/>
              <w:rPr>
                <w:color w:val="auto"/>
                <w:highlight w:val="none"/>
              </w:rPr>
            </w:pPr>
            <w:r>
              <w:rPr>
                <w:color w:val="auto"/>
                <w:spacing w:val="-1"/>
                <w:highlight w:val="none"/>
              </w:rPr>
              <w:t>与营业执照、资质证书、安全生产许可证一致</w:t>
            </w:r>
          </w:p>
        </w:tc>
      </w:tr>
      <w:tr w14:paraId="2364A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7101DCB3">
            <w:pPr>
              <w:rPr>
                <w:rFonts w:ascii="Arial"/>
                <w:color w:val="auto"/>
                <w:sz w:val="21"/>
                <w:highlight w:val="none"/>
              </w:rPr>
            </w:pPr>
          </w:p>
        </w:tc>
        <w:tc>
          <w:tcPr>
            <w:tcW w:w="1060" w:type="dxa"/>
            <w:vMerge w:val="continue"/>
            <w:tcBorders>
              <w:top w:val="nil"/>
              <w:bottom w:val="nil"/>
            </w:tcBorders>
            <w:vAlign w:val="top"/>
          </w:tcPr>
          <w:p w14:paraId="0D1D033C">
            <w:pPr>
              <w:rPr>
                <w:rFonts w:ascii="Arial"/>
                <w:color w:val="auto"/>
                <w:sz w:val="21"/>
                <w:highlight w:val="none"/>
              </w:rPr>
            </w:pPr>
          </w:p>
        </w:tc>
        <w:tc>
          <w:tcPr>
            <w:tcW w:w="2328" w:type="dxa"/>
            <w:vAlign w:val="top"/>
          </w:tcPr>
          <w:p w14:paraId="78CF9C01">
            <w:pPr>
              <w:pStyle w:val="11"/>
              <w:spacing w:before="154" w:line="220" w:lineRule="auto"/>
              <w:ind w:left="329"/>
              <w:rPr>
                <w:color w:val="auto"/>
                <w:highlight w:val="none"/>
              </w:rPr>
            </w:pPr>
            <w:r>
              <w:rPr>
                <w:color w:val="auto"/>
                <w:spacing w:val="-1"/>
                <w:highlight w:val="none"/>
              </w:rPr>
              <w:t>投标文件签字盖章</w:t>
            </w:r>
          </w:p>
        </w:tc>
        <w:tc>
          <w:tcPr>
            <w:tcW w:w="4775" w:type="dxa"/>
            <w:vAlign w:val="top"/>
          </w:tcPr>
          <w:p w14:paraId="57C51A21">
            <w:pPr>
              <w:pStyle w:val="11"/>
              <w:spacing w:before="154" w:line="220" w:lineRule="auto"/>
              <w:ind w:left="113"/>
              <w:rPr>
                <w:color w:val="auto"/>
                <w:highlight w:val="none"/>
              </w:rPr>
            </w:pPr>
            <w:r>
              <w:rPr>
                <w:color w:val="auto"/>
                <w:spacing w:val="-1"/>
                <w:highlight w:val="none"/>
              </w:rPr>
              <w:t>符合第二章“投标人须知”第</w:t>
            </w:r>
            <w:r>
              <w:rPr>
                <w:color w:val="auto"/>
                <w:spacing w:val="-43"/>
                <w:highlight w:val="none"/>
              </w:rPr>
              <w:t xml:space="preserve"> </w:t>
            </w:r>
            <w:r>
              <w:rPr>
                <w:color w:val="auto"/>
                <w:spacing w:val="-1"/>
                <w:highlight w:val="none"/>
              </w:rPr>
              <w:t>3.7.3（4）目规定</w:t>
            </w:r>
          </w:p>
        </w:tc>
      </w:tr>
      <w:tr w14:paraId="44172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1BD0F9C2">
            <w:pPr>
              <w:rPr>
                <w:rFonts w:ascii="Arial"/>
                <w:color w:val="auto"/>
                <w:sz w:val="21"/>
                <w:highlight w:val="none"/>
              </w:rPr>
            </w:pPr>
          </w:p>
        </w:tc>
        <w:tc>
          <w:tcPr>
            <w:tcW w:w="1060" w:type="dxa"/>
            <w:vMerge w:val="continue"/>
            <w:tcBorders>
              <w:top w:val="nil"/>
              <w:bottom w:val="nil"/>
            </w:tcBorders>
            <w:vAlign w:val="top"/>
          </w:tcPr>
          <w:p w14:paraId="7BAA6D1A">
            <w:pPr>
              <w:rPr>
                <w:rFonts w:ascii="Arial"/>
                <w:color w:val="auto"/>
                <w:sz w:val="21"/>
                <w:highlight w:val="none"/>
              </w:rPr>
            </w:pPr>
          </w:p>
        </w:tc>
        <w:tc>
          <w:tcPr>
            <w:tcW w:w="2328" w:type="dxa"/>
            <w:vAlign w:val="top"/>
          </w:tcPr>
          <w:p w14:paraId="659A5557">
            <w:pPr>
              <w:spacing w:line="300" w:lineRule="auto"/>
              <w:rPr>
                <w:rFonts w:ascii="Arial"/>
                <w:color w:val="auto"/>
                <w:sz w:val="21"/>
                <w:highlight w:val="none"/>
              </w:rPr>
            </w:pPr>
          </w:p>
          <w:p w14:paraId="2D476970">
            <w:pPr>
              <w:pStyle w:val="11"/>
              <w:spacing w:before="68" w:line="221" w:lineRule="auto"/>
              <w:ind w:left="223"/>
              <w:rPr>
                <w:color w:val="auto"/>
                <w:highlight w:val="none"/>
              </w:rPr>
            </w:pPr>
            <w:r>
              <w:rPr>
                <w:color w:val="auto"/>
                <w:spacing w:val="-1"/>
                <w:highlight w:val="none"/>
              </w:rPr>
              <w:t>投标文件格式、内容</w:t>
            </w:r>
          </w:p>
        </w:tc>
        <w:tc>
          <w:tcPr>
            <w:tcW w:w="4775" w:type="dxa"/>
            <w:vAlign w:val="top"/>
          </w:tcPr>
          <w:p w14:paraId="1F7CC2A3">
            <w:pPr>
              <w:pStyle w:val="11"/>
              <w:spacing w:before="159" w:line="423" w:lineRule="exact"/>
              <w:ind w:left="113"/>
              <w:rPr>
                <w:color w:val="auto"/>
                <w:highlight w:val="none"/>
              </w:rPr>
            </w:pPr>
            <w:r>
              <w:rPr>
                <w:color w:val="auto"/>
                <w:spacing w:val="6"/>
                <w:position w:val="16"/>
                <w:highlight w:val="none"/>
              </w:rPr>
              <w:t>符合第八章“投标文件格式”的要求且实质性内</w:t>
            </w:r>
          </w:p>
          <w:p w14:paraId="0DB1C95C">
            <w:pPr>
              <w:pStyle w:val="11"/>
              <w:spacing w:line="220" w:lineRule="auto"/>
              <w:ind w:left="114"/>
              <w:rPr>
                <w:color w:val="auto"/>
                <w:highlight w:val="none"/>
              </w:rPr>
            </w:pPr>
            <w:r>
              <w:rPr>
                <w:color w:val="auto"/>
                <w:spacing w:val="-2"/>
                <w:highlight w:val="none"/>
              </w:rPr>
              <w:t>容齐全</w:t>
            </w:r>
          </w:p>
        </w:tc>
      </w:tr>
      <w:tr w14:paraId="13819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1821C2F8">
            <w:pPr>
              <w:rPr>
                <w:rFonts w:ascii="Arial"/>
                <w:color w:val="auto"/>
                <w:sz w:val="21"/>
                <w:highlight w:val="none"/>
              </w:rPr>
            </w:pPr>
          </w:p>
        </w:tc>
        <w:tc>
          <w:tcPr>
            <w:tcW w:w="1060" w:type="dxa"/>
            <w:vMerge w:val="continue"/>
            <w:tcBorders>
              <w:top w:val="nil"/>
              <w:bottom w:val="nil"/>
            </w:tcBorders>
            <w:vAlign w:val="top"/>
          </w:tcPr>
          <w:p w14:paraId="57F67B9B">
            <w:pPr>
              <w:rPr>
                <w:rFonts w:ascii="Arial"/>
                <w:color w:val="auto"/>
                <w:sz w:val="21"/>
                <w:highlight w:val="none"/>
              </w:rPr>
            </w:pPr>
          </w:p>
        </w:tc>
        <w:tc>
          <w:tcPr>
            <w:tcW w:w="2328" w:type="dxa"/>
            <w:vAlign w:val="top"/>
          </w:tcPr>
          <w:p w14:paraId="44013D74">
            <w:pPr>
              <w:spacing w:line="297" w:lineRule="auto"/>
              <w:rPr>
                <w:rFonts w:ascii="Arial"/>
                <w:color w:val="auto"/>
                <w:sz w:val="21"/>
                <w:highlight w:val="none"/>
              </w:rPr>
            </w:pPr>
          </w:p>
          <w:p w14:paraId="7571A451">
            <w:pPr>
              <w:pStyle w:val="11"/>
              <w:spacing w:before="68" w:line="221" w:lineRule="auto"/>
              <w:ind w:left="121"/>
              <w:rPr>
                <w:color w:val="auto"/>
                <w:highlight w:val="none"/>
              </w:rPr>
            </w:pPr>
            <w:r>
              <w:rPr>
                <w:color w:val="auto"/>
                <w:spacing w:val="-1"/>
                <w:highlight w:val="none"/>
              </w:rPr>
              <w:t>联合体投标人（如有）</w:t>
            </w:r>
          </w:p>
        </w:tc>
        <w:tc>
          <w:tcPr>
            <w:tcW w:w="4775" w:type="dxa"/>
            <w:vAlign w:val="top"/>
          </w:tcPr>
          <w:p w14:paraId="361478AB">
            <w:pPr>
              <w:pStyle w:val="11"/>
              <w:spacing w:before="155" w:line="423" w:lineRule="exact"/>
              <w:ind w:left="112"/>
              <w:rPr>
                <w:color w:val="auto"/>
                <w:highlight w:val="none"/>
              </w:rPr>
            </w:pPr>
            <w:r>
              <w:rPr>
                <w:color w:val="auto"/>
                <w:spacing w:val="6"/>
                <w:position w:val="16"/>
                <w:highlight w:val="none"/>
              </w:rPr>
              <w:t>提交联合体协议书，并明确联合体牵头人和各方</w:t>
            </w:r>
          </w:p>
          <w:p w14:paraId="0D634336">
            <w:pPr>
              <w:pStyle w:val="11"/>
              <w:spacing w:line="220" w:lineRule="auto"/>
              <w:ind w:left="129"/>
              <w:rPr>
                <w:color w:val="auto"/>
                <w:highlight w:val="none"/>
              </w:rPr>
            </w:pPr>
            <w:r>
              <w:rPr>
                <w:color w:val="auto"/>
                <w:spacing w:val="-4"/>
                <w:highlight w:val="none"/>
              </w:rPr>
              <w:t>的权利义务</w:t>
            </w:r>
          </w:p>
        </w:tc>
      </w:tr>
      <w:tr w14:paraId="52486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1163C038">
            <w:pPr>
              <w:rPr>
                <w:rFonts w:ascii="Arial"/>
                <w:color w:val="auto"/>
                <w:sz w:val="21"/>
                <w:highlight w:val="none"/>
              </w:rPr>
            </w:pPr>
          </w:p>
        </w:tc>
        <w:tc>
          <w:tcPr>
            <w:tcW w:w="1060" w:type="dxa"/>
            <w:vMerge w:val="continue"/>
            <w:tcBorders>
              <w:top w:val="nil"/>
              <w:bottom w:val="nil"/>
            </w:tcBorders>
            <w:vAlign w:val="top"/>
          </w:tcPr>
          <w:p w14:paraId="46108F34">
            <w:pPr>
              <w:rPr>
                <w:rFonts w:ascii="Arial"/>
                <w:color w:val="auto"/>
                <w:sz w:val="21"/>
                <w:highlight w:val="none"/>
              </w:rPr>
            </w:pPr>
          </w:p>
        </w:tc>
        <w:tc>
          <w:tcPr>
            <w:tcW w:w="2328" w:type="dxa"/>
            <w:vAlign w:val="top"/>
          </w:tcPr>
          <w:p w14:paraId="0262F233">
            <w:pPr>
              <w:spacing w:line="296" w:lineRule="auto"/>
              <w:rPr>
                <w:rFonts w:ascii="Arial"/>
                <w:color w:val="auto"/>
                <w:sz w:val="21"/>
                <w:highlight w:val="none"/>
              </w:rPr>
            </w:pPr>
          </w:p>
          <w:p w14:paraId="1746FE13">
            <w:pPr>
              <w:pStyle w:val="11"/>
              <w:spacing w:before="69" w:line="219" w:lineRule="auto"/>
              <w:ind w:left="747"/>
              <w:rPr>
                <w:color w:val="auto"/>
                <w:highlight w:val="none"/>
              </w:rPr>
            </w:pPr>
            <w:r>
              <w:rPr>
                <w:color w:val="auto"/>
                <w:spacing w:val="2"/>
                <w:highlight w:val="none"/>
              </w:rPr>
              <w:t>报价唯一</w:t>
            </w:r>
          </w:p>
        </w:tc>
        <w:tc>
          <w:tcPr>
            <w:tcW w:w="4775" w:type="dxa"/>
            <w:vAlign w:val="top"/>
          </w:tcPr>
          <w:p w14:paraId="3298A960">
            <w:pPr>
              <w:pStyle w:val="11"/>
              <w:spacing w:before="155" w:line="422" w:lineRule="exact"/>
              <w:ind w:left="114"/>
              <w:rPr>
                <w:color w:val="auto"/>
                <w:highlight w:val="none"/>
              </w:rPr>
            </w:pPr>
            <w:r>
              <w:rPr>
                <w:color w:val="auto"/>
                <w:spacing w:val="4"/>
                <w:position w:val="16"/>
                <w:highlight w:val="none"/>
              </w:rPr>
              <w:t>投标报价文件（包括投标函）</w:t>
            </w:r>
            <w:r>
              <w:rPr>
                <w:color w:val="auto"/>
                <w:spacing w:val="-55"/>
                <w:position w:val="16"/>
                <w:highlight w:val="none"/>
              </w:rPr>
              <w:t xml:space="preserve"> </w:t>
            </w:r>
            <w:r>
              <w:rPr>
                <w:color w:val="auto"/>
                <w:spacing w:val="4"/>
                <w:position w:val="16"/>
                <w:highlight w:val="none"/>
              </w:rPr>
              <w:t>中的任何单价、合</w:t>
            </w:r>
          </w:p>
          <w:p w14:paraId="01229CC6">
            <w:pPr>
              <w:pStyle w:val="11"/>
              <w:spacing w:line="219" w:lineRule="auto"/>
              <w:ind w:left="112"/>
              <w:rPr>
                <w:color w:val="auto"/>
                <w:highlight w:val="none"/>
              </w:rPr>
            </w:pPr>
            <w:r>
              <w:rPr>
                <w:color w:val="auto"/>
                <w:spacing w:val="-1"/>
                <w:highlight w:val="none"/>
              </w:rPr>
              <w:t>价或总价只能有一个有效报价</w:t>
            </w:r>
          </w:p>
        </w:tc>
      </w:tr>
      <w:tr w14:paraId="10E34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51B12073">
            <w:pPr>
              <w:rPr>
                <w:rFonts w:ascii="Arial"/>
                <w:color w:val="auto"/>
                <w:sz w:val="21"/>
                <w:highlight w:val="none"/>
              </w:rPr>
            </w:pPr>
          </w:p>
        </w:tc>
        <w:tc>
          <w:tcPr>
            <w:tcW w:w="1060" w:type="dxa"/>
            <w:vMerge w:val="continue"/>
            <w:tcBorders>
              <w:top w:val="nil"/>
              <w:bottom w:val="nil"/>
            </w:tcBorders>
            <w:vAlign w:val="top"/>
          </w:tcPr>
          <w:p w14:paraId="7FEE43C0">
            <w:pPr>
              <w:rPr>
                <w:rFonts w:ascii="Arial"/>
                <w:color w:val="auto"/>
                <w:sz w:val="21"/>
                <w:highlight w:val="none"/>
              </w:rPr>
            </w:pPr>
          </w:p>
        </w:tc>
        <w:tc>
          <w:tcPr>
            <w:tcW w:w="2328" w:type="dxa"/>
            <w:vAlign w:val="top"/>
          </w:tcPr>
          <w:p w14:paraId="75078694">
            <w:pPr>
              <w:pStyle w:val="11"/>
              <w:spacing w:before="156" w:line="219" w:lineRule="auto"/>
              <w:ind w:left="325"/>
              <w:rPr>
                <w:color w:val="auto"/>
                <w:highlight w:val="none"/>
              </w:rPr>
            </w:pPr>
            <w:r>
              <w:rPr>
                <w:color w:val="auto"/>
                <w:spacing w:val="-1"/>
                <w:highlight w:val="none"/>
              </w:rPr>
              <w:t>报价表格的完整性</w:t>
            </w:r>
          </w:p>
        </w:tc>
        <w:tc>
          <w:tcPr>
            <w:tcW w:w="4775" w:type="dxa"/>
            <w:vAlign w:val="top"/>
          </w:tcPr>
          <w:p w14:paraId="6C37B5C5">
            <w:pPr>
              <w:pStyle w:val="11"/>
              <w:spacing w:before="156" w:line="219" w:lineRule="auto"/>
              <w:ind w:left="111"/>
              <w:rPr>
                <w:color w:val="auto"/>
                <w:highlight w:val="none"/>
              </w:rPr>
            </w:pPr>
            <w:r>
              <w:rPr>
                <w:color w:val="auto"/>
                <w:spacing w:val="-1"/>
                <w:highlight w:val="none"/>
              </w:rPr>
              <w:t>应按招标文件的要求完整报送投标报价应有表格</w:t>
            </w:r>
          </w:p>
        </w:tc>
      </w:tr>
      <w:tr w14:paraId="79193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13D5C9D4">
            <w:pPr>
              <w:rPr>
                <w:rFonts w:ascii="Arial"/>
                <w:color w:val="auto"/>
                <w:sz w:val="21"/>
                <w:highlight w:val="none"/>
              </w:rPr>
            </w:pPr>
          </w:p>
        </w:tc>
        <w:tc>
          <w:tcPr>
            <w:tcW w:w="1060" w:type="dxa"/>
            <w:vMerge w:val="continue"/>
            <w:tcBorders>
              <w:top w:val="nil"/>
              <w:bottom w:val="nil"/>
            </w:tcBorders>
            <w:vAlign w:val="top"/>
          </w:tcPr>
          <w:p w14:paraId="68AADF34">
            <w:pPr>
              <w:rPr>
                <w:rFonts w:ascii="Arial"/>
                <w:color w:val="auto"/>
                <w:sz w:val="21"/>
                <w:highlight w:val="none"/>
              </w:rPr>
            </w:pPr>
          </w:p>
        </w:tc>
        <w:tc>
          <w:tcPr>
            <w:tcW w:w="2328" w:type="dxa"/>
            <w:vAlign w:val="top"/>
          </w:tcPr>
          <w:p w14:paraId="5DF7C33B">
            <w:pPr>
              <w:spacing w:line="303" w:lineRule="auto"/>
              <w:rPr>
                <w:rFonts w:ascii="Arial"/>
                <w:color w:val="auto"/>
                <w:sz w:val="21"/>
                <w:highlight w:val="none"/>
              </w:rPr>
            </w:pPr>
          </w:p>
          <w:p w14:paraId="4EA29C89">
            <w:pPr>
              <w:pStyle w:val="11"/>
              <w:spacing w:before="68" w:line="221" w:lineRule="auto"/>
              <w:ind w:left="330"/>
              <w:rPr>
                <w:color w:val="auto"/>
                <w:highlight w:val="none"/>
              </w:rPr>
            </w:pPr>
            <w:r>
              <w:rPr>
                <w:color w:val="auto"/>
                <w:spacing w:val="-1"/>
                <w:highlight w:val="none"/>
              </w:rPr>
              <w:t>项目经理实名认证</w:t>
            </w:r>
          </w:p>
        </w:tc>
        <w:tc>
          <w:tcPr>
            <w:tcW w:w="4775" w:type="dxa"/>
            <w:vAlign w:val="top"/>
          </w:tcPr>
          <w:p w14:paraId="391A4D48">
            <w:pPr>
              <w:pStyle w:val="11"/>
              <w:spacing w:before="161" w:line="418" w:lineRule="exact"/>
              <w:ind w:left="115"/>
              <w:rPr>
                <w:color w:val="auto"/>
                <w:highlight w:val="none"/>
              </w:rPr>
            </w:pPr>
            <w:r>
              <w:rPr>
                <w:color w:val="auto"/>
                <w:spacing w:val="6"/>
                <w:position w:val="15"/>
                <w:highlight w:val="none"/>
              </w:rPr>
              <w:t>项目经理通过二次刷卡实名认证（无在建工程和</w:t>
            </w:r>
          </w:p>
          <w:p w14:paraId="71686637">
            <w:pPr>
              <w:pStyle w:val="11"/>
              <w:spacing w:line="221" w:lineRule="auto"/>
              <w:ind w:left="115"/>
              <w:rPr>
                <w:color w:val="auto"/>
                <w:highlight w:val="none"/>
              </w:rPr>
            </w:pPr>
            <w:r>
              <w:rPr>
                <w:color w:val="auto"/>
                <w:spacing w:val="-4"/>
                <w:highlight w:val="none"/>
              </w:rPr>
              <w:t>不良行为）</w:t>
            </w:r>
          </w:p>
        </w:tc>
      </w:tr>
      <w:tr w14:paraId="7DC77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14A08C85">
            <w:pPr>
              <w:rPr>
                <w:rFonts w:ascii="Arial"/>
                <w:color w:val="auto"/>
                <w:sz w:val="21"/>
                <w:highlight w:val="none"/>
              </w:rPr>
            </w:pPr>
          </w:p>
        </w:tc>
        <w:tc>
          <w:tcPr>
            <w:tcW w:w="1060" w:type="dxa"/>
            <w:vMerge w:val="continue"/>
            <w:tcBorders>
              <w:top w:val="nil"/>
              <w:bottom w:val="nil"/>
            </w:tcBorders>
            <w:vAlign w:val="top"/>
          </w:tcPr>
          <w:p w14:paraId="4EE7C68F">
            <w:pPr>
              <w:rPr>
                <w:rFonts w:ascii="Arial"/>
                <w:color w:val="auto"/>
                <w:sz w:val="21"/>
                <w:highlight w:val="none"/>
              </w:rPr>
            </w:pPr>
          </w:p>
        </w:tc>
        <w:tc>
          <w:tcPr>
            <w:tcW w:w="2328" w:type="dxa"/>
            <w:vAlign w:val="top"/>
          </w:tcPr>
          <w:p w14:paraId="729BBF7E">
            <w:pPr>
              <w:spacing w:line="303" w:lineRule="auto"/>
              <w:rPr>
                <w:rFonts w:ascii="Arial"/>
                <w:color w:val="auto"/>
                <w:sz w:val="21"/>
                <w:highlight w:val="none"/>
              </w:rPr>
            </w:pPr>
          </w:p>
          <w:p w14:paraId="4CD3ECB3">
            <w:pPr>
              <w:pStyle w:val="11"/>
              <w:spacing w:before="69" w:line="221" w:lineRule="auto"/>
              <w:ind w:left="540"/>
              <w:rPr>
                <w:color w:val="auto"/>
                <w:highlight w:val="none"/>
              </w:rPr>
            </w:pPr>
            <w:r>
              <w:rPr>
                <w:color w:val="auto"/>
                <w:spacing w:val="-1"/>
                <w:highlight w:val="none"/>
              </w:rPr>
              <w:t>备选投标方案</w:t>
            </w:r>
          </w:p>
        </w:tc>
        <w:tc>
          <w:tcPr>
            <w:tcW w:w="4775" w:type="dxa"/>
            <w:vAlign w:val="top"/>
          </w:tcPr>
          <w:p w14:paraId="019F09DB">
            <w:pPr>
              <w:pStyle w:val="11"/>
              <w:spacing w:before="162" w:line="418" w:lineRule="exact"/>
              <w:ind w:left="124"/>
              <w:rPr>
                <w:color w:val="auto"/>
                <w:highlight w:val="none"/>
              </w:rPr>
            </w:pPr>
            <w:r>
              <w:rPr>
                <w:color w:val="auto"/>
                <w:spacing w:val="6"/>
                <w:position w:val="15"/>
                <w:highlight w:val="none"/>
              </w:rPr>
              <w:t>除招标文件明确允许提交备选投标方案外，</w:t>
            </w:r>
            <w:r>
              <w:rPr>
                <w:color w:val="auto"/>
                <w:spacing w:val="5"/>
                <w:position w:val="15"/>
                <w:highlight w:val="none"/>
              </w:rPr>
              <w:t>投标</w:t>
            </w:r>
          </w:p>
          <w:p w14:paraId="67D73361">
            <w:pPr>
              <w:pStyle w:val="11"/>
              <w:spacing w:line="220" w:lineRule="auto"/>
              <w:ind w:left="113"/>
              <w:rPr>
                <w:color w:val="auto"/>
                <w:highlight w:val="none"/>
              </w:rPr>
            </w:pPr>
            <w:r>
              <w:rPr>
                <w:color w:val="auto"/>
                <w:spacing w:val="-1"/>
                <w:highlight w:val="none"/>
              </w:rPr>
              <w:t>人不得提交备选投标方案</w:t>
            </w:r>
          </w:p>
        </w:tc>
      </w:tr>
      <w:tr w14:paraId="57171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4400B649">
            <w:pPr>
              <w:rPr>
                <w:rFonts w:ascii="Arial"/>
                <w:color w:val="auto"/>
                <w:sz w:val="21"/>
                <w:highlight w:val="none"/>
              </w:rPr>
            </w:pPr>
          </w:p>
        </w:tc>
        <w:tc>
          <w:tcPr>
            <w:tcW w:w="1060" w:type="dxa"/>
            <w:vMerge w:val="continue"/>
            <w:tcBorders>
              <w:top w:val="nil"/>
              <w:bottom w:val="nil"/>
            </w:tcBorders>
            <w:vAlign w:val="top"/>
          </w:tcPr>
          <w:p w14:paraId="7089B07A">
            <w:pPr>
              <w:rPr>
                <w:rFonts w:ascii="Arial"/>
                <w:color w:val="auto"/>
                <w:sz w:val="21"/>
                <w:highlight w:val="none"/>
              </w:rPr>
            </w:pPr>
          </w:p>
        </w:tc>
        <w:tc>
          <w:tcPr>
            <w:tcW w:w="2328" w:type="dxa"/>
            <w:vAlign w:val="top"/>
          </w:tcPr>
          <w:p w14:paraId="0661AE45">
            <w:pPr>
              <w:pStyle w:val="11"/>
              <w:spacing w:before="162" w:line="422" w:lineRule="exact"/>
              <w:ind w:left="121"/>
              <w:rPr>
                <w:color w:val="auto"/>
                <w:highlight w:val="none"/>
              </w:rPr>
            </w:pPr>
            <w:r>
              <w:rPr>
                <w:color w:val="auto"/>
                <w:spacing w:val="-1"/>
                <w:position w:val="16"/>
                <w:highlight w:val="none"/>
              </w:rPr>
              <w:t>法定代表人或授权委托</w:t>
            </w:r>
          </w:p>
          <w:p w14:paraId="4EF6D9E0">
            <w:pPr>
              <w:pStyle w:val="11"/>
              <w:spacing w:line="221" w:lineRule="auto"/>
              <w:ind w:left="645"/>
              <w:rPr>
                <w:color w:val="auto"/>
                <w:highlight w:val="none"/>
              </w:rPr>
            </w:pPr>
            <w:r>
              <w:rPr>
                <w:color w:val="auto"/>
                <w:spacing w:val="-1"/>
                <w:highlight w:val="none"/>
              </w:rPr>
              <w:t>人实名认证</w:t>
            </w:r>
          </w:p>
        </w:tc>
        <w:tc>
          <w:tcPr>
            <w:tcW w:w="4775" w:type="dxa"/>
            <w:vAlign w:val="top"/>
          </w:tcPr>
          <w:p w14:paraId="40AF922B">
            <w:pPr>
              <w:spacing w:line="302" w:lineRule="auto"/>
              <w:rPr>
                <w:rFonts w:ascii="Arial"/>
                <w:color w:val="auto"/>
                <w:sz w:val="21"/>
                <w:highlight w:val="none"/>
              </w:rPr>
            </w:pPr>
          </w:p>
          <w:p w14:paraId="5FD9A3B5">
            <w:pPr>
              <w:pStyle w:val="11"/>
              <w:spacing w:before="69" w:line="221" w:lineRule="auto"/>
              <w:ind w:left="112"/>
              <w:rPr>
                <w:color w:val="auto"/>
                <w:highlight w:val="none"/>
              </w:rPr>
            </w:pPr>
            <w:r>
              <w:rPr>
                <w:color w:val="auto"/>
                <w:spacing w:val="-1"/>
                <w:highlight w:val="none"/>
              </w:rPr>
              <w:t>法定代表人或授权委托人完成实名认证</w:t>
            </w:r>
          </w:p>
        </w:tc>
      </w:tr>
      <w:tr w14:paraId="1242B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5046F6A6">
            <w:pPr>
              <w:rPr>
                <w:rFonts w:ascii="Arial"/>
                <w:color w:val="auto"/>
                <w:sz w:val="21"/>
                <w:highlight w:val="none"/>
              </w:rPr>
            </w:pPr>
          </w:p>
        </w:tc>
        <w:tc>
          <w:tcPr>
            <w:tcW w:w="1060" w:type="dxa"/>
            <w:vMerge w:val="continue"/>
            <w:tcBorders>
              <w:top w:val="nil"/>
              <w:bottom w:val="nil"/>
            </w:tcBorders>
            <w:vAlign w:val="top"/>
          </w:tcPr>
          <w:p w14:paraId="1C7F8BBA">
            <w:pPr>
              <w:rPr>
                <w:rFonts w:ascii="Arial"/>
                <w:color w:val="auto"/>
                <w:sz w:val="21"/>
                <w:highlight w:val="none"/>
              </w:rPr>
            </w:pPr>
          </w:p>
        </w:tc>
        <w:tc>
          <w:tcPr>
            <w:tcW w:w="2328" w:type="dxa"/>
            <w:vAlign w:val="top"/>
          </w:tcPr>
          <w:p w14:paraId="30916176">
            <w:pPr>
              <w:pStyle w:val="11"/>
              <w:spacing w:before="157" w:line="221" w:lineRule="auto"/>
              <w:ind w:left="642"/>
              <w:rPr>
                <w:color w:val="auto"/>
                <w:highlight w:val="none"/>
              </w:rPr>
            </w:pPr>
            <w:r>
              <w:rPr>
                <w:color w:val="auto"/>
                <w:spacing w:val="-1"/>
                <w:highlight w:val="none"/>
              </w:rPr>
              <w:t>模块化暗标</w:t>
            </w:r>
          </w:p>
        </w:tc>
        <w:tc>
          <w:tcPr>
            <w:tcW w:w="4775" w:type="dxa"/>
            <w:vAlign w:val="top"/>
          </w:tcPr>
          <w:p w14:paraId="12B2141B">
            <w:pPr>
              <w:pStyle w:val="11"/>
              <w:spacing w:before="157" w:line="220" w:lineRule="auto"/>
              <w:ind w:left="113"/>
              <w:rPr>
                <w:color w:val="auto"/>
                <w:highlight w:val="none"/>
              </w:rPr>
            </w:pPr>
            <w:r>
              <w:rPr>
                <w:color w:val="auto"/>
                <w:spacing w:val="-2"/>
                <w:highlight w:val="none"/>
              </w:rPr>
              <w:t>符合第二章“投标人须知”第</w:t>
            </w:r>
            <w:r>
              <w:rPr>
                <w:color w:val="auto"/>
                <w:spacing w:val="-28"/>
                <w:highlight w:val="none"/>
              </w:rPr>
              <w:t xml:space="preserve"> </w:t>
            </w:r>
            <w:r>
              <w:rPr>
                <w:color w:val="auto"/>
                <w:spacing w:val="-2"/>
                <w:highlight w:val="none"/>
              </w:rPr>
              <w:t>3.7.4</w:t>
            </w:r>
            <w:r>
              <w:rPr>
                <w:color w:val="auto"/>
                <w:spacing w:val="-41"/>
                <w:highlight w:val="none"/>
              </w:rPr>
              <w:t xml:space="preserve"> </w:t>
            </w:r>
            <w:r>
              <w:rPr>
                <w:color w:val="auto"/>
                <w:spacing w:val="-2"/>
                <w:highlight w:val="none"/>
              </w:rPr>
              <w:t>项规定</w:t>
            </w:r>
          </w:p>
        </w:tc>
      </w:tr>
      <w:tr w14:paraId="1C1E9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5581E2AE">
            <w:pPr>
              <w:rPr>
                <w:rFonts w:ascii="Arial"/>
                <w:color w:val="auto"/>
                <w:sz w:val="21"/>
                <w:highlight w:val="none"/>
              </w:rPr>
            </w:pPr>
          </w:p>
        </w:tc>
        <w:tc>
          <w:tcPr>
            <w:tcW w:w="1060" w:type="dxa"/>
            <w:vMerge w:val="continue"/>
            <w:tcBorders>
              <w:top w:val="nil"/>
              <w:bottom w:val="nil"/>
            </w:tcBorders>
            <w:vAlign w:val="top"/>
          </w:tcPr>
          <w:p w14:paraId="58EA8AEB">
            <w:pPr>
              <w:rPr>
                <w:rFonts w:ascii="Arial"/>
                <w:color w:val="auto"/>
                <w:sz w:val="21"/>
                <w:highlight w:val="none"/>
              </w:rPr>
            </w:pPr>
          </w:p>
        </w:tc>
        <w:tc>
          <w:tcPr>
            <w:tcW w:w="2328" w:type="dxa"/>
            <w:vAlign w:val="top"/>
          </w:tcPr>
          <w:p w14:paraId="56DFBF35">
            <w:pPr>
              <w:pStyle w:val="11"/>
              <w:spacing w:before="163" w:line="221" w:lineRule="auto"/>
              <w:ind w:left="541"/>
              <w:rPr>
                <w:color w:val="auto"/>
                <w:highlight w:val="none"/>
              </w:rPr>
            </w:pPr>
            <w:r>
              <w:rPr>
                <w:color w:val="auto"/>
                <w:spacing w:val="-1"/>
                <w:highlight w:val="none"/>
              </w:rPr>
              <w:t>行为雷同分析</w:t>
            </w:r>
          </w:p>
        </w:tc>
        <w:tc>
          <w:tcPr>
            <w:tcW w:w="4775" w:type="dxa"/>
            <w:vAlign w:val="top"/>
          </w:tcPr>
          <w:p w14:paraId="4BC52EAC">
            <w:pPr>
              <w:pStyle w:val="11"/>
              <w:spacing w:before="162" w:line="221" w:lineRule="auto"/>
              <w:ind w:left="115"/>
              <w:rPr>
                <w:color w:val="auto"/>
                <w:highlight w:val="none"/>
              </w:rPr>
            </w:pPr>
            <w:r>
              <w:rPr>
                <w:color w:val="auto"/>
                <w:spacing w:val="-1"/>
                <w:highlight w:val="none"/>
              </w:rPr>
              <w:t>不存在投标行为雷同情形</w:t>
            </w:r>
          </w:p>
        </w:tc>
      </w:tr>
      <w:tr w14:paraId="7469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5DDA7E1E">
            <w:pPr>
              <w:rPr>
                <w:rFonts w:ascii="Arial"/>
                <w:color w:val="auto"/>
                <w:sz w:val="21"/>
                <w:highlight w:val="none"/>
              </w:rPr>
            </w:pPr>
          </w:p>
        </w:tc>
        <w:tc>
          <w:tcPr>
            <w:tcW w:w="1060" w:type="dxa"/>
            <w:vMerge w:val="continue"/>
            <w:tcBorders>
              <w:top w:val="nil"/>
            </w:tcBorders>
            <w:vAlign w:val="top"/>
          </w:tcPr>
          <w:p w14:paraId="5DEF8FFE">
            <w:pPr>
              <w:rPr>
                <w:rFonts w:ascii="Arial"/>
                <w:color w:val="auto"/>
                <w:sz w:val="21"/>
                <w:highlight w:val="none"/>
              </w:rPr>
            </w:pPr>
          </w:p>
        </w:tc>
        <w:tc>
          <w:tcPr>
            <w:tcW w:w="2328" w:type="dxa"/>
            <w:vAlign w:val="top"/>
          </w:tcPr>
          <w:p w14:paraId="425D6877">
            <w:pPr>
              <w:pStyle w:val="11"/>
              <w:spacing w:before="158" w:line="223" w:lineRule="auto"/>
              <w:ind w:left="973"/>
              <w:rPr>
                <w:color w:val="auto"/>
                <w:highlight w:val="none"/>
              </w:rPr>
            </w:pPr>
            <w:r>
              <w:rPr>
                <w:color w:val="auto"/>
                <w:spacing w:val="-5"/>
                <w:highlight w:val="none"/>
              </w:rPr>
              <w:t>……</w:t>
            </w:r>
          </w:p>
        </w:tc>
        <w:tc>
          <w:tcPr>
            <w:tcW w:w="4775" w:type="dxa"/>
            <w:vAlign w:val="top"/>
          </w:tcPr>
          <w:p w14:paraId="6F4149C8">
            <w:pPr>
              <w:pStyle w:val="11"/>
              <w:spacing w:before="158" w:line="223" w:lineRule="auto"/>
              <w:ind w:left="125"/>
              <w:rPr>
                <w:color w:val="auto"/>
                <w:highlight w:val="none"/>
              </w:rPr>
            </w:pPr>
            <w:r>
              <w:rPr>
                <w:color w:val="auto"/>
                <w:spacing w:val="-5"/>
                <w:highlight w:val="none"/>
              </w:rPr>
              <w:t>……</w:t>
            </w:r>
          </w:p>
        </w:tc>
      </w:tr>
      <w:tr w14:paraId="74646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05384887">
            <w:pPr>
              <w:spacing w:line="252" w:lineRule="auto"/>
              <w:rPr>
                <w:rFonts w:ascii="Arial"/>
                <w:color w:val="auto"/>
                <w:sz w:val="21"/>
                <w:highlight w:val="none"/>
              </w:rPr>
            </w:pPr>
          </w:p>
          <w:p w14:paraId="730F85A2">
            <w:pPr>
              <w:spacing w:line="252" w:lineRule="auto"/>
              <w:rPr>
                <w:rFonts w:ascii="Arial"/>
                <w:color w:val="auto"/>
                <w:sz w:val="21"/>
                <w:highlight w:val="none"/>
              </w:rPr>
            </w:pPr>
          </w:p>
          <w:p w14:paraId="0F75C680">
            <w:pPr>
              <w:spacing w:line="252" w:lineRule="auto"/>
              <w:rPr>
                <w:rFonts w:ascii="Arial"/>
                <w:color w:val="auto"/>
                <w:sz w:val="21"/>
                <w:highlight w:val="none"/>
              </w:rPr>
            </w:pPr>
          </w:p>
          <w:p w14:paraId="2EB13CD2">
            <w:pPr>
              <w:spacing w:line="252" w:lineRule="auto"/>
              <w:rPr>
                <w:rFonts w:ascii="Arial"/>
                <w:color w:val="auto"/>
                <w:sz w:val="21"/>
                <w:highlight w:val="none"/>
              </w:rPr>
            </w:pPr>
          </w:p>
          <w:p w14:paraId="66EBED19">
            <w:pPr>
              <w:spacing w:line="252" w:lineRule="auto"/>
              <w:rPr>
                <w:rFonts w:ascii="Arial"/>
                <w:color w:val="auto"/>
                <w:sz w:val="21"/>
                <w:highlight w:val="none"/>
              </w:rPr>
            </w:pPr>
          </w:p>
          <w:p w14:paraId="5EE4A2F4">
            <w:pPr>
              <w:spacing w:line="252" w:lineRule="auto"/>
              <w:rPr>
                <w:rFonts w:ascii="Arial"/>
                <w:color w:val="auto"/>
                <w:sz w:val="21"/>
                <w:highlight w:val="none"/>
              </w:rPr>
            </w:pPr>
          </w:p>
          <w:p w14:paraId="175CAA36">
            <w:pPr>
              <w:spacing w:line="253" w:lineRule="auto"/>
              <w:rPr>
                <w:rFonts w:ascii="Arial"/>
                <w:color w:val="auto"/>
                <w:sz w:val="21"/>
                <w:highlight w:val="none"/>
              </w:rPr>
            </w:pPr>
          </w:p>
          <w:p w14:paraId="4F60FCEE">
            <w:pPr>
              <w:spacing w:line="253" w:lineRule="auto"/>
              <w:rPr>
                <w:rFonts w:ascii="Arial"/>
                <w:color w:val="auto"/>
                <w:sz w:val="21"/>
                <w:highlight w:val="none"/>
              </w:rPr>
            </w:pPr>
          </w:p>
          <w:p w14:paraId="71DED0F8">
            <w:pPr>
              <w:spacing w:line="253" w:lineRule="auto"/>
              <w:rPr>
                <w:rFonts w:ascii="Arial"/>
                <w:color w:val="auto"/>
                <w:sz w:val="21"/>
                <w:highlight w:val="none"/>
              </w:rPr>
            </w:pPr>
          </w:p>
          <w:p w14:paraId="5CA44D31">
            <w:pPr>
              <w:spacing w:before="61" w:line="189" w:lineRule="auto"/>
              <w:ind w:left="1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2.1.2</w:t>
            </w:r>
          </w:p>
        </w:tc>
        <w:tc>
          <w:tcPr>
            <w:tcW w:w="1060" w:type="dxa"/>
            <w:vMerge w:val="restart"/>
            <w:tcBorders>
              <w:bottom w:val="nil"/>
            </w:tcBorders>
            <w:vAlign w:val="top"/>
          </w:tcPr>
          <w:p w14:paraId="582F707E">
            <w:pPr>
              <w:spacing w:line="258" w:lineRule="auto"/>
              <w:rPr>
                <w:rFonts w:ascii="Arial"/>
                <w:color w:val="auto"/>
                <w:sz w:val="21"/>
                <w:highlight w:val="none"/>
              </w:rPr>
            </w:pPr>
          </w:p>
          <w:p w14:paraId="59D3D321">
            <w:pPr>
              <w:spacing w:line="258" w:lineRule="auto"/>
              <w:rPr>
                <w:rFonts w:ascii="Arial"/>
                <w:color w:val="auto"/>
                <w:sz w:val="21"/>
                <w:highlight w:val="none"/>
              </w:rPr>
            </w:pPr>
          </w:p>
          <w:p w14:paraId="31391B7C">
            <w:pPr>
              <w:spacing w:line="258" w:lineRule="auto"/>
              <w:rPr>
                <w:rFonts w:ascii="Arial"/>
                <w:color w:val="auto"/>
                <w:sz w:val="21"/>
                <w:highlight w:val="none"/>
              </w:rPr>
            </w:pPr>
          </w:p>
          <w:p w14:paraId="5F003673">
            <w:pPr>
              <w:spacing w:line="258" w:lineRule="auto"/>
              <w:rPr>
                <w:rFonts w:ascii="Arial"/>
                <w:color w:val="auto"/>
                <w:sz w:val="21"/>
                <w:highlight w:val="none"/>
              </w:rPr>
            </w:pPr>
          </w:p>
          <w:p w14:paraId="01D8E2D5">
            <w:pPr>
              <w:spacing w:line="258" w:lineRule="auto"/>
              <w:rPr>
                <w:rFonts w:ascii="Arial"/>
                <w:color w:val="auto"/>
                <w:sz w:val="21"/>
                <w:highlight w:val="none"/>
              </w:rPr>
            </w:pPr>
          </w:p>
          <w:p w14:paraId="7154D7A8">
            <w:pPr>
              <w:spacing w:line="258" w:lineRule="auto"/>
              <w:rPr>
                <w:rFonts w:ascii="Arial"/>
                <w:color w:val="auto"/>
                <w:sz w:val="21"/>
                <w:highlight w:val="none"/>
              </w:rPr>
            </w:pPr>
          </w:p>
          <w:p w14:paraId="23A26FA3">
            <w:pPr>
              <w:spacing w:line="259" w:lineRule="auto"/>
              <w:rPr>
                <w:rFonts w:ascii="Arial"/>
                <w:color w:val="auto"/>
                <w:sz w:val="21"/>
                <w:highlight w:val="none"/>
              </w:rPr>
            </w:pPr>
          </w:p>
          <w:p w14:paraId="43A86ED2">
            <w:pPr>
              <w:pStyle w:val="11"/>
              <w:spacing w:before="69" w:line="422" w:lineRule="exact"/>
              <w:ind w:left="329"/>
              <w:rPr>
                <w:color w:val="auto"/>
                <w:highlight w:val="none"/>
              </w:rPr>
            </w:pPr>
            <w:r>
              <w:rPr>
                <w:color w:val="auto"/>
                <w:spacing w:val="-4"/>
                <w:position w:val="16"/>
                <w:highlight w:val="none"/>
              </w:rPr>
              <w:t>资格</w:t>
            </w:r>
          </w:p>
          <w:p w14:paraId="285030A3">
            <w:pPr>
              <w:pStyle w:val="11"/>
              <w:spacing w:line="221" w:lineRule="auto"/>
              <w:ind w:left="319"/>
              <w:rPr>
                <w:color w:val="auto"/>
                <w:highlight w:val="none"/>
              </w:rPr>
            </w:pPr>
            <w:r>
              <w:rPr>
                <w:color w:val="auto"/>
                <w:spacing w:val="-2"/>
                <w:highlight w:val="none"/>
              </w:rPr>
              <w:t>评审</w:t>
            </w:r>
          </w:p>
          <w:p w14:paraId="5155D3AF">
            <w:pPr>
              <w:pStyle w:val="11"/>
              <w:spacing w:before="166" w:line="221" w:lineRule="auto"/>
              <w:ind w:left="321"/>
              <w:rPr>
                <w:color w:val="auto"/>
                <w:highlight w:val="none"/>
              </w:rPr>
            </w:pPr>
            <w:r>
              <w:rPr>
                <w:color w:val="auto"/>
                <w:spacing w:val="-2"/>
                <w:highlight w:val="none"/>
              </w:rPr>
              <w:t>标准</w:t>
            </w:r>
          </w:p>
        </w:tc>
        <w:tc>
          <w:tcPr>
            <w:tcW w:w="2328" w:type="dxa"/>
            <w:vAlign w:val="top"/>
          </w:tcPr>
          <w:p w14:paraId="52378C7A">
            <w:pPr>
              <w:pStyle w:val="11"/>
              <w:spacing w:before="163" w:line="221" w:lineRule="auto"/>
              <w:ind w:left="755"/>
              <w:rPr>
                <w:color w:val="auto"/>
                <w:highlight w:val="none"/>
              </w:rPr>
            </w:pPr>
            <w:r>
              <w:rPr>
                <w:color w:val="auto"/>
                <w:spacing w:val="-2"/>
                <w:highlight w:val="none"/>
              </w:rPr>
              <w:t>营业执照</w:t>
            </w:r>
          </w:p>
        </w:tc>
        <w:tc>
          <w:tcPr>
            <w:tcW w:w="4775" w:type="dxa"/>
            <w:vAlign w:val="top"/>
          </w:tcPr>
          <w:p w14:paraId="674035CD">
            <w:pPr>
              <w:pStyle w:val="11"/>
              <w:spacing w:before="163" w:line="221" w:lineRule="auto"/>
              <w:ind w:left="115"/>
              <w:rPr>
                <w:color w:val="auto"/>
                <w:highlight w:val="none"/>
              </w:rPr>
            </w:pPr>
            <w:r>
              <w:rPr>
                <w:color w:val="auto"/>
                <w:spacing w:val="-1"/>
                <w:highlight w:val="none"/>
              </w:rPr>
              <w:t>具备有效的营业执照</w:t>
            </w:r>
          </w:p>
        </w:tc>
      </w:tr>
      <w:tr w14:paraId="4EA50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1FC40B13">
            <w:pPr>
              <w:rPr>
                <w:rFonts w:ascii="Arial"/>
                <w:color w:val="auto"/>
                <w:sz w:val="21"/>
                <w:highlight w:val="none"/>
              </w:rPr>
            </w:pPr>
          </w:p>
        </w:tc>
        <w:tc>
          <w:tcPr>
            <w:tcW w:w="1060" w:type="dxa"/>
            <w:vMerge w:val="continue"/>
            <w:tcBorders>
              <w:top w:val="nil"/>
              <w:bottom w:val="nil"/>
            </w:tcBorders>
            <w:vAlign w:val="top"/>
          </w:tcPr>
          <w:p w14:paraId="051148B1">
            <w:pPr>
              <w:rPr>
                <w:rFonts w:ascii="Arial"/>
                <w:color w:val="auto"/>
                <w:sz w:val="21"/>
                <w:highlight w:val="none"/>
              </w:rPr>
            </w:pPr>
          </w:p>
        </w:tc>
        <w:tc>
          <w:tcPr>
            <w:tcW w:w="2328" w:type="dxa"/>
            <w:vAlign w:val="top"/>
          </w:tcPr>
          <w:p w14:paraId="4EAEABE4">
            <w:pPr>
              <w:pStyle w:val="11"/>
              <w:spacing w:before="158" w:line="221" w:lineRule="auto"/>
              <w:ind w:left="436"/>
              <w:rPr>
                <w:color w:val="auto"/>
                <w:highlight w:val="none"/>
              </w:rPr>
            </w:pPr>
            <w:r>
              <w:rPr>
                <w:color w:val="auto"/>
                <w:spacing w:val="-2"/>
                <w:highlight w:val="none"/>
              </w:rPr>
              <w:t>安全生产许可证</w:t>
            </w:r>
          </w:p>
        </w:tc>
        <w:tc>
          <w:tcPr>
            <w:tcW w:w="4775" w:type="dxa"/>
            <w:vAlign w:val="top"/>
          </w:tcPr>
          <w:p w14:paraId="3B5B7DDB">
            <w:pPr>
              <w:pStyle w:val="11"/>
              <w:spacing w:before="158" w:line="221" w:lineRule="auto"/>
              <w:ind w:left="115"/>
              <w:rPr>
                <w:color w:val="auto"/>
                <w:highlight w:val="none"/>
              </w:rPr>
            </w:pPr>
            <w:r>
              <w:rPr>
                <w:color w:val="auto"/>
                <w:spacing w:val="-1"/>
                <w:highlight w:val="none"/>
              </w:rPr>
              <w:t>具备有效的安全生产许可证</w:t>
            </w:r>
          </w:p>
        </w:tc>
      </w:tr>
      <w:tr w14:paraId="3B965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41E1EAD9">
            <w:pPr>
              <w:rPr>
                <w:rFonts w:ascii="Arial"/>
                <w:color w:val="auto"/>
                <w:sz w:val="21"/>
                <w:highlight w:val="none"/>
              </w:rPr>
            </w:pPr>
          </w:p>
        </w:tc>
        <w:tc>
          <w:tcPr>
            <w:tcW w:w="1060" w:type="dxa"/>
            <w:vMerge w:val="continue"/>
            <w:tcBorders>
              <w:top w:val="nil"/>
              <w:bottom w:val="nil"/>
            </w:tcBorders>
            <w:vAlign w:val="top"/>
          </w:tcPr>
          <w:p w14:paraId="016F25AB">
            <w:pPr>
              <w:rPr>
                <w:rFonts w:ascii="Arial"/>
                <w:color w:val="auto"/>
                <w:sz w:val="21"/>
                <w:highlight w:val="none"/>
              </w:rPr>
            </w:pPr>
          </w:p>
        </w:tc>
        <w:tc>
          <w:tcPr>
            <w:tcW w:w="2328" w:type="dxa"/>
            <w:vAlign w:val="top"/>
          </w:tcPr>
          <w:p w14:paraId="7915DB79">
            <w:pPr>
              <w:pStyle w:val="11"/>
              <w:spacing w:before="163" w:line="221" w:lineRule="auto"/>
              <w:ind w:left="758"/>
              <w:rPr>
                <w:color w:val="auto"/>
                <w:highlight w:val="none"/>
              </w:rPr>
            </w:pPr>
            <w:r>
              <w:rPr>
                <w:color w:val="auto"/>
                <w:spacing w:val="-3"/>
                <w:highlight w:val="none"/>
              </w:rPr>
              <w:t>资质等级</w:t>
            </w:r>
          </w:p>
        </w:tc>
        <w:tc>
          <w:tcPr>
            <w:tcW w:w="4775" w:type="dxa"/>
            <w:vAlign w:val="top"/>
          </w:tcPr>
          <w:p w14:paraId="582221D5">
            <w:pPr>
              <w:pStyle w:val="11"/>
              <w:spacing w:before="16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1E9D9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174B30A9">
            <w:pPr>
              <w:rPr>
                <w:rFonts w:ascii="Arial"/>
                <w:color w:val="auto"/>
                <w:sz w:val="21"/>
                <w:highlight w:val="none"/>
              </w:rPr>
            </w:pPr>
          </w:p>
        </w:tc>
        <w:tc>
          <w:tcPr>
            <w:tcW w:w="1060" w:type="dxa"/>
            <w:vMerge w:val="continue"/>
            <w:tcBorders>
              <w:top w:val="nil"/>
              <w:bottom w:val="nil"/>
            </w:tcBorders>
            <w:vAlign w:val="top"/>
          </w:tcPr>
          <w:p w14:paraId="23E0C2FE">
            <w:pPr>
              <w:rPr>
                <w:rFonts w:ascii="Arial"/>
                <w:color w:val="auto"/>
                <w:sz w:val="21"/>
                <w:highlight w:val="none"/>
              </w:rPr>
            </w:pPr>
          </w:p>
        </w:tc>
        <w:tc>
          <w:tcPr>
            <w:tcW w:w="2328" w:type="dxa"/>
            <w:vAlign w:val="top"/>
          </w:tcPr>
          <w:p w14:paraId="7E2ED0B8">
            <w:pPr>
              <w:pStyle w:val="11"/>
              <w:spacing w:before="164" w:line="220" w:lineRule="auto"/>
              <w:ind w:left="960"/>
              <w:rPr>
                <w:color w:val="auto"/>
                <w:highlight w:val="none"/>
              </w:rPr>
            </w:pPr>
            <w:r>
              <w:rPr>
                <w:color w:val="auto"/>
                <w:spacing w:val="-2"/>
                <w:highlight w:val="none"/>
              </w:rPr>
              <w:t>信誉</w:t>
            </w:r>
          </w:p>
        </w:tc>
        <w:tc>
          <w:tcPr>
            <w:tcW w:w="4775" w:type="dxa"/>
            <w:vAlign w:val="top"/>
          </w:tcPr>
          <w:p w14:paraId="778F5FBA">
            <w:pPr>
              <w:pStyle w:val="11"/>
              <w:spacing w:before="16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66A1F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41D0B5DC">
            <w:pPr>
              <w:rPr>
                <w:rFonts w:ascii="Arial"/>
                <w:color w:val="auto"/>
                <w:sz w:val="21"/>
                <w:highlight w:val="none"/>
              </w:rPr>
            </w:pPr>
          </w:p>
        </w:tc>
        <w:tc>
          <w:tcPr>
            <w:tcW w:w="1060" w:type="dxa"/>
            <w:vMerge w:val="continue"/>
            <w:tcBorders>
              <w:top w:val="nil"/>
              <w:bottom w:val="nil"/>
            </w:tcBorders>
            <w:vAlign w:val="top"/>
          </w:tcPr>
          <w:p w14:paraId="0324D4BE">
            <w:pPr>
              <w:rPr>
                <w:rFonts w:ascii="Arial"/>
                <w:color w:val="auto"/>
                <w:sz w:val="21"/>
                <w:highlight w:val="none"/>
              </w:rPr>
            </w:pPr>
          </w:p>
        </w:tc>
        <w:tc>
          <w:tcPr>
            <w:tcW w:w="2328" w:type="dxa"/>
            <w:vAlign w:val="top"/>
          </w:tcPr>
          <w:p w14:paraId="706C00F9">
            <w:pPr>
              <w:pStyle w:val="11"/>
              <w:spacing w:before="159" w:line="221" w:lineRule="auto"/>
              <w:ind w:left="541"/>
              <w:rPr>
                <w:color w:val="auto"/>
                <w:highlight w:val="none"/>
              </w:rPr>
            </w:pPr>
            <w:r>
              <w:rPr>
                <w:color w:val="auto"/>
                <w:spacing w:val="-2"/>
                <w:highlight w:val="none"/>
              </w:rPr>
              <w:t>项目经理资格</w:t>
            </w:r>
          </w:p>
        </w:tc>
        <w:tc>
          <w:tcPr>
            <w:tcW w:w="4775" w:type="dxa"/>
            <w:vAlign w:val="top"/>
          </w:tcPr>
          <w:p w14:paraId="3E8022E4">
            <w:pPr>
              <w:pStyle w:val="11"/>
              <w:spacing w:before="159"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21155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685BA220">
            <w:pPr>
              <w:rPr>
                <w:rFonts w:ascii="Arial"/>
                <w:color w:val="auto"/>
                <w:sz w:val="21"/>
                <w:highlight w:val="none"/>
              </w:rPr>
            </w:pPr>
          </w:p>
        </w:tc>
        <w:tc>
          <w:tcPr>
            <w:tcW w:w="1060" w:type="dxa"/>
            <w:vMerge w:val="continue"/>
            <w:tcBorders>
              <w:top w:val="nil"/>
              <w:bottom w:val="nil"/>
            </w:tcBorders>
            <w:vAlign w:val="top"/>
          </w:tcPr>
          <w:p w14:paraId="6D17806B">
            <w:pPr>
              <w:rPr>
                <w:rFonts w:ascii="Arial"/>
                <w:color w:val="auto"/>
                <w:sz w:val="21"/>
                <w:highlight w:val="none"/>
              </w:rPr>
            </w:pPr>
          </w:p>
        </w:tc>
        <w:tc>
          <w:tcPr>
            <w:tcW w:w="2328" w:type="dxa"/>
            <w:vAlign w:val="top"/>
          </w:tcPr>
          <w:p w14:paraId="1FDDBC53">
            <w:pPr>
              <w:pStyle w:val="11"/>
              <w:spacing w:before="164" w:line="221" w:lineRule="auto"/>
              <w:ind w:left="959"/>
              <w:rPr>
                <w:color w:val="auto"/>
                <w:highlight w:val="none"/>
              </w:rPr>
            </w:pPr>
            <w:r>
              <w:rPr>
                <w:color w:val="auto"/>
                <w:spacing w:val="-2"/>
                <w:highlight w:val="none"/>
              </w:rPr>
              <w:t>业绩</w:t>
            </w:r>
          </w:p>
        </w:tc>
        <w:tc>
          <w:tcPr>
            <w:tcW w:w="4775" w:type="dxa"/>
            <w:vAlign w:val="top"/>
          </w:tcPr>
          <w:p w14:paraId="51C46349">
            <w:pPr>
              <w:pStyle w:val="11"/>
              <w:spacing w:before="16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1CAE1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47B9CD72">
            <w:pPr>
              <w:rPr>
                <w:rFonts w:ascii="Arial"/>
                <w:color w:val="auto"/>
                <w:sz w:val="21"/>
                <w:highlight w:val="none"/>
              </w:rPr>
            </w:pPr>
          </w:p>
        </w:tc>
        <w:tc>
          <w:tcPr>
            <w:tcW w:w="1060" w:type="dxa"/>
            <w:vMerge w:val="continue"/>
            <w:tcBorders>
              <w:top w:val="nil"/>
              <w:bottom w:val="nil"/>
            </w:tcBorders>
            <w:vAlign w:val="top"/>
          </w:tcPr>
          <w:p w14:paraId="30AAC7D0">
            <w:pPr>
              <w:rPr>
                <w:rFonts w:ascii="Arial"/>
                <w:color w:val="auto"/>
                <w:sz w:val="21"/>
                <w:highlight w:val="none"/>
              </w:rPr>
            </w:pPr>
          </w:p>
        </w:tc>
        <w:tc>
          <w:tcPr>
            <w:tcW w:w="2328" w:type="dxa"/>
            <w:vAlign w:val="top"/>
          </w:tcPr>
          <w:p w14:paraId="5200C434">
            <w:pPr>
              <w:pStyle w:val="11"/>
              <w:spacing w:before="159" w:line="423" w:lineRule="exact"/>
              <w:ind w:left="123"/>
              <w:rPr>
                <w:color w:val="auto"/>
                <w:highlight w:val="none"/>
              </w:rPr>
            </w:pPr>
            <w:r>
              <w:rPr>
                <w:color w:val="auto"/>
                <w:spacing w:val="-1"/>
                <w:position w:val="16"/>
                <w:highlight w:val="none"/>
              </w:rPr>
              <w:t>项目管理机构主要人员</w:t>
            </w:r>
          </w:p>
          <w:p w14:paraId="13AE8960">
            <w:pPr>
              <w:pStyle w:val="11"/>
              <w:spacing w:before="1" w:line="221" w:lineRule="auto"/>
              <w:ind w:left="961"/>
              <w:rPr>
                <w:color w:val="auto"/>
                <w:highlight w:val="none"/>
              </w:rPr>
            </w:pPr>
            <w:r>
              <w:rPr>
                <w:color w:val="auto"/>
                <w:spacing w:val="-2"/>
                <w:highlight w:val="none"/>
              </w:rPr>
              <w:t>要求</w:t>
            </w:r>
          </w:p>
        </w:tc>
        <w:tc>
          <w:tcPr>
            <w:tcW w:w="4775" w:type="dxa"/>
            <w:vAlign w:val="top"/>
          </w:tcPr>
          <w:p w14:paraId="325167EC">
            <w:pPr>
              <w:spacing w:line="301" w:lineRule="auto"/>
              <w:rPr>
                <w:rFonts w:ascii="Arial"/>
                <w:color w:val="auto"/>
                <w:sz w:val="21"/>
                <w:highlight w:val="none"/>
              </w:rPr>
            </w:pPr>
          </w:p>
          <w:p w14:paraId="2431D8B2">
            <w:pPr>
              <w:pStyle w:val="11"/>
              <w:spacing w:before="68"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2DA7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6C7BB72F">
            <w:pPr>
              <w:rPr>
                <w:rFonts w:ascii="Arial"/>
                <w:color w:val="auto"/>
                <w:sz w:val="21"/>
                <w:highlight w:val="none"/>
              </w:rPr>
            </w:pPr>
          </w:p>
        </w:tc>
        <w:tc>
          <w:tcPr>
            <w:tcW w:w="1060" w:type="dxa"/>
            <w:vMerge w:val="continue"/>
            <w:tcBorders>
              <w:top w:val="nil"/>
              <w:bottom w:val="nil"/>
            </w:tcBorders>
            <w:vAlign w:val="top"/>
          </w:tcPr>
          <w:p w14:paraId="22313ED9">
            <w:pPr>
              <w:rPr>
                <w:rFonts w:ascii="Arial"/>
                <w:color w:val="auto"/>
                <w:sz w:val="21"/>
                <w:highlight w:val="none"/>
              </w:rPr>
            </w:pPr>
          </w:p>
        </w:tc>
        <w:tc>
          <w:tcPr>
            <w:tcW w:w="2328" w:type="dxa"/>
            <w:vAlign w:val="top"/>
          </w:tcPr>
          <w:p w14:paraId="2A27C2CA">
            <w:pPr>
              <w:pStyle w:val="11"/>
              <w:spacing w:before="160" w:line="221" w:lineRule="auto"/>
              <w:ind w:left="750"/>
              <w:rPr>
                <w:color w:val="auto"/>
                <w:highlight w:val="none"/>
              </w:rPr>
            </w:pPr>
            <w:r>
              <w:rPr>
                <w:color w:val="auto"/>
                <w:spacing w:val="-1"/>
                <w:highlight w:val="none"/>
              </w:rPr>
              <w:t>其他要求</w:t>
            </w:r>
          </w:p>
        </w:tc>
        <w:tc>
          <w:tcPr>
            <w:tcW w:w="4775" w:type="dxa"/>
            <w:vAlign w:val="top"/>
          </w:tcPr>
          <w:p w14:paraId="29A20277">
            <w:pPr>
              <w:pStyle w:val="11"/>
              <w:spacing w:before="159"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5CDE6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482582C3">
            <w:pPr>
              <w:rPr>
                <w:rFonts w:ascii="Arial"/>
                <w:color w:val="auto"/>
                <w:sz w:val="21"/>
                <w:highlight w:val="none"/>
              </w:rPr>
            </w:pPr>
          </w:p>
        </w:tc>
        <w:tc>
          <w:tcPr>
            <w:tcW w:w="1060" w:type="dxa"/>
            <w:vMerge w:val="continue"/>
            <w:tcBorders>
              <w:top w:val="nil"/>
              <w:bottom w:val="nil"/>
            </w:tcBorders>
            <w:vAlign w:val="top"/>
          </w:tcPr>
          <w:p w14:paraId="3768B73D">
            <w:pPr>
              <w:rPr>
                <w:rFonts w:ascii="Arial"/>
                <w:color w:val="auto"/>
                <w:sz w:val="21"/>
                <w:highlight w:val="none"/>
              </w:rPr>
            </w:pPr>
          </w:p>
        </w:tc>
        <w:tc>
          <w:tcPr>
            <w:tcW w:w="2328" w:type="dxa"/>
            <w:vAlign w:val="top"/>
          </w:tcPr>
          <w:p w14:paraId="019BFB41">
            <w:pPr>
              <w:pStyle w:val="11"/>
              <w:spacing w:before="165" w:line="221" w:lineRule="auto"/>
              <w:ind w:left="121"/>
              <w:rPr>
                <w:color w:val="auto"/>
                <w:highlight w:val="none"/>
              </w:rPr>
            </w:pPr>
            <w:r>
              <w:rPr>
                <w:color w:val="auto"/>
                <w:spacing w:val="-2"/>
                <w:highlight w:val="none"/>
              </w:rPr>
              <w:t>联合体投标人（如有）</w:t>
            </w:r>
          </w:p>
        </w:tc>
        <w:tc>
          <w:tcPr>
            <w:tcW w:w="4775" w:type="dxa"/>
            <w:vAlign w:val="top"/>
          </w:tcPr>
          <w:p w14:paraId="610C4EE0">
            <w:pPr>
              <w:pStyle w:val="11"/>
              <w:spacing w:before="16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1.4.2 </w:t>
            </w:r>
            <w:r>
              <w:rPr>
                <w:color w:val="auto"/>
                <w:spacing w:val="-2"/>
                <w:highlight w:val="none"/>
              </w:rPr>
              <w:t>项规定</w:t>
            </w:r>
          </w:p>
        </w:tc>
      </w:tr>
      <w:tr w14:paraId="7E287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continue"/>
            <w:tcBorders>
              <w:top w:val="nil"/>
            </w:tcBorders>
            <w:vAlign w:val="top"/>
          </w:tcPr>
          <w:p w14:paraId="6746B3D6">
            <w:pPr>
              <w:rPr>
                <w:rFonts w:ascii="Arial"/>
                <w:color w:val="auto"/>
                <w:sz w:val="21"/>
                <w:highlight w:val="none"/>
              </w:rPr>
            </w:pPr>
          </w:p>
        </w:tc>
        <w:tc>
          <w:tcPr>
            <w:tcW w:w="1060" w:type="dxa"/>
            <w:vMerge w:val="continue"/>
            <w:tcBorders>
              <w:top w:val="nil"/>
            </w:tcBorders>
            <w:vAlign w:val="top"/>
          </w:tcPr>
          <w:p w14:paraId="594574B9">
            <w:pPr>
              <w:rPr>
                <w:rFonts w:ascii="Arial"/>
                <w:color w:val="auto"/>
                <w:sz w:val="21"/>
                <w:highlight w:val="none"/>
              </w:rPr>
            </w:pPr>
          </w:p>
        </w:tc>
        <w:tc>
          <w:tcPr>
            <w:tcW w:w="2328" w:type="dxa"/>
            <w:vAlign w:val="top"/>
          </w:tcPr>
          <w:p w14:paraId="6CE5F591">
            <w:pPr>
              <w:pStyle w:val="11"/>
              <w:spacing w:before="164" w:line="221" w:lineRule="auto"/>
              <w:ind w:left="123"/>
              <w:rPr>
                <w:color w:val="auto"/>
                <w:highlight w:val="none"/>
              </w:rPr>
            </w:pPr>
            <w:r>
              <w:rPr>
                <w:color w:val="auto"/>
                <w:spacing w:val="-1"/>
                <w:highlight w:val="none"/>
              </w:rPr>
              <w:t>不存在禁止投标的情形</w:t>
            </w:r>
          </w:p>
        </w:tc>
        <w:tc>
          <w:tcPr>
            <w:tcW w:w="4775" w:type="dxa"/>
            <w:vAlign w:val="top"/>
          </w:tcPr>
          <w:p w14:paraId="7D4E2D2B">
            <w:pPr>
              <w:pStyle w:val="11"/>
              <w:spacing w:before="164" w:line="220" w:lineRule="auto"/>
              <w:ind w:left="115"/>
              <w:rPr>
                <w:color w:val="auto"/>
                <w:highlight w:val="none"/>
              </w:rPr>
            </w:pPr>
            <w:r>
              <w:rPr>
                <w:color w:val="auto"/>
                <w:spacing w:val="-2"/>
                <w:highlight w:val="none"/>
              </w:rPr>
              <w:t xml:space="preserve">不存在第二章“投标人须知”第 </w:t>
            </w:r>
            <w:r>
              <w:rPr>
                <w:rFonts w:ascii="Times New Roman" w:hAnsi="Times New Roman" w:eastAsia="Times New Roman" w:cs="Times New Roman"/>
                <w:color w:val="auto"/>
                <w:spacing w:val="-2"/>
                <w:highlight w:val="none"/>
              </w:rPr>
              <w:t>1.4.3</w:t>
            </w:r>
            <w:r>
              <w:rPr>
                <w:rFonts w:ascii="Times New Roman" w:hAnsi="Times New Roman" w:eastAsia="Times New Roman" w:cs="Times New Roman"/>
                <w:color w:val="auto"/>
                <w:spacing w:val="31"/>
                <w:highlight w:val="none"/>
              </w:rPr>
              <w:t xml:space="preserve"> </w:t>
            </w:r>
            <w:r>
              <w:rPr>
                <w:color w:val="auto"/>
                <w:spacing w:val="-2"/>
                <w:highlight w:val="none"/>
              </w:rPr>
              <w:t>项规定的任</w:t>
            </w:r>
          </w:p>
        </w:tc>
      </w:tr>
    </w:tbl>
    <w:p w14:paraId="55957CC7">
      <w:pPr>
        <w:pStyle w:val="3"/>
        <w:rPr>
          <w:color w:val="auto"/>
          <w:highlight w:val="none"/>
        </w:rPr>
      </w:pPr>
    </w:p>
    <w:p w14:paraId="15E8ADDC">
      <w:pPr>
        <w:rPr>
          <w:color w:val="auto"/>
          <w:highlight w:val="none"/>
        </w:rPr>
        <w:sectPr>
          <w:footerReference r:id="rId64" w:type="default"/>
          <w:pgSz w:w="11905" w:h="16839"/>
          <w:pgMar w:top="1431" w:right="1493" w:bottom="996" w:left="1502" w:header="0" w:footer="791" w:gutter="0"/>
          <w:pgNumType w:fmt="decimal"/>
          <w:cols w:space="720" w:num="1"/>
        </w:sectPr>
      </w:pPr>
    </w:p>
    <w:p w14:paraId="18A84363">
      <w:pPr>
        <w:spacing w:line="95" w:lineRule="auto"/>
        <w:rPr>
          <w:rFonts w:ascii="Arial"/>
          <w:color w:val="auto"/>
          <w:sz w:val="2"/>
          <w:highlight w:val="none"/>
        </w:rPr>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14:paraId="52CF8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restart"/>
            <w:tcBorders>
              <w:bottom w:val="nil"/>
            </w:tcBorders>
            <w:vAlign w:val="top"/>
          </w:tcPr>
          <w:p w14:paraId="1F43AC13">
            <w:pPr>
              <w:rPr>
                <w:rFonts w:ascii="Arial"/>
                <w:color w:val="auto"/>
                <w:sz w:val="21"/>
                <w:highlight w:val="none"/>
              </w:rPr>
            </w:pPr>
          </w:p>
        </w:tc>
        <w:tc>
          <w:tcPr>
            <w:tcW w:w="1060" w:type="dxa"/>
            <w:vMerge w:val="restart"/>
            <w:tcBorders>
              <w:bottom w:val="nil"/>
            </w:tcBorders>
            <w:vAlign w:val="top"/>
          </w:tcPr>
          <w:p w14:paraId="102D29F1">
            <w:pPr>
              <w:rPr>
                <w:rFonts w:ascii="Arial"/>
                <w:color w:val="auto"/>
                <w:sz w:val="21"/>
                <w:highlight w:val="none"/>
              </w:rPr>
            </w:pPr>
          </w:p>
        </w:tc>
        <w:tc>
          <w:tcPr>
            <w:tcW w:w="2328" w:type="dxa"/>
            <w:vAlign w:val="top"/>
          </w:tcPr>
          <w:p w14:paraId="47F01761">
            <w:pPr>
              <w:rPr>
                <w:rFonts w:ascii="Arial"/>
                <w:color w:val="auto"/>
                <w:sz w:val="21"/>
                <w:highlight w:val="none"/>
              </w:rPr>
            </w:pPr>
          </w:p>
        </w:tc>
        <w:tc>
          <w:tcPr>
            <w:tcW w:w="4775" w:type="dxa"/>
            <w:vAlign w:val="top"/>
          </w:tcPr>
          <w:p w14:paraId="35C99FB7">
            <w:pPr>
              <w:pStyle w:val="11"/>
              <w:spacing w:before="164" w:line="221" w:lineRule="auto"/>
              <w:ind w:left="115"/>
              <w:rPr>
                <w:color w:val="auto"/>
                <w:highlight w:val="none"/>
              </w:rPr>
            </w:pPr>
            <w:bookmarkStart w:id="175" w:name="bookmark204"/>
            <w:bookmarkEnd w:id="175"/>
            <w:bookmarkStart w:id="176" w:name="bookmark205"/>
            <w:bookmarkEnd w:id="176"/>
            <w:bookmarkStart w:id="177" w:name="bookmark203"/>
            <w:bookmarkEnd w:id="177"/>
            <w:r>
              <w:rPr>
                <w:color w:val="auto"/>
                <w:spacing w:val="-2"/>
                <w:highlight w:val="none"/>
              </w:rPr>
              <w:t>何一种情形</w:t>
            </w:r>
          </w:p>
        </w:tc>
      </w:tr>
      <w:tr w14:paraId="7345E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1D6D259B">
            <w:pPr>
              <w:rPr>
                <w:rFonts w:ascii="Arial"/>
                <w:color w:val="auto"/>
                <w:sz w:val="21"/>
                <w:highlight w:val="none"/>
              </w:rPr>
            </w:pPr>
          </w:p>
        </w:tc>
        <w:tc>
          <w:tcPr>
            <w:tcW w:w="1060" w:type="dxa"/>
            <w:vMerge w:val="continue"/>
            <w:tcBorders>
              <w:top w:val="nil"/>
            </w:tcBorders>
            <w:vAlign w:val="top"/>
          </w:tcPr>
          <w:p w14:paraId="7290340D">
            <w:pPr>
              <w:rPr>
                <w:rFonts w:ascii="Arial"/>
                <w:color w:val="auto"/>
                <w:sz w:val="21"/>
                <w:highlight w:val="none"/>
              </w:rPr>
            </w:pPr>
          </w:p>
        </w:tc>
        <w:tc>
          <w:tcPr>
            <w:tcW w:w="2328" w:type="dxa"/>
            <w:vAlign w:val="top"/>
          </w:tcPr>
          <w:p w14:paraId="39DF8BAF">
            <w:pPr>
              <w:pStyle w:val="11"/>
              <w:spacing w:before="153" w:line="227" w:lineRule="auto"/>
              <w:ind w:left="973"/>
              <w:rPr>
                <w:color w:val="auto"/>
                <w:highlight w:val="none"/>
              </w:rPr>
            </w:pPr>
            <w:r>
              <w:rPr>
                <w:color w:val="auto"/>
                <w:spacing w:val="-5"/>
                <w:highlight w:val="none"/>
              </w:rPr>
              <w:t>……</w:t>
            </w:r>
          </w:p>
        </w:tc>
        <w:tc>
          <w:tcPr>
            <w:tcW w:w="4775" w:type="dxa"/>
            <w:vAlign w:val="top"/>
          </w:tcPr>
          <w:p w14:paraId="4A1AA24E">
            <w:pPr>
              <w:pStyle w:val="11"/>
              <w:spacing w:before="153" w:line="227" w:lineRule="auto"/>
              <w:ind w:left="125"/>
              <w:rPr>
                <w:color w:val="auto"/>
                <w:highlight w:val="none"/>
              </w:rPr>
            </w:pPr>
            <w:r>
              <w:rPr>
                <w:color w:val="auto"/>
                <w:spacing w:val="-5"/>
                <w:highlight w:val="none"/>
              </w:rPr>
              <w:t>……</w:t>
            </w:r>
          </w:p>
        </w:tc>
      </w:tr>
      <w:tr w14:paraId="0585F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3D1A554A">
            <w:pPr>
              <w:spacing w:line="255" w:lineRule="auto"/>
              <w:rPr>
                <w:rFonts w:ascii="Arial"/>
                <w:color w:val="auto"/>
                <w:sz w:val="21"/>
                <w:highlight w:val="none"/>
              </w:rPr>
            </w:pPr>
          </w:p>
          <w:p w14:paraId="60DB17A0">
            <w:pPr>
              <w:spacing w:line="255" w:lineRule="auto"/>
              <w:rPr>
                <w:rFonts w:ascii="Arial"/>
                <w:color w:val="auto"/>
                <w:sz w:val="21"/>
                <w:highlight w:val="none"/>
              </w:rPr>
            </w:pPr>
          </w:p>
          <w:p w14:paraId="6EBF95DB">
            <w:pPr>
              <w:spacing w:line="255" w:lineRule="auto"/>
              <w:rPr>
                <w:rFonts w:ascii="Arial"/>
                <w:color w:val="auto"/>
                <w:sz w:val="21"/>
                <w:highlight w:val="none"/>
              </w:rPr>
            </w:pPr>
          </w:p>
          <w:p w14:paraId="6F09F7EC">
            <w:pPr>
              <w:spacing w:line="255" w:lineRule="auto"/>
              <w:rPr>
                <w:rFonts w:ascii="Arial"/>
                <w:color w:val="auto"/>
                <w:sz w:val="21"/>
                <w:highlight w:val="none"/>
              </w:rPr>
            </w:pPr>
          </w:p>
          <w:p w14:paraId="5C3D95F9">
            <w:pPr>
              <w:spacing w:line="255" w:lineRule="auto"/>
              <w:rPr>
                <w:rFonts w:ascii="Arial"/>
                <w:color w:val="auto"/>
                <w:sz w:val="21"/>
                <w:highlight w:val="none"/>
              </w:rPr>
            </w:pPr>
          </w:p>
          <w:p w14:paraId="255652A2">
            <w:pPr>
              <w:spacing w:line="255" w:lineRule="auto"/>
              <w:rPr>
                <w:rFonts w:ascii="Arial"/>
                <w:color w:val="auto"/>
                <w:sz w:val="21"/>
                <w:highlight w:val="none"/>
              </w:rPr>
            </w:pPr>
          </w:p>
          <w:p w14:paraId="6F78CA05">
            <w:pPr>
              <w:spacing w:line="255" w:lineRule="auto"/>
              <w:rPr>
                <w:rFonts w:ascii="Arial"/>
                <w:color w:val="auto"/>
                <w:sz w:val="21"/>
                <w:highlight w:val="none"/>
              </w:rPr>
            </w:pPr>
          </w:p>
          <w:p w14:paraId="0AD9C9CA">
            <w:pPr>
              <w:spacing w:line="255" w:lineRule="auto"/>
              <w:rPr>
                <w:rFonts w:ascii="Arial"/>
                <w:color w:val="auto"/>
                <w:sz w:val="21"/>
                <w:highlight w:val="none"/>
              </w:rPr>
            </w:pPr>
          </w:p>
          <w:p w14:paraId="136CA6AB">
            <w:pPr>
              <w:spacing w:line="255" w:lineRule="auto"/>
              <w:rPr>
                <w:rFonts w:ascii="Arial"/>
                <w:color w:val="auto"/>
                <w:sz w:val="21"/>
                <w:highlight w:val="none"/>
              </w:rPr>
            </w:pPr>
          </w:p>
          <w:p w14:paraId="43BA0DD9">
            <w:pPr>
              <w:spacing w:line="255" w:lineRule="auto"/>
              <w:rPr>
                <w:rFonts w:ascii="Arial"/>
                <w:color w:val="auto"/>
                <w:sz w:val="21"/>
                <w:highlight w:val="none"/>
              </w:rPr>
            </w:pPr>
          </w:p>
          <w:p w14:paraId="1F335C3F">
            <w:pPr>
              <w:spacing w:line="255" w:lineRule="auto"/>
              <w:rPr>
                <w:rFonts w:ascii="Arial"/>
                <w:color w:val="auto"/>
                <w:sz w:val="21"/>
                <w:highlight w:val="none"/>
              </w:rPr>
            </w:pPr>
          </w:p>
          <w:p w14:paraId="10ED4216">
            <w:pPr>
              <w:spacing w:line="256" w:lineRule="auto"/>
              <w:rPr>
                <w:rFonts w:ascii="Arial"/>
                <w:color w:val="auto"/>
                <w:sz w:val="21"/>
                <w:highlight w:val="none"/>
              </w:rPr>
            </w:pPr>
          </w:p>
          <w:p w14:paraId="1692988C">
            <w:pPr>
              <w:spacing w:line="256" w:lineRule="auto"/>
              <w:rPr>
                <w:rFonts w:ascii="Arial"/>
                <w:color w:val="auto"/>
                <w:sz w:val="21"/>
                <w:highlight w:val="none"/>
              </w:rPr>
            </w:pPr>
          </w:p>
          <w:p w14:paraId="2B04B034">
            <w:pPr>
              <w:spacing w:before="60" w:line="189" w:lineRule="auto"/>
              <w:ind w:left="1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2.1.3</w:t>
            </w:r>
          </w:p>
        </w:tc>
        <w:tc>
          <w:tcPr>
            <w:tcW w:w="1060" w:type="dxa"/>
            <w:vMerge w:val="restart"/>
            <w:tcBorders>
              <w:bottom w:val="nil"/>
            </w:tcBorders>
            <w:vAlign w:val="top"/>
          </w:tcPr>
          <w:p w14:paraId="36FF975C">
            <w:pPr>
              <w:spacing w:line="255" w:lineRule="auto"/>
              <w:rPr>
                <w:rFonts w:ascii="Arial"/>
                <w:color w:val="auto"/>
                <w:sz w:val="21"/>
                <w:highlight w:val="none"/>
              </w:rPr>
            </w:pPr>
          </w:p>
          <w:p w14:paraId="55F94795">
            <w:pPr>
              <w:spacing w:line="255" w:lineRule="auto"/>
              <w:rPr>
                <w:rFonts w:ascii="Arial"/>
                <w:color w:val="auto"/>
                <w:sz w:val="21"/>
                <w:highlight w:val="none"/>
              </w:rPr>
            </w:pPr>
          </w:p>
          <w:p w14:paraId="2E3986C0">
            <w:pPr>
              <w:spacing w:line="255" w:lineRule="auto"/>
              <w:rPr>
                <w:rFonts w:ascii="Arial"/>
                <w:color w:val="auto"/>
                <w:sz w:val="21"/>
                <w:highlight w:val="none"/>
              </w:rPr>
            </w:pPr>
          </w:p>
          <w:p w14:paraId="2D7E634F">
            <w:pPr>
              <w:spacing w:line="255" w:lineRule="auto"/>
              <w:rPr>
                <w:rFonts w:ascii="Arial"/>
                <w:color w:val="auto"/>
                <w:sz w:val="21"/>
                <w:highlight w:val="none"/>
              </w:rPr>
            </w:pPr>
          </w:p>
          <w:p w14:paraId="07EA3636">
            <w:pPr>
              <w:spacing w:line="256" w:lineRule="auto"/>
              <w:rPr>
                <w:rFonts w:ascii="Arial"/>
                <w:color w:val="auto"/>
                <w:sz w:val="21"/>
                <w:highlight w:val="none"/>
              </w:rPr>
            </w:pPr>
          </w:p>
          <w:p w14:paraId="72031BFD">
            <w:pPr>
              <w:spacing w:line="256" w:lineRule="auto"/>
              <w:rPr>
                <w:rFonts w:ascii="Arial"/>
                <w:color w:val="auto"/>
                <w:sz w:val="21"/>
                <w:highlight w:val="none"/>
              </w:rPr>
            </w:pPr>
          </w:p>
          <w:p w14:paraId="3F6A3D6E">
            <w:pPr>
              <w:spacing w:line="256" w:lineRule="auto"/>
              <w:rPr>
                <w:rFonts w:ascii="Arial"/>
                <w:color w:val="auto"/>
                <w:sz w:val="21"/>
                <w:highlight w:val="none"/>
              </w:rPr>
            </w:pPr>
          </w:p>
          <w:p w14:paraId="11180B0A">
            <w:pPr>
              <w:spacing w:line="256" w:lineRule="auto"/>
              <w:rPr>
                <w:rFonts w:ascii="Arial"/>
                <w:color w:val="auto"/>
                <w:sz w:val="21"/>
                <w:highlight w:val="none"/>
              </w:rPr>
            </w:pPr>
          </w:p>
          <w:p w14:paraId="67FAF9CE">
            <w:pPr>
              <w:spacing w:line="256" w:lineRule="auto"/>
              <w:rPr>
                <w:rFonts w:ascii="Arial"/>
                <w:color w:val="auto"/>
                <w:sz w:val="21"/>
                <w:highlight w:val="none"/>
              </w:rPr>
            </w:pPr>
          </w:p>
          <w:p w14:paraId="07FBC644">
            <w:pPr>
              <w:spacing w:line="256" w:lineRule="auto"/>
              <w:rPr>
                <w:rFonts w:ascii="Arial"/>
                <w:color w:val="auto"/>
                <w:sz w:val="21"/>
                <w:highlight w:val="none"/>
              </w:rPr>
            </w:pPr>
          </w:p>
          <w:p w14:paraId="221D9341">
            <w:pPr>
              <w:spacing w:line="256" w:lineRule="auto"/>
              <w:rPr>
                <w:rFonts w:ascii="Arial"/>
                <w:color w:val="auto"/>
                <w:sz w:val="21"/>
                <w:highlight w:val="none"/>
              </w:rPr>
            </w:pPr>
          </w:p>
          <w:p w14:paraId="7269ABC0">
            <w:pPr>
              <w:spacing w:line="256" w:lineRule="auto"/>
              <w:rPr>
                <w:rFonts w:ascii="Arial"/>
                <w:color w:val="auto"/>
                <w:sz w:val="21"/>
                <w:highlight w:val="none"/>
              </w:rPr>
            </w:pPr>
          </w:p>
          <w:p w14:paraId="51AEF387">
            <w:pPr>
              <w:pStyle w:val="11"/>
              <w:spacing w:before="68" w:line="418" w:lineRule="exact"/>
              <w:ind w:left="120"/>
              <w:rPr>
                <w:color w:val="auto"/>
                <w:highlight w:val="none"/>
              </w:rPr>
            </w:pPr>
            <w:r>
              <w:rPr>
                <w:color w:val="auto"/>
                <w:spacing w:val="-9"/>
                <w:position w:val="15"/>
                <w:highlight w:val="none"/>
              </w:rPr>
              <w:t>响</w:t>
            </w:r>
            <w:r>
              <w:rPr>
                <w:color w:val="auto"/>
                <w:spacing w:val="9"/>
                <w:position w:val="15"/>
                <w:highlight w:val="none"/>
              </w:rPr>
              <w:t xml:space="preserve"> </w:t>
            </w:r>
            <w:r>
              <w:rPr>
                <w:color w:val="auto"/>
                <w:spacing w:val="-9"/>
                <w:position w:val="15"/>
                <w:highlight w:val="none"/>
              </w:rPr>
              <w:t>应</w:t>
            </w:r>
            <w:r>
              <w:rPr>
                <w:color w:val="auto"/>
                <w:spacing w:val="12"/>
                <w:position w:val="15"/>
                <w:highlight w:val="none"/>
              </w:rPr>
              <w:t xml:space="preserve"> </w:t>
            </w:r>
            <w:r>
              <w:rPr>
                <w:color w:val="auto"/>
                <w:spacing w:val="-9"/>
                <w:position w:val="15"/>
                <w:highlight w:val="none"/>
              </w:rPr>
              <w:t>性</w:t>
            </w:r>
          </w:p>
          <w:p w14:paraId="5ECC68F5">
            <w:pPr>
              <w:pStyle w:val="11"/>
              <w:spacing w:line="221" w:lineRule="auto"/>
              <w:ind w:left="108"/>
              <w:rPr>
                <w:color w:val="auto"/>
                <w:highlight w:val="none"/>
              </w:rPr>
            </w:pPr>
            <w:r>
              <w:rPr>
                <w:color w:val="auto"/>
                <w:spacing w:val="-1"/>
                <w:highlight w:val="none"/>
              </w:rPr>
              <w:t>评审标准</w:t>
            </w:r>
          </w:p>
        </w:tc>
        <w:tc>
          <w:tcPr>
            <w:tcW w:w="2328" w:type="dxa"/>
            <w:vAlign w:val="top"/>
          </w:tcPr>
          <w:p w14:paraId="6EBF413D">
            <w:pPr>
              <w:pStyle w:val="11"/>
              <w:spacing w:before="159" w:line="221" w:lineRule="auto"/>
              <w:ind w:left="751"/>
              <w:rPr>
                <w:color w:val="auto"/>
                <w:highlight w:val="none"/>
              </w:rPr>
            </w:pPr>
            <w:r>
              <w:rPr>
                <w:color w:val="auto"/>
                <w:spacing w:val="-2"/>
                <w:highlight w:val="none"/>
              </w:rPr>
              <w:t>投标内容</w:t>
            </w:r>
          </w:p>
        </w:tc>
        <w:tc>
          <w:tcPr>
            <w:tcW w:w="4775" w:type="dxa"/>
            <w:vAlign w:val="top"/>
          </w:tcPr>
          <w:p w14:paraId="34D414CB">
            <w:pPr>
              <w:pStyle w:val="11"/>
              <w:spacing w:before="159"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1.3.1 </w:t>
            </w:r>
            <w:r>
              <w:rPr>
                <w:color w:val="auto"/>
                <w:spacing w:val="-2"/>
                <w:highlight w:val="none"/>
              </w:rPr>
              <w:t>项规定</w:t>
            </w:r>
          </w:p>
        </w:tc>
      </w:tr>
      <w:tr w14:paraId="70ED1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0BEA513A">
            <w:pPr>
              <w:rPr>
                <w:rFonts w:ascii="Arial"/>
                <w:color w:val="auto"/>
                <w:sz w:val="21"/>
                <w:highlight w:val="none"/>
              </w:rPr>
            </w:pPr>
          </w:p>
        </w:tc>
        <w:tc>
          <w:tcPr>
            <w:tcW w:w="1060" w:type="dxa"/>
            <w:vMerge w:val="continue"/>
            <w:tcBorders>
              <w:top w:val="nil"/>
              <w:bottom w:val="nil"/>
            </w:tcBorders>
            <w:vAlign w:val="top"/>
          </w:tcPr>
          <w:p w14:paraId="08DC6457">
            <w:pPr>
              <w:rPr>
                <w:rFonts w:ascii="Arial"/>
                <w:color w:val="auto"/>
                <w:sz w:val="21"/>
                <w:highlight w:val="none"/>
              </w:rPr>
            </w:pPr>
          </w:p>
        </w:tc>
        <w:tc>
          <w:tcPr>
            <w:tcW w:w="2328" w:type="dxa"/>
            <w:vAlign w:val="top"/>
          </w:tcPr>
          <w:p w14:paraId="438EBF16">
            <w:pPr>
              <w:pStyle w:val="11"/>
              <w:spacing w:before="155" w:line="221" w:lineRule="auto"/>
              <w:ind w:left="749"/>
              <w:rPr>
                <w:color w:val="auto"/>
                <w:highlight w:val="none"/>
              </w:rPr>
            </w:pPr>
            <w:r>
              <w:rPr>
                <w:color w:val="auto"/>
                <w:spacing w:val="-1"/>
                <w:highlight w:val="none"/>
              </w:rPr>
              <w:t>计划工期</w:t>
            </w:r>
          </w:p>
        </w:tc>
        <w:tc>
          <w:tcPr>
            <w:tcW w:w="4775" w:type="dxa"/>
            <w:vAlign w:val="top"/>
          </w:tcPr>
          <w:p w14:paraId="5212B740">
            <w:pPr>
              <w:pStyle w:val="11"/>
              <w:spacing w:before="15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1.3.2 </w:t>
            </w:r>
            <w:r>
              <w:rPr>
                <w:color w:val="auto"/>
                <w:spacing w:val="-2"/>
                <w:highlight w:val="none"/>
              </w:rPr>
              <w:t>项规定</w:t>
            </w:r>
          </w:p>
        </w:tc>
      </w:tr>
      <w:tr w14:paraId="43CE7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50BEE62B">
            <w:pPr>
              <w:rPr>
                <w:rFonts w:ascii="Arial"/>
                <w:color w:val="auto"/>
                <w:sz w:val="21"/>
                <w:highlight w:val="none"/>
              </w:rPr>
            </w:pPr>
          </w:p>
        </w:tc>
        <w:tc>
          <w:tcPr>
            <w:tcW w:w="1060" w:type="dxa"/>
            <w:vMerge w:val="continue"/>
            <w:tcBorders>
              <w:top w:val="nil"/>
              <w:bottom w:val="nil"/>
            </w:tcBorders>
            <w:vAlign w:val="top"/>
          </w:tcPr>
          <w:p w14:paraId="56BA1132">
            <w:pPr>
              <w:rPr>
                <w:rFonts w:ascii="Arial"/>
                <w:color w:val="auto"/>
                <w:sz w:val="21"/>
                <w:highlight w:val="none"/>
              </w:rPr>
            </w:pPr>
          </w:p>
        </w:tc>
        <w:tc>
          <w:tcPr>
            <w:tcW w:w="2328" w:type="dxa"/>
            <w:vAlign w:val="top"/>
          </w:tcPr>
          <w:p w14:paraId="54DB3479">
            <w:pPr>
              <w:pStyle w:val="11"/>
              <w:spacing w:before="160" w:line="221" w:lineRule="auto"/>
              <w:ind w:left="751"/>
              <w:rPr>
                <w:color w:val="auto"/>
                <w:highlight w:val="none"/>
              </w:rPr>
            </w:pPr>
            <w:r>
              <w:rPr>
                <w:color w:val="auto"/>
                <w:spacing w:val="-2"/>
                <w:highlight w:val="none"/>
              </w:rPr>
              <w:t>工程质量</w:t>
            </w:r>
          </w:p>
        </w:tc>
        <w:tc>
          <w:tcPr>
            <w:tcW w:w="4775" w:type="dxa"/>
            <w:vAlign w:val="top"/>
          </w:tcPr>
          <w:p w14:paraId="1EAACA1A">
            <w:pPr>
              <w:pStyle w:val="11"/>
              <w:spacing w:before="159"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1.3.3 </w:t>
            </w:r>
            <w:r>
              <w:rPr>
                <w:color w:val="auto"/>
                <w:spacing w:val="-2"/>
                <w:highlight w:val="none"/>
              </w:rPr>
              <w:t>项规定</w:t>
            </w:r>
          </w:p>
        </w:tc>
      </w:tr>
      <w:tr w14:paraId="68EC8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02597F47">
            <w:pPr>
              <w:rPr>
                <w:rFonts w:ascii="Arial"/>
                <w:color w:val="auto"/>
                <w:sz w:val="21"/>
                <w:highlight w:val="none"/>
              </w:rPr>
            </w:pPr>
          </w:p>
        </w:tc>
        <w:tc>
          <w:tcPr>
            <w:tcW w:w="1060" w:type="dxa"/>
            <w:vMerge w:val="continue"/>
            <w:tcBorders>
              <w:top w:val="nil"/>
              <w:bottom w:val="nil"/>
            </w:tcBorders>
            <w:vAlign w:val="top"/>
          </w:tcPr>
          <w:p w14:paraId="152C6E3C">
            <w:pPr>
              <w:rPr>
                <w:rFonts w:ascii="Arial"/>
                <w:color w:val="auto"/>
                <w:sz w:val="21"/>
                <w:highlight w:val="none"/>
              </w:rPr>
            </w:pPr>
          </w:p>
        </w:tc>
        <w:tc>
          <w:tcPr>
            <w:tcW w:w="2328" w:type="dxa"/>
            <w:vAlign w:val="top"/>
          </w:tcPr>
          <w:p w14:paraId="2137683F">
            <w:pPr>
              <w:pStyle w:val="11"/>
              <w:spacing w:before="160" w:line="221" w:lineRule="auto"/>
              <w:ind w:left="646"/>
              <w:rPr>
                <w:color w:val="auto"/>
                <w:highlight w:val="none"/>
              </w:rPr>
            </w:pPr>
            <w:r>
              <w:rPr>
                <w:color w:val="auto"/>
                <w:spacing w:val="-1"/>
                <w:highlight w:val="none"/>
              </w:rPr>
              <w:t>投标有效期</w:t>
            </w:r>
          </w:p>
        </w:tc>
        <w:tc>
          <w:tcPr>
            <w:tcW w:w="4775" w:type="dxa"/>
            <w:vAlign w:val="top"/>
          </w:tcPr>
          <w:p w14:paraId="67F0C203">
            <w:pPr>
              <w:pStyle w:val="11"/>
              <w:spacing w:before="159" w:line="220" w:lineRule="auto"/>
              <w:ind w:left="113"/>
              <w:rPr>
                <w:color w:val="auto"/>
                <w:highlight w:val="none"/>
              </w:rPr>
            </w:pPr>
            <w:r>
              <w:rPr>
                <w:color w:val="auto"/>
                <w:spacing w:val="-1"/>
                <w:highlight w:val="none"/>
              </w:rPr>
              <w:t>符合第二章“投标人须知”第</w:t>
            </w:r>
            <w:r>
              <w:rPr>
                <w:color w:val="auto"/>
                <w:spacing w:val="-46"/>
                <w:highlight w:val="none"/>
              </w:rPr>
              <w:t xml:space="preserve"> </w:t>
            </w:r>
            <w:r>
              <w:rPr>
                <w:rFonts w:ascii="Times New Roman" w:hAnsi="Times New Roman" w:eastAsia="Times New Roman" w:cs="Times New Roman"/>
                <w:color w:val="auto"/>
                <w:spacing w:val="-1"/>
                <w:highlight w:val="none"/>
              </w:rPr>
              <w:t xml:space="preserve">3.3.1 </w:t>
            </w:r>
            <w:r>
              <w:rPr>
                <w:color w:val="auto"/>
                <w:spacing w:val="-1"/>
                <w:highlight w:val="none"/>
              </w:rPr>
              <w:t>项规定</w:t>
            </w:r>
          </w:p>
        </w:tc>
      </w:tr>
      <w:tr w14:paraId="31E24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598BFF69">
            <w:pPr>
              <w:rPr>
                <w:rFonts w:ascii="Arial"/>
                <w:color w:val="auto"/>
                <w:sz w:val="21"/>
                <w:highlight w:val="none"/>
              </w:rPr>
            </w:pPr>
          </w:p>
        </w:tc>
        <w:tc>
          <w:tcPr>
            <w:tcW w:w="1060" w:type="dxa"/>
            <w:vMerge w:val="continue"/>
            <w:tcBorders>
              <w:top w:val="nil"/>
              <w:bottom w:val="nil"/>
            </w:tcBorders>
            <w:vAlign w:val="top"/>
          </w:tcPr>
          <w:p w14:paraId="0B131202">
            <w:pPr>
              <w:rPr>
                <w:rFonts w:ascii="Arial"/>
                <w:color w:val="auto"/>
                <w:sz w:val="21"/>
                <w:highlight w:val="none"/>
              </w:rPr>
            </w:pPr>
          </w:p>
        </w:tc>
        <w:tc>
          <w:tcPr>
            <w:tcW w:w="2328" w:type="dxa"/>
            <w:vAlign w:val="top"/>
          </w:tcPr>
          <w:p w14:paraId="02E81CD8">
            <w:pPr>
              <w:pStyle w:val="11"/>
              <w:spacing w:before="155" w:line="221" w:lineRule="auto"/>
              <w:ind w:left="646"/>
              <w:rPr>
                <w:color w:val="auto"/>
                <w:highlight w:val="none"/>
              </w:rPr>
            </w:pPr>
            <w:r>
              <w:rPr>
                <w:color w:val="auto"/>
                <w:spacing w:val="-1"/>
                <w:highlight w:val="none"/>
              </w:rPr>
              <w:t>投标保证金</w:t>
            </w:r>
          </w:p>
        </w:tc>
        <w:tc>
          <w:tcPr>
            <w:tcW w:w="4775" w:type="dxa"/>
            <w:vAlign w:val="top"/>
          </w:tcPr>
          <w:p w14:paraId="307CABFA">
            <w:pPr>
              <w:pStyle w:val="11"/>
              <w:spacing w:before="155" w:line="220" w:lineRule="auto"/>
              <w:ind w:left="113"/>
              <w:rPr>
                <w:color w:val="auto"/>
                <w:highlight w:val="none"/>
              </w:rPr>
            </w:pPr>
            <w:r>
              <w:rPr>
                <w:color w:val="auto"/>
                <w:spacing w:val="-1"/>
                <w:highlight w:val="none"/>
              </w:rPr>
              <w:t>符合第二章“投标人须知”第</w:t>
            </w:r>
            <w:r>
              <w:rPr>
                <w:color w:val="auto"/>
                <w:spacing w:val="-46"/>
                <w:highlight w:val="none"/>
              </w:rPr>
              <w:t xml:space="preserve"> </w:t>
            </w:r>
            <w:r>
              <w:rPr>
                <w:rFonts w:ascii="Times New Roman" w:hAnsi="Times New Roman" w:eastAsia="Times New Roman" w:cs="Times New Roman"/>
                <w:color w:val="auto"/>
                <w:spacing w:val="-1"/>
                <w:highlight w:val="none"/>
              </w:rPr>
              <w:t xml:space="preserve">3.4.1 </w:t>
            </w:r>
            <w:r>
              <w:rPr>
                <w:color w:val="auto"/>
                <w:spacing w:val="-1"/>
                <w:highlight w:val="none"/>
              </w:rPr>
              <w:t>项规定</w:t>
            </w:r>
          </w:p>
        </w:tc>
      </w:tr>
      <w:tr w14:paraId="6AFDD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51FD5F15">
            <w:pPr>
              <w:rPr>
                <w:rFonts w:ascii="Arial"/>
                <w:color w:val="auto"/>
                <w:sz w:val="21"/>
                <w:highlight w:val="none"/>
              </w:rPr>
            </w:pPr>
          </w:p>
        </w:tc>
        <w:tc>
          <w:tcPr>
            <w:tcW w:w="1060" w:type="dxa"/>
            <w:vMerge w:val="continue"/>
            <w:tcBorders>
              <w:top w:val="nil"/>
              <w:bottom w:val="nil"/>
            </w:tcBorders>
            <w:vAlign w:val="top"/>
          </w:tcPr>
          <w:p w14:paraId="5DEFAD7B">
            <w:pPr>
              <w:rPr>
                <w:rFonts w:ascii="Arial"/>
                <w:color w:val="auto"/>
                <w:sz w:val="21"/>
                <w:highlight w:val="none"/>
              </w:rPr>
            </w:pPr>
          </w:p>
        </w:tc>
        <w:tc>
          <w:tcPr>
            <w:tcW w:w="2328" w:type="dxa"/>
            <w:vAlign w:val="top"/>
          </w:tcPr>
          <w:p w14:paraId="37CF236E">
            <w:pPr>
              <w:spacing w:line="296" w:lineRule="auto"/>
              <w:rPr>
                <w:rFonts w:ascii="Arial"/>
                <w:color w:val="auto"/>
                <w:sz w:val="21"/>
                <w:highlight w:val="none"/>
              </w:rPr>
            </w:pPr>
          </w:p>
          <w:p w14:paraId="02AD4FAC">
            <w:pPr>
              <w:pStyle w:val="11"/>
              <w:spacing w:before="68" w:line="221" w:lineRule="auto"/>
              <w:ind w:left="748"/>
              <w:rPr>
                <w:color w:val="auto"/>
                <w:highlight w:val="none"/>
              </w:rPr>
            </w:pPr>
            <w:r>
              <w:rPr>
                <w:color w:val="auto"/>
                <w:spacing w:val="-1"/>
                <w:highlight w:val="none"/>
              </w:rPr>
              <w:t>权利义务</w:t>
            </w:r>
          </w:p>
        </w:tc>
        <w:tc>
          <w:tcPr>
            <w:tcW w:w="4775" w:type="dxa"/>
            <w:vAlign w:val="top"/>
          </w:tcPr>
          <w:p w14:paraId="5C2DFEBF">
            <w:pPr>
              <w:pStyle w:val="11"/>
              <w:spacing w:before="160" w:line="418" w:lineRule="exact"/>
              <w:ind w:left="114"/>
              <w:rPr>
                <w:color w:val="auto"/>
                <w:highlight w:val="none"/>
              </w:rPr>
            </w:pPr>
            <w:r>
              <w:rPr>
                <w:color w:val="auto"/>
                <w:spacing w:val="6"/>
                <w:position w:val="15"/>
                <w:highlight w:val="none"/>
              </w:rPr>
              <w:t>投标函附录中的相关承诺符合或优于第四章“合</w:t>
            </w:r>
          </w:p>
          <w:p w14:paraId="55D6DB6D">
            <w:pPr>
              <w:pStyle w:val="11"/>
              <w:spacing w:line="220" w:lineRule="auto"/>
              <w:ind w:left="132"/>
              <w:rPr>
                <w:color w:val="auto"/>
                <w:highlight w:val="none"/>
              </w:rPr>
            </w:pPr>
            <w:r>
              <w:rPr>
                <w:color w:val="auto"/>
                <w:spacing w:val="-2"/>
                <w:highlight w:val="none"/>
              </w:rPr>
              <w:t>同条款及格式”的相关规定</w:t>
            </w:r>
          </w:p>
        </w:tc>
      </w:tr>
      <w:tr w14:paraId="5E3EC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026808FE">
            <w:pPr>
              <w:rPr>
                <w:rFonts w:ascii="Arial"/>
                <w:color w:val="auto"/>
                <w:sz w:val="21"/>
                <w:highlight w:val="none"/>
              </w:rPr>
            </w:pPr>
          </w:p>
        </w:tc>
        <w:tc>
          <w:tcPr>
            <w:tcW w:w="1060" w:type="dxa"/>
            <w:vMerge w:val="continue"/>
            <w:tcBorders>
              <w:top w:val="nil"/>
              <w:bottom w:val="nil"/>
            </w:tcBorders>
            <w:vAlign w:val="top"/>
          </w:tcPr>
          <w:p w14:paraId="50DCA2A1">
            <w:pPr>
              <w:rPr>
                <w:rFonts w:ascii="Arial"/>
                <w:color w:val="auto"/>
                <w:sz w:val="21"/>
                <w:highlight w:val="none"/>
              </w:rPr>
            </w:pPr>
          </w:p>
        </w:tc>
        <w:tc>
          <w:tcPr>
            <w:tcW w:w="2328" w:type="dxa"/>
            <w:vAlign w:val="top"/>
          </w:tcPr>
          <w:p w14:paraId="06B2686D">
            <w:pPr>
              <w:pStyle w:val="11"/>
              <w:spacing w:before="160" w:line="221" w:lineRule="auto"/>
              <w:ind w:left="433"/>
              <w:rPr>
                <w:color w:val="auto"/>
                <w:highlight w:val="none"/>
              </w:rPr>
            </w:pPr>
            <w:r>
              <w:rPr>
                <w:color w:val="auto"/>
                <w:spacing w:val="-1"/>
                <w:highlight w:val="none"/>
              </w:rPr>
              <w:t>技术标准和要求</w:t>
            </w:r>
          </w:p>
        </w:tc>
        <w:tc>
          <w:tcPr>
            <w:tcW w:w="4775" w:type="dxa"/>
            <w:vAlign w:val="top"/>
          </w:tcPr>
          <w:p w14:paraId="11CFEE03">
            <w:pPr>
              <w:pStyle w:val="11"/>
              <w:spacing w:before="161" w:line="220" w:lineRule="auto"/>
              <w:ind w:left="113"/>
              <w:rPr>
                <w:color w:val="auto"/>
                <w:highlight w:val="none"/>
              </w:rPr>
            </w:pPr>
            <w:r>
              <w:rPr>
                <w:color w:val="auto"/>
                <w:spacing w:val="-1"/>
                <w:highlight w:val="none"/>
              </w:rPr>
              <w:t>符合第七章“技术标准和要求”规定</w:t>
            </w:r>
          </w:p>
        </w:tc>
      </w:tr>
      <w:tr w14:paraId="23F12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373AECF">
            <w:pPr>
              <w:rPr>
                <w:rFonts w:ascii="Arial"/>
                <w:color w:val="auto"/>
                <w:sz w:val="21"/>
                <w:highlight w:val="none"/>
              </w:rPr>
            </w:pPr>
          </w:p>
        </w:tc>
        <w:tc>
          <w:tcPr>
            <w:tcW w:w="1060" w:type="dxa"/>
            <w:vMerge w:val="continue"/>
            <w:tcBorders>
              <w:top w:val="nil"/>
              <w:bottom w:val="nil"/>
            </w:tcBorders>
            <w:vAlign w:val="top"/>
          </w:tcPr>
          <w:p w14:paraId="35E0F024">
            <w:pPr>
              <w:rPr>
                <w:rFonts w:ascii="Arial"/>
                <w:color w:val="auto"/>
                <w:sz w:val="21"/>
                <w:highlight w:val="none"/>
              </w:rPr>
            </w:pPr>
          </w:p>
        </w:tc>
        <w:tc>
          <w:tcPr>
            <w:tcW w:w="2328" w:type="dxa"/>
            <w:vAlign w:val="top"/>
          </w:tcPr>
          <w:p w14:paraId="2F891086">
            <w:pPr>
              <w:spacing w:line="298" w:lineRule="auto"/>
              <w:rPr>
                <w:rFonts w:ascii="Arial"/>
                <w:color w:val="auto"/>
                <w:sz w:val="21"/>
                <w:highlight w:val="none"/>
              </w:rPr>
            </w:pPr>
          </w:p>
          <w:p w14:paraId="6043D205">
            <w:pPr>
              <w:pStyle w:val="11"/>
              <w:spacing w:before="68" w:line="221" w:lineRule="auto"/>
              <w:ind w:left="751"/>
              <w:rPr>
                <w:color w:val="auto"/>
                <w:highlight w:val="none"/>
              </w:rPr>
            </w:pPr>
            <w:r>
              <w:rPr>
                <w:color w:val="auto"/>
                <w:spacing w:val="-2"/>
                <w:highlight w:val="none"/>
              </w:rPr>
              <w:t>分包计划</w:t>
            </w:r>
          </w:p>
        </w:tc>
        <w:tc>
          <w:tcPr>
            <w:tcW w:w="4775" w:type="dxa"/>
            <w:vAlign w:val="top"/>
          </w:tcPr>
          <w:p w14:paraId="4851F6DD">
            <w:pPr>
              <w:pStyle w:val="11"/>
              <w:spacing w:before="156" w:line="423" w:lineRule="exact"/>
              <w:ind w:left="113"/>
              <w:rPr>
                <w:color w:val="auto"/>
                <w:highlight w:val="none"/>
              </w:rPr>
            </w:pPr>
            <w:r>
              <w:rPr>
                <w:color w:val="auto"/>
                <w:spacing w:val="4"/>
                <w:position w:val="16"/>
                <w:highlight w:val="none"/>
              </w:rPr>
              <w:t>符合第二章“投标人须知”第</w:t>
            </w:r>
            <w:r>
              <w:rPr>
                <w:color w:val="auto"/>
                <w:spacing w:val="47"/>
                <w:position w:val="16"/>
                <w:highlight w:val="none"/>
              </w:rPr>
              <w:t xml:space="preserve"> </w:t>
            </w:r>
            <w:r>
              <w:rPr>
                <w:color w:val="auto"/>
                <w:spacing w:val="4"/>
                <w:position w:val="16"/>
                <w:highlight w:val="none"/>
              </w:rPr>
              <w:t>1.11 款规定（如</w:t>
            </w:r>
          </w:p>
          <w:p w14:paraId="5411F502">
            <w:pPr>
              <w:pStyle w:val="11"/>
              <w:spacing w:line="221" w:lineRule="auto"/>
              <w:ind w:left="112"/>
              <w:rPr>
                <w:color w:val="auto"/>
                <w:highlight w:val="none"/>
              </w:rPr>
            </w:pPr>
            <w:r>
              <w:rPr>
                <w:color w:val="auto"/>
                <w:spacing w:val="-6"/>
                <w:highlight w:val="none"/>
              </w:rPr>
              <w:t>有）</w:t>
            </w:r>
          </w:p>
        </w:tc>
      </w:tr>
      <w:tr w14:paraId="5347A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0795FC82">
            <w:pPr>
              <w:rPr>
                <w:rFonts w:ascii="Arial"/>
                <w:color w:val="auto"/>
                <w:sz w:val="21"/>
                <w:highlight w:val="none"/>
              </w:rPr>
            </w:pPr>
          </w:p>
        </w:tc>
        <w:tc>
          <w:tcPr>
            <w:tcW w:w="1060" w:type="dxa"/>
            <w:vMerge w:val="continue"/>
            <w:tcBorders>
              <w:top w:val="nil"/>
              <w:bottom w:val="nil"/>
            </w:tcBorders>
            <w:vAlign w:val="top"/>
          </w:tcPr>
          <w:p w14:paraId="3E1626A0">
            <w:pPr>
              <w:rPr>
                <w:rFonts w:ascii="Arial"/>
                <w:color w:val="auto"/>
                <w:sz w:val="21"/>
                <w:highlight w:val="none"/>
              </w:rPr>
            </w:pPr>
          </w:p>
        </w:tc>
        <w:tc>
          <w:tcPr>
            <w:tcW w:w="2328" w:type="dxa"/>
            <w:vAlign w:val="top"/>
          </w:tcPr>
          <w:p w14:paraId="1598392D">
            <w:pPr>
              <w:pStyle w:val="11"/>
              <w:spacing w:before="156" w:line="221" w:lineRule="auto"/>
              <w:ind w:left="539"/>
              <w:rPr>
                <w:color w:val="auto"/>
                <w:highlight w:val="none"/>
              </w:rPr>
            </w:pPr>
            <w:r>
              <w:rPr>
                <w:color w:val="auto"/>
                <w:spacing w:val="-1"/>
                <w:highlight w:val="none"/>
              </w:rPr>
              <w:t>算术错误修正</w:t>
            </w:r>
          </w:p>
        </w:tc>
        <w:tc>
          <w:tcPr>
            <w:tcW w:w="4775" w:type="dxa"/>
            <w:vAlign w:val="top"/>
          </w:tcPr>
          <w:p w14:paraId="1BCE4CDD">
            <w:pPr>
              <w:pStyle w:val="11"/>
              <w:spacing w:before="156" w:line="219" w:lineRule="auto"/>
              <w:ind w:left="114"/>
              <w:rPr>
                <w:color w:val="auto"/>
                <w:highlight w:val="none"/>
              </w:rPr>
            </w:pPr>
            <w:r>
              <w:rPr>
                <w:color w:val="auto"/>
                <w:spacing w:val="-1"/>
                <w:highlight w:val="none"/>
              </w:rPr>
              <w:t>投标人接受算术错误修正后的报价</w:t>
            </w:r>
          </w:p>
        </w:tc>
      </w:tr>
      <w:tr w14:paraId="7B2E1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3D5B68E9">
            <w:pPr>
              <w:rPr>
                <w:rFonts w:ascii="Arial"/>
                <w:color w:val="auto"/>
                <w:sz w:val="21"/>
                <w:highlight w:val="none"/>
              </w:rPr>
            </w:pPr>
          </w:p>
        </w:tc>
        <w:tc>
          <w:tcPr>
            <w:tcW w:w="1060" w:type="dxa"/>
            <w:vMerge w:val="continue"/>
            <w:tcBorders>
              <w:top w:val="nil"/>
              <w:bottom w:val="nil"/>
            </w:tcBorders>
            <w:vAlign w:val="top"/>
          </w:tcPr>
          <w:p w14:paraId="31F4A6F4">
            <w:pPr>
              <w:rPr>
                <w:rFonts w:ascii="Arial"/>
                <w:color w:val="auto"/>
                <w:sz w:val="21"/>
                <w:highlight w:val="none"/>
              </w:rPr>
            </w:pPr>
          </w:p>
        </w:tc>
        <w:tc>
          <w:tcPr>
            <w:tcW w:w="2328" w:type="dxa"/>
            <w:vAlign w:val="top"/>
          </w:tcPr>
          <w:p w14:paraId="40533ACD">
            <w:pPr>
              <w:spacing w:line="302" w:lineRule="auto"/>
              <w:rPr>
                <w:rFonts w:ascii="Arial"/>
                <w:color w:val="auto"/>
                <w:sz w:val="21"/>
                <w:highlight w:val="none"/>
              </w:rPr>
            </w:pPr>
          </w:p>
          <w:p w14:paraId="092DC18F">
            <w:pPr>
              <w:pStyle w:val="11"/>
              <w:spacing w:before="69" w:line="219" w:lineRule="auto"/>
              <w:ind w:left="751"/>
              <w:rPr>
                <w:color w:val="auto"/>
                <w:highlight w:val="none"/>
              </w:rPr>
            </w:pPr>
            <w:r>
              <w:rPr>
                <w:color w:val="auto"/>
                <w:spacing w:val="-2"/>
                <w:highlight w:val="none"/>
              </w:rPr>
              <w:t>投标价格</w:t>
            </w:r>
          </w:p>
        </w:tc>
        <w:tc>
          <w:tcPr>
            <w:tcW w:w="4775" w:type="dxa"/>
            <w:vAlign w:val="top"/>
          </w:tcPr>
          <w:p w14:paraId="4CB2A35C">
            <w:pPr>
              <w:pStyle w:val="11"/>
              <w:spacing w:before="161" w:line="422" w:lineRule="exact"/>
              <w:ind w:left="114"/>
              <w:rPr>
                <w:color w:val="auto"/>
                <w:highlight w:val="none"/>
              </w:rPr>
            </w:pPr>
            <w:r>
              <w:rPr>
                <w:color w:val="auto"/>
                <w:spacing w:val="6"/>
                <w:position w:val="16"/>
                <w:highlight w:val="none"/>
              </w:rPr>
              <w:t>投标报价（含修正后）不大于本标段最高投标限</w:t>
            </w:r>
          </w:p>
          <w:p w14:paraId="29EAD2FC">
            <w:pPr>
              <w:pStyle w:val="11"/>
              <w:spacing w:line="219" w:lineRule="auto"/>
              <w:ind w:left="112"/>
              <w:rPr>
                <w:color w:val="auto"/>
                <w:highlight w:val="none"/>
              </w:rPr>
            </w:pPr>
            <w:r>
              <w:rPr>
                <w:color w:val="auto"/>
                <w:highlight w:val="none"/>
              </w:rPr>
              <w:t>价</w:t>
            </w:r>
          </w:p>
        </w:tc>
      </w:tr>
      <w:tr w14:paraId="6A8CF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18D895E1">
            <w:pPr>
              <w:rPr>
                <w:rFonts w:ascii="Arial"/>
                <w:color w:val="auto"/>
                <w:sz w:val="21"/>
                <w:highlight w:val="none"/>
              </w:rPr>
            </w:pPr>
          </w:p>
        </w:tc>
        <w:tc>
          <w:tcPr>
            <w:tcW w:w="1060" w:type="dxa"/>
            <w:vMerge w:val="continue"/>
            <w:tcBorders>
              <w:top w:val="nil"/>
              <w:bottom w:val="nil"/>
            </w:tcBorders>
            <w:vAlign w:val="top"/>
          </w:tcPr>
          <w:p w14:paraId="7FC5B14B">
            <w:pPr>
              <w:rPr>
                <w:rFonts w:ascii="Arial"/>
                <w:color w:val="auto"/>
                <w:sz w:val="21"/>
                <w:highlight w:val="none"/>
              </w:rPr>
            </w:pPr>
          </w:p>
        </w:tc>
        <w:tc>
          <w:tcPr>
            <w:tcW w:w="2328" w:type="dxa"/>
            <w:vAlign w:val="top"/>
          </w:tcPr>
          <w:p w14:paraId="45DF19BE">
            <w:pPr>
              <w:spacing w:line="298" w:lineRule="auto"/>
              <w:rPr>
                <w:rFonts w:ascii="Arial"/>
                <w:color w:val="auto"/>
                <w:sz w:val="21"/>
                <w:highlight w:val="none"/>
              </w:rPr>
            </w:pPr>
          </w:p>
          <w:p w14:paraId="7CFD4098">
            <w:pPr>
              <w:pStyle w:val="11"/>
              <w:spacing w:before="69" w:line="219" w:lineRule="auto"/>
              <w:ind w:left="349"/>
              <w:rPr>
                <w:color w:val="auto"/>
                <w:highlight w:val="none"/>
              </w:rPr>
            </w:pPr>
            <w:r>
              <w:rPr>
                <w:color w:val="auto"/>
                <w:spacing w:val="-4"/>
                <w:highlight w:val="none"/>
              </w:rPr>
              <w:t>已标价工程量清单</w:t>
            </w:r>
          </w:p>
        </w:tc>
        <w:tc>
          <w:tcPr>
            <w:tcW w:w="4775" w:type="dxa"/>
            <w:vAlign w:val="top"/>
          </w:tcPr>
          <w:p w14:paraId="2E1736AC">
            <w:pPr>
              <w:pStyle w:val="11"/>
              <w:spacing w:before="157" w:line="422" w:lineRule="exact"/>
              <w:ind w:left="113"/>
              <w:rPr>
                <w:color w:val="auto"/>
                <w:highlight w:val="none"/>
              </w:rPr>
            </w:pPr>
            <w:r>
              <w:rPr>
                <w:color w:val="auto"/>
                <w:spacing w:val="6"/>
                <w:position w:val="16"/>
                <w:highlight w:val="none"/>
              </w:rPr>
              <w:t>按照招标人提供的工程量清单及其报价要求进行</w:t>
            </w:r>
          </w:p>
          <w:p w14:paraId="38A5810E">
            <w:pPr>
              <w:pStyle w:val="11"/>
              <w:spacing w:line="219" w:lineRule="auto"/>
              <w:ind w:left="111"/>
              <w:rPr>
                <w:color w:val="auto"/>
                <w:highlight w:val="none"/>
              </w:rPr>
            </w:pPr>
            <w:r>
              <w:rPr>
                <w:color w:val="auto"/>
                <w:spacing w:val="-1"/>
                <w:highlight w:val="none"/>
              </w:rPr>
              <w:t>全面准确的报价</w:t>
            </w:r>
          </w:p>
        </w:tc>
      </w:tr>
      <w:tr w14:paraId="421B7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21F86EB7">
            <w:pPr>
              <w:rPr>
                <w:rFonts w:ascii="Arial"/>
                <w:color w:val="auto"/>
                <w:sz w:val="21"/>
                <w:highlight w:val="none"/>
              </w:rPr>
            </w:pPr>
          </w:p>
        </w:tc>
        <w:tc>
          <w:tcPr>
            <w:tcW w:w="1060" w:type="dxa"/>
            <w:vMerge w:val="continue"/>
            <w:tcBorders>
              <w:top w:val="nil"/>
            </w:tcBorders>
            <w:vAlign w:val="top"/>
          </w:tcPr>
          <w:p w14:paraId="466DF301">
            <w:pPr>
              <w:rPr>
                <w:rFonts w:ascii="Arial"/>
                <w:color w:val="auto"/>
                <w:sz w:val="21"/>
                <w:highlight w:val="none"/>
              </w:rPr>
            </w:pPr>
          </w:p>
        </w:tc>
        <w:tc>
          <w:tcPr>
            <w:tcW w:w="2328" w:type="dxa"/>
            <w:vAlign w:val="top"/>
          </w:tcPr>
          <w:p w14:paraId="55989502">
            <w:pPr>
              <w:pStyle w:val="11"/>
              <w:spacing w:before="157" w:line="224" w:lineRule="auto"/>
              <w:ind w:left="973"/>
              <w:rPr>
                <w:color w:val="auto"/>
                <w:highlight w:val="none"/>
              </w:rPr>
            </w:pPr>
            <w:r>
              <w:rPr>
                <w:color w:val="auto"/>
                <w:spacing w:val="-5"/>
                <w:highlight w:val="none"/>
              </w:rPr>
              <w:t>……</w:t>
            </w:r>
          </w:p>
        </w:tc>
        <w:tc>
          <w:tcPr>
            <w:tcW w:w="4775" w:type="dxa"/>
            <w:vAlign w:val="top"/>
          </w:tcPr>
          <w:p w14:paraId="213CD018">
            <w:pPr>
              <w:pStyle w:val="11"/>
              <w:spacing w:before="157" w:line="224" w:lineRule="auto"/>
              <w:ind w:left="125"/>
              <w:rPr>
                <w:color w:val="auto"/>
                <w:highlight w:val="none"/>
              </w:rPr>
            </w:pPr>
            <w:r>
              <w:rPr>
                <w:color w:val="auto"/>
                <w:spacing w:val="-5"/>
                <w:highlight w:val="none"/>
              </w:rPr>
              <w:t>……</w:t>
            </w:r>
          </w:p>
        </w:tc>
      </w:tr>
      <w:tr w14:paraId="2C874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658F2B86">
            <w:pPr>
              <w:spacing w:line="248" w:lineRule="auto"/>
              <w:rPr>
                <w:rFonts w:ascii="Arial"/>
                <w:color w:val="auto"/>
                <w:sz w:val="21"/>
                <w:highlight w:val="none"/>
              </w:rPr>
            </w:pPr>
          </w:p>
          <w:p w14:paraId="0F7B1320">
            <w:pPr>
              <w:spacing w:line="248" w:lineRule="auto"/>
              <w:rPr>
                <w:rFonts w:ascii="Arial"/>
                <w:color w:val="auto"/>
                <w:sz w:val="21"/>
                <w:highlight w:val="none"/>
              </w:rPr>
            </w:pPr>
          </w:p>
          <w:p w14:paraId="780E7E97">
            <w:pPr>
              <w:spacing w:line="248" w:lineRule="auto"/>
              <w:rPr>
                <w:rFonts w:ascii="Arial"/>
                <w:color w:val="auto"/>
                <w:sz w:val="21"/>
                <w:highlight w:val="none"/>
              </w:rPr>
            </w:pPr>
          </w:p>
          <w:p w14:paraId="342457C4">
            <w:pPr>
              <w:spacing w:line="248" w:lineRule="auto"/>
              <w:rPr>
                <w:rFonts w:ascii="Arial"/>
                <w:color w:val="auto"/>
                <w:sz w:val="21"/>
                <w:highlight w:val="none"/>
              </w:rPr>
            </w:pPr>
          </w:p>
          <w:p w14:paraId="4B0F5AF7">
            <w:pPr>
              <w:spacing w:line="248" w:lineRule="auto"/>
              <w:rPr>
                <w:rFonts w:ascii="Arial"/>
                <w:color w:val="auto"/>
                <w:sz w:val="21"/>
                <w:highlight w:val="none"/>
              </w:rPr>
            </w:pPr>
          </w:p>
          <w:p w14:paraId="628C1716">
            <w:pPr>
              <w:spacing w:line="248" w:lineRule="auto"/>
              <w:rPr>
                <w:rFonts w:ascii="Arial"/>
                <w:color w:val="auto"/>
                <w:sz w:val="21"/>
                <w:highlight w:val="none"/>
              </w:rPr>
            </w:pPr>
          </w:p>
          <w:p w14:paraId="5A77C2C6">
            <w:pPr>
              <w:spacing w:line="248" w:lineRule="auto"/>
              <w:rPr>
                <w:rFonts w:ascii="Arial"/>
                <w:color w:val="auto"/>
                <w:sz w:val="21"/>
                <w:highlight w:val="none"/>
              </w:rPr>
            </w:pPr>
          </w:p>
          <w:p w14:paraId="1DD40E8B">
            <w:pPr>
              <w:spacing w:line="248" w:lineRule="auto"/>
              <w:rPr>
                <w:rFonts w:ascii="Arial"/>
                <w:color w:val="auto"/>
                <w:sz w:val="21"/>
                <w:highlight w:val="none"/>
              </w:rPr>
            </w:pPr>
          </w:p>
          <w:p w14:paraId="6507B41E">
            <w:pPr>
              <w:spacing w:line="248" w:lineRule="auto"/>
              <w:rPr>
                <w:rFonts w:ascii="Arial"/>
                <w:color w:val="auto"/>
                <w:sz w:val="21"/>
                <w:highlight w:val="none"/>
              </w:rPr>
            </w:pPr>
          </w:p>
          <w:p w14:paraId="2A307205">
            <w:pPr>
              <w:spacing w:line="248" w:lineRule="auto"/>
              <w:rPr>
                <w:rFonts w:ascii="Arial"/>
                <w:color w:val="auto"/>
                <w:sz w:val="21"/>
                <w:highlight w:val="none"/>
              </w:rPr>
            </w:pPr>
          </w:p>
          <w:p w14:paraId="745F88FF">
            <w:pPr>
              <w:spacing w:before="61" w:line="189" w:lineRule="auto"/>
              <w:ind w:left="1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2.1.4</w:t>
            </w:r>
          </w:p>
        </w:tc>
        <w:tc>
          <w:tcPr>
            <w:tcW w:w="1060" w:type="dxa"/>
            <w:vMerge w:val="restart"/>
            <w:tcBorders>
              <w:bottom w:val="nil"/>
            </w:tcBorders>
            <w:vAlign w:val="top"/>
          </w:tcPr>
          <w:p w14:paraId="20003F92">
            <w:pPr>
              <w:spacing w:line="252" w:lineRule="auto"/>
              <w:rPr>
                <w:rFonts w:ascii="Arial"/>
                <w:color w:val="auto"/>
                <w:sz w:val="21"/>
                <w:highlight w:val="none"/>
              </w:rPr>
            </w:pPr>
          </w:p>
          <w:p w14:paraId="047F0B45">
            <w:pPr>
              <w:spacing w:line="252" w:lineRule="auto"/>
              <w:rPr>
                <w:rFonts w:ascii="Arial"/>
                <w:color w:val="auto"/>
                <w:sz w:val="21"/>
                <w:highlight w:val="none"/>
              </w:rPr>
            </w:pPr>
          </w:p>
          <w:p w14:paraId="4EC5755A">
            <w:pPr>
              <w:spacing w:line="252" w:lineRule="auto"/>
              <w:rPr>
                <w:rFonts w:ascii="Arial"/>
                <w:color w:val="auto"/>
                <w:sz w:val="21"/>
                <w:highlight w:val="none"/>
              </w:rPr>
            </w:pPr>
          </w:p>
          <w:p w14:paraId="6263BDC8">
            <w:pPr>
              <w:spacing w:line="253" w:lineRule="auto"/>
              <w:rPr>
                <w:rFonts w:ascii="Arial"/>
                <w:color w:val="auto"/>
                <w:sz w:val="21"/>
                <w:highlight w:val="none"/>
              </w:rPr>
            </w:pPr>
          </w:p>
          <w:p w14:paraId="3D907108">
            <w:pPr>
              <w:spacing w:line="253" w:lineRule="auto"/>
              <w:rPr>
                <w:rFonts w:ascii="Arial"/>
                <w:color w:val="auto"/>
                <w:sz w:val="21"/>
                <w:highlight w:val="none"/>
              </w:rPr>
            </w:pPr>
          </w:p>
          <w:p w14:paraId="6ED4DD83">
            <w:pPr>
              <w:spacing w:line="253" w:lineRule="auto"/>
              <w:rPr>
                <w:rFonts w:ascii="Arial"/>
                <w:color w:val="auto"/>
                <w:sz w:val="21"/>
                <w:highlight w:val="none"/>
              </w:rPr>
            </w:pPr>
          </w:p>
          <w:p w14:paraId="0D3C83EF">
            <w:pPr>
              <w:spacing w:line="253" w:lineRule="auto"/>
              <w:rPr>
                <w:rFonts w:ascii="Arial"/>
                <w:color w:val="auto"/>
                <w:sz w:val="21"/>
                <w:highlight w:val="none"/>
              </w:rPr>
            </w:pPr>
          </w:p>
          <w:p w14:paraId="345DAB33">
            <w:pPr>
              <w:spacing w:line="253" w:lineRule="auto"/>
              <w:rPr>
                <w:rFonts w:ascii="Arial"/>
                <w:color w:val="auto"/>
                <w:sz w:val="21"/>
                <w:highlight w:val="none"/>
              </w:rPr>
            </w:pPr>
          </w:p>
          <w:p w14:paraId="4DD80EA5">
            <w:pPr>
              <w:pStyle w:val="11"/>
              <w:spacing w:before="68" w:line="223" w:lineRule="auto"/>
              <w:ind w:left="108"/>
              <w:rPr>
                <w:color w:val="auto"/>
                <w:highlight w:val="none"/>
              </w:rPr>
            </w:pPr>
            <w:r>
              <w:rPr>
                <w:color w:val="auto"/>
                <w:spacing w:val="-1"/>
                <w:highlight w:val="none"/>
              </w:rPr>
              <w:t>施工组织</w:t>
            </w:r>
          </w:p>
          <w:p w14:paraId="70163853">
            <w:pPr>
              <w:pStyle w:val="11"/>
              <w:spacing w:before="164" w:line="221" w:lineRule="auto"/>
              <w:ind w:left="112"/>
              <w:rPr>
                <w:color w:val="auto"/>
                <w:highlight w:val="none"/>
              </w:rPr>
            </w:pPr>
            <w:r>
              <w:rPr>
                <w:color w:val="auto"/>
                <w:spacing w:val="-2"/>
                <w:highlight w:val="none"/>
              </w:rPr>
              <w:t>设计评审</w:t>
            </w:r>
          </w:p>
          <w:p w14:paraId="0395977B">
            <w:pPr>
              <w:pStyle w:val="11"/>
              <w:spacing w:before="171" w:line="221" w:lineRule="auto"/>
              <w:ind w:left="321"/>
              <w:rPr>
                <w:color w:val="auto"/>
                <w:highlight w:val="none"/>
              </w:rPr>
            </w:pPr>
            <w:r>
              <w:rPr>
                <w:color w:val="auto"/>
                <w:spacing w:val="-2"/>
                <w:highlight w:val="none"/>
              </w:rPr>
              <w:t>标准</w:t>
            </w:r>
          </w:p>
        </w:tc>
        <w:tc>
          <w:tcPr>
            <w:tcW w:w="2328" w:type="dxa"/>
            <w:vAlign w:val="top"/>
          </w:tcPr>
          <w:p w14:paraId="1807DFE6">
            <w:pPr>
              <w:pStyle w:val="11"/>
              <w:spacing w:before="161" w:line="221" w:lineRule="auto"/>
              <w:ind w:left="543"/>
              <w:rPr>
                <w:color w:val="auto"/>
                <w:highlight w:val="none"/>
              </w:rPr>
            </w:pPr>
            <w:r>
              <w:rPr>
                <w:color w:val="auto"/>
                <w:spacing w:val="-2"/>
                <w:highlight w:val="none"/>
              </w:rPr>
              <w:t>管理组织架构</w:t>
            </w:r>
          </w:p>
        </w:tc>
        <w:tc>
          <w:tcPr>
            <w:tcW w:w="4775" w:type="dxa"/>
            <w:vAlign w:val="top"/>
          </w:tcPr>
          <w:p w14:paraId="37DD2DFB">
            <w:pPr>
              <w:rPr>
                <w:rFonts w:ascii="Arial"/>
                <w:color w:val="auto"/>
                <w:sz w:val="21"/>
                <w:highlight w:val="none"/>
              </w:rPr>
            </w:pPr>
          </w:p>
        </w:tc>
      </w:tr>
      <w:tr w14:paraId="73BFA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67A3C8F2">
            <w:pPr>
              <w:rPr>
                <w:rFonts w:ascii="Arial"/>
                <w:color w:val="auto"/>
                <w:sz w:val="21"/>
                <w:highlight w:val="none"/>
              </w:rPr>
            </w:pPr>
          </w:p>
        </w:tc>
        <w:tc>
          <w:tcPr>
            <w:tcW w:w="1060" w:type="dxa"/>
            <w:vMerge w:val="continue"/>
            <w:tcBorders>
              <w:top w:val="nil"/>
              <w:bottom w:val="nil"/>
            </w:tcBorders>
            <w:vAlign w:val="top"/>
          </w:tcPr>
          <w:p w14:paraId="68B33709">
            <w:pPr>
              <w:rPr>
                <w:rFonts w:ascii="Arial"/>
                <w:color w:val="auto"/>
                <w:sz w:val="21"/>
                <w:highlight w:val="none"/>
              </w:rPr>
            </w:pPr>
          </w:p>
        </w:tc>
        <w:tc>
          <w:tcPr>
            <w:tcW w:w="2328" w:type="dxa"/>
            <w:vAlign w:val="top"/>
          </w:tcPr>
          <w:p w14:paraId="77EDF93B">
            <w:pPr>
              <w:pStyle w:val="11"/>
              <w:spacing w:before="157" w:line="220" w:lineRule="auto"/>
              <w:ind w:left="431"/>
              <w:rPr>
                <w:color w:val="auto"/>
                <w:highlight w:val="none"/>
              </w:rPr>
            </w:pPr>
            <w:r>
              <w:rPr>
                <w:color w:val="auto"/>
                <w:spacing w:val="-1"/>
                <w:highlight w:val="none"/>
              </w:rPr>
              <w:t>施工总平面布置</w:t>
            </w:r>
          </w:p>
        </w:tc>
        <w:tc>
          <w:tcPr>
            <w:tcW w:w="4775" w:type="dxa"/>
            <w:vAlign w:val="top"/>
          </w:tcPr>
          <w:p w14:paraId="7A4C6DE1">
            <w:pPr>
              <w:rPr>
                <w:rFonts w:ascii="Arial"/>
                <w:color w:val="auto"/>
                <w:sz w:val="21"/>
                <w:highlight w:val="none"/>
              </w:rPr>
            </w:pPr>
          </w:p>
        </w:tc>
      </w:tr>
      <w:tr w14:paraId="70D3E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2A811FA7">
            <w:pPr>
              <w:rPr>
                <w:rFonts w:ascii="Arial"/>
                <w:color w:val="auto"/>
                <w:sz w:val="21"/>
                <w:highlight w:val="none"/>
              </w:rPr>
            </w:pPr>
          </w:p>
        </w:tc>
        <w:tc>
          <w:tcPr>
            <w:tcW w:w="1060" w:type="dxa"/>
            <w:vMerge w:val="continue"/>
            <w:tcBorders>
              <w:top w:val="nil"/>
              <w:bottom w:val="nil"/>
            </w:tcBorders>
            <w:vAlign w:val="top"/>
          </w:tcPr>
          <w:p w14:paraId="1CC06801">
            <w:pPr>
              <w:rPr>
                <w:rFonts w:ascii="Arial"/>
                <w:color w:val="auto"/>
                <w:sz w:val="21"/>
                <w:highlight w:val="none"/>
              </w:rPr>
            </w:pPr>
          </w:p>
        </w:tc>
        <w:tc>
          <w:tcPr>
            <w:tcW w:w="2328" w:type="dxa"/>
            <w:vAlign w:val="top"/>
          </w:tcPr>
          <w:p w14:paraId="033F5668">
            <w:pPr>
              <w:pStyle w:val="11"/>
              <w:spacing w:before="162" w:line="220" w:lineRule="auto"/>
              <w:ind w:left="325"/>
              <w:rPr>
                <w:color w:val="auto"/>
                <w:highlight w:val="none"/>
              </w:rPr>
            </w:pPr>
            <w:r>
              <w:rPr>
                <w:color w:val="auto"/>
                <w:spacing w:val="-1"/>
                <w:highlight w:val="none"/>
              </w:rPr>
              <w:t>施工机械设备投入</w:t>
            </w:r>
          </w:p>
        </w:tc>
        <w:tc>
          <w:tcPr>
            <w:tcW w:w="4775" w:type="dxa"/>
            <w:vAlign w:val="top"/>
          </w:tcPr>
          <w:p w14:paraId="78C34EA0">
            <w:pPr>
              <w:rPr>
                <w:rFonts w:ascii="Arial"/>
                <w:color w:val="auto"/>
                <w:sz w:val="21"/>
                <w:highlight w:val="none"/>
              </w:rPr>
            </w:pPr>
          </w:p>
        </w:tc>
      </w:tr>
      <w:tr w14:paraId="728F0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666B022A">
            <w:pPr>
              <w:rPr>
                <w:rFonts w:ascii="Arial"/>
                <w:color w:val="auto"/>
                <w:sz w:val="21"/>
                <w:highlight w:val="none"/>
              </w:rPr>
            </w:pPr>
          </w:p>
        </w:tc>
        <w:tc>
          <w:tcPr>
            <w:tcW w:w="1060" w:type="dxa"/>
            <w:vMerge w:val="continue"/>
            <w:tcBorders>
              <w:top w:val="nil"/>
              <w:bottom w:val="nil"/>
            </w:tcBorders>
            <w:vAlign w:val="top"/>
          </w:tcPr>
          <w:p w14:paraId="179793C8">
            <w:pPr>
              <w:rPr>
                <w:rFonts w:ascii="Arial"/>
                <w:color w:val="auto"/>
                <w:sz w:val="21"/>
                <w:highlight w:val="none"/>
              </w:rPr>
            </w:pPr>
          </w:p>
        </w:tc>
        <w:tc>
          <w:tcPr>
            <w:tcW w:w="2328" w:type="dxa"/>
            <w:vAlign w:val="top"/>
          </w:tcPr>
          <w:p w14:paraId="06E9ADF3">
            <w:pPr>
              <w:pStyle w:val="11"/>
              <w:spacing w:before="162" w:line="221" w:lineRule="auto"/>
              <w:ind w:left="437"/>
              <w:rPr>
                <w:color w:val="auto"/>
                <w:highlight w:val="none"/>
              </w:rPr>
            </w:pPr>
            <w:r>
              <w:rPr>
                <w:color w:val="auto"/>
                <w:spacing w:val="-2"/>
                <w:highlight w:val="none"/>
              </w:rPr>
              <w:t>劳动力安排计划</w:t>
            </w:r>
          </w:p>
        </w:tc>
        <w:tc>
          <w:tcPr>
            <w:tcW w:w="4775" w:type="dxa"/>
            <w:vAlign w:val="top"/>
          </w:tcPr>
          <w:p w14:paraId="2EFFEF7B">
            <w:pPr>
              <w:rPr>
                <w:rFonts w:ascii="Arial"/>
                <w:color w:val="auto"/>
                <w:sz w:val="21"/>
                <w:highlight w:val="none"/>
              </w:rPr>
            </w:pPr>
          </w:p>
        </w:tc>
      </w:tr>
      <w:tr w14:paraId="53BD1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4D47E90C">
            <w:pPr>
              <w:rPr>
                <w:rFonts w:ascii="Arial"/>
                <w:color w:val="auto"/>
                <w:sz w:val="21"/>
                <w:highlight w:val="none"/>
              </w:rPr>
            </w:pPr>
          </w:p>
        </w:tc>
        <w:tc>
          <w:tcPr>
            <w:tcW w:w="1060" w:type="dxa"/>
            <w:vMerge w:val="continue"/>
            <w:tcBorders>
              <w:top w:val="nil"/>
              <w:bottom w:val="nil"/>
            </w:tcBorders>
            <w:vAlign w:val="top"/>
          </w:tcPr>
          <w:p w14:paraId="000F7521">
            <w:pPr>
              <w:rPr>
                <w:rFonts w:ascii="Arial"/>
                <w:color w:val="auto"/>
                <w:sz w:val="21"/>
                <w:highlight w:val="none"/>
              </w:rPr>
            </w:pPr>
          </w:p>
        </w:tc>
        <w:tc>
          <w:tcPr>
            <w:tcW w:w="2328" w:type="dxa"/>
            <w:vAlign w:val="top"/>
          </w:tcPr>
          <w:p w14:paraId="60AF47BB">
            <w:pPr>
              <w:pStyle w:val="11"/>
              <w:spacing w:before="157" w:line="220" w:lineRule="auto"/>
              <w:ind w:left="537"/>
              <w:rPr>
                <w:color w:val="auto"/>
                <w:highlight w:val="none"/>
              </w:rPr>
            </w:pPr>
            <w:r>
              <w:rPr>
                <w:color w:val="auto"/>
                <w:spacing w:val="-1"/>
                <w:highlight w:val="none"/>
              </w:rPr>
              <w:t>材料投入计划</w:t>
            </w:r>
          </w:p>
        </w:tc>
        <w:tc>
          <w:tcPr>
            <w:tcW w:w="4775" w:type="dxa"/>
            <w:vAlign w:val="top"/>
          </w:tcPr>
          <w:p w14:paraId="4C6BC849">
            <w:pPr>
              <w:rPr>
                <w:rFonts w:ascii="Arial"/>
                <w:color w:val="auto"/>
                <w:sz w:val="21"/>
                <w:highlight w:val="none"/>
              </w:rPr>
            </w:pPr>
          </w:p>
        </w:tc>
      </w:tr>
      <w:tr w14:paraId="6A0BA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748E6061">
            <w:pPr>
              <w:rPr>
                <w:rFonts w:ascii="Arial"/>
                <w:color w:val="auto"/>
                <w:sz w:val="21"/>
                <w:highlight w:val="none"/>
              </w:rPr>
            </w:pPr>
          </w:p>
        </w:tc>
        <w:tc>
          <w:tcPr>
            <w:tcW w:w="1060" w:type="dxa"/>
            <w:vMerge w:val="continue"/>
            <w:tcBorders>
              <w:top w:val="nil"/>
              <w:bottom w:val="nil"/>
            </w:tcBorders>
            <w:vAlign w:val="top"/>
          </w:tcPr>
          <w:p w14:paraId="5D828EF4">
            <w:pPr>
              <w:rPr>
                <w:rFonts w:ascii="Arial"/>
                <w:color w:val="auto"/>
                <w:sz w:val="21"/>
                <w:highlight w:val="none"/>
              </w:rPr>
            </w:pPr>
          </w:p>
        </w:tc>
        <w:tc>
          <w:tcPr>
            <w:tcW w:w="2328" w:type="dxa"/>
            <w:vAlign w:val="top"/>
          </w:tcPr>
          <w:p w14:paraId="7CE9498D">
            <w:pPr>
              <w:pStyle w:val="11"/>
              <w:spacing w:before="163" w:line="221" w:lineRule="auto"/>
              <w:ind w:left="537"/>
              <w:rPr>
                <w:color w:val="auto"/>
                <w:highlight w:val="none"/>
              </w:rPr>
            </w:pPr>
            <w:r>
              <w:rPr>
                <w:color w:val="auto"/>
                <w:spacing w:val="-1"/>
                <w:highlight w:val="none"/>
              </w:rPr>
              <w:t>施工技术方案</w:t>
            </w:r>
          </w:p>
        </w:tc>
        <w:tc>
          <w:tcPr>
            <w:tcW w:w="4775" w:type="dxa"/>
            <w:vAlign w:val="top"/>
          </w:tcPr>
          <w:p w14:paraId="0F181403">
            <w:pPr>
              <w:rPr>
                <w:rFonts w:ascii="Arial"/>
                <w:color w:val="auto"/>
                <w:sz w:val="21"/>
                <w:highlight w:val="none"/>
              </w:rPr>
            </w:pPr>
          </w:p>
        </w:tc>
      </w:tr>
      <w:tr w14:paraId="41CE3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3A6DC836">
            <w:pPr>
              <w:rPr>
                <w:rFonts w:ascii="Arial"/>
                <w:color w:val="auto"/>
                <w:sz w:val="21"/>
                <w:highlight w:val="none"/>
              </w:rPr>
            </w:pPr>
          </w:p>
        </w:tc>
        <w:tc>
          <w:tcPr>
            <w:tcW w:w="1060" w:type="dxa"/>
            <w:vMerge w:val="continue"/>
            <w:tcBorders>
              <w:top w:val="nil"/>
              <w:bottom w:val="nil"/>
            </w:tcBorders>
            <w:vAlign w:val="top"/>
          </w:tcPr>
          <w:p w14:paraId="15A67A80">
            <w:pPr>
              <w:rPr>
                <w:rFonts w:ascii="Arial"/>
                <w:color w:val="auto"/>
                <w:sz w:val="21"/>
                <w:highlight w:val="none"/>
              </w:rPr>
            </w:pPr>
          </w:p>
        </w:tc>
        <w:tc>
          <w:tcPr>
            <w:tcW w:w="2328" w:type="dxa"/>
            <w:vAlign w:val="top"/>
          </w:tcPr>
          <w:p w14:paraId="652D57FE">
            <w:pPr>
              <w:pStyle w:val="11"/>
              <w:spacing w:before="159" w:line="221" w:lineRule="auto"/>
              <w:ind w:left="537"/>
              <w:rPr>
                <w:color w:val="auto"/>
                <w:highlight w:val="none"/>
              </w:rPr>
            </w:pPr>
            <w:r>
              <w:rPr>
                <w:color w:val="auto"/>
                <w:spacing w:val="-1"/>
                <w:highlight w:val="none"/>
              </w:rPr>
              <w:t>施工进度计划</w:t>
            </w:r>
          </w:p>
        </w:tc>
        <w:tc>
          <w:tcPr>
            <w:tcW w:w="4775" w:type="dxa"/>
            <w:vAlign w:val="top"/>
          </w:tcPr>
          <w:p w14:paraId="299C625C">
            <w:pPr>
              <w:rPr>
                <w:rFonts w:ascii="Arial"/>
                <w:color w:val="auto"/>
                <w:sz w:val="21"/>
                <w:highlight w:val="none"/>
              </w:rPr>
            </w:pPr>
          </w:p>
        </w:tc>
      </w:tr>
      <w:tr w14:paraId="0F63F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68B8C7C8">
            <w:pPr>
              <w:rPr>
                <w:rFonts w:ascii="Arial"/>
                <w:color w:val="auto"/>
                <w:sz w:val="21"/>
                <w:highlight w:val="none"/>
              </w:rPr>
            </w:pPr>
          </w:p>
        </w:tc>
        <w:tc>
          <w:tcPr>
            <w:tcW w:w="1060" w:type="dxa"/>
            <w:vMerge w:val="continue"/>
            <w:tcBorders>
              <w:top w:val="nil"/>
              <w:bottom w:val="nil"/>
            </w:tcBorders>
            <w:vAlign w:val="top"/>
          </w:tcPr>
          <w:p w14:paraId="296DCD6C">
            <w:pPr>
              <w:rPr>
                <w:rFonts w:ascii="Arial"/>
                <w:color w:val="auto"/>
                <w:sz w:val="21"/>
                <w:highlight w:val="none"/>
              </w:rPr>
            </w:pPr>
          </w:p>
        </w:tc>
        <w:tc>
          <w:tcPr>
            <w:tcW w:w="2328" w:type="dxa"/>
            <w:vAlign w:val="top"/>
          </w:tcPr>
          <w:p w14:paraId="1F2EB9D4">
            <w:pPr>
              <w:pStyle w:val="11"/>
              <w:spacing w:before="164" w:line="221" w:lineRule="auto"/>
              <w:ind w:left="537"/>
              <w:rPr>
                <w:color w:val="auto"/>
                <w:highlight w:val="none"/>
              </w:rPr>
            </w:pPr>
            <w:r>
              <w:rPr>
                <w:color w:val="auto"/>
                <w:spacing w:val="-1"/>
                <w:highlight w:val="none"/>
              </w:rPr>
              <w:t>施工保证措施</w:t>
            </w:r>
          </w:p>
        </w:tc>
        <w:tc>
          <w:tcPr>
            <w:tcW w:w="4775" w:type="dxa"/>
            <w:vAlign w:val="top"/>
          </w:tcPr>
          <w:p w14:paraId="0C54B4B0">
            <w:pPr>
              <w:rPr>
                <w:rFonts w:ascii="Arial"/>
                <w:color w:val="auto"/>
                <w:sz w:val="21"/>
                <w:highlight w:val="none"/>
              </w:rPr>
            </w:pPr>
          </w:p>
        </w:tc>
      </w:tr>
      <w:tr w14:paraId="68793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3D19E580">
            <w:pPr>
              <w:rPr>
                <w:rFonts w:ascii="Arial"/>
                <w:color w:val="auto"/>
                <w:sz w:val="21"/>
                <w:highlight w:val="none"/>
              </w:rPr>
            </w:pPr>
          </w:p>
        </w:tc>
        <w:tc>
          <w:tcPr>
            <w:tcW w:w="1060" w:type="dxa"/>
            <w:vMerge w:val="continue"/>
            <w:tcBorders>
              <w:top w:val="nil"/>
              <w:bottom w:val="nil"/>
            </w:tcBorders>
            <w:vAlign w:val="top"/>
          </w:tcPr>
          <w:p w14:paraId="12A6FC18">
            <w:pPr>
              <w:rPr>
                <w:rFonts w:ascii="Arial"/>
                <w:color w:val="auto"/>
                <w:sz w:val="21"/>
                <w:highlight w:val="none"/>
              </w:rPr>
            </w:pPr>
          </w:p>
        </w:tc>
        <w:tc>
          <w:tcPr>
            <w:tcW w:w="2328" w:type="dxa"/>
            <w:vAlign w:val="top"/>
          </w:tcPr>
          <w:p w14:paraId="479F79B6">
            <w:pPr>
              <w:pStyle w:val="11"/>
              <w:spacing w:before="158" w:line="221" w:lineRule="auto"/>
              <w:ind w:left="222"/>
              <w:rPr>
                <w:color w:val="auto"/>
                <w:highlight w:val="none"/>
              </w:rPr>
            </w:pPr>
            <w:r>
              <w:rPr>
                <w:color w:val="auto"/>
                <w:spacing w:val="-1"/>
                <w:highlight w:val="none"/>
              </w:rPr>
              <w:t>技术创新、绿色节能</w:t>
            </w:r>
          </w:p>
        </w:tc>
        <w:tc>
          <w:tcPr>
            <w:tcW w:w="4775" w:type="dxa"/>
            <w:vAlign w:val="top"/>
          </w:tcPr>
          <w:p w14:paraId="27C60E3B">
            <w:pPr>
              <w:rPr>
                <w:rFonts w:ascii="Arial"/>
                <w:color w:val="auto"/>
                <w:sz w:val="21"/>
                <w:highlight w:val="none"/>
              </w:rPr>
            </w:pPr>
          </w:p>
        </w:tc>
      </w:tr>
      <w:tr w14:paraId="3E8CE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3CEC303A">
            <w:pPr>
              <w:rPr>
                <w:rFonts w:ascii="Arial"/>
                <w:color w:val="auto"/>
                <w:sz w:val="21"/>
                <w:highlight w:val="none"/>
              </w:rPr>
            </w:pPr>
          </w:p>
        </w:tc>
        <w:tc>
          <w:tcPr>
            <w:tcW w:w="1060" w:type="dxa"/>
            <w:vMerge w:val="continue"/>
            <w:tcBorders>
              <w:top w:val="nil"/>
              <w:bottom w:val="nil"/>
            </w:tcBorders>
            <w:vAlign w:val="top"/>
          </w:tcPr>
          <w:p w14:paraId="79F2798D">
            <w:pPr>
              <w:rPr>
                <w:rFonts w:ascii="Arial"/>
                <w:color w:val="auto"/>
                <w:sz w:val="21"/>
                <w:highlight w:val="none"/>
              </w:rPr>
            </w:pPr>
          </w:p>
        </w:tc>
        <w:tc>
          <w:tcPr>
            <w:tcW w:w="2328" w:type="dxa"/>
            <w:vAlign w:val="top"/>
          </w:tcPr>
          <w:p w14:paraId="47C24CF7">
            <w:pPr>
              <w:pStyle w:val="11"/>
              <w:spacing w:before="164" w:line="222" w:lineRule="auto"/>
              <w:ind w:left="973"/>
              <w:rPr>
                <w:color w:val="auto"/>
                <w:highlight w:val="none"/>
              </w:rPr>
            </w:pPr>
            <w:r>
              <w:rPr>
                <w:color w:val="auto"/>
                <w:spacing w:val="-5"/>
                <w:highlight w:val="none"/>
              </w:rPr>
              <w:t>……</w:t>
            </w:r>
          </w:p>
        </w:tc>
        <w:tc>
          <w:tcPr>
            <w:tcW w:w="4775" w:type="dxa"/>
            <w:vAlign w:val="top"/>
          </w:tcPr>
          <w:p w14:paraId="1E4DC552">
            <w:pPr>
              <w:rPr>
                <w:rFonts w:ascii="Arial"/>
                <w:color w:val="auto"/>
                <w:sz w:val="21"/>
                <w:highlight w:val="none"/>
              </w:rPr>
            </w:pPr>
          </w:p>
        </w:tc>
      </w:tr>
      <w:tr w14:paraId="10163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tcBorders>
            <w:vAlign w:val="top"/>
          </w:tcPr>
          <w:p w14:paraId="066B6CF8">
            <w:pPr>
              <w:rPr>
                <w:rFonts w:ascii="Arial"/>
                <w:color w:val="auto"/>
                <w:sz w:val="21"/>
                <w:highlight w:val="none"/>
              </w:rPr>
            </w:pPr>
          </w:p>
        </w:tc>
        <w:tc>
          <w:tcPr>
            <w:tcW w:w="1060" w:type="dxa"/>
            <w:vMerge w:val="continue"/>
            <w:tcBorders>
              <w:top w:val="nil"/>
            </w:tcBorders>
            <w:vAlign w:val="top"/>
          </w:tcPr>
          <w:p w14:paraId="04D7A756">
            <w:pPr>
              <w:rPr>
                <w:rFonts w:ascii="Arial"/>
                <w:color w:val="auto"/>
                <w:sz w:val="21"/>
                <w:highlight w:val="none"/>
              </w:rPr>
            </w:pPr>
          </w:p>
        </w:tc>
        <w:tc>
          <w:tcPr>
            <w:tcW w:w="7103" w:type="dxa"/>
            <w:gridSpan w:val="2"/>
            <w:vAlign w:val="top"/>
          </w:tcPr>
          <w:p w14:paraId="3868DD0F">
            <w:pPr>
              <w:pStyle w:val="11"/>
              <w:spacing w:before="164" w:line="417" w:lineRule="exact"/>
              <w:ind w:left="109"/>
              <w:rPr>
                <w:color w:val="auto"/>
                <w:highlight w:val="none"/>
              </w:rPr>
            </w:pPr>
            <w:r>
              <w:rPr>
                <w:color w:val="auto"/>
                <w:spacing w:val="5"/>
                <w:position w:val="15"/>
                <w:highlight w:val="none"/>
              </w:rPr>
              <w:t>评标委员会根据施工组织设计评审标准作定性评审，即作“</w:t>
            </w:r>
            <w:r>
              <w:rPr>
                <w:color w:val="auto"/>
                <w:spacing w:val="4"/>
                <w:position w:val="15"/>
                <w:highlight w:val="none"/>
              </w:rPr>
              <w:t>合格”与“不</w:t>
            </w:r>
          </w:p>
          <w:p w14:paraId="3B515255">
            <w:pPr>
              <w:pStyle w:val="11"/>
              <w:spacing w:line="220" w:lineRule="auto"/>
              <w:ind w:left="111"/>
              <w:rPr>
                <w:color w:val="auto"/>
                <w:highlight w:val="none"/>
              </w:rPr>
            </w:pPr>
            <w:r>
              <w:rPr>
                <w:color w:val="auto"/>
                <w:spacing w:val="-3"/>
                <w:highlight w:val="none"/>
              </w:rPr>
              <w:t>合格”的评审。</w:t>
            </w:r>
          </w:p>
        </w:tc>
      </w:tr>
      <w:tr w14:paraId="7386F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799" w:type="dxa"/>
            <w:gridSpan w:val="2"/>
            <w:vAlign w:val="top"/>
          </w:tcPr>
          <w:p w14:paraId="193B2A43">
            <w:pPr>
              <w:spacing w:line="345" w:lineRule="auto"/>
              <w:rPr>
                <w:rFonts w:ascii="Arial"/>
                <w:color w:val="auto"/>
                <w:sz w:val="21"/>
                <w:highlight w:val="none"/>
              </w:rPr>
            </w:pPr>
          </w:p>
          <w:p w14:paraId="117B0867">
            <w:pPr>
              <w:spacing w:before="60" w:line="189" w:lineRule="auto"/>
              <w:ind w:left="69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3.1.2</w:t>
            </w:r>
          </w:p>
        </w:tc>
        <w:tc>
          <w:tcPr>
            <w:tcW w:w="7103" w:type="dxa"/>
            <w:gridSpan w:val="2"/>
            <w:vAlign w:val="top"/>
          </w:tcPr>
          <w:p w14:paraId="6509AB47">
            <w:pPr>
              <w:pStyle w:val="11"/>
              <w:spacing w:before="164" w:line="221" w:lineRule="auto"/>
              <w:ind w:left="113"/>
              <w:rPr>
                <w:color w:val="auto"/>
                <w:highlight w:val="none"/>
              </w:rPr>
            </w:pPr>
            <w:r>
              <w:rPr>
                <w:color w:val="auto"/>
                <w:spacing w:val="-4"/>
                <w:highlight w:val="none"/>
              </w:rPr>
              <w:t>投标人不得存在的其他情形：</w:t>
            </w:r>
          </w:p>
          <w:p w14:paraId="5B83E457">
            <w:pPr>
              <w:pStyle w:val="11"/>
              <w:spacing w:before="166" w:line="220" w:lineRule="auto"/>
              <w:ind w:left="433"/>
              <w:rPr>
                <w:color w:val="auto"/>
                <w:highlight w:val="none"/>
              </w:rPr>
            </w:pPr>
            <w:r>
              <w:rPr>
                <w:color w:val="auto"/>
                <w:spacing w:val="-3"/>
                <w:highlight w:val="none"/>
              </w:rPr>
              <w:t>（1）不按评标委员会要求澄清、说明或补正；</w:t>
            </w:r>
          </w:p>
        </w:tc>
      </w:tr>
    </w:tbl>
    <w:p w14:paraId="022E78E6">
      <w:pPr>
        <w:pStyle w:val="3"/>
        <w:rPr>
          <w:color w:val="auto"/>
          <w:highlight w:val="none"/>
        </w:rPr>
      </w:pPr>
    </w:p>
    <w:p w14:paraId="516F8F94">
      <w:pPr>
        <w:rPr>
          <w:color w:val="auto"/>
          <w:highlight w:val="none"/>
        </w:rPr>
        <w:sectPr>
          <w:footerReference r:id="rId65" w:type="default"/>
          <w:pgSz w:w="11905" w:h="16839"/>
          <w:pgMar w:top="1431" w:right="1493" w:bottom="996" w:left="1502" w:header="0" w:footer="791" w:gutter="0"/>
          <w:pgNumType w:fmt="decimal"/>
          <w:cols w:space="720" w:num="1"/>
        </w:sectPr>
      </w:pPr>
    </w:p>
    <w:p w14:paraId="5A922535">
      <w:pPr>
        <w:spacing w:line="95" w:lineRule="auto"/>
        <w:rPr>
          <w:rFonts w:ascii="Arial"/>
          <w:color w:val="auto"/>
          <w:sz w:val="2"/>
          <w:highlight w:val="none"/>
        </w:rPr>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1"/>
        <w:gridCol w:w="2183"/>
        <w:gridCol w:w="4919"/>
      </w:tblGrid>
      <w:tr w14:paraId="44BA8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00" w:type="dxa"/>
            <w:gridSpan w:val="2"/>
            <w:vAlign w:val="top"/>
          </w:tcPr>
          <w:p w14:paraId="5EC55762">
            <w:pPr>
              <w:rPr>
                <w:rFonts w:ascii="Arial"/>
                <w:color w:val="auto"/>
                <w:sz w:val="21"/>
                <w:highlight w:val="none"/>
              </w:rPr>
            </w:pPr>
          </w:p>
        </w:tc>
        <w:tc>
          <w:tcPr>
            <w:tcW w:w="7102" w:type="dxa"/>
            <w:gridSpan w:val="2"/>
            <w:vAlign w:val="top"/>
          </w:tcPr>
          <w:p w14:paraId="7090E21D">
            <w:pPr>
              <w:pStyle w:val="11"/>
              <w:spacing w:before="163" w:line="220" w:lineRule="auto"/>
              <w:ind w:left="432"/>
              <w:rPr>
                <w:color w:val="auto"/>
                <w:highlight w:val="none"/>
              </w:rPr>
            </w:pPr>
            <w:r>
              <w:rPr>
                <w:color w:val="auto"/>
                <w:spacing w:val="-1"/>
                <w:highlight w:val="none"/>
              </w:rPr>
              <w:t>（2）有串通投标、弄虚作假、行贿或有其他</w:t>
            </w:r>
            <w:r>
              <w:rPr>
                <w:color w:val="auto"/>
                <w:spacing w:val="-2"/>
                <w:highlight w:val="none"/>
              </w:rPr>
              <w:t>违法行为。</w:t>
            </w:r>
          </w:p>
        </w:tc>
      </w:tr>
      <w:tr w14:paraId="2E2DF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1800" w:type="dxa"/>
            <w:gridSpan w:val="2"/>
            <w:vAlign w:val="top"/>
          </w:tcPr>
          <w:p w14:paraId="2912AC17">
            <w:pPr>
              <w:spacing w:line="294" w:lineRule="auto"/>
              <w:rPr>
                <w:rFonts w:ascii="Arial"/>
                <w:color w:val="auto"/>
                <w:sz w:val="21"/>
                <w:highlight w:val="none"/>
              </w:rPr>
            </w:pPr>
          </w:p>
          <w:p w14:paraId="4E9802E7">
            <w:pPr>
              <w:spacing w:line="295" w:lineRule="auto"/>
              <w:rPr>
                <w:rFonts w:ascii="Arial"/>
                <w:color w:val="auto"/>
                <w:sz w:val="21"/>
                <w:highlight w:val="none"/>
              </w:rPr>
            </w:pPr>
          </w:p>
          <w:p w14:paraId="67C7D5A6">
            <w:pPr>
              <w:spacing w:line="295" w:lineRule="auto"/>
              <w:rPr>
                <w:rFonts w:ascii="Arial"/>
                <w:color w:val="auto"/>
                <w:sz w:val="21"/>
                <w:highlight w:val="none"/>
              </w:rPr>
            </w:pPr>
          </w:p>
          <w:p w14:paraId="6BA91440">
            <w:pPr>
              <w:spacing w:line="295" w:lineRule="auto"/>
              <w:rPr>
                <w:rFonts w:ascii="Arial"/>
                <w:color w:val="auto"/>
                <w:sz w:val="21"/>
                <w:highlight w:val="none"/>
              </w:rPr>
            </w:pPr>
          </w:p>
          <w:p w14:paraId="4231D52F">
            <w:pPr>
              <w:spacing w:before="61" w:line="189" w:lineRule="auto"/>
              <w:ind w:left="69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3.1.4</w:t>
            </w:r>
          </w:p>
        </w:tc>
        <w:tc>
          <w:tcPr>
            <w:tcW w:w="7102" w:type="dxa"/>
            <w:gridSpan w:val="2"/>
            <w:vAlign w:val="top"/>
          </w:tcPr>
          <w:p w14:paraId="12CB9802">
            <w:pPr>
              <w:pStyle w:val="11"/>
              <w:spacing w:before="159" w:line="219" w:lineRule="auto"/>
              <w:ind w:left="110"/>
              <w:rPr>
                <w:color w:val="auto"/>
                <w:highlight w:val="none"/>
              </w:rPr>
            </w:pPr>
            <w:r>
              <w:rPr>
                <w:color w:val="auto"/>
                <w:spacing w:val="-1"/>
                <w:highlight w:val="none"/>
              </w:rPr>
              <w:t>合理最低价：</w:t>
            </w:r>
          </w:p>
          <w:p w14:paraId="2B1398ED">
            <w:pPr>
              <w:pStyle w:val="11"/>
              <w:spacing w:before="169" w:line="219" w:lineRule="auto"/>
              <w:ind w:left="116"/>
              <w:rPr>
                <w:color w:val="auto"/>
                <w:highlight w:val="none"/>
              </w:rPr>
            </w:pPr>
            <w:r>
              <w:rPr>
                <w:color w:val="auto"/>
                <w:spacing w:val="-1"/>
                <w:highlight w:val="none"/>
              </w:rPr>
              <w:t>（1）合同方式：</w:t>
            </w:r>
            <w:r>
              <w:rPr>
                <w:rFonts w:hint="eastAsia"/>
                <w:color w:val="auto"/>
                <w:spacing w:val="-1"/>
                <w:highlight w:val="none"/>
                <w:lang w:eastAsia="zh-CN"/>
              </w:rPr>
              <w:t>□</w:t>
            </w:r>
            <w:r>
              <w:rPr>
                <w:color w:val="auto"/>
                <w:spacing w:val="-1"/>
                <w:highlight w:val="none"/>
              </w:rPr>
              <w:t>固定单价合同   □固定总价合同</w:t>
            </w:r>
          </w:p>
          <w:p w14:paraId="39B03E8A">
            <w:pPr>
              <w:pStyle w:val="11"/>
              <w:spacing w:before="173" w:line="417" w:lineRule="exact"/>
              <w:ind w:left="116"/>
              <w:rPr>
                <w:color w:val="auto"/>
                <w:highlight w:val="none"/>
              </w:rPr>
            </w:pPr>
            <w:r>
              <w:rPr>
                <w:color w:val="auto"/>
                <w:spacing w:val="-2"/>
                <w:position w:val="15"/>
                <w:highlight w:val="none"/>
              </w:rPr>
              <w:t>（2）计算方法：依据辽住建发【2020】4</w:t>
            </w:r>
            <w:r>
              <w:rPr>
                <w:color w:val="auto"/>
                <w:spacing w:val="-27"/>
                <w:position w:val="15"/>
                <w:highlight w:val="none"/>
              </w:rPr>
              <w:t xml:space="preserve"> </w:t>
            </w:r>
            <w:r>
              <w:rPr>
                <w:color w:val="auto"/>
                <w:spacing w:val="-2"/>
                <w:position w:val="15"/>
                <w:highlight w:val="none"/>
              </w:rPr>
              <w:t>号文件第十七条。</w:t>
            </w:r>
          </w:p>
          <w:p w14:paraId="00D51038">
            <w:pPr>
              <w:pStyle w:val="11"/>
              <w:spacing w:line="222" w:lineRule="auto"/>
              <w:ind w:left="116"/>
              <w:rPr>
                <w:color w:val="auto"/>
                <w:highlight w:val="none"/>
              </w:rPr>
            </w:pPr>
            <w:r>
              <w:rPr>
                <w:color w:val="auto"/>
                <w:spacing w:val="-10"/>
                <w:highlight w:val="none"/>
              </w:rPr>
              <w:t>（3）下浮比例：</w:t>
            </w:r>
            <w:r>
              <w:rPr>
                <w:color w:val="auto"/>
                <w:spacing w:val="-18"/>
                <w:highlight w:val="none"/>
              </w:rPr>
              <w:t xml:space="preserve"> </w:t>
            </w:r>
            <w:r>
              <w:rPr>
                <w:color w:val="auto"/>
                <w:highlight w:val="none"/>
                <w:u w:val="single" w:color="auto"/>
              </w:rPr>
              <w:t xml:space="preserve">           </w:t>
            </w:r>
            <w:r>
              <w:rPr>
                <w:color w:val="auto"/>
                <w:spacing w:val="-100"/>
                <w:highlight w:val="none"/>
              </w:rPr>
              <w:t xml:space="preserve"> </w:t>
            </w:r>
            <w:r>
              <w:rPr>
                <w:color w:val="auto"/>
                <w:spacing w:val="-10"/>
                <w:highlight w:val="none"/>
              </w:rPr>
              <w:t>%。</w:t>
            </w:r>
          </w:p>
          <w:p w14:paraId="0B62002D">
            <w:pPr>
              <w:pStyle w:val="11"/>
              <w:spacing w:before="169" w:line="418" w:lineRule="exact"/>
              <w:ind w:left="534"/>
              <w:rPr>
                <w:color w:val="auto"/>
                <w:highlight w:val="none"/>
              </w:rPr>
            </w:pPr>
            <w:r>
              <w:rPr>
                <w:color w:val="auto"/>
                <w:spacing w:val="5"/>
                <w:position w:val="15"/>
                <w:highlight w:val="none"/>
              </w:rPr>
              <w:t>说明：下浮比例也可开标现场随机抽取（明确抽取范围）产生或明确</w:t>
            </w:r>
          </w:p>
          <w:p w14:paraId="4D368060">
            <w:pPr>
              <w:pStyle w:val="11"/>
              <w:spacing w:line="220" w:lineRule="auto"/>
              <w:ind w:left="116"/>
              <w:rPr>
                <w:color w:val="auto"/>
                <w:highlight w:val="none"/>
              </w:rPr>
            </w:pPr>
            <w:r>
              <w:rPr>
                <w:color w:val="auto"/>
                <w:spacing w:val="-4"/>
                <w:highlight w:val="none"/>
              </w:rPr>
              <w:t>下浮比例产生规则。</w:t>
            </w:r>
          </w:p>
        </w:tc>
      </w:tr>
      <w:tr w14:paraId="5ED62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1800" w:type="dxa"/>
            <w:gridSpan w:val="2"/>
            <w:vAlign w:val="top"/>
          </w:tcPr>
          <w:p w14:paraId="1C8ECD17">
            <w:pPr>
              <w:spacing w:line="250" w:lineRule="auto"/>
              <w:rPr>
                <w:rFonts w:ascii="Arial"/>
                <w:color w:val="auto"/>
                <w:sz w:val="21"/>
                <w:highlight w:val="none"/>
              </w:rPr>
            </w:pPr>
          </w:p>
          <w:p w14:paraId="06A868C4">
            <w:pPr>
              <w:spacing w:line="250" w:lineRule="auto"/>
              <w:rPr>
                <w:rFonts w:ascii="Arial"/>
                <w:color w:val="auto"/>
                <w:sz w:val="21"/>
                <w:highlight w:val="none"/>
              </w:rPr>
            </w:pPr>
          </w:p>
          <w:p w14:paraId="03A0F69C">
            <w:pPr>
              <w:spacing w:line="250" w:lineRule="auto"/>
              <w:rPr>
                <w:rFonts w:ascii="Arial"/>
                <w:color w:val="auto"/>
                <w:sz w:val="21"/>
                <w:highlight w:val="none"/>
              </w:rPr>
            </w:pPr>
          </w:p>
          <w:p w14:paraId="5983C818">
            <w:pPr>
              <w:spacing w:line="250" w:lineRule="auto"/>
              <w:rPr>
                <w:rFonts w:ascii="Arial"/>
                <w:color w:val="auto"/>
                <w:sz w:val="21"/>
                <w:highlight w:val="none"/>
              </w:rPr>
            </w:pPr>
          </w:p>
          <w:p w14:paraId="0326C489">
            <w:pPr>
              <w:spacing w:line="251" w:lineRule="auto"/>
              <w:rPr>
                <w:rFonts w:ascii="Arial"/>
                <w:color w:val="auto"/>
                <w:sz w:val="21"/>
                <w:highlight w:val="none"/>
              </w:rPr>
            </w:pPr>
          </w:p>
          <w:p w14:paraId="19E9309D">
            <w:pPr>
              <w:spacing w:line="251" w:lineRule="auto"/>
              <w:rPr>
                <w:rFonts w:ascii="Arial"/>
                <w:color w:val="auto"/>
                <w:sz w:val="21"/>
                <w:highlight w:val="none"/>
              </w:rPr>
            </w:pPr>
          </w:p>
          <w:p w14:paraId="7809A80F">
            <w:pPr>
              <w:spacing w:line="251" w:lineRule="auto"/>
              <w:rPr>
                <w:rFonts w:ascii="Arial"/>
                <w:color w:val="auto"/>
                <w:sz w:val="21"/>
                <w:highlight w:val="none"/>
              </w:rPr>
            </w:pPr>
          </w:p>
          <w:p w14:paraId="70F5399E">
            <w:pPr>
              <w:spacing w:before="61" w:line="189" w:lineRule="auto"/>
              <w:ind w:left="77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3.3</w:t>
            </w:r>
          </w:p>
        </w:tc>
        <w:tc>
          <w:tcPr>
            <w:tcW w:w="7102" w:type="dxa"/>
            <w:gridSpan w:val="2"/>
            <w:vAlign w:val="top"/>
          </w:tcPr>
          <w:p w14:paraId="4B1655D2">
            <w:pPr>
              <w:pStyle w:val="11"/>
              <w:spacing w:before="30" w:line="361" w:lineRule="auto"/>
              <w:ind w:left="110" w:right="102" w:firstLine="420"/>
              <w:jc w:val="both"/>
              <w:rPr>
                <w:color w:val="auto"/>
                <w:highlight w:val="none"/>
              </w:rPr>
            </w:pPr>
            <w:r>
              <w:rPr>
                <w:color w:val="auto"/>
                <w:spacing w:val="5"/>
                <w:highlight w:val="none"/>
              </w:rPr>
              <w:t>评标委员会在评标过程中，如要求投标人澄清或说明的，评标委员会</w:t>
            </w:r>
            <w:r>
              <w:rPr>
                <w:color w:val="auto"/>
                <w:spacing w:val="11"/>
                <w:highlight w:val="none"/>
              </w:rPr>
              <w:t xml:space="preserve"> </w:t>
            </w:r>
            <w:r>
              <w:rPr>
                <w:color w:val="auto"/>
                <w:spacing w:val="5"/>
                <w:highlight w:val="none"/>
              </w:rPr>
              <w:t>要求投标人在线澄清或说明的时间距投标人收到评标委员会通知的时间不</w:t>
            </w:r>
          </w:p>
          <w:p w14:paraId="4ED396C8">
            <w:pPr>
              <w:pStyle w:val="11"/>
              <w:spacing w:line="220" w:lineRule="auto"/>
              <w:ind w:left="110"/>
              <w:rPr>
                <w:color w:val="auto"/>
                <w:highlight w:val="none"/>
              </w:rPr>
            </w:pPr>
            <w:r>
              <w:rPr>
                <w:color w:val="auto"/>
                <w:spacing w:val="-6"/>
                <w:highlight w:val="none"/>
              </w:rPr>
              <w:t>得少于</w:t>
            </w:r>
            <w:r>
              <w:rPr>
                <w:color w:val="auto"/>
                <w:spacing w:val="-102"/>
                <w:highlight w:val="none"/>
              </w:rPr>
              <w:t xml:space="preserve"> </w:t>
            </w:r>
            <w:r>
              <w:rPr>
                <w:color w:val="auto"/>
                <w:spacing w:val="34"/>
                <w:highlight w:val="none"/>
                <w:u w:val="single" w:color="auto"/>
              </w:rPr>
              <w:t xml:space="preserve">   </w:t>
            </w:r>
            <w:r>
              <w:rPr>
                <w:color w:val="auto"/>
                <w:spacing w:val="-93"/>
                <w:highlight w:val="none"/>
              </w:rPr>
              <w:t xml:space="preserve"> </w:t>
            </w:r>
            <w:r>
              <w:rPr>
                <w:color w:val="auto"/>
                <w:spacing w:val="-6"/>
                <w:highlight w:val="none"/>
              </w:rPr>
              <w:t>分钟。</w:t>
            </w:r>
          </w:p>
          <w:p w14:paraId="2ED9440C">
            <w:pPr>
              <w:pStyle w:val="11"/>
              <w:spacing w:before="156" w:line="359" w:lineRule="auto"/>
              <w:ind w:left="113" w:right="102" w:firstLine="418"/>
              <w:jc w:val="both"/>
              <w:rPr>
                <w:color w:val="auto"/>
                <w:highlight w:val="none"/>
              </w:rPr>
            </w:pPr>
            <w:r>
              <w:rPr>
                <w:color w:val="auto"/>
                <w:spacing w:val="5"/>
                <w:highlight w:val="none"/>
              </w:rPr>
              <w:t>评标委员会认为投标人的澄清或说明不够明确，应再次要求投标人对</w:t>
            </w:r>
            <w:r>
              <w:rPr>
                <w:color w:val="auto"/>
                <w:spacing w:val="11"/>
                <w:highlight w:val="none"/>
              </w:rPr>
              <w:t xml:space="preserve"> </w:t>
            </w:r>
            <w:r>
              <w:rPr>
                <w:color w:val="auto"/>
                <w:spacing w:val="5"/>
                <w:highlight w:val="none"/>
              </w:rPr>
              <w:t>不明确的内容进行澄清或说明，评标委员会要求投标人再次在线澄清或说</w:t>
            </w:r>
          </w:p>
          <w:p w14:paraId="2FC3091D">
            <w:pPr>
              <w:pStyle w:val="11"/>
              <w:spacing w:before="1" w:line="219" w:lineRule="auto"/>
              <w:ind w:left="129"/>
              <w:rPr>
                <w:color w:val="auto"/>
                <w:highlight w:val="none"/>
              </w:rPr>
            </w:pPr>
            <w:r>
              <w:rPr>
                <w:color w:val="auto"/>
                <w:spacing w:val="-2"/>
                <w:highlight w:val="none"/>
              </w:rPr>
              <w:t>明的时间距投标人收到评标委员会通知的时间不得少于</w:t>
            </w:r>
            <w:r>
              <w:rPr>
                <w:color w:val="auto"/>
                <w:spacing w:val="-87"/>
                <w:highlight w:val="none"/>
              </w:rPr>
              <w:t xml:space="preserve"> </w:t>
            </w:r>
            <w:r>
              <w:rPr>
                <w:color w:val="auto"/>
                <w:highlight w:val="none"/>
                <w:u w:val="single" w:color="auto"/>
              </w:rPr>
              <w:t xml:space="preserve">    </w:t>
            </w:r>
            <w:r>
              <w:rPr>
                <w:color w:val="auto"/>
                <w:spacing w:val="-92"/>
                <w:highlight w:val="none"/>
              </w:rPr>
              <w:t xml:space="preserve"> </w:t>
            </w:r>
            <w:r>
              <w:rPr>
                <w:color w:val="auto"/>
                <w:spacing w:val="-2"/>
                <w:highlight w:val="none"/>
              </w:rPr>
              <w:t>分钟。</w:t>
            </w:r>
          </w:p>
          <w:p w14:paraId="680CDF55">
            <w:pPr>
              <w:pStyle w:val="11"/>
              <w:spacing w:before="157" w:line="359" w:lineRule="auto"/>
              <w:ind w:left="113" w:right="102" w:firstLine="421"/>
              <w:jc w:val="both"/>
              <w:rPr>
                <w:color w:val="auto"/>
                <w:highlight w:val="none"/>
              </w:rPr>
            </w:pPr>
            <w:r>
              <w:rPr>
                <w:color w:val="auto"/>
                <w:spacing w:val="5"/>
                <w:highlight w:val="none"/>
              </w:rPr>
              <w:t>投标人未在规定时间内作出澄清或说明的，或者评标委员会成员认为</w:t>
            </w:r>
            <w:r>
              <w:rPr>
                <w:color w:val="auto"/>
                <w:spacing w:val="8"/>
                <w:highlight w:val="none"/>
              </w:rPr>
              <w:t xml:space="preserve"> </w:t>
            </w:r>
            <w:r>
              <w:rPr>
                <w:color w:val="auto"/>
                <w:spacing w:val="12"/>
                <w:highlight w:val="none"/>
              </w:rPr>
              <w:t>该投标人的澄清或说明始终都不符合评标委员</w:t>
            </w:r>
            <w:r>
              <w:rPr>
                <w:color w:val="auto"/>
                <w:spacing w:val="11"/>
                <w:highlight w:val="none"/>
              </w:rPr>
              <w:t>会要求的，作否决投标处</w:t>
            </w:r>
          </w:p>
          <w:p w14:paraId="51BDACD1">
            <w:pPr>
              <w:pStyle w:val="11"/>
              <w:spacing w:before="1" w:line="230" w:lineRule="auto"/>
              <w:ind w:left="112"/>
              <w:rPr>
                <w:color w:val="auto"/>
                <w:highlight w:val="none"/>
              </w:rPr>
            </w:pPr>
            <w:r>
              <w:rPr>
                <w:color w:val="auto"/>
                <w:spacing w:val="-10"/>
                <w:highlight w:val="none"/>
              </w:rPr>
              <w:t>理。</w:t>
            </w:r>
          </w:p>
        </w:tc>
      </w:tr>
      <w:tr w14:paraId="5D9C8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800" w:type="dxa"/>
            <w:gridSpan w:val="2"/>
            <w:vAlign w:val="top"/>
          </w:tcPr>
          <w:p w14:paraId="70B29AAE">
            <w:pPr>
              <w:pStyle w:val="11"/>
              <w:spacing w:before="162" w:line="221" w:lineRule="auto"/>
              <w:ind w:left="586"/>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183" w:type="dxa"/>
            <w:vAlign w:val="top"/>
          </w:tcPr>
          <w:p w14:paraId="5A3425D6">
            <w:pPr>
              <w:pStyle w:val="11"/>
              <w:spacing w:before="162" w:line="221" w:lineRule="auto"/>
              <w:ind w:left="673"/>
              <w:rPr>
                <w:color w:val="auto"/>
                <w:highlight w:val="none"/>
              </w:rPr>
            </w:pPr>
            <w:r>
              <w:rPr>
                <w:color w:val="auto"/>
                <w:spacing w:val="-1"/>
                <w:highlight w:val="none"/>
                <w14:textOutline w14:w="3831" w14:cap="flat" w14:cmpd="sng">
                  <w14:solidFill>
                    <w14:srgbClr w14:val="000000"/>
                  </w14:solidFill>
                  <w14:prstDash w14:val="solid"/>
                  <w14:miter w14:val="0"/>
                </w14:textOutline>
              </w:rPr>
              <w:t>条款内容</w:t>
            </w:r>
          </w:p>
        </w:tc>
        <w:tc>
          <w:tcPr>
            <w:tcW w:w="4919" w:type="dxa"/>
            <w:vAlign w:val="top"/>
          </w:tcPr>
          <w:p w14:paraId="05559E3A">
            <w:pPr>
              <w:pStyle w:val="11"/>
              <w:spacing w:before="162" w:line="221" w:lineRule="auto"/>
              <w:ind w:left="2038"/>
              <w:rPr>
                <w:color w:val="auto"/>
                <w:highlight w:val="none"/>
              </w:rPr>
            </w:pPr>
            <w:r>
              <w:rPr>
                <w:color w:val="auto"/>
                <w:spacing w:val="-1"/>
                <w:highlight w:val="none"/>
                <w14:textOutline w14:w="3831" w14:cap="flat" w14:cmpd="sng">
                  <w14:solidFill>
                    <w14:srgbClr w14:val="000000"/>
                  </w14:solidFill>
                  <w14:prstDash w14:val="solid"/>
                  <w14:miter w14:val="0"/>
                </w14:textOutline>
              </w:rPr>
              <w:t>编列内容</w:t>
            </w:r>
          </w:p>
        </w:tc>
      </w:tr>
      <w:tr w14:paraId="4F001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restart"/>
            <w:tcBorders>
              <w:bottom w:val="nil"/>
            </w:tcBorders>
            <w:vAlign w:val="top"/>
          </w:tcPr>
          <w:p w14:paraId="238C3485">
            <w:pPr>
              <w:spacing w:line="256" w:lineRule="auto"/>
              <w:rPr>
                <w:rFonts w:ascii="Arial"/>
                <w:color w:val="auto"/>
                <w:sz w:val="21"/>
                <w:highlight w:val="none"/>
              </w:rPr>
            </w:pPr>
          </w:p>
          <w:p w14:paraId="471CE94E">
            <w:pPr>
              <w:spacing w:line="256" w:lineRule="auto"/>
              <w:rPr>
                <w:rFonts w:ascii="Arial"/>
                <w:color w:val="auto"/>
                <w:sz w:val="21"/>
                <w:highlight w:val="none"/>
              </w:rPr>
            </w:pPr>
          </w:p>
          <w:p w14:paraId="58E6D323">
            <w:pPr>
              <w:spacing w:line="256" w:lineRule="auto"/>
              <w:rPr>
                <w:rFonts w:ascii="Arial"/>
                <w:color w:val="auto"/>
                <w:sz w:val="21"/>
                <w:highlight w:val="none"/>
              </w:rPr>
            </w:pPr>
          </w:p>
          <w:p w14:paraId="720C7301">
            <w:pPr>
              <w:spacing w:before="60" w:line="189" w:lineRule="auto"/>
              <w:ind w:left="23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w:t>
            </w:r>
          </w:p>
        </w:tc>
        <w:tc>
          <w:tcPr>
            <w:tcW w:w="1061" w:type="dxa"/>
            <w:vMerge w:val="restart"/>
            <w:tcBorders>
              <w:bottom w:val="nil"/>
            </w:tcBorders>
            <w:vAlign w:val="top"/>
          </w:tcPr>
          <w:p w14:paraId="68E51CFC">
            <w:pPr>
              <w:spacing w:line="241" w:lineRule="auto"/>
              <w:rPr>
                <w:rFonts w:ascii="Arial"/>
                <w:color w:val="auto"/>
                <w:sz w:val="21"/>
                <w:highlight w:val="none"/>
              </w:rPr>
            </w:pPr>
          </w:p>
          <w:p w14:paraId="03D2D4AE">
            <w:pPr>
              <w:spacing w:line="241" w:lineRule="auto"/>
              <w:rPr>
                <w:rFonts w:ascii="Arial"/>
                <w:color w:val="auto"/>
                <w:sz w:val="21"/>
                <w:highlight w:val="none"/>
              </w:rPr>
            </w:pPr>
          </w:p>
          <w:p w14:paraId="34DC3ECD">
            <w:pPr>
              <w:spacing w:line="242" w:lineRule="auto"/>
              <w:rPr>
                <w:rFonts w:ascii="Arial"/>
                <w:color w:val="auto"/>
                <w:sz w:val="21"/>
                <w:highlight w:val="none"/>
              </w:rPr>
            </w:pPr>
          </w:p>
          <w:p w14:paraId="32006E47">
            <w:pPr>
              <w:pStyle w:val="11"/>
              <w:spacing w:before="68" w:line="221" w:lineRule="auto"/>
              <w:ind w:left="112"/>
              <w:rPr>
                <w:color w:val="auto"/>
                <w:highlight w:val="none"/>
              </w:rPr>
            </w:pPr>
            <w:r>
              <w:rPr>
                <w:color w:val="auto"/>
                <w:spacing w:val="-2"/>
                <w:highlight w:val="none"/>
              </w:rPr>
              <w:t>详细评审</w:t>
            </w:r>
          </w:p>
        </w:tc>
        <w:tc>
          <w:tcPr>
            <w:tcW w:w="2183" w:type="dxa"/>
            <w:vAlign w:val="top"/>
          </w:tcPr>
          <w:p w14:paraId="0FE8640A">
            <w:pPr>
              <w:spacing w:line="299" w:lineRule="auto"/>
              <w:rPr>
                <w:rFonts w:ascii="Arial"/>
                <w:color w:val="auto"/>
                <w:sz w:val="21"/>
                <w:highlight w:val="none"/>
              </w:rPr>
            </w:pPr>
          </w:p>
          <w:p w14:paraId="536F0EA7">
            <w:pPr>
              <w:pStyle w:val="11"/>
              <w:spacing w:before="68" w:line="219" w:lineRule="auto"/>
              <w:ind w:left="358"/>
              <w:rPr>
                <w:color w:val="auto"/>
                <w:highlight w:val="none"/>
              </w:rPr>
            </w:pPr>
            <w:r>
              <w:rPr>
                <w:color w:val="auto"/>
                <w:spacing w:val="-1"/>
                <w:highlight w:val="none"/>
              </w:rPr>
              <w:t>评标价确定方法</w:t>
            </w:r>
          </w:p>
        </w:tc>
        <w:tc>
          <w:tcPr>
            <w:tcW w:w="4919" w:type="dxa"/>
            <w:vAlign w:val="top"/>
          </w:tcPr>
          <w:p w14:paraId="282F54CD">
            <w:pPr>
              <w:pStyle w:val="11"/>
              <w:spacing w:before="162" w:line="418" w:lineRule="exact"/>
              <w:ind w:left="110"/>
              <w:rPr>
                <w:color w:val="auto"/>
                <w:highlight w:val="none"/>
              </w:rPr>
            </w:pPr>
            <w:r>
              <w:rPr>
                <w:color w:val="auto"/>
                <w:spacing w:val="8"/>
                <w:position w:val="15"/>
                <w:highlight w:val="none"/>
              </w:rPr>
              <w:t>评标价＝投标函大写投标报价（或经投标人书面</w:t>
            </w:r>
          </w:p>
          <w:p w14:paraId="13FE2C9E">
            <w:pPr>
              <w:pStyle w:val="11"/>
              <w:spacing w:line="219" w:lineRule="auto"/>
              <w:ind w:left="111"/>
              <w:rPr>
                <w:color w:val="auto"/>
                <w:highlight w:val="none"/>
              </w:rPr>
            </w:pPr>
            <w:r>
              <w:rPr>
                <w:color w:val="auto"/>
                <w:spacing w:val="-7"/>
                <w:highlight w:val="none"/>
              </w:rPr>
              <w:t>确认的算术错误修正后的投标总报价）。</w:t>
            </w:r>
          </w:p>
        </w:tc>
      </w:tr>
      <w:tr w14:paraId="686B8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tcBorders>
            <w:vAlign w:val="top"/>
          </w:tcPr>
          <w:p w14:paraId="353FC371">
            <w:pPr>
              <w:rPr>
                <w:rFonts w:ascii="Arial"/>
                <w:color w:val="auto"/>
                <w:sz w:val="21"/>
                <w:highlight w:val="none"/>
              </w:rPr>
            </w:pPr>
          </w:p>
        </w:tc>
        <w:tc>
          <w:tcPr>
            <w:tcW w:w="1061" w:type="dxa"/>
            <w:vMerge w:val="continue"/>
            <w:tcBorders>
              <w:top w:val="nil"/>
            </w:tcBorders>
            <w:vAlign w:val="top"/>
          </w:tcPr>
          <w:p w14:paraId="5C936B15">
            <w:pPr>
              <w:rPr>
                <w:rFonts w:ascii="Arial"/>
                <w:color w:val="auto"/>
                <w:sz w:val="21"/>
                <w:highlight w:val="none"/>
              </w:rPr>
            </w:pPr>
          </w:p>
        </w:tc>
        <w:tc>
          <w:tcPr>
            <w:tcW w:w="2183" w:type="dxa"/>
            <w:vAlign w:val="top"/>
          </w:tcPr>
          <w:p w14:paraId="72F626FD">
            <w:pPr>
              <w:spacing w:line="300" w:lineRule="auto"/>
              <w:rPr>
                <w:rFonts w:ascii="Arial"/>
                <w:color w:val="auto"/>
                <w:sz w:val="21"/>
                <w:highlight w:val="none"/>
              </w:rPr>
            </w:pPr>
          </w:p>
          <w:p w14:paraId="543EEC32">
            <w:pPr>
              <w:pStyle w:val="11"/>
              <w:spacing w:before="68" w:line="222" w:lineRule="auto"/>
              <w:ind w:left="676"/>
              <w:rPr>
                <w:color w:val="auto"/>
                <w:highlight w:val="none"/>
              </w:rPr>
            </w:pPr>
            <w:r>
              <w:rPr>
                <w:color w:val="auto"/>
                <w:spacing w:val="-1"/>
                <w:highlight w:val="none"/>
              </w:rPr>
              <w:t>排序方法</w:t>
            </w:r>
          </w:p>
        </w:tc>
        <w:tc>
          <w:tcPr>
            <w:tcW w:w="4919" w:type="dxa"/>
            <w:vAlign w:val="top"/>
          </w:tcPr>
          <w:p w14:paraId="034C0798">
            <w:pPr>
              <w:pStyle w:val="11"/>
              <w:spacing w:before="163" w:line="418" w:lineRule="exact"/>
              <w:ind w:left="112"/>
              <w:rPr>
                <w:color w:val="auto"/>
                <w:highlight w:val="none"/>
              </w:rPr>
            </w:pPr>
            <w:r>
              <w:rPr>
                <w:color w:val="auto"/>
                <w:spacing w:val="5"/>
                <w:position w:val="15"/>
                <w:highlight w:val="none"/>
              </w:rPr>
              <w:t>有效评标价（不低于合理最低价）</w:t>
            </w:r>
            <w:r>
              <w:rPr>
                <w:color w:val="auto"/>
                <w:spacing w:val="-42"/>
                <w:position w:val="15"/>
                <w:highlight w:val="none"/>
              </w:rPr>
              <w:t xml:space="preserve"> </w:t>
            </w:r>
            <w:r>
              <w:rPr>
                <w:color w:val="auto"/>
                <w:spacing w:val="5"/>
                <w:position w:val="15"/>
                <w:highlight w:val="none"/>
              </w:rPr>
              <w:t>由低到高的顺</w:t>
            </w:r>
          </w:p>
          <w:p w14:paraId="114AC46D">
            <w:pPr>
              <w:pStyle w:val="11"/>
              <w:spacing w:line="222" w:lineRule="auto"/>
              <w:ind w:left="110"/>
              <w:rPr>
                <w:color w:val="auto"/>
                <w:highlight w:val="none"/>
              </w:rPr>
            </w:pPr>
            <w:r>
              <w:rPr>
                <w:color w:val="auto"/>
                <w:spacing w:val="-7"/>
                <w:highlight w:val="none"/>
              </w:rPr>
              <w:t>序排序。</w:t>
            </w:r>
          </w:p>
        </w:tc>
      </w:tr>
    </w:tbl>
    <w:p w14:paraId="6ED398C1">
      <w:pPr>
        <w:pStyle w:val="3"/>
        <w:rPr>
          <w:color w:val="auto"/>
          <w:highlight w:val="none"/>
        </w:rPr>
      </w:pPr>
    </w:p>
    <w:p w14:paraId="20386EDB">
      <w:pPr>
        <w:rPr>
          <w:color w:val="auto"/>
          <w:highlight w:val="none"/>
        </w:rPr>
        <w:sectPr>
          <w:footerReference r:id="rId66" w:type="default"/>
          <w:pgSz w:w="11905" w:h="16839"/>
          <w:pgMar w:top="1431" w:right="1493" w:bottom="996" w:left="1502" w:header="0" w:footer="791" w:gutter="0"/>
          <w:pgNumType w:fmt="decimal"/>
          <w:cols w:space="720" w:num="1"/>
        </w:sectPr>
      </w:pPr>
    </w:p>
    <w:p w14:paraId="67DC2683">
      <w:pPr>
        <w:spacing w:before="86" w:line="499" w:lineRule="exact"/>
        <w:ind w:left="19"/>
        <w:rPr>
          <w:rFonts w:ascii="黑体" w:hAnsi="黑体" w:eastAsia="黑体" w:cs="黑体"/>
          <w:color w:val="auto"/>
          <w:sz w:val="27"/>
          <w:szCs w:val="27"/>
          <w:highlight w:val="none"/>
        </w:rPr>
      </w:pPr>
      <w:r>
        <w:rPr>
          <w:rFonts w:ascii="黑体" w:hAnsi="黑体" w:eastAsia="黑体" w:cs="黑体"/>
          <w:color w:val="auto"/>
          <w:spacing w:val="8"/>
          <w:position w:val="16"/>
          <w:sz w:val="27"/>
          <w:szCs w:val="27"/>
          <w:highlight w:val="none"/>
        </w:rPr>
        <w:t>评标办法正文部分</w:t>
      </w:r>
    </w:p>
    <w:p w14:paraId="042C200E">
      <w:pPr>
        <w:spacing w:before="1" w:line="223"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w:t>
      </w:r>
      <w:r>
        <w:rPr>
          <w:rFonts w:ascii="黑体" w:hAnsi="黑体" w:eastAsia="黑体" w:cs="黑体"/>
          <w:color w:val="auto"/>
          <w:spacing w:val="1"/>
          <w:sz w:val="27"/>
          <w:szCs w:val="27"/>
          <w:highlight w:val="none"/>
        </w:rPr>
        <w:t>评标方法</w:t>
      </w:r>
    </w:p>
    <w:p w14:paraId="4ADF8CB2">
      <w:pPr>
        <w:spacing w:before="121" w:line="333" w:lineRule="auto"/>
        <w:ind w:left="19" w:right="172"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本次评标采用经评审的最低投标价法。评标委员会对满足招标文件实质性要求的投标</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文件，按照本章第</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3"/>
          <w:sz w:val="21"/>
          <w:szCs w:val="21"/>
          <w:highlight w:val="none"/>
        </w:rPr>
        <w:t>2.2</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3"/>
          <w:sz w:val="21"/>
          <w:szCs w:val="21"/>
          <w:highlight w:val="none"/>
        </w:rPr>
        <w:t>款规定的评分标准进行评审， 并按有效评标价由低到高的顺序推荐中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标候选人，或根据招标人授权直接确定中标人，但投标报价低于其成</w:t>
      </w:r>
      <w:r>
        <w:rPr>
          <w:rFonts w:ascii="宋体" w:hAnsi="宋体" w:eastAsia="宋体" w:cs="宋体"/>
          <w:color w:val="auto"/>
          <w:sz w:val="21"/>
          <w:szCs w:val="21"/>
          <w:highlight w:val="none"/>
        </w:rPr>
        <w:t>本的除外。</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rPr>
        <w:t>有效评标</w:t>
      </w:r>
    </w:p>
    <w:p w14:paraId="7D107120">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价相等时，</w:t>
      </w:r>
      <w:r>
        <w:rPr>
          <w:rFonts w:ascii="宋体" w:hAnsi="宋体" w:eastAsia="宋体" w:cs="宋体"/>
          <w:color w:val="auto"/>
          <w:spacing w:val="54"/>
          <w:sz w:val="21"/>
          <w:szCs w:val="21"/>
          <w:highlight w:val="none"/>
        </w:rPr>
        <w:t xml:space="preserve"> </w:t>
      </w:r>
      <w:r>
        <w:rPr>
          <w:rFonts w:ascii="宋体" w:hAnsi="宋体" w:eastAsia="宋体" w:cs="宋体"/>
          <w:color w:val="auto"/>
          <w:spacing w:val="-7"/>
          <w:sz w:val="21"/>
          <w:szCs w:val="21"/>
          <w:highlight w:val="none"/>
        </w:rPr>
        <w:t>由招标人或者招标人授权的评标委员会自行确定。</w:t>
      </w:r>
    </w:p>
    <w:p w14:paraId="6D241AE0">
      <w:pPr>
        <w:spacing w:before="186" w:line="225" w:lineRule="auto"/>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6"/>
          <w:sz w:val="27"/>
          <w:szCs w:val="27"/>
          <w:highlight w:val="none"/>
        </w:rPr>
        <w:t>2.</w:t>
      </w:r>
      <w:r>
        <w:rPr>
          <w:rFonts w:ascii="黑体" w:hAnsi="黑体" w:eastAsia="黑体" w:cs="黑体"/>
          <w:color w:val="auto"/>
          <w:spacing w:val="6"/>
          <w:sz w:val="27"/>
          <w:szCs w:val="27"/>
          <w:highlight w:val="none"/>
        </w:rPr>
        <w:t>评审标准</w:t>
      </w:r>
    </w:p>
    <w:p w14:paraId="7E0EC642">
      <w:pPr>
        <w:spacing w:before="108"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2.1 </w:t>
      </w:r>
      <w:r>
        <w:rPr>
          <w:rFonts w:ascii="黑体" w:hAnsi="黑体" w:eastAsia="黑体" w:cs="黑体"/>
          <w:color w:val="auto"/>
          <w:spacing w:val="-2"/>
          <w:sz w:val="24"/>
          <w:szCs w:val="24"/>
          <w:highlight w:val="none"/>
        </w:rPr>
        <w:t>初步评审标准</w:t>
      </w:r>
    </w:p>
    <w:p w14:paraId="6BA19515">
      <w:pPr>
        <w:spacing w:before="124"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2.1.1</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6"/>
          <w:sz w:val="21"/>
          <w:szCs w:val="21"/>
          <w:highlight w:val="none"/>
        </w:rPr>
        <w:t>形式评审标准： 见评标办法前附表。</w:t>
      </w:r>
    </w:p>
    <w:p w14:paraId="7CA86105">
      <w:pPr>
        <w:spacing w:before="12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2.1.2</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6"/>
          <w:sz w:val="21"/>
          <w:szCs w:val="21"/>
          <w:highlight w:val="none"/>
        </w:rPr>
        <w:t>资格评审标准： 见评标办法前附表。</w:t>
      </w:r>
    </w:p>
    <w:p w14:paraId="680E9BCC">
      <w:pPr>
        <w:spacing w:before="12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2"/>
          <w:sz w:val="21"/>
          <w:szCs w:val="21"/>
          <w:highlight w:val="none"/>
        </w:rPr>
        <w:t>响应性评审标准：见评标办法前附表。</w:t>
      </w:r>
    </w:p>
    <w:p w14:paraId="3220D580">
      <w:pPr>
        <w:spacing w:before="12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2.1.4 </w:t>
      </w:r>
      <w:r>
        <w:rPr>
          <w:rFonts w:ascii="宋体" w:hAnsi="宋体" w:eastAsia="宋体" w:cs="宋体"/>
          <w:color w:val="auto"/>
          <w:spacing w:val="-4"/>
          <w:sz w:val="21"/>
          <w:szCs w:val="21"/>
          <w:highlight w:val="none"/>
        </w:rPr>
        <w:t>施工组织设计评审标准： 见评标办法前附表。</w:t>
      </w:r>
    </w:p>
    <w:p w14:paraId="2831D753">
      <w:pPr>
        <w:spacing w:before="123"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2.2 </w:t>
      </w:r>
      <w:r>
        <w:rPr>
          <w:rFonts w:ascii="黑体" w:hAnsi="黑体" w:eastAsia="黑体" w:cs="黑体"/>
          <w:color w:val="auto"/>
          <w:sz w:val="24"/>
          <w:szCs w:val="24"/>
          <w:highlight w:val="none"/>
        </w:rPr>
        <w:t>详细评审标准</w:t>
      </w:r>
    </w:p>
    <w:p w14:paraId="6E541D49">
      <w:pPr>
        <w:spacing w:before="144" w:line="220"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详细评审标准：见评标办法前附表。</w:t>
      </w:r>
    </w:p>
    <w:p w14:paraId="4FCD6182">
      <w:pPr>
        <w:spacing w:before="186" w:line="437" w:lineRule="exact"/>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5"/>
          <w:position w:val="11"/>
          <w:sz w:val="27"/>
          <w:szCs w:val="27"/>
          <w:highlight w:val="none"/>
        </w:rPr>
        <w:t>3.</w:t>
      </w:r>
      <w:r>
        <w:rPr>
          <w:rFonts w:ascii="黑体" w:hAnsi="黑体" w:eastAsia="黑体" w:cs="黑体"/>
          <w:color w:val="auto"/>
          <w:spacing w:val="5"/>
          <w:position w:val="11"/>
          <w:sz w:val="27"/>
          <w:szCs w:val="27"/>
          <w:highlight w:val="none"/>
        </w:rPr>
        <w:t>评标程序</w:t>
      </w:r>
    </w:p>
    <w:p w14:paraId="3DA4B4D2">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3.1 </w:t>
      </w:r>
      <w:r>
        <w:rPr>
          <w:rFonts w:ascii="黑体" w:hAnsi="黑体" w:eastAsia="黑体" w:cs="黑体"/>
          <w:color w:val="auto"/>
          <w:spacing w:val="-3"/>
          <w:sz w:val="24"/>
          <w:szCs w:val="24"/>
          <w:highlight w:val="none"/>
        </w:rPr>
        <w:t>初步评审</w:t>
      </w:r>
    </w:p>
    <w:p w14:paraId="2E029780">
      <w:pPr>
        <w:spacing w:before="124" w:line="379"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3.1.1</w:t>
      </w:r>
      <w:r>
        <w:rPr>
          <w:rFonts w:ascii="Times New Roman" w:hAnsi="Times New Roman" w:eastAsia="Times New Roman" w:cs="Times New Roman"/>
          <w:color w:val="auto"/>
          <w:spacing w:val="41"/>
          <w:position w:val="12"/>
          <w:sz w:val="21"/>
          <w:szCs w:val="21"/>
          <w:highlight w:val="none"/>
        </w:rPr>
        <w:t xml:space="preserve"> </w:t>
      </w:r>
      <w:r>
        <w:rPr>
          <w:rFonts w:ascii="宋体" w:hAnsi="宋体" w:eastAsia="宋体" w:cs="宋体"/>
          <w:color w:val="auto"/>
          <w:position w:val="12"/>
          <w:sz w:val="21"/>
          <w:szCs w:val="21"/>
          <w:highlight w:val="none"/>
        </w:rPr>
        <w:t xml:space="preserve">评标委员会依据本章第 </w:t>
      </w:r>
      <w:r>
        <w:rPr>
          <w:rFonts w:ascii="Times New Roman" w:hAnsi="Times New Roman" w:eastAsia="Times New Roman" w:cs="Times New Roman"/>
          <w:color w:val="auto"/>
          <w:position w:val="12"/>
          <w:sz w:val="21"/>
          <w:szCs w:val="21"/>
          <w:highlight w:val="none"/>
        </w:rPr>
        <w:t>2.1</w:t>
      </w:r>
      <w:r>
        <w:rPr>
          <w:rFonts w:ascii="Times New Roman" w:hAnsi="Times New Roman" w:eastAsia="Times New Roman" w:cs="Times New Roman"/>
          <w:color w:val="auto"/>
          <w:spacing w:val="43"/>
          <w:w w:val="101"/>
          <w:position w:val="12"/>
          <w:sz w:val="21"/>
          <w:szCs w:val="21"/>
          <w:highlight w:val="none"/>
        </w:rPr>
        <w:t xml:space="preserve"> </w:t>
      </w:r>
      <w:r>
        <w:rPr>
          <w:rFonts w:ascii="宋体" w:hAnsi="宋体" w:eastAsia="宋体" w:cs="宋体"/>
          <w:color w:val="auto"/>
          <w:position w:val="12"/>
          <w:sz w:val="21"/>
          <w:szCs w:val="21"/>
          <w:highlight w:val="none"/>
        </w:rPr>
        <w:t>款规定</w:t>
      </w:r>
      <w:r>
        <w:rPr>
          <w:rFonts w:ascii="宋体" w:hAnsi="宋体" w:eastAsia="宋体" w:cs="宋体"/>
          <w:color w:val="auto"/>
          <w:spacing w:val="-1"/>
          <w:position w:val="12"/>
          <w:sz w:val="21"/>
          <w:szCs w:val="21"/>
          <w:highlight w:val="none"/>
        </w:rPr>
        <w:t>的标准对投标文件进行初步评审。有一项不符</w:t>
      </w:r>
    </w:p>
    <w:p w14:paraId="1EBEA5F4">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合评审标准的，评标委员会应当否决其投标。</w:t>
      </w:r>
    </w:p>
    <w:p w14:paraId="3D245298">
      <w:pPr>
        <w:spacing w:before="130" w:line="379"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 xml:space="preserve">3.1.2 </w:t>
      </w:r>
      <w:r>
        <w:rPr>
          <w:rFonts w:ascii="宋体" w:hAnsi="宋体" w:eastAsia="宋体" w:cs="宋体"/>
          <w:color w:val="auto"/>
          <w:spacing w:val="-1"/>
          <w:position w:val="12"/>
          <w:sz w:val="21"/>
          <w:szCs w:val="21"/>
          <w:highlight w:val="none"/>
        </w:rPr>
        <w:t>投标人有以下情形之一的，评</w:t>
      </w:r>
      <w:r>
        <w:rPr>
          <w:rFonts w:ascii="宋体" w:hAnsi="宋体" w:eastAsia="宋体" w:cs="宋体"/>
          <w:color w:val="auto"/>
          <w:spacing w:val="-2"/>
          <w:position w:val="12"/>
          <w:sz w:val="21"/>
          <w:szCs w:val="21"/>
          <w:highlight w:val="none"/>
        </w:rPr>
        <w:t>标委员会应当否决其投标：</w:t>
      </w:r>
    </w:p>
    <w:p w14:paraId="658B07F4">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）不按评标委员会要求澄清、说明或补正。</w:t>
      </w:r>
    </w:p>
    <w:p w14:paraId="0ECC279E">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）有串通投标、弄虚作假、行贿或有其他违法行为；</w:t>
      </w:r>
    </w:p>
    <w:p w14:paraId="6F29E5E5">
      <w:pPr>
        <w:spacing w:before="129" w:line="384"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3"/>
          <w:sz w:val="21"/>
          <w:szCs w:val="21"/>
          <w:highlight w:val="none"/>
        </w:rPr>
        <w:t>1</w:t>
      </w:r>
      <w:r>
        <w:rPr>
          <w:rFonts w:ascii="宋体" w:hAnsi="宋体" w:eastAsia="宋体" w:cs="宋体"/>
          <w:color w:val="auto"/>
          <w:spacing w:val="-2"/>
          <w:position w:val="13"/>
          <w:sz w:val="21"/>
          <w:szCs w:val="21"/>
          <w:highlight w:val="none"/>
        </w:rPr>
        <w:t>）有下列情形之一的，视为投标人相互串通投标：</w:t>
      </w:r>
    </w:p>
    <w:p w14:paraId="34399DAF">
      <w:pPr>
        <w:spacing w:before="1" w:line="218"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①</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不同投标人的投标文件由同一单位或者个人编制；</w:t>
      </w:r>
    </w:p>
    <w:p w14:paraId="2D7229A1">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不同投标人委托同一单位或者个人办理投标事宜；</w:t>
      </w:r>
    </w:p>
    <w:p w14:paraId="085EE785">
      <w:pPr>
        <w:spacing w:before="131" w:line="379"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③ 不同投标人使用同一电脑等电子设备办理投标事宜（下载招标文件、上传投标文件、</w:t>
      </w:r>
    </w:p>
    <w:p w14:paraId="07E55B8A">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授权委托人或项目经理实名认证等关键环节</w:t>
      </w:r>
      <w:r>
        <w:rPr>
          <w:rFonts w:ascii="宋体" w:hAnsi="宋体" w:eastAsia="宋体" w:cs="宋体"/>
          <w:color w:val="auto"/>
          <w:spacing w:val="-15"/>
          <w:sz w:val="21"/>
          <w:szCs w:val="21"/>
          <w:highlight w:val="none"/>
        </w:rPr>
        <w:t>）；</w:t>
      </w:r>
    </w:p>
    <w:p w14:paraId="1C5E739F">
      <w:pPr>
        <w:spacing w:before="129"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④</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不同投标人的投标文件载明的项目管理成员为同一人；</w:t>
      </w:r>
    </w:p>
    <w:p w14:paraId="26B7A300">
      <w:pPr>
        <w:spacing w:before="131" w:line="384" w:lineRule="exact"/>
        <w:ind w:left="439"/>
        <w:rPr>
          <w:rFonts w:ascii="宋体" w:hAnsi="宋体" w:eastAsia="宋体" w:cs="宋体"/>
          <w:color w:val="auto"/>
          <w:sz w:val="21"/>
          <w:szCs w:val="21"/>
          <w:highlight w:val="none"/>
        </w:rPr>
      </w:pPr>
      <w:r>
        <w:rPr>
          <w:rFonts w:ascii="宋体" w:hAnsi="宋体" w:eastAsia="宋体" w:cs="宋体"/>
          <w:color w:val="auto"/>
          <w:spacing w:val="-1"/>
          <w:position w:val="13"/>
          <w:sz w:val="21"/>
          <w:szCs w:val="21"/>
          <w:highlight w:val="none"/>
        </w:rPr>
        <w:t>⑤</w:t>
      </w:r>
      <w:r>
        <w:rPr>
          <w:rFonts w:ascii="宋体" w:hAnsi="宋体" w:eastAsia="宋体" w:cs="宋体"/>
          <w:color w:val="auto"/>
          <w:spacing w:val="-27"/>
          <w:position w:val="13"/>
          <w:sz w:val="21"/>
          <w:szCs w:val="21"/>
          <w:highlight w:val="none"/>
        </w:rPr>
        <w:t xml:space="preserve"> </w:t>
      </w:r>
      <w:r>
        <w:rPr>
          <w:rFonts w:ascii="宋体" w:hAnsi="宋体" w:eastAsia="宋体" w:cs="宋体"/>
          <w:color w:val="auto"/>
          <w:spacing w:val="-1"/>
          <w:position w:val="13"/>
          <w:sz w:val="21"/>
          <w:szCs w:val="21"/>
          <w:highlight w:val="none"/>
        </w:rPr>
        <w:t>不同投标人的投标文件非典型一致或者投标报价呈规律性差异；</w:t>
      </w:r>
    </w:p>
    <w:p w14:paraId="61238C7E">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不同投标人的投标文件相互混装；</w:t>
      </w:r>
    </w:p>
    <w:p w14:paraId="6202714A">
      <w:pPr>
        <w:spacing w:before="131" w:line="379" w:lineRule="exact"/>
        <w:ind w:right="15"/>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⑦ 不同投标人的投标保证金或保函（保险）财务费用从同一单位或者个人的账户转出；</w:t>
      </w:r>
    </w:p>
    <w:p w14:paraId="34CFD2AC">
      <w:pPr>
        <w:spacing w:before="1" w:line="218" w:lineRule="auto"/>
        <w:ind w:left="43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⑧</w:t>
      </w:r>
      <w:r>
        <w:rPr>
          <w:rFonts w:ascii="宋体" w:hAnsi="宋体" w:eastAsia="宋体" w:cs="宋体"/>
          <w:color w:val="auto"/>
          <w:spacing w:val="-54"/>
          <w:sz w:val="21"/>
          <w:szCs w:val="21"/>
          <w:highlight w:val="none"/>
        </w:rPr>
        <w:t xml:space="preserve"> </w:t>
      </w:r>
      <w:r>
        <w:rPr>
          <w:rFonts w:ascii="宋体" w:hAnsi="宋体" w:eastAsia="宋体" w:cs="宋体"/>
          <w:color w:val="auto"/>
          <w:spacing w:val="-8"/>
          <w:sz w:val="21"/>
          <w:szCs w:val="21"/>
          <w:highlight w:val="none"/>
        </w:rPr>
        <w:t>不同投标人的投标文件存在“</w:t>
      </w:r>
      <w:r>
        <w:rPr>
          <w:rFonts w:ascii="Times New Roman" w:hAnsi="Times New Roman" w:eastAsia="Times New Roman" w:cs="Times New Roman"/>
          <w:color w:val="auto"/>
          <w:spacing w:val="-8"/>
          <w:sz w:val="21"/>
          <w:szCs w:val="21"/>
          <w:highlight w:val="none"/>
        </w:rPr>
        <w:t>MAC</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8"/>
          <w:sz w:val="21"/>
          <w:szCs w:val="21"/>
          <w:highlight w:val="none"/>
        </w:rPr>
        <w:t>地址”、“文件</w:t>
      </w:r>
      <w:r>
        <w:rPr>
          <w:rFonts w:ascii="宋体" w:hAnsi="宋体" w:eastAsia="宋体" w:cs="宋体"/>
          <w:color w:val="auto"/>
          <w:spacing w:val="-9"/>
          <w:sz w:val="21"/>
          <w:szCs w:val="21"/>
          <w:highlight w:val="none"/>
        </w:rPr>
        <w:t>创建标识码”、“文件制作机器码”</w:t>
      </w:r>
    </w:p>
    <w:p w14:paraId="3353E7E5">
      <w:pPr>
        <w:spacing w:before="130"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等唯一性标识一致等情形。</w:t>
      </w:r>
    </w:p>
    <w:p w14:paraId="540DBB5F">
      <w:pPr>
        <w:spacing w:before="128"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14:paraId="49739F7F">
      <w:pPr>
        <w:spacing w:before="129" w:line="385" w:lineRule="exact"/>
        <w:jc w:val="right"/>
        <w:rPr>
          <w:rFonts w:ascii="宋体" w:hAnsi="宋体" w:eastAsia="宋体" w:cs="宋体"/>
          <w:color w:val="auto"/>
          <w:sz w:val="21"/>
          <w:szCs w:val="21"/>
          <w:highlight w:val="none"/>
        </w:rPr>
      </w:pPr>
      <w:r>
        <w:rPr>
          <w:rFonts w:ascii="宋体" w:hAnsi="宋体" w:eastAsia="宋体" w:cs="宋体"/>
          <w:color w:val="auto"/>
          <w:position w:val="13"/>
          <w:sz w:val="21"/>
          <w:szCs w:val="21"/>
          <w:highlight w:val="none"/>
        </w:rPr>
        <w:t>①</w:t>
      </w:r>
      <w:r>
        <w:rPr>
          <w:rFonts w:ascii="宋体" w:hAnsi="宋体" w:eastAsia="宋体" w:cs="宋体"/>
          <w:color w:val="auto"/>
          <w:spacing w:val="-19"/>
          <w:position w:val="13"/>
          <w:sz w:val="21"/>
          <w:szCs w:val="21"/>
          <w:highlight w:val="none"/>
        </w:rPr>
        <w:t xml:space="preserve"> </w:t>
      </w:r>
      <w:r>
        <w:rPr>
          <w:rFonts w:ascii="宋体" w:hAnsi="宋体" w:eastAsia="宋体" w:cs="宋体"/>
          <w:color w:val="auto"/>
          <w:position w:val="13"/>
          <w:sz w:val="21"/>
          <w:szCs w:val="21"/>
          <w:highlight w:val="none"/>
        </w:rPr>
        <w:t>使用通过受让或者租借等方式获取的资格、资质证书投标的，即以他人名义</w:t>
      </w:r>
      <w:r>
        <w:rPr>
          <w:rFonts w:ascii="宋体" w:hAnsi="宋体" w:eastAsia="宋体" w:cs="宋体"/>
          <w:color w:val="auto"/>
          <w:spacing w:val="-1"/>
          <w:position w:val="13"/>
          <w:sz w:val="21"/>
          <w:szCs w:val="21"/>
          <w:highlight w:val="none"/>
        </w:rPr>
        <w:t>投标的。</w:t>
      </w:r>
    </w:p>
    <w:p w14:paraId="5C1187AB">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②</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使用伪造、变造的许可证件；</w:t>
      </w:r>
    </w:p>
    <w:p w14:paraId="40BD727E">
      <w:pPr>
        <w:spacing w:line="218" w:lineRule="auto"/>
        <w:rPr>
          <w:rFonts w:ascii="宋体" w:hAnsi="宋体" w:eastAsia="宋体" w:cs="宋体"/>
          <w:color w:val="auto"/>
          <w:sz w:val="21"/>
          <w:szCs w:val="21"/>
          <w:highlight w:val="none"/>
        </w:rPr>
        <w:sectPr>
          <w:footerReference r:id="rId67" w:type="default"/>
          <w:pgSz w:w="11905" w:h="16839"/>
          <w:pgMar w:top="1431" w:right="1614" w:bottom="996" w:left="1785" w:header="0" w:footer="791" w:gutter="0"/>
          <w:pgNumType w:fmt="decimal"/>
          <w:cols w:space="720" w:num="1"/>
        </w:sectPr>
      </w:pPr>
    </w:p>
    <w:p w14:paraId="4F2A6444">
      <w:pPr>
        <w:spacing w:before="130" w:line="218" w:lineRule="auto"/>
        <w:ind w:left="439"/>
        <w:rPr>
          <w:rFonts w:ascii="宋体" w:hAnsi="宋体" w:eastAsia="宋体" w:cs="宋体"/>
          <w:color w:val="auto"/>
          <w:sz w:val="21"/>
          <w:szCs w:val="21"/>
          <w:highlight w:val="none"/>
        </w:rPr>
      </w:pPr>
      <w:bookmarkStart w:id="178" w:name="bookmark206"/>
      <w:bookmarkEnd w:id="178"/>
      <w:r>
        <w:rPr>
          <w:rFonts w:ascii="宋体" w:hAnsi="宋体" w:eastAsia="宋体" w:cs="宋体"/>
          <w:color w:val="auto"/>
          <w:spacing w:val="-3"/>
          <w:sz w:val="21"/>
          <w:szCs w:val="21"/>
          <w:highlight w:val="none"/>
        </w:rPr>
        <w:t>③</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提供虚假的财务状况或者业绩；</w:t>
      </w:r>
    </w:p>
    <w:p w14:paraId="21D7AB5C">
      <w:pPr>
        <w:spacing w:before="130" w:line="379" w:lineRule="exact"/>
        <w:ind w:left="439"/>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④</w:t>
      </w:r>
      <w:r>
        <w:rPr>
          <w:rFonts w:ascii="宋体" w:hAnsi="宋体" w:eastAsia="宋体" w:cs="宋体"/>
          <w:color w:val="auto"/>
          <w:spacing w:val="-27"/>
          <w:position w:val="12"/>
          <w:sz w:val="21"/>
          <w:szCs w:val="21"/>
          <w:highlight w:val="none"/>
        </w:rPr>
        <w:t xml:space="preserve"> </w:t>
      </w:r>
      <w:r>
        <w:rPr>
          <w:rFonts w:ascii="宋体" w:hAnsi="宋体" w:eastAsia="宋体" w:cs="宋体"/>
          <w:color w:val="auto"/>
          <w:spacing w:val="-1"/>
          <w:position w:val="12"/>
          <w:sz w:val="21"/>
          <w:szCs w:val="21"/>
          <w:highlight w:val="none"/>
        </w:rPr>
        <w:t>提供虚假的项目负责人或者主要技术人员简历、社会保险证明；</w:t>
      </w:r>
    </w:p>
    <w:p w14:paraId="18C31930">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⑤</w:t>
      </w:r>
      <w:r>
        <w:rPr>
          <w:rFonts w:ascii="宋体" w:hAnsi="宋体" w:eastAsia="宋体" w:cs="宋体"/>
          <w:color w:val="auto"/>
          <w:spacing w:val="-37"/>
          <w:sz w:val="21"/>
          <w:szCs w:val="21"/>
          <w:highlight w:val="none"/>
        </w:rPr>
        <w:t xml:space="preserve"> </w:t>
      </w:r>
      <w:r>
        <w:rPr>
          <w:rFonts w:ascii="宋体" w:hAnsi="宋体" w:eastAsia="宋体" w:cs="宋体"/>
          <w:color w:val="auto"/>
          <w:spacing w:val="-4"/>
          <w:sz w:val="21"/>
          <w:szCs w:val="21"/>
          <w:highlight w:val="none"/>
        </w:rPr>
        <w:t>提供虚假的信用状况；</w:t>
      </w:r>
    </w:p>
    <w:p w14:paraId="56BD995E">
      <w:pPr>
        <w:spacing w:before="136"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其他弄虚作假的行为。</w:t>
      </w:r>
    </w:p>
    <w:p w14:paraId="0D0DCE56">
      <w:pPr>
        <w:spacing w:before="132" w:line="333" w:lineRule="auto"/>
        <w:ind w:left="18" w:right="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3.1.3</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投标报价有算术错误的，评标委</w:t>
      </w:r>
      <w:r>
        <w:rPr>
          <w:rFonts w:ascii="宋体" w:hAnsi="宋体" w:eastAsia="宋体" w:cs="宋体"/>
          <w:color w:val="auto"/>
          <w:sz w:val="21"/>
          <w:szCs w:val="21"/>
          <w:highlight w:val="none"/>
        </w:rPr>
        <w:t xml:space="preserve">员会按以下原则对投标报价进行修正，修正的价 </w:t>
      </w:r>
      <w:r>
        <w:rPr>
          <w:rFonts w:ascii="宋体" w:hAnsi="宋体" w:eastAsia="宋体" w:cs="宋体"/>
          <w:color w:val="auto"/>
          <w:spacing w:val="3"/>
          <w:sz w:val="21"/>
          <w:szCs w:val="21"/>
          <w:highlight w:val="none"/>
        </w:rPr>
        <w:t>格经投标人书面确认后具有约束力。投标人不接受修正价格的，或者修正后</w:t>
      </w:r>
      <w:r>
        <w:rPr>
          <w:rFonts w:ascii="宋体" w:hAnsi="宋体" w:eastAsia="宋体" w:cs="宋体"/>
          <w:color w:val="auto"/>
          <w:spacing w:val="2"/>
          <w:sz w:val="21"/>
          <w:szCs w:val="21"/>
          <w:highlight w:val="none"/>
        </w:rPr>
        <w:t>的投标报价超</w:t>
      </w:r>
    </w:p>
    <w:p w14:paraId="0B656D02">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过最高投标限价的（如有</w:t>
      </w:r>
      <w:r>
        <w:rPr>
          <w:rFonts w:ascii="宋体" w:hAnsi="宋体" w:eastAsia="宋体" w:cs="宋体"/>
          <w:color w:val="auto"/>
          <w:spacing w:val="-7"/>
          <w:sz w:val="21"/>
          <w:szCs w:val="21"/>
          <w:highlight w:val="none"/>
        </w:rPr>
        <w:t>），</w:t>
      </w:r>
      <w:r>
        <w:rPr>
          <w:rFonts w:ascii="宋体" w:hAnsi="宋体" w:eastAsia="宋体" w:cs="宋体"/>
          <w:color w:val="auto"/>
          <w:spacing w:val="-5"/>
          <w:sz w:val="21"/>
          <w:szCs w:val="21"/>
          <w:highlight w:val="none"/>
        </w:rPr>
        <w:t>评标委员会应当否决其投标。</w:t>
      </w:r>
    </w:p>
    <w:p w14:paraId="355703D1">
      <w:pPr>
        <w:spacing w:before="130"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）投标文件中的大写金额与小写金额不一致的， 以大写金额为准；</w:t>
      </w:r>
    </w:p>
    <w:p w14:paraId="4B3382D7">
      <w:pPr>
        <w:spacing w:before="128" w:line="384" w:lineRule="exact"/>
        <w:ind w:right="4"/>
        <w:jc w:val="right"/>
        <w:rPr>
          <w:rFonts w:ascii="宋体" w:hAnsi="宋体" w:eastAsia="宋体" w:cs="宋体"/>
          <w:color w:val="auto"/>
          <w:sz w:val="21"/>
          <w:szCs w:val="21"/>
          <w:highlight w:val="none"/>
        </w:rPr>
      </w:pPr>
      <w:r>
        <w:rPr>
          <w:rFonts w:ascii="宋体" w:hAnsi="宋体" w:eastAsia="宋体" w:cs="宋体"/>
          <w:color w:val="auto"/>
          <w:position w:val="13"/>
          <w:sz w:val="21"/>
          <w:szCs w:val="21"/>
          <w:highlight w:val="none"/>
        </w:rPr>
        <w:t>（</w:t>
      </w:r>
      <w:r>
        <w:rPr>
          <w:rFonts w:ascii="Times New Roman" w:hAnsi="Times New Roman" w:eastAsia="Times New Roman" w:cs="Times New Roman"/>
          <w:color w:val="auto"/>
          <w:position w:val="13"/>
          <w:sz w:val="21"/>
          <w:szCs w:val="21"/>
          <w:highlight w:val="none"/>
        </w:rPr>
        <w:t>2</w:t>
      </w:r>
      <w:r>
        <w:rPr>
          <w:rFonts w:ascii="宋体" w:hAnsi="宋体" w:eastAsia="宋体" w:cs="宋体"/>
          <w:color w:val="auto"/>
          <w:position w:val="13"/>
          <w:sz w:val="21"/>
          <w:szCs w:val="21"/>
          <w:highlight w:val="none"/>
        </w:rPr>
        <w:t>）总价金额与依据单价计算出的结果不一致的，以单价金额为准修正总价，但单价</w:t>
      </w:r>
    </w:p>
    <w:p w14:paraId="2B7C6787">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金额小数点有明显错误的除外。</w:t>
      </w:r>
    </w:p>
    <w:p w14:paraId="0A77E15A">
      <w:pPr>
        <w:spacing w:before="126" w:line="334" w:lineRule="auto"/>
        <w:ind w:left="28" w:right="8" w:firstLine="41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3.1.4</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评标委员会发现投标人的报价明显低于其他投标报</w:t>
      </w:r>
      <w:r>
        <w:rPr>
          <w:rFonts w:ascii="宋体" w:hAnsi="宋体" w:eastAsia="宋体" w:cs="宋体"/>
          <w:color w:val="auto"/>
          <w:sz w:val="21"/>
          <w:szCs w:val="21"/>
          <w:highlight w:val="none"/>
        </w:rPr>
        <w:t xml:space="preserve">价，或者在设有最高投标限价 </w:t>
      </w:r>
      <w:r>
        <w:rPr>
          <w:rFonts w:ascii="宋体" w:hAnsi="宋体" w:eastAsia="宋体" w:cs="宋体"/>
          <w:color w:val="auto"/>
          <w:spacing w:val="3"/>
          <w:sz w:val="21"/>
          <w:szCs w:val="21"/>
          <w:highlight w:val="none"/>
        </w:rPr>
        <w:t>时明显低于最高投标限价，使得其投标报价可能低于</w:t>
      </w:r>
      <w:r>
        <w:rPr>
          <w:rFonts w:ascii="宋体" w:hAnsi="宋体" w:eastAsia="宋体" w:cs="宋体"/>
          <w:color w:val="auto"/>
          <w:spacing w:val="2"/>
          <w:sz w:val="21"/>
          <w:szCs w:val="21"/>
          <w:highlight w:val="none"/>
        </w:rPr>
        <w:t>其个别成本的，应当要求该投标人作</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出书面说明并提供相应的证明材料。投标人不能合理说明或者不能提供相应证明材料的，</w:t>
      </w:r>
    </w:p>
    <w:p w14:paraId="24F53CE0">
      <w:pPr>
        <w:spacing w:before="1" w:line="219"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由评标委员会认定该投标人以低于成本报价竞标，否决其</w:t>
      </w:r>
      <w:r>
        <w:rPr>
          <w:rFonts w:ascii="宋体" w:hAnsi="宋体" w:eastAsia="宋体" w:cs="宋体"/>
          <w:color w:val="auto"/>
          <w:spacing w:val="-3"/>
          <w:sz w:val="21"/>
          <w:szCs w:val="21"/>
          <w:highlight w:val="none"/>
        </w:rPr>
        <w:t>投标。</w:t>
      </w:r>
    </w:p>
    <w:p w14:paraId="35B09797">
      <w:pPr>
        <w:spacing w:before="129" w:line="384" w:lineRule="exact"/>
        <w:ind w:right="55"/>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3"/>
          <w:sz w:val="21"/>
          <w:szCs w:val="21"/>
          <w:highlight w:val="none"/>
        </w:rPr>
        <w:t>3.1.5</w:t>
      </w:r>
      <w:r>
        <w:rPr>
          <w:rFonts w:ascii="Times New Roman" w:hAnsi="Times New Roman" w:eastAsia="Times New Roman" w:cs="Times New Roman"/>
          <w:color w:val="auto"/>
          <w:spacing w:val="31"/>
          <w:w w:val="101"/>
          <w:position w:val="13"/>
          <w:sz w:val="21"/>
          <w:szCs w:val="21"/>
          <w:highlight w:val="none"/>
        </w:rPr>
        <w:t xml:space="preserve"> </w:t>
      </w:r>
      <w:r>
        <w:rPr>
          <w:rFonts w:ascii="宋体" w:hAnsi="宋体" w:eastAsia="宋体" w:cs="宋体"/>
          <w:color w:val="auto"/>
          <w:position w:val="13"/>
          <w:sz w:val="21"/>
          <w:szCs w:val="21"/>
          <w:highlight w:val="none"/>
        </w:rPr>
        <w:t>评标委员会否决不合格投标后，因</w:t>
      </w:r>
      <w:r>
        <w:rPr>
          <w:rFonts w:ascii="宋体" w:hAnsi="宋体" w:eastAsia="宋体" w:cs="宋体"/>
          <w:color w:val="auto"/>
          <w:spacing w:val="-1"/>
          <w:position w:val="13"/>
          <w:sz w:val="21"/>
          <w:szCs w:val="21"/>
          <w:highlight w:val="none"/>
        </w:rPr>
        <w:t>有效投标不足三个使得投标明显缺乏竞争的，</w:t>
      </w:r>
    </w:p>
    <w:p w14:paraId="4107BA05">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评标委员会可以否决全部投标。</w:t>
      </w:r>
    </w:p>
    <w:p w14:paraId="7F21F84C">
      <w:pPr>
        <w:spacing w:before="124"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3.2 </w:t>
      </w:r>
      <w:r>
        <w:rPr>
          <w:rFonts w:ascii="黑体" w:hAnsi="黑体" w:eastAsia="黑体" w:cs="黑体"/>
          <w:color w:val="auto"/>
          <w:spacing w:val="-3"/>
          <w:sz w:val="24"/>
          <w:szCs w:val="24"/>
          <w:highlight w:val="none"/>
        </w:rPr>
        <w:t>详细评审</w:t>
      </w:r>
    </w:p>
    <w:p w14:paraId="349C71B5">
      <w:pPr>
        <w:spacing w:before="119"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评标委员会对通过了初步评审的投标文件进行详细评审。</w:t>
      </w:r>
    </w:p>
    <w:p w14:paraId="0DBCAE47">
      <w:pPr>
        <w:spacing w:before="130" w:line="379" w:lineRule="exact"/>
        <w:ind w:right="1"/>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3.2.2</w:t>
      </w:r>
      <w:r>
        <w:rPr>
          <w:rFonts w:ascii="Times New Roman" w:hAnsi="Times New Roman" w:eastAsia="Times New Roman" w:cs="Times New Roman"/>
          <w:color w:val="auto"/>
          <w:spacing w:val="31"/>
          <w:w w:val="101"/>
          <w:position w:val="12"/>
          <w:sz w:val="21"/>
          <w:szCs w:val="21"/>
          <w:highlight w:val="none"/>
        </w:rPr>
        <w:t xml:space="preserve"> </w:t>
      </w:r>
      <w:r>
        <w:rPr>
          <w:rFonts w:ascii="宋体" w:hAnsi="宋体" w:eastAsia="宋体" w:cs="宋体"/>
          <w:color w:val="auto"/>
          <w:position w:val="12"/>
          <w:sz w:val="21"/>
          <w:szCs w:val="21"/>
          <w:highlight w:val="none"/>
        </w:rPr>
        <w:t xml:space="preserve">评标委员会按本章第 </w:t>
      </w:r>
      <w:r>
        <w:rPr>
          <w:rFonts w:ascii="Times New Roman" w:hAnsi="Times New Roman" w:eastAsia="Times New Roman" w:cs="Times New Roman"/>
          <w:color w:val="auto"/>
          <w:position w:val="12"/>
          <w:sz w:val="21"/>
          <w:szCs w:val="21"/>
          <w:highlight w:val="none"/>
        </w:rPr>
        <w:t>2.2</w:t>
      </w:r>
      <w:r>
        <w:rPr>
          <w:rFonts w:ascii="Times New Roman" w:hAnsi="Times New Roman" w:eastAsia="Times New Roman" w:cs="Times New Roman"/>
          <w:color w:val="auto"/>
          <w:spacing w:val="43"/>
          <w:position w:val="12"/>
          <w:sz w:val="21"/>
          <w:szCs w:val="21"/>
          <w:highlight w:val="none"/>
        </w:rPr>
        <w:t xml:space="preserve"> </w:t>
      </w:r>
      <w:r>
        <w:rPr>
          <w:rFonts w:ascii="宋体" w:hAnsi="宋体" w:eastAsia="宋体" w:cs="宋体"/>
          <w:color w:val="auto"/>
          <w:position w:val="12"/>
          <w:sz w:val="21"/>
          <w:szCs w:val="21"/>
          <w:highlight w:val="none"/>
        </w:rPr>
        <w:t>款规定的量化因素和评审标准对投</w:t>
      </w:r>
      <w:r>
        <w:rPr>
          <w:rFonts w:ascii="宋体" w:hAnsi="宋体" w:eastAsia="宋体" w:cs="宋体"/>
          <w:color w:val="auto"/>
          <w:spacing w:val="-1"/>
          <w:position w:val="12"/>
          <w:sz w:val="21"/>
          <w:szCs w:val="21"/>
          <w:highlight w:val="none"/>
        </w:rPr>
        <w:t>标报价评审，确认有</w:t>
      </w:r>
    </w:p>
    <w:p w14:paraId="3ABC22E3">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效评标价。（适用于经评审的最低投标价法）</w:t>
      </w:r>
    </w:p>
    <w:p w14:paraId="0CE879F1">
      <w:pPr>
        <w:spacing w:before="135" w:line="374"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 xml:space="preserve">3.2.3 </w:t>
      </w:r>
      <w:r>
        <w:rPr>
          <w:rFonts w:ascii="宋体" w:hAnsi="宋体" w:eastAsia="宋体" w:cs="宋体"/>
          <w:color w:val="auto"/>
          <w:spacing w:val="-1"/>
          <w:position w:val="12"/>
          <w:sz w:val="21"/>
          <w:szCs w:val="21"/>
          <w:highlight w:val="none"/>
        </w:rPr>
        <w:t>将有效评标价（不低于合理最低价）由低到高的顺序排序。</w:t>
      </w:r>
    </w:p>
    <w:p w14:paraId="489B2638">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3.3 </w:t>
      </w:r>
      <w:r>
        <w:rPr>
          <w:rFonts w:ascii="黑体" w:hAnsi="黑体" w:eastAsia="黑体" w:cs="黑体"/>
          <w:color w:val="auto"/>
          <w:spacing w:val="-2"/>
          <w:sz w:val="24"/>
          <w:szCs w:val="24"/>
          <w:highlight w:val="none"/>
        </w:rPr>
        <w:t>投标文件的澄清和补正</w:t>
      </w:r>
    </w:p>
    <w:p w14:paraId="17656A28">
      <w:pPr>
        <w:spacing w:before="119" w:line="335" w:lineRule="auto"/>
        <w:ind w:left="17" w:right="11" w:firstLine="42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3.3.1</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z w:val="21"/>
          <w:szCs w:val="21"/>
          <w:highlight w:val="none"/>
        </w:rPr>
        <w:t>在评标过程中，评标委员会可以书面形式要求投标人对投标</w:t>
      </w:r>
      <w:r>
        <w:rPr>
          <w:rFonts w:ascii="宋体" w:hAnsi="宋体" w:eastAsia="宋体" w:cs="宋体"/>
          <w:color w:val="auto"/>
          <w:spacing w:val="-1"/>
          <w:sz w:val="21"/>
          <w:szCs w:val="21"/>
          <w:highlight w:val="none"/>
        </w:rPr>
        <w:t>文件中含义不明确、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对同类问题表述不一致或者有明显文字和计算错误的内容作必要的澄清、说明</w:t>
      </w:r>
      <w:r>
        <w:rPr>
          <w:rFonts w:ascii="宋体" w:hAnsi="宋体" w:eastAsia="宋体" w:cs="宋体"/>
          <w:color w:val="auto"/>
          <w:spacing w:val="2"/>
          <w:sz w:val="21"/>
          <w:szCs w:val="21"/>
          <w:highlight w:val="none"/>
        </w:rPr>
        <w:t>或补正。澄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清、说明或补正应以书面方式进行。评标委员会不接受投标人主动提出的澄清</w:t>
      </w:r>
      <w:r>
        <w:rPr>
          <w:rFonts w:ascii="宋体" w:hAnsi="宋体" w:eastAsia="宋体" w:cs="宋体"/>
          <w:color w:val="auto"/>
          <w:spacing w:val="2"/>
          <w:sz w:val="21"/>
          <w:szCs w:val="21"/>
          <w:highlight w:val="none"/>
        </w:rPr>
        <w:t>、说明或补</w:t>
      </w:r>
    </w:p>
    <w:p w14:paraId="3E8AC3E8">
      <w:pPr>
        <w:spacing w:line="233"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正。</w:t>
      </w:r>
    </w:p>
    <w:p w14:paraId="08F8FE09">
      <w:pPr>
        <w:spacing w:before="114" w:line="379" w:lineRule="exact"/>
        <w:ind w:right="10"/>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6"/>
          <w:position w:val="12"/>
          <w:sz w:val="21"/>
          <w:szCs w:val="21"/>
          <w:highlight w:val="none"/>
        </w:rPr>
        <w:t>3.3.2</w:t>
      </w:r>
      <w:r>
        <w:rPr>
          <w:rFonts w:ascii="Times New Roman" w:hAnsi="Times New Roman" w:eastAsia="Times New Roman" w:cs="Times New Roman"/>
          <w:color w:val="auto"/>
          <w:spacing w:val="38"/>
          <w:position w:val="12"/>
          <w:sz w:val="21"/>
          <w:szCs w:val="21"/>
          <w:highlight w:val="none"/>
        </w:rPr>
        <w:t xml:space="preserve"> </w:t>
      </w:r>
      <w:r>
        <w:rPr>
          <w:rFonts w:ascii="宋体" w:hAnsi="宋体" w:eastAsia="宋体" w:cs="宋体"/>
          <w:color w:val="auto"/>
          <w:spacing w:val="6"/>
          <w:position w:val="12"/>
          <w:sz w:val="21"/>
          <w:szCs w:val="21"/>
          <w:highlight w:val="none"/>
        </w:rPr>
        <w:t>澄清、说明和补正不得超出投标文件的范围且不得改变投标文件的</w:t>
      </w:r>
      <w:r>
        <w:rPr>
          <w:rFonts w:ascii="宋体" w:hAnsi="宋体" w:eastAsia="宋体" w:cs="宋体"/>
          <w:color w:val="auto"/>
          <w:spacing w:val="5"/>
          <w:position w:val="12"/>
          <w:sz w:val="21"/>
          <w:szCs w:val="21"/>
          <w:highlight w:val="none"/>
        </w:rPr>
        <w:t>实质性内容</w:t>
      </w:r>
    </w:p>
    <w:p w14:paraId="277A7A60">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（算术错误修正的除外）。投标人的书面澄清、说明和补正属于投标文件的组成部分。</w:t>
      </w:r>
    </w:p>
    <w:p w14:paraId="341E3394">
      <w:pPr>
        <w:spacing w:before="130" w:line="37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3.3.3</w:t>
      </w:r>
      <w:r>
        <w:rPr>
          <w:rFonts w:ascii="Times New Roman" w:hAnsi="Times New Roman" w:eastAsia="Times New Roman" w:cs="Times New Roman"/>
          <w:color w:val="auto"/>
          <w:spacing w:val="32"/>
          <w:position w:val="12"/>
          <w:sz w:val="21"/>
          <w:szCs w:val="21"/>
          <w:highlight w:val="none"/>
        </w:rPr>
        <w:t xml:space="preserve"> </w:t>
      </w:r>
      <w:r>
        <w:rPr>
          <w:rFonts w:ascii="宋体" w:hAnsi="宋体" w:eastAsia="宋体" w:cs="宋体"/>
          <w:color w:val="auto"/>
          <w:spacing w:val="1"/>
          <w:position w:val="12"/>
          <w:sz w:val="21"/>
          <w:szCs w:val="21"/>
          <w:highlight w:val="none"/>
        </w:rPr>
        <w:t>评标委员会对投标人提交的澄清、说明或补正有疑</w:t>
      </w:r>
      <w:r>
        <w:rPr>
          <w:rFonts w:ascii="宋体" w:hAnsi="宋体" w:eastAsia="宋体" w:cs="宋体"/>
          <w:color w:val="auto"/>
          <w:position w:val="12"/>
          <w:sz w:val="21"/>
          <w:szCs w:val="21"/>
          <w:highlight w:val="none"/>
        </w:rPr>
        <w:t>问的，可以要求投标人进一步</w:t>
      </w:r>
    </w:p>
    <w:p w14:paraId="013C08C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澄清、说明或补正， 直至满足评标委员会的要求。</w:t>
      </w:r>
    </w:p>
    <w:p w14:paraId="4FE81CF9">
      <w:pPr>
        <w:spacing w:before="128" w:line="335" w:lineRule="auto"/>
        <w:ind w:left="18" w:right="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3.3.4</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评标委员会要求投标人对投标文件问题</w:t>
      </w:r>
      <w:r>
        <w:rPr>
          <w:rFonts w:ascii="宋体" w:hAnsi="宋体" w:eastAsia="宋体" w:cs="宋体"/>
          <w:color w:val="auto"/>
          <w:sz w:val="21"/>
          <w:szCs w:val="21"/>
          <w:highlight w:val="none"/>
        </w:rPr>
        <w:t>澄清的通知，以及投标人对投标文件的澄 清通过电子招标投标系统（辽宁省工程建设项</w:t>
      </w:r>
      <w:r>
        <w:rPr>
          <w:rFonts w:ascii="宋体" w:hAnsi="宋体" w:eastAsia="宋体" w:cs="宋体"/>
          <w:color w:val="auto"/>
          <w:spacing w:val="-1"/>
          <w:sz w:val="21"/>
          <w:szCs w:val="21"/>
          <w:highlight w:val="none"/>
        </w:rPr>
        <w:t>目数字化开标评标系统） 以书面形式进行。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投标人的澄清、说明或补正应在评标办法前附表通知规定的时间要求内提交，否则评标委</w:t>
      </w:r>
    </w:p>
    <w:p w14:paraId="412F33F6">
      <w:pPr>
        <w:spacing w:before="1" w:line="219" w:lineRule="auto"/>
        <w:ind w:left="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员会（电子招标投标系统）将拒绝接收。</w:t>
      </w:r>
    </w:p>
    <w:p w14:paraId="05F9B746">
      <w:pPr>
        <w:spacing w:before="124"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3.4 </w:t>
      </w:r>
      <w:r>
        <w:rPr>
          <w:rFonts w:ascii="黑体" w:hAnsi="黑体" w:eastAsia="黑体" w:cs="黑体"/>
          <w:color w:val="auto"/>
          <w:spacing w:val="-3"/>
          <w:sz w:val="24"/>
          <w:szCs w:val="24"/>
          <w:highlight w:val="none"/>
        </w:rPr>
        <w:t>评标结果</w:t>
      </w:r>
    </w:p>
    <w:p w14:paraId="15DF3B27">
      <w:pPr>
        <w:spacing w:before="120" w:line="220" w:lineRule="auto"/>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3.4.1  </w:t>
      </w:r>
      <w:r>
        <w:rPr>
          <w:rFonts w:ascii="宋体" w:hAnsi="宋体" w:eastAsia="宋体" w:cs="宋体"/>
          <w:color w:val="auto"/>
          <w:spacing w:val="-1"/>
          <w:sz w:val="21"/>
          <w:szCs w:val="21"/>
          <w:highlight w:val="none"/>
        </w:rPr>
        <w:t xml:space="preserve">除第二章“投标人须知”前附表第 </w:t>
      </w:r>
      <w:r>
        <w:rPr>
          <w:rFonts w:ascii="Times New Roman" w:hAnsi="Times New Roman" w:eastAsia="Times New Roman" w:cs="Times New Roman"/>
          <w:color w:val="auto"/>
          <w:spacing w:val="-1"/>
          <w:sz w:val="21"/>
          <w:szCs w:val="21"/>
          <w:highlight w:val="none"/>
        </w:rPr>
        <w:t>7.1</w:t>
      </w:r>
      <w:r>
        <w:rPr>
          <w:rFonts w:ascii="Times New Roman" w:hAnsi="Times New Roman" w:eastAsia="Times New Roman" w:cs="Times New Roman"/>
          <w:color w:val="auto"/>
          <w:spacing w:val="56"/>
          <w:sz w:val="21"/>
          <w:szCs w:val="21"/>
          <w:highlight w:val="none"/>
        </w:rPr>
        <w:t xml:space="preserve"> </w:t>
      </w:r>
      <w:r>
        <w:rPr>
          <w:rFonts w:ascii="宋体" w:hAnsi="宋体" w:eastAsia="宋体" w:cs="宋体"/>
          <w:color w:val="auto"/>
          <w:spacing w:val="-1"/>
          <w:sz w:val="21"/>
          <w:szCs w:val="21"/>
          <w:highlight w:val="none"/>
        </w:rPr>
        <w:t>款授权直接确定中标人外，评标委员会按</w:t>
      </w:r>
    </w:p>
    <w:p w14:paraId="2BB1253F">
      <w:pPr>
        <w:spacing w:line="220" w:lineRule="auto"/>
        <w:rPr>
          <w:rFonts w:ascii="宋体" w:hAnsi="宋体" w:eastAsia="宋体" w:cs="宋体"/>
          <w:color w:val="auto"/>
          <w:sz w:val="21"/>
          <w:szCs w:val="21"/>
          <w:highlight w:val="none"/>
        </w:rPr>
        <w:sectPr>
          <w:footerReference r:id="rId68" w:type="default"/>
          <w:pgSz w:w="11905" w:h="16839"/>
          <w:pgMar w:top="1431" w:right="1785" w:bottom="996" w:left="1785" w:header="0" w:footer="791" w:gutter="0"/>
          <w:pgNumType w:fmt="decimal"/>
          <w:cols w:space="720" w:num="1"/>
        </w:sectPr>
      </w:pPr>
    </w:p>
    <w:p w14:paraId="72C78AA5">
      <w:pPr>
        <w:spacing w:before="130" w:line="219" w:lineRule="auto"/>
        <w:ind w:left="24"/>
        <w:rPr>
          <w:rFonts w:ascii="宋体" w:hAnsi="宋体" w:eastAsia="宋体" w:cs="宋体"/>
          <w:color w:val="auto"/>
          <w:sz w:val="21"/>
          <w:szCs w:val="21"/>
          <w:highlight w:val="none"/>
        </w:rPr>
      </w:pPr>
      <w:bookmarkStart w:id="179" w:name="bookmark207"/>
      <w:bookmarkEnd w:id="179"/>
      <w:r>
        <w:rPr>
          <w:rFonts w:ascii="宋体" w:hAnsi="宋体" w:eastAsia="宋体" w:cs="宋体"/>
          <w:color w:val="auto"/>
          <w:spacing w:val="-2"/>
          <w:sz w:val="21"/>
          <w:szCs w:val="21"/>
          <w:highlight w:val="none"/>
        </w:rPr>
        <w:t>照有效评标价由低到高的顺序推荐中标候选人。</w:t>
      </w:r>
    </w:p>
    <w:p w14:paraId="4CE4D093">
      <w:pPr>
        <w:spacing w:before="130"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3.4.2 </w:t>
      </w:r>
      <w:r>
        <w:rPr>
          <w:rFonts w:ascii="宋体" w:hAnsi="宋体" w:eastAsia="宋体" w:cs="宋体"/>
          <w:color w:val="auto"/>
          <w:spacing w:val="-1"/>
          <w:sz w:val="21"/>
          <w:szCs w:val="21"/>
          <w:highlight w:val="none"/>
        </w:rPr>
        <w:t>评标委员会完成评标后，应当向招标人提</w:t>
      </w:r>
      <w:r>
        <w:rPr>
          <w:rFonts w:ascii="宋体" w:hAnsi="宋体" w:eastAsia="宋体" w:cs="宋体"/>
          <w:color w:val="auto"/>
          <w:spacing w:val="-2"/>
          <w:sz w:val="21"/>
          <w:szCs w:val="21"/>
          <w:highlight w:val="none"/>
        </w:rPr>
        <w:t>交书面评标报告。</w:t>
      </w:r>
    </w:p>
    <w:p w14:paraId="40780298">
      <w:pPr>
        <w:spacing w:before="127" w:line="335" w:lineRule="auto"/>
        <w:ind w:left="18" w:right="1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3.4.3</w:t>
      </w:r>
      <w:r>
        <w:rPr>
          <w:rFonts w:ascii="Times New Roman" w:hAnsi="Times New Roman" w:eastAsia="Times New Roman" w:cs="Times New Roman"/>
          <w:color w:val="auto"/>
          <w:spacing w:val="51"/>
          <w:sz w:val="21"/>
          <w:szCs w:val="21"/>
          <w:highlight w:val="none"/>
        </w:rPr>
        <w:t xml:space="preserve"> </w:t>
      </w:r>
      <w:r>
        <w:rPr>
          <w:rFonts w:ascii="宋体" w:hAnsi="宋体" w:eastAsia="宋体" w:cs="宋体"/>
          <w:color w:val="auto"/>
          <w:spacing w:val="-1"/>
          <w:sz w:val="21"/>
          <w:szCs w:val="21"/>
          <w:highlight w:val="none"/>
        </w:rPr>
        <w:t>投标人串通投标或弄虚作假或有其他违法行为，评标委员会在评标过程中发现，</w:t>
      </w:r>
      <w:r>
        <w:rPr>
          <w:rFonts w:ascii="宋体" w:hAnsi="宋体" w:eastAsia="宋体" w:cs="宋体"/>
          <w:color w:val="auto"/>
          <w:sz w:val="21"/>
          <w:szCs w:val="21"/>
          <w:highlight w:val="none"/>
        </w:rPr>
        <w:t xml:space="preserve"> 证据确凿的， 经评标委员会成员三分之二以上同意，其投标作否决投标处理；证据不够确</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凿的， 其投标不能作否决投标处理，但评标委员会在向招标人提交书面评标报告时，应予</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说明。在评标结束后发现投标人串通投标或弄虚作假或有其他违法行为，查证属实的， 取</w:t>
      </w:r>
    </w:p>
    <w:p w14:paraId="1D4B9B24">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消其中标资格。</w:t>
      </w:r>
    </w:p>
    <w:p w14:paraId="2A3EB544">
      <w:pPr>
        <w:spacing w:line="220" w:lineRule="auto"/>
        <w:rPr>
          <w:rFonts w:ascii="宋体" w:hAnsi="宋体" w:eastAsia="宋体" w:cs="宋体"/>
          <w:color w:val="auto"/>
          <w:sz w:val="21"/>
          <w:szCs w:val="21"/>
          <w:highlight w:val="none"/>
        </w:rPr>
        <w:sectPr>
          <w:footerReference r:id="rId69" w:type="default"/>
          <w:pgSz w:w="11905" w:h="16839"/>
          <w:pgMar w:top="1431" w:right="1785" w:bottom="996" w:left="1785" w:header="0" w:footer="791" w:gutter="0"/>
          <w:pgNumType w:fmt="decimal"/>
          <w:cols w:space="720" w:num="1"/>
        </w:sectPr>
      </w:pPr>
    </w:p>
    <w:p w14:paraId="3B1A7CD0">
      <w:pPr>
        <w:pStyle w:val="3"/>
        <w:spacing w:before="306"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附件</w:t>
      </w:r>
      <w:r>
        <w:rPr>
          <w:rFonts w:ascii="黑体" w:hAnsi="黑体" w:eastAsia="黑体" w:cs="黑体"/>
          <w:color w:val="auto"/>
          <w:spacing w:val="-56"/>
          <w:sz w:val="24"/>
          <w:szCs w:val="24"/>
          <w:highlight w:val="none"/>
        </w:rPr>
        <w:t xml:space="preserve"> </w:t>
      </w:r>
      <w:r>
        <w:rPr>
          <w:color w:val="auto"/>
          <w:spacing w:val="-3"/>
          <w:sz w:val="24"/>
          <w:szCs w:val="24"/>
          <w:highlight w:val="none"/>
        </w:rPr>
        <w:t>A</w:t>
      </w:r>
      <w:r>
        <w:rPr>
          <w:rFonts w:ascii="黑体" w:hAnsi="黑体" w:eastAsia="黑体" w:cs="黑体"/>
          <w:color w:val="auto"/>
          <w:spacing w:val="-3"/>
          <w:sz w:val="24"/>
          <w:szCs w:val="24"/>
          <w:highlight w:val="none"/>
        </w:rPr>
        <w:t>：评标详细程序</w:t>
      </w:r>
    </w:p>
    <w:p w14:paraId="34B5B955">
      <w:pPr>
        <w:pStyle w:val="3"/>
        <w:spacing w:line="427" w:lineRule="auto"/>
        <w:rPr>
          <w:color w:val="auto"/>
          <w:highlight w:val="none"/>
        </w:rPr>
      </w:pPr>
    </w:p>
    <w:p w14:paraId="45DC4992">
      <w:pPr>
        <w:spacing w:before="88" w:line="225" w:lineRule="auto"/>
        <w:ind w:left="3333"/>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14:textOutline w14:w="5050" w14:cap="flat" w14:cmpd="sng">
            <w14:solidFill>
              <w14:srgbClr w14:val="000000"/>
            </w14:solidFill>
            <w14:prstDash w14:val="solid"/>
            <w14:miter w14:val="0"/>
          </w14:textOutline>
        </w:rPr>
        <w:t>评标详细程序</w:t>
      </w:r>
    </w:p>
    <w:p w14:paraId="0007E0C2">
      <w:pPr>
        <w:spacing w:before="107"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A0.</w:t>
      </w:r>
      <w:r>
        <w:rPr>
          <w:rFonts w:ascii="黑体" w:hAnsi="黑体" w:eastAsia="黑体" w:cs="黑体"/>
          <w:color w:val="auto"/>
          <w:sz w:val="24"/>
          <w:szCs w:val="24"/>
          <w:highlight w:val="none"/>
        </w:rPr>
        <w:t>总</w:t>
      </w:r>
      <w:r>
        <w:rPr>
          <w:rFonts w:ascii="黑体" w:hAnsi="黑体" w:eastAsia="黑体" w:cs="黑体"/>
          <w:color w:val="auto"/>
          <w:spacing w:val="13"/>
          <w:sz w:val="24"/>
          <w:szCs w:val="24"/>
          <w:highlight w:val="none"/>
        </w:rPr>
        <w:t xml:space="preserve"> </w:t>
      </w:r>
      <w:r>
        <w:rPr>
          <w:rFonts w:ascii="黑体" w:hAnsi="黑体" w:eastAsia="黑体" w:cs="黑体"/>
          <w:color w:val="auto"/>
          <w:sz w:val="24"/>
          <w:szCs w:val="24"/>
          <w:highlight w:val="none"/>
        </w:rPr>
        <w:t>则</w:t>
      </w:r>
    </w:p>
    <w:p w14:paraId="6F34B7CD">
      <w:pPr>
        <w:spacing w:before="143"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本附件是本章“评标办法”的组成部分，是对本章第 3 条所规定的评标程序的进一步</w:t>
      </w:r>
    </w:p>
    <w:p w14:paraId="19C218BD">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细化，评标委员会应当按照本附件所规定的详细程序开展并完成评</w:t>
      </w:r>
      <w:r>
        <w:rPr>
          <w:rFonts w:ascii="宋体" w:hAnsi="宋体" w:eastAsia="宋体" w:cs="宋体"/>
          <w:color w:val="auto"/>
          <w:spacing w:val="-1"/>
          <w:sz w:val="21"/>
          <w:szCs w:val="21"/>
          <w:highlight w:val="none"/>
        </w:rPr>
        <w:t>标工作。</w:t>
      </w:r>
    </w:p>
    <w:p w14:paraId="1020078C">
      <w:pPr>
        <w:spacing w:before="123"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A1.</w:t>
      </w:r>
      <w:r>
        <w:rPr>
          <w:rFonts w:ascii="黑体" w:hAnsi="黑体" w:eastAsia="黑体" w:cs="黑体"/>
          <w:color w:val="auto"/>
          <w:sz w:val="24"/>
          <w:szCs w:val="24"/>
          <w:highlight w:val="none"/>
        </w:rPr>
        <w:t>基本程序</w:t>
      </w:r>
    </w:p>
    <w:p w14:paraId="629AFFAF">
      <w:pPr>
        <w:spacing w:before="144" w:line="398" w:lineRule="exact"/>
        <w:ind w:left="44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评标活动将按以下五个步骤进行：</w:t>
      </w:r>
    </w:p>
    <w:p w14:paraId="3CDBE5A4">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（1）评标准备；</w:t>
      </w:r>
    </w:p>
    <w:p w14:paraId="71AC1618">
      <w:pPr>
        <w:spacing w:before="146"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（2）初步评审；</w:t>
      </w:r>
    </w:p>
    <w:p w14:paraId="3D38A29F">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（3）详细评审；</w:t>
      </w:r>
    </w:p>
    <w:p w14:paraId="46C649E2">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（4）澄清、说明或补正；</w:t>
      </w:r>
    </w:p>
    <w:p w14:paraId="6FA21B11">
      <w:pPr>
        <w:spacing w:before="148" w:line="37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（5）推荐中标候选人或者直接确定中标人及提交评标报告。</w:t>
      </w:r>
    </w:p>
    <w:p w14:paraId="6B4FFF43">
      <w:pPr>
        <w:spacing w:before="1" w:line="218"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A2.</w:t>
      </w:r>
      <w:r>
        <w:rPr>
          <w:rFonts w:ascii="黑体" w:hAnsi="黑体" w:eastAsia="黑体" w:cs="黑体"/>
          <w:color w:val="auto"/>
          <w:sz w:val="24"/>
          <w:szCs w:val="24"/>
          <w:highlight w:val="none"/>
        </w:rPr>
        <w:t>评标准备</w:t>
      </w:r>
    </w:p>
    <w:p w14:paraId="1AAB061B">
      <w:pPr>
        <w:spacing w:before="139"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A2.1 </w:t>
      </w:r>
      <w:r>
        <w:rPr>
          <w:rFonts w:ascii="黑体" w:hAnsi="黑体" w:eastAsia="黑体" w:cs="黑体"/>
          <w:color w:val="auto"/>
          <w:spacing w:val="-1"/>
          <w:sz w:val="21"/>
          <w:szCs w:val="21"/>
          <w:highlight w:val="none"/>
        </w:rPr>
        <w:t>评标委员会成员签到</w:t>
      </w:r>
    </w:p>
    <w:p w14:paraId="3B4073CD">
      <w:pPr>
        <w:spacing w:before="150" w:line="403" w:lineRule="exact"/>
        <w:ind w:right="3"/>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评标委员会成员到达评标现场时应在签到表上签到以证明其出席。评标委员会签到表</w:t>
      </w:r>
    </w:p>
    <w:p w14:paraId="186CF8BE">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见</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A-1</w:t>
      </w:r>
      <w:r>
        <w:rPr>
          <w:rFonts w:ascii="宋体" w:hAnsi="宋体" w:eastAsia="宋体" w:cs="宋体"/>
          <w:color w:val="auto"/>
          <w:spacing w:val="-1"/>
          <w:sz w:val="21"/>
          <w:szCs w:val="21"/>
          <w:highlight w:val="none"/>
        </w:rPr>
        <w:t>。并按照要求阅读评标纪律。</w:t>
      </w:r>
    </w:p>
    <w:p w14:paraId="4F74E133">
      <w:pPr>
        <w:spacing w:before="147"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评标委员会成员在评标前， 应当签订签署评标专家告知承诺函。评标专家告知承诺函</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见</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A-2。</w:t>
      </w:r>
      <w:r>
        <w:rPr>
          <w:rFonts w:ascii="宋体" w:hAnsi="宋体" w:eastAsia="宋体" w:cs="宋体"/>
          <w:color w:val="auto"/>
          <w:sz w:val="21"/>
          <w:szCs w:val="21"/>
          <w:highlight w:val="none"/>
        </w:rPr>
        <w:t>评标委员会成员对尽职、回避、保密、廉洁， 不参与串通投标等进行承诺，</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承诺遵守有关评标管理规定以及评标纪律，客观、公正地进行评标，并接受</w:t>
      </w:r>
      <w:r>
        <w:rPr>
          <w:rFonts w:ascii="宋体" w:hAnsi="宋体" w:eastAsia="宋体" w:cs="宋体"/>
          <w:color w:val="auto"/>
          <w:spacing w:val="2"/>
          <w:sz w:val="21"/>
          <w:szCs w:val="21"/>
          <w:highlight w:val="none"/>
        </w:rPr>
        <w:t>招投标监管部</w:t>
      </w:r>
    </w:p>
    <w:p w14:paraId="6F986B6E">
      <w:pPr>
        <w:spacing w:line="222" w:lineRule="auto"/>
        <w:ind w:left="4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门的监督。</w:t>
      </w:r>
    </w:p>
    <w:p w14:paraId="5807AD0C">
      <w:pPr>
        <w:spacing w:before="146"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A2.2 </w:t>
      </w:r>
      <w:r>
        <w:rPr>
          <w:rFonts w:ascii="黑体" w:hAnsi="黑体" w:eastAsia="黑体" w:cs="黑体"/>
          <w:color w:val="auto"/>
          <w:spacing w:val="-1"/>
          <w:sz w:val="21"/>
          <w:szCs w:val="21"/>
          <w:highlight w:val="none"/>
        </w:rPr>
        <w:t>评标委员会的分工</w:t>
      </w:r>
    </w:p>
    <w:p w14:paraId="79F61C1B">
      <w:pPr>
        <w:spacing w:before="169" w:line="422" w:lineRule="exact"/>
        <w:ind w:right="4"/>
        <w:jc w:val="right"/>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A2.2.1 评标委员会首先推选一名评标委员会主任。评标委员会主任负责评标活动的组</w:t>
      </w:r>
    </w:p>
    <w:p w14:paraId="7365C694">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织工作。</w:t>
      </w:r>
    </w:p>
    <w:p w14:paraId="7E6B9F79">
      <w:pPr>
        <w:spacing w:before="153"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A2.2.2 评标委员会主任除履行自己作为</w:t>
      </w:r>
      <w:r>
        <w:rPr>
          <w:rFonts w:ascii="宋体" w:hAnsi="宋体" w:eastAsia="宋体" w:cs="宋体"/>
          <w:color w:val="auto"/>
          <w:position w:val="14"/>
          <w:sz w:val="21"/>
          <w:szCs w:val="21"/>
          <w:highlight w:val="none"/>
        </w:rPr>
        <w:t>评标委员会成员独立评标的职责外，主要负责</w:t>
      </w:r>
    </w:p>
    <w:p w14:paraId="0FAA7DE0">
      <w:pPr>
        <w:spacing w:line="221" w:lineRule="auto"/>
        <w:ind w:left="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以下工作：</w:t>
      </w:r>
    </w:p>
    <w:p w14:paraId="594DD56F">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（1）组织评标委员会成员学习招标文件中载明的评</w:t>
      </w:r>
      <w:r>
        <w:rPr>
          <w:rFonts w:ascii="宋体" w:hAnsi="宋体" w:eastAsia="宋体" w:cs="宋体"/>
          <w:color w:val="auto"/>
          <w:spacing w:val="-2"/>
          <w:sz w:val="21"/>
          <w:szCs w:val="21"/>
          <w:highlight w:val="none"/>
        </w:rPr>
        <w:t>标标准和方法；</w:t>
      </w:r>
    </w:p>
    <w:p w14:paraId="4B573B88">
      <w:pPr>
        <w:spacing w:before="172"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（2）提醒招标人做好评标准备工作，包括提供所需的评标基础资料；</w:t>
      </w:r>
    </w:p>
    <w:p w14:paraId="3F336F64">
      <w:pPr>
        <w:spacing w:before="158" w:line="220" w:lineRule="auto"/>
        <w:ind w:right="7"/>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（3）汇总各评标委员会成员认为需要投标人澄清、说明或者补正的问题，组织评标委</w:t>
      </w:r>
    </w:p>
    <w:p w14:paraId="3BBBB174">
      <w:pPr>
        <w:spacing w:before="153" w:line="220" w:lineRule="auto"/>
        <w:ind w:left="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员会对投标人质询并对投标人的答复进行评审；</w:t>
      </w:r>
    </w:p>
    <w:p w14:paraId="35AAA33C">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（4）对出现较大争议的事项进行书面记录；</w:t>
      </w:r>
    </w:p>
    <w:p w14:paraId="1A3317AC">
      <w:pPr>
        <w:spacing w:before="148"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（5）查验评标用表格和评标记录的完整性及有效性；</w:t>
      </w:r>
    </w:p>
    <w:p w14:paraId="13401408">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（6）组织对评标结论进行复核确认；</w:t>
      </w:r>
    </w:p>
    <w:p w14:paraId="7D36A75B">
      <w:pPr>
        <w:spacing w:before="147"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（7）组织编写评标报告，推荐中标候选人。</w:t>
      </w:r>
    </w:p>
    <w:p w14:paraId="30AF9575">
      <w:pPr>
        <w:spacing w:line="219" w:lineRule="auto"/>
        <w:rPr>
          <w:rFonts w:ascii="宋体" w:hAnsi="宋体" w:eastAsia="宋体" w:cs="宋体"/>
          <w:color w:val="auto"/>
          <w:sz w:val="21"/>
          <w:szCs w:val="21"/>
          <w:highlight w:val="none"/>
        </w:rPr>
        <w:sectPr>
          <w:footerReference r:id="rId70" w:type="default"/>
          <w:pgSz w:w="11905" w:h="16839"/>
          <w:pgMar w:top="1431" w:right="1785" w:bottom="996" w:left="1785" w:header="0" w:footer="791" w:gutter="0"/>
          <w:pgNumType w:fmt="decimal"/>
          <w:cols w:space="720" w:num="1"/>
        </w:sectPr>
      </w:pPr>
    </w:p>
    <w:p w14:paraId="29AE4211">
      <w:pPr>
        <w:spacing w:before="168" w:line="418" w:lineRule="exact"/>
        <w:ind w:right="4"/>
        <w:jc w:val="right"/>
        <w:rPr>
          <w:rFonts w:ascii="宋体" w:hAnsi="宋体" w:eastAsia="宋体" w:cs="宋体"/>
          <w:color w:val="auto"/>
          <w:sz w:val="21"/>
          <w:szCs w:val="21"/>
          <w:highlight w:val="none"/>
        </w:rPr>
      </w:pPr>
      <w:bookmarkStart w:id="180" w:name="bookmark208"/>
      <w:bookmarkEnd w:id="180"/>
      <w:r>
        <w:rPr>
          <w:rFonts w:ascii="宋体" w:hAnsi="宋体" w:eastAsia="宋体" w:cs="宋体"/>
          <w:color w:val="auto"/>
          <w:position w:val="15"/>
          <w:sz w:val="21"/>
          <w:szCs w:val="21"/>
          <w:highlight w:val="none"/>
        </w:rPr>
        <w:t>A2.2.3 评标委员会主任在与其他评标委员会成员商议的基础上可以将评标委员会按照</w:t>
      </w:r>
    </w:p>
    <w:p w14:paraId="7E9701C4">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评标专家抽取专业划分为技术组和经济组。</w:t>
      </w:r>
    </w:p>
    <w:p w14:paraId="402C8469">
      <w:pPr>
        <w:spacing w:before="152"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A2.3 </w:t>
      </w:r>
      <w:r>
        <w:rPr>
          <w:rFonts w:ascii="黑体" w:hAnsi="黑体" w:eastAsia="黑体" w:cs="黑体"/>
          <w:color w:val="auto"/>
          <w:spacing w:val="-1"/>
          <w:sz w:val="21"/>
          <w:szCs w:val="21"/>
          <w:highlight w:val="none"/>
        </w:rPr>
        <w:t>熟悉文件资料</w:t>
      </w:r>
    </w:p>
    <w:p w14:paraId="73607D1F">
      <w:pPr>
        <w:spacing w:before="151" w:line="352" w:lineRule="auto"/>
        <w:ind w:left="19" w:right="4" w:firstLine="415"/>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A2.3.1 评标委员会主任应组织评标委员会成员认真研究招标文件，了解和熟悉招标目</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的、招标范围、主要合同条件、技术标准和要求、质量标准和工期要求，掌</w:t>
      </w:r>
      <w:r>
        <w:rPr>
          <w:rFonts w:ascii="宋体" w:hAnsi="宋体" w:eastAsia="宋体" w:cs="宋体"/>
          <w:color w:val="auto"/>
          <w:spacing w:val="2"/>
          <w:sz w:val="21"/>
          <w:szCs w:val="21"/>
          <w:highlight w:val="none"/>
        </w:rPr>
        <w:t>握评标标准和</w:t>
      </w:r>
      <w:r>
        <w:rPr>
          <w:rFonts w:ascii="宋体" w:hAnsi="宋体" w:eastAsia="宋体" w:cs="宋体"/>
          <w:color w:val="auto"/>
          <w:sz w:val="21"/>
          <w:szCs w:val="21"/>
          <w:highlight w:val="none"/>
        </w:rPr>
        <w:t xml:space="preserve"> 方法， 熟悉本章及附件中包括的评标表格的使用，如果本章及附件所附的表格不能满足评</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标所需时，评标委员会应补充编制评标所需的表格。未在招标文件中规定的</w:t>
      </w:r>
      <w:r>
        <w:rPr>
          <w:rFonts w:ascii="宋体" w:hAnsi="宋体" w:eastAsia="宋体" w:cs="宋体"/>
          <w:color w:val="auto"/>
          <w:spacing w:val="2"/>
          <w:sz w:val="21"/>
          <w:szCs w:val="21"/>
          <w:highlight w:val="none"/>
        </w:rPr>
        <w:t>标准和方法不</w:t>
      </w:r>
    </w:p>
    <w:p w14:paraId="7E7A5CCB">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得作为评标的依据。</w:t>
      </w:r>
    </w:p>
    <w:p w14:paraId="1AD6B24D">
      <w:pPr>
        <w:spacing w:before="173" w:line="408" w:lineRule="exact"/>
        <w:ind w:left="434"/>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A2.3.2</w:t>
      </w:r>
      <w:r>
        <w:rPr>
          <w:rFonts w:ascii="宋体" w:hAnsi="宋体" w:eastAsia="宋体" w:cs="宋体"/>
          <w:color w:val="auto"/>
          <w:spacing w:val="-43"/>
          <w:position w:val="15"/>
          <w:sz w:val="21"/>
          <w:szCs w:val="21"/>
          <w:highlight w:val="none"/>
        </w:rPr>
        <w:t xml:space="preserve"> </w:t>
      </w:r>
      <w:r>
        <w:rPr>
          <w:rFonts w:ascii="宋体" w:hAnsi="宋体" w:eastAsia="宋体" w:cs="宋体"/>
          <w:color w:val="auto"/>
          <w:spacing w:val="-1"/>
          <w:position w:val="15"/>
          <w:sz w:val="21"/>
          <w:szCs w:val="21"/>
          <w:highlight w:val="none"/>
        </w:rPr>
        <w:t>招标人或招标代理机构应向评标委员会提供评标所需的信息和</w:t>
      </w:r>
      <w:r>
        <w:rPr>
          <w:rFonts w:ascii="宋体" w:hAnsi="宋体" w:eastAsia="宋体" w:cs="宋体"/>
          <w:color w:val="auto"/>
          <w:spacing w:val="-2"/>
          <w:position w:val="15"/>
          <w:sz w:val="21"/>
          <w:szCs w:val="21"/>
          <w:highlight w:val="none"/>
        </w:rPr>
        <w:t>数据，包括：</w:t>
      </w:r>
    </w:p>
    <w:p w14:paraId="746A7DD0">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（1）招标文件及其澄清、修改文件；</w:t>
      </w:r>
    </w:p>
    <w:p w14:paraId="5E4E675C">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（2）投标人的投标文件；</w:t>
      </w:r>
    </w:p>
    <w:p w14:paraId="10E82E2E">
      <w:pPr>
        <w:spacing w:before="17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（3）开标记录表以及二次刷卡、保证金缴纳等信息；</w:t>
      </w:r>
    </w:p>
    <w:p w14:paraId="4D53DC0A">
      <w:pPr>
        <w:spacing w:before="157" w:line="399"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（4）最高投标限价；</w:t>
      </w:r>
    </w:p>
    <w:p w14:paraId="557E2F4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（5）评标表格；</w:t>
      </w:r>
    </w:p>
    <w:p w14:paraId="6380F669">
      <w:pPr>
        <w:spacing w:before="152" w:line="399" w:lineRule="exact"/>
        <w:ind w:right="5"/>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（6）有关的法律、法规、规章、国家标准以及招标人或评标委员会认为必要的其他信</w:t>
      </w:r>
    </w:p>
    <w:p w14:paraId="14E0A5E3">
      <w:pPr>
        <w:spacing w:before="1" w:line="220" w:lineRule="auto"/>
        <w:ind w:left="2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息和数据。</w:t>
      </w:r>
    </w:p>
    <w:p w14:paraId="2B2B2C09">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A2.4 </w:t>
      </w:r>
      <w:r>
        <w:rPr>
          <w:rFonts w:ascii="黑体" w:hAnsi="黑体" w:eastAsia="黑体" w:cs="黑体"/>
          <w:color w:val="auto"/>
          <w:spacing w:val="-1"/>
          <w:sz w:val="21"/>
          <w:szCs w:val="21"/>
          <w:highlight w:val="none"/>
        </w:rPr>
        <w:t>暗标编号</w:t>
      </w:r>
    </w:p>
    <w:p w14:paraId="661C8EF8">
      <w:pPr>
        <w:spacing w:before="155" w:line="351" w:lineRule="auto"/>
        <w:ind w:left="18" w:right="2"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第二章“投标人须知”前附表第 3.7.4 款要求对技术标采用“模块化暗标”评审方式</w:t>
      </w:r>
      <w:r>
        <w:rPr>
          <w:rFonts w:ascii="宋体" w:hAnsi="宋体" w:eastAsia="宋体" w:cs="宋体"/>
          <w:color w:val="auto"/>
          <w:spacing w:val="12"/>
          <w:sz w:val="21"/>
          <w:szCs w:val="21"/>
          <w:highlight w:val="none"/>
        </w:rPr>
        <w:t xml:space="preserve"> </w:t>
      </w:r>
      <w:r>
        <w:rPr>
          <w:rFonts w:ascii="宋体" w:hAnsi="宋体" w:eastAsia="宋体" w:cs="宋体"/>
          <w:color w:val="auto"/>
          <w:sz w:val="21"/>
          <w:szCs w:val="21"/>
          <w:highlight w:val="none"/>
        </w:rPr>
        <w:t>且编制有模块化暗标要求的， 则在评标工作开始前，就暗标模块编号与投标人的对应关系</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使用</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A-3</w:t>
      </w:r>
      <w:r>
        <w:rPr>
          <w:rFonts w:ascii="宋体" w:hAnsi="宋体" w:eastAsia="宋体" w:cs="宋体"/>
          <w:color w:val="auto"/>
          <w:sz w:val="21"/>
          <w:szCs w:val="21"/>
          <w:highlight w:val="none"/>
        </w:rPr>
        <w:t xml:space="preserve"> 做好暗标编号记录，暗标模块编号按随机方式编排。在评标委员会技术标成</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员均完成暗标部分评审并对评审结果签字确认和汇总后，招标人方可向评标</w:t>
      </w:r>
      <w:r>
        <w:rPr>
          <w:rFonts w:ascii="宋体" w:hAnsi="宋体" w:eastAsia="宋体" w:cs="宋体"/>
          <w:color w:val="auto"/>
          <w:spacing w:val="2"/>
          <w:sz w:val="21"/>
          <w:szCs w:val="21"/>
          <w:highlight w:val="none"/>
        </w:rPr>
        <w:t>委员会公布暗</w:t>
      </w:r>
    </w:p>
    <w:p w14:paraId="2BB33C0F">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标编号。</w:t>
      </w:r>
    </w:p>
    <w:p w14:paraId="323B9FAC">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A2.5 </w:t>
      </w:r>
      <w:r>
        <w:rPr>
          <w:rFonts w:ascii="黑体" w:hAnsi="黑体" w:eastAsia="黑体" w:cs="黑体"/>
          <w:color w:val="auto"/>
          <w:spacing w:val="-1"/>
          <w:sz w:val="21"/>
          <w:szCs w:val="21"/>
          <w:highlight w:val="none"/>
        </w:rPr>
        <w:t>对投标文件进行基础性数据分析和整理工作</w:t>
      </w:r>
    </w:p>
    <w:p w14:paraId="2B7B1630">
      <w:pPr>
        <w:spacing w:before="155" w:line="351" w:lineRule="auto"/>
        <w:ind w:left="18" w:right="1" w:firstLine="416"/>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A2.5.1 在不改变投标人投标文件实质性</w:t>
      </w:r>
      <w:r>
        <w:rPr>
          <w:rFonts w:ascii="宋体" w:hAnsi="宋体" w:eastAsia="宋体" w:cs="宋体"/>
          <w:color w:val="auto"/>
          <w:sz w:val="21"/>
          <w:szCs w:val="21"/>
          <w:highlight w:val="none"/>
        </w:rPr>
        <w:t xml:space="preserve">内容的前提下，评标委员会应当借助计算机辅 </w:t>
      </w:r>
      <w:r>
        <w:rPr>
          <w:rFonts w:ascii="宋体" w:hAnsi="宋体" w:eastAsia="宋体" w:cs="宋体"/>
          <w:color w:val="auto"/>
          <w:spacing w:val="3"/>
          <w:sz w:val="21"/>
          <w:szCs w:val="21"/>
          <w:highlight w:val="none"/>
        </w:rPr>
        <w:t>助评标系统对投标文件进行基础性数据分析和整理，评标委员会对分析成果审</w:t>
      </w:r>
      <w:r>
        <w:rPr>
          <w:rFonts w:ascii="宋体" w:hAnsi="宋体" w:eastAsia="宋体" w:cs="宋体"/>
          <w:color w:val="auto"/>
          <w:spacing w:val="2"/>
          <w:sz w:val="21"/>
          <w:szCs w:val="21"/>
          <w:highlight w:val="none"/>
        </w:rPr>
        <w:t>议后，决定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需要投标人进行书面澄清、说明或补正的，通过电子招标投标系统（辽宁省工程建设</w:t>
      </w:r>
      <w:r>
        <w:rPr>
          <w:rFonts w:ascii="宋体" w:hAnsi="宋体" w:eastAsia="宋体" w:cs="宋体"/>
          <w:color w:val="auto"/>
          <w:spacing w:val="2"/>
          <w:sz w:val="21"/>
          <w:szCs w:val="21"/>
          <w:highlight w:val="none"/>
        </w:rPr>
        <w:t>项目</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数字化开标评标系统）向投标人发出投标文件澄清通知。《投标</w:t>
      </w:r>
      <w:r>
        <w:rPr>
          <w:rFonts w:ascii="宋体" w:hAnsi="宋体" w:eastAsia="宋体" w:cs="宋体"/>
          <w:color w:val="auto"/>
          <w:spacing w:val="-3"/>
          <w:sz w:val="21"/>
          <w:szCs w:val="21"/>
          <w:highlight w:val="none"/>
        </w:rPr>
        <w:t>文件问题澄清通知》采用投</w:t>
      </w:r>
    </w:p>
    <w:p w14:paraId="24240A66">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标人须知附表六所提供的格式。</w:t>
      </w:r>
    </w:p>
    <w:p w14:paraId="18CDFA0D">
      <w:pPr>
        <w:spacing w:before="148" w:line="352" w:lineRule="auto"/>
        <w:ind w:left="19" w:right="1" w:firstLine="41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A2.5.2 投标人接到评标委员会发出的投标文件澄清通知后，</w:t>
      </w:r>
      <w:r>
        <w:rPr>
          <w:rFonts w:ascii="宋体" w:hAnsi="宋体" w:eastAsia="宋体" w:cs="宋体"/>
          <w:color w:val="auto"/>
          <w:spacing w:val="-3"/>
          <w:sz w:val="21"/>
          <w:szCs w:val="21"/>
          <w:highlight w:val="none"/>
        </w:rPr>
        <w:t xml:space="preserve"> </w:t>
      </w:r>
      <w:r>
        <w:rPr>
          <w:rFonts w:ascii="宋体" w:hAnsi="宋体" w:eastAsia="宋体" w:cs="宋体"/>
          <w:color w:val="auto"/>
          <w:spacing w:val="-2"/>
          <w:sz w:val="21"/>
          <w:szCs w:val="21"/>
          <w:highlight w:val="none"/>
        </w:rPr>
        <w:t>应按评标委员会的要求在</w:t>
      </w:r>
      <w:r>
        <w:rPr>
          <w:rFonts w:ascii="宋体" w:hAnsi="宋体" w:eastAsia="宋体" w:cs="宋体"/>
          <w:color w:val="auto"/>
          <w:sz w:val="21"/>
          <w:szCs w:val="21"/>
          <w:highlight w:val="none"/>
        </w:rPr>
        <w:t xml:space="preserve"> 规定的时间内， 通过电子招标投标系统（辽宁省工程建设项目数字化开标评标系统）提交</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投标文件的澄清和相关资料（如有）</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。《投标文件</w:t>
      </w:r>
      <w:r>
        <w:rPr>
          <w:rFonts w:ascii="宋体" w:hAnsi="宋体" w:eastAsia="宋体" w:cs="宋体"/>
          <w:color w:val="auto"/>
          <w:spacing w:val="-4"/>
          <w:sz w:val="21"/>
          <w:szCs w:val="21"/>
          <w:highlight w:val="none"/>
        </w:rPr>
        <w:t>问题的澄清》采用投标人须知附表七所提</w:t>
      </w:r>
    </w:p>
    <w:p w14:paraId="2BB4C235">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供的格式。</w:t>
      </w:r>
    </w:p>
    <w:p w14:paraId="4BB79448">
      <w:pPr>
        <w:spacing w:line="219" w:lineRule="auto"/>
        <w:rPr>
          <w:rFonts w:ascii="宋体" w:hAnsi="宋体" w:eastAsia="宋体" w:cs="宋体"/>
          <w:color w:val="auto"/>
          <w:sz w:val="21"/>
          <w:szCs w:val="21"/>
          <w:highlight w:val="none"/>
        </w:rPr>
        <w:sectPr>
          <w:footerReference r:id="rId71" w:type="default"/>
          <w:pgSz w:w="11905" w:h="16839"/>
          <w:pgMar w:top="1431" w:right="1785" w:bottom="996" w:left="1785" w:header="0" w:footer="791" w:gutter="0"/>
          <w:pgNumType w:fmt="decimal"/>
          <w:cols w:space="720" w:num="1"/>
        </w:sectPr>
      </w:pPr>
    </w:p>
    <w:p w14:paraId="5B54E5B3">
      <w:pPr>
        <w:spacing w:before="124" w:line="423" w:lineRule="exact"/>
        <w:ind w:left="11"/>
        <w:rPr>
          <w:rFonts w:ascii="黑体" w:hAnsi="黑体" w:eastAsia="黑体" w:cs="黑体"/>
          <w:color w:val="auto"/>
          <w:sz w:val="24"/>
          <w:szCs w:val="24"/>
          <w:highlight w:val="none"/>
        </w:rPr>
      </w:pPr>
      <w:bookmarkStart w:id="181" w:name="bookmark209"/>
      <w:bookmarkEnd w:id="181"/>
      <w:r>
        <w:rPr>
          <w:rFonts w:ascii="Times New Roman" w:hAnsi="Times New Roman" w:eastAsia="Times New Roman" w:cs="Times New Roman"/>
          <w:color w:val="auto"/>
          <w:position w:val="13"/>
          <w:sz w:val="24"/>
          <w:szCs w:val="24"/>
          <w:highlight w:val="none"/>
        </w:rPr>
        <w:t>A3.</w:t>
      </w:r>
      <w:r>
        <w:rPr>
          <w:rFonts w:ascii="黑体" w:hAnsi="黑体" w:eastAsia="黑体" w:cs="黑体"/>
          <w:color w:val="auto"/>
          <w:position w:val="13"/>
          <w:sz w:val="24"/>
          <w:szCs w:val="24"/>
          <w:highlight w:val="none"/>
        </w:rPr>
        <w:t>初步评审</w:t>
      </w:r>
    </w:p>
    <w:p w14:paraId="521F5C56">
      <w:pPr>
        <w:spacing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A3.1 </w:t>
      </w:r>
      <w:r>
        <w:rPr>
          <w:rFonts w:ascii="黑体" w:hAnsi="黑体" w:eastAsia="黑体" w:cs="黑体"/>
          <w:color w:val="auto"/>
          <w:spacing w:val="-1"/>
          <w:sz w:val="21"/>
          <w:szCs w:val="21"/>
          <w:highlight w:val="none"/>
        </w:rPr>
        <w:t>形式评审</w:t>
      </w:r>
    </w:p>
    <w:p w14:paraId="6C6FCD9B">
      <w:pPr>
        <w:spacing w:before="153" w:line="399" w:lineRule="exact"/>
        <w:ind w:left="44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评标委员会根据评标办法前附表中规定的评审因素和评审标准， 对投标人的投标文件</w:t>
      </w:r>
    </w:p>
    <w:p w14:paraId="04AED9E0">
      <w:pPr>
        <w:spacing w:line="219"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进行形式评审，并使用</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A-4</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记录评审结果。</w:t>
      </w:r>
    </w:p>
    <w:p w14:paraId="0EC910FB">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A3.2 </w:t>
      </w:r>
      <w:r>
        <w:rPr>
          <w:rFonts w:ascii="黑体" w:hAnsi="黑体" w:eastAsia="黑体" w:cs="黑体"/>
          <w:color w:val="auto"/>
          <w:spacing w:val="-1"/>
          <w:sz w:val="21"/>
          <w:szCs w:val="21"/>
          <w:highlight w:val="none"/>
        </w:rPr>
        <w:t>资格评审</w:t>
      </w:r>
    </w:p>
    <w:p w14:paraId="2BFFB43B">
      <w:pPr>
        <w:spacing w:before="154" w:line="398" w:lineRule="exact"/>
        <w:ind w:left="44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评标委员会根据评标办法前附表中规定的评审因素和评审标准， 对投标人的投标文件</w:t>
      </w:r>
    </w:p>
    <w:p w14:paraId="54F914A0">
      <w:pPr>
        <w:spacing w:before="1" w:line="219"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进行资格评审，并使用</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A-5</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记录评审结果。</w:t>
      </w:r>
    </w:p>
    <w:p w14:paraId="20D8B8FA">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A3.3 </w:t>
      </w:r>
      <w:r>
        <w:rPr>
          <w:rFonts w:ascii="黑体" w:hAnsi="黑体" w:eastAsia="黑体" w:cs="黑体"/>
          <w:color w:val="auto"/>
          <w:spacing w:val="-1"/>
          <w:sz w:val="21"/>
          <w:szCs w:val="21"/>
          <w:highlight w:val="none"/>
        </w:rPr>
        <w:t>响应性评审</w:t>
      </w:r>
    </w:p>
    <w:p w14:paraId="54A598B8">
      <w:pPr>
        <w:spacing w:before="154" w:line="398" w:lineRule="exact"/>
        <w:ind w:left="43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A3.3.1 评标委员会根据评标办法前附表中规定的评审因素和评审标准，对投标人的投</w:t>
      </w:r>
    </w:p>
    <w:p w14:paraId="317177A9">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标文件进行响应性评审，并使用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5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A-6</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记</w:t>
      </w:r>
      <w:r>
        <w:rPr>
          <w:rFonts w:ascii="宋体" w:hAnsi="宋体" w:eastAsia="宋体" w:cs="宋体"/>
          <w:color w:val="auto"/>
          <w:spacing w:val="-2"/>
          <w:sz w:val="21"/>
          <w:szCs w:val="21"/>
          <w:highlight w:val="none"/>
        </w:rPr>
        <w:t>录评审结果。</w:t>
      </w:r>
    </w:p>
    <w:p w14:paraId="7FC4D4FF">
      <w:pPr>
        <w:spacing w:before="148" w:line="352" w:lineRule="auto"/>
        <w:ind w:left="22" w:right="198" w:firstLine="41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A3.3.2 投标人投标价格不得超出（</w:t>
      </w:r>
      <w:r>
        <w:rPr>
          <w:rFonts w:ascii="宋体" w:hAnsi="宋体" w:eastAsia="宋体" w:cs="宋体"/>
          <w:color w:val="auto"/>
          <w:sz w:val="21"/>
          <w:szCs w:val="21"/>
          <w:highlight w:val="none"/>
        </w:rPr>
        <w:t xml:space="preserve">不含等于）按照第二章“投标人须知”前附表载明 </w:t>
      </w:r>
      <w:r>
        <w:rPr>
          <w:rFonts w:ascii="宋体" w:hAnsi="宋体" w:eastAsia="宋体" w:cs="宋体"/>
          <w:color w:val="auto"/>
          <w:spacing w:val="3"/>
          <w:sz w:val="21"/>
          <w:szCs w:val="21"/>
          <w:highlight w:val="none"/>
        </w:rPr>
        <w:t>的最高投标限价（投标人投标价格是指投标函中的大写报价或经投标人</w:t>
      </w:r>
      <w:r>
        <w:rPr>
          <w:rFonts w:ascii="宋体" w:hAnsi="宋体" w:eastAsia="宋体" w:cs="宋体"/>
          <w:color w:val="auto"/>
          <w:spacing w:val="2"/>
          <w:sz w:val="21"/>
          <w:szCs w:val="21"/>
          <w:highlight w:val="none"/>
        </w:rPr>
        <w:t>确认的算术错误修</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正后的价格不超过本项目最高投标限价</w:t>
      </w:r>
      <w:r>
        <w:rPr>
          <w:rFonts w:ascii="宋体" w:hAnsi="宋体" w:eastAsia="宋体" w:cs="宋体"/>
          <w:color w:val="auto"/>
          <w:spacing w:val="-14"/>
          <w:sz w:val="21"/>
          <w:szCs w:val="21"/>
          <w:highlight w:val="none"/>
        </w:rPr>
        <w:t>），</w:t>
      </w:r>
      <w:r>
        <w:rPr>
          <w:rFonts w:ascii="宋体" w:hAnsi="宋体" w:eastAsia="宋体" w:cs="宋体"/>
          <w:color w:val="auto"/>
          <w:spacing w:val="-6"/>
          <w:sz w:val="21"/>
          <w:szCs w:val="21"/>
          <w:highlight w:val="none"/>
        </w:rPr>
        <w:t>凡投标人的投标价格超出最高投标限价的，</w:t>
      </w:r>
      <w:r>
        <w:rPr>
          <w:rFonts w:ascii="宋体" w:hAnsi="宋体" w:eastAsia="宋体" w:cs="宋体"/>
          <w:color w:val="auto"/>
          <w:spacing w:val="55"/>
          <w:sz w:val="21"/>
          <w:szCs w:val="21"/>
          <w:highlight w:val="none"/>
        </w:rPr>
        <w:t xml:space="preserve"> </w:t>
      </w:r>
      <w:r>
        <w:rPr>
          <w:rFonts w:ascii="宋体" w:hAnsi="宋体" w:eastAsia="宋体" w:cs="宋体"/>
          <w:color w:val="auto"/>
          <w:spacing w:val="-6"/>
          <w:sz w:val="21"/>
          <w:szCs w:val="21"/>
          <w:highlight w:val="none"/>
        </w:rPr>
        <w:t>该投</w:t>
      </w:r>
    </w:p>
    <w:p w14:paraId="0B074410">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标人的投标文件不能通过响应性评审。</w:t>
      </w:r>
    </w:p>
    <w:p w14:paraId="4C0AF374">
      <w:pPr>
        <w:spacing w:before="152"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A3.4 </w:t>
      </w:r>
      <w:r>
        <w:rPr>
          <w:rFonts w:ascii="黑体" w:hAnsi="黑体" w:eastAsia="黑体" w:cs="黑体"/>
          <w:color w:val="auto"/>
          <w:spacing w:val="-1"/>
          <w:sz w:val="21"/>
          <w:szCs w:val="21"/>
          <w:highlight w:val="none"/>
        </w:rPr>
        <w:t>技术标评审</w:t>
      </w:r>
    </w:p>
    <w:p w14:paraId="02C59ACD">
      <w:pPr>
        <w:spacing w:before="148" w:line="353" w:lineRule="auto"/>
        <w:ind w:left="35" w:firstLine="404"/>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评标委员会根据评标办法前附表中规定的评审因素和评审标准， 对投标人的投标文件</w:t>
      </w:r>
      <w:r>
        <w:rPr>
          <w:rFonts w:ascii="宋体" w:hAnsi="宋体" w:eastAsia="宋体" w:cs="宋体"/>
          <w:color w:val="auto"/>
          <w:spacing w:val="3"/>
          <w:sz w:val="21"/>
          <w:szCs w:val="21"/>
          <w:highlight w:val="none"/>
        </w:rPr>
        <w:t xml:space="preserve">   </w:t>
      </w:r>
      <w:r>
        <w:rPr>
          <w:rFonts w:ascii="宋体" w:hAnsi="宋体" w:eastAsia="宋体" w:cs="宋体"/>
          <w:color w:val="auto"/>
          <w:spacing w:val="-3"/>
          <w:sz w:val="21"/>
          <w:szCs w:val="21"/>
          <w:highlight w:val="none"/>
        </w:rPr>
        <w:t>的技术标进行合格性评审，并使用</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A-7</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记录评审结</w:t>
      </w:r>
      <w:r>
        <w:rPr>
          <w:rFonts w:ascii="黑体" w:hAnsi="黑体" w:eastAsia="黑体" w:cs="黑体"/>
          <w:color w:val="auto"/>
          <w:spacing w:val="-3"/>
          <w:sz w:val="21"/>
          <w:szCs w:val="21"/>
          <w:highlight w:val="none"/>
        </w:rPr>
        <w:t>果</w:t>
      </w:r>
      <w:r>
        <w:rPr>
          <w:rFonts w:ascii="宋体" w:hAnsi="宋体" w:eastAsia="宋体" w:cs="宋体"/>
          <w:color w:val="auto"/>
          <w:spacing w:val="-3"/>
          <w:sz w:val="21"/>
          <w:szCs w:val="21"/>
          <w:highlight w:val="none"/>
        </w:rPr>
        <w:t>。（适用</w:t>
      </w:r>
      <w:r>
        <w:rPr>
          <w:rFonts w:ascii="宋体" w:hAnsi="宋体" w:eastAsia="宋体" w:cs="宋体"/>
          <w:color w:val="auto"/>
          <w:spacing w:val="-4"/>
          <w:sz w:val="21"/>
          <w:szCs w:val="21"/>
          <w:highlight w:val="none"/>
        </w:rPr>
        <w:t>于经评审的最低投标价法）</w:t>
      </w:r>
    </w:p>
    <w:p w14:paraId="450D30A9">
      <w:pPr>
        <w:spacing w:before="1"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A3.5 </w:t>
      </w:r>
      <w:r>
        <w:rPr>
          <w:rFonts w:ascii="黑体" w:hAnsi="黑体" w:eastAsia="黑体" w:cs="黑体"/>
          <w:color w:val="auto"/>
          <w:spacing w:val="-1"/>
          <w:sz w:val="21"/>
          <w:szCs w:val="21"/>
          <w:highlight w:val="none"/>
        </w:rPr>
        <w:t>算术错误修正</w:t>
      </w:r>
    </w:p>
    <w:p w14:paraId="650F3591">
      <w:pPr>
        <w:spacing w:before="147" w:line="353" w:lineRule="auto"/>
        <w:ind w:left="35" w:right="202" w:firstLine="404"/>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评标委员会依据本章中规定的相关原则对投标报价中存在的算术错误进行修正， 修正</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的价格经投标人书面确认后具有约束力。投标人不接受修正价格的，或者修正后的投标价</w:t>
      </w:r>
    </w:p>
    <w:p w14:paraId="58A278A3">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格超过最高投标限价的（如有</w:t>
      </w:r>
      <w:r>
        <w:rPr>
          <w:rFonts w:ascii="宋体" w:hAnsi="宋体" w:eastAsia="宋体" w:cs="宋体"/>
          <w:color w:val="auto"/>
          <w:spacing w:val="-12"/>
          <w:sz w:val="21"/>
          <w:szCs w:val="21"/>
          <w:highlight w:val="none"/>
        </w:rPr>
        <w:t>），</w:t>
      </w:r>
      <w:r>
        <w:rPr>
          <w:rFonts w:ascii="宋体" w:hAnsi="宋体" w:eastAsia="宋体" w:cs="宋体"/>
          <w:color w:val="auto"/>
          <w:spacing w:val="-4"/>
          <w:sz w:val="21"/>
          <w:szCs w:val="21"/>
          <w:highlight w:val="none"/>
        </w:rPr>
        <w:t>其投标应当被否决。</w:t>
      </w:r>
    </w:p>
    <w:p w14:paraId="1FE3D79B">
      <w:pPr>
        <w:spacing w:before="149"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A3.6 </w:t>
      </w:r>
      <w:r>
        <w:rPr>
          <w:rFonts w:ascii="黑体" w:hAnsi="黑体" w:eastAsia="黑体" w:cs="黑体"/>
          <w:color w:val="auto"/>
          <w:sz w:val="21"/>
          <w:szCs w:val="21"/>
          <w:highlight w:val="none"/>
        </w:rPr>
        <w:t>判断投标报价是否低于成本</w:t>
      </w:r>
    </w:p>
    <w:p w14:paraId="2AFE291E">
      <w:pPr>
        <w:spacing w:before="149" w:line="352" w:lineRule="auto"/>
        <w:ind w:left="21" w:right="197" w:firstLine="419"/>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根据本章第 3.1.4 项的规定， 评标委员会根据评审程序、标准和方</w:t>
      </w:r>
      <w:r>
        <w:rPr>
          <w:rFonts w:ascii="宋体" w:hAnsi="宋体" w:eastAsia="宋体" w:cs="宋体"/>
          <w:color w:val="auto"/>
          <w:spacing w:val="-3"/>
          <w:sz w:val="21"/>
          <w:szCs w:val="21"/>
          <w:highlight w:val="none"/>
        </w:rPr>
        <w:t>法，判断投标报价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是否低于其成本。评标委员会认定投标人以低于成本竞标的，其投标</w:t>
      </w:r>
      <w:r>
        <w:rPr>
          <w:rFonts w:ascii="宋体" w:hAnsi="宋体" w:eastAsia="宋体" w:cs="宋体"/>
          <w:color w:val="auto"/>
          <w:spacing w:val="2"/>
          <w:sz w:val="21"/>
          <w:szCs w:val="21"/>
          <w:highlight w:val="none"/>
        </w:rPr>
        <w:t>应当被否决。并使用</w:t>
      </w:r>
    </w:p>
    <w:p w14:paraId="4C8D3F14">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6"/>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C-1</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记录评审结果</w:t>
      </w:r>
    </w:p>
    <w:p w14:paraId="3B1E098E">
      <w:pPr>
        <w:spacing w:before="149" w:line="221"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A3.7 </w:t>
      </w:r>
      <w:r>
        <w:rPr>
          <w:rFonts w:ascii="黑体" w:hAnsi="黑体" w:eastAsia="黑体" w:cs="黑体"/>
          <w:color w:val="auto"/>
          <w:sz w:val="21"/>
          <w:szCs w:val="21"/>
          <w:highlight w:val="none"/>
        </w:rPr>
        <w:t>判断投标是否为应当被否决</w:t>
      </w:r>
    </w:p>
    <w:p w14:paraId="63A060EF">
      <w:pPr>
        <w:spacing w:before="152" w:line="398" w:lineRule="exact"/>
        <w:ind w:left="434"/>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A3.7.1</w:t>
      </w:r>
      <w:r>
        <w:rPr>
          <w:rFonts w:ascii="宋体" w:hAnsi="宋体" w:eastAsia="宋体" w:cs="宋体"/>
          <w:color w:val="auto"/>
          <w:spacing w:val="83"/>
          <w:position w:val="14"/>
          <w:sz w:val="21"/>
          <w:szCs w:val="21"/>
          <w:highlight w:val="none"/>
        </w:rPr>
        <w:t xml:space="preserve"> </w:t>
      </w:r>
      <w:r>
        <w:rPr>
          <w:rFonts w:ascii="宋体" w:hAnsi="宋体" w:eastAsia="宋体" w:cs="宋体"/>
          <w:color w:val="auto"/>
          <w:spacing w:val="6"/>
          <w:position w:val="14"/>
          <w:sz w:val="21"/>
          <w:szCs w:val="21"/>
          <w:highlight w:val="none"/>
        </w:rPr>
        <w:t>判断投标人的投标是否应当被否决的全部条件（包括本章第 3.1.2 项、第</w:t>
      </w:r>
    </w:p>
    <w:p w14:paraId="40C4B96E">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z w:val="21"/>
          <w:szCs w:val="21"/>
          <w:highlight w:val="none"/>
        </w:rPr>
        <w:t>3.1.3</w:t>
      </w:r>
      <w:r>
        <w:rPr>
          <w:rFonts w:ascii="宋体" w:hAnsi="宋体" w:eastAsia="宋体" w:cs="宋体"/>
          <w:color w:val="auto"/>
          <w:spacing w:val="-37"/>
          <w:sz w:val="21"/>
          <w:szCs w:val="21"/>
          <w:highlight w:val="none"/>
        </w:rPr>
        <w:t xml:space="preserve"> </w:t>
      </w:r>
      <w:r>
        <w:rPr>
          <w:rFonts w:ascii="宋体" w:hAnsi="宋体" w:eastAsia="宋体" w:cs="宋体"/>
          <w:color w:val="auto"/>
          <w:sz w:val="21"/>
          <w:szCs w:val="21"/>
          <w:highlight w:val="none"/>
        </w:rPr>
        <w:t>项中规定的条件</w:t>
      </w:r>
      <w:r>
        <w:rPr>
          <w:rFonts w:ascii="宋体" w:hAnsi="宋体" w:eastAsia="宋体" w:cs="宋体"/>
          <w:color w:val="auto"/>
          <w:spacing w:val="-53"/>
          <w:w w:val="97"/>
          <w:sz w:val="21"/>
          <w:szCs w:val="21"/>
          <w:highlight w:val="none"/>
        </w:rPr>
        <w:t>），</w:t>
      </w:r>
      <w:r>
        <w:rPr>
          <w:rFonts w:ascii="宋体" w:hAnsi="宋体" w:eastAsia="宋体" w:cs="宋体"/>
          <w:color w:val="auto"/>
          <w:sz w:val="21"/>
          <w:szCs w:val="21"/>
          <w:highlight w:val="none"/>
        </w:rPr>
        <w:t>在本章前附表中集中</w:t>
      </w:r>
      <w:r>
        <w:rPr>
          <w:rFonts w:ascii="宋体" w:hAnsi="宋体" w:eastAsia="宋体" w:cs="宋体"/>
          <w:color w:val="auto"/>
          <w:spacing w:val="-1"/>
          <w:sz w:val="21"/>
          <w:szCs w:val="21"/>
          <w:highlight w:val="none"/>
        </w:rPr>
        <w:t>列示。并使用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5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A-9</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记录评审结果。</w:t>
      </w:r>
    </w:p>
    <w:p w14:paraId="68589917">
      <w:pPr>
        <w:spacing w:before="147" w:line="353" w:lineRule="auto"/>
        <w:ind w:left="34" w:right="199" w:firstLine="39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A3.7.2</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本章</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集中列示的否决投标的条件不应与第二章“投标人须知”和本章前</w:t>
      </w:r>
      <w:r>
        <w:rPr>
          <w:rFonts w:ascii="宋体" w:hAnsi="宋体" w:eastAsia="宋体" w:cs="宋体"/>
          <w:color w:val="auto"/>
          <w:sz w:val="21"/>
          <w:szCs w:val="21"/>
          <w:highlight w:val="none"/>
        </w:rPr>
        <w:t xml:space="preserve"> 附表和正文部分包括的否决投标的条件抵触， 如果出现相互矛盾的情况，</w:t>
      </w:r>
      <w:r>
        <w:rPr>
          <w:rFonts w:ascii="宋体" w:hAnsi="宋体" w:eastAsia="宋体" w:cs="宋体"/>
          <w:color w:val="auto"/>
          <w:spacing w:val="-1"/>
          <w:sz w:val="21"/>
          <w:szCs w:val="21"/>
          <w:highlight w:val="none"/>
        </w:rPr>
        <w:t>以本章前附表和</w:t>
      </w:r>
    </w:p>
    <w:p w14:paraId="1016B705">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正文部分的规定为准。</w:t>
      </w:r>
    </w:p>
    <w:p w14:paraId="33F83D5E">
      <w:pPr>
        <w:spacing w:before="148" w:line="403" w:lineRule="exact"/>
        <w:ind w:left="43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A3.7.3 评标委员会在评标（包括初步</w:t>
      </w:r>
      <w:r>
        <w:rPr>
          <w:rFonts w:ascii="宋体" w:hAnsi="宋体" w:eastAsia="宋体" w:cs="宋体"/>
          <w:color w:val="auto"/>
          <w:position w:val="14"/>
          <w:sz w:val="21"/>
          <w:szCs w:val="21"/>
          <w:highlight w:val="none"/>
        </w:rPr>
        <w:t>评审和详细评审）过程中，依据本章前附表和正</w:t>
      </w:r>
    </w:p>
    <w:p w14:paraId="2DA2C6B5">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文部分中规定的否决投标的条件判断投标人的投标是否为应当被否决。</w:t>
      </w:r>
    </w:p>
    <w:p w14:paraId="6D666EF9">
      <w:pPr>
        <w:spacing w:line="220" w:lineRule="auto"/>
        <w:rPr>
          <w:rFonts w:ascii="宋体" w:hAnsi="宋体" w:eastAsia="宋体" w:cs="宋体"/>
          <w:color w:val="auto"/>
          <w:sz w:val="21"/>
          <w:szCs w:val="21"/>
          <w:highlight w:val="none"/>
        </w:rPr>
        <w:sectPr>
          <w:footerReference r:id="rId72" w:type="default"/>
          <w:pgSz w:w="11905" w:h="16839"/>
          <w:pgMar w:top="1431" w:right="1589" w:bottom="996" w:left="1785" w:header="0" w:footer="791" w:gutter="0"/>
          <w:pgNumType w:fmt="decimal"/>
          <w:cols w:space="720" w:num="1"/>
        </w:sectPr>
      </w:pPr>
    </w:p>
    <w:p w14:paraId="50B8B7AA">
      <w:pPr>
        <w:spacing w:before="149" w:line="219" w:lineRule="auto"/>
        <w:ind w:left="11"/>
        <w:rPr>
          <w:rFonts w:ascii="黑体" w:hAnsi="黑体" w:eastAsia="黑体" w:cs="黑体"/>
          <w:color w:val="auto"/>
          <w:sz w:val="21"/>
          <w:szCs w:val="21"/>
          <w:highlight w:val="none"/>
        </w:rPr>
      </w:pPr>
      <w:bookmarkStart w:id="182" w:name="bookmark210"/>
      <w:bookmarkEnd w:id="182"/>
      <w:r>
        <w:rPr>
          <w:rFonts w:ascii="Times New Roman" w:hAnsi="Times New Roman" w:eastAsia="Times New Roman" w:cs="Times New Roman"/>
          <w:color w:val="auto"/>
          <w:sz w:val="21"/>
          <w:szCs w:val="21"/>
          <w:highlight w:val="none"/>
        </w:rPr>
        <w:t xml:space="preserve">A3.8 </w:t>
      </w:r>
      <w:r>
        <w:rPr>
          <w:rFonts w:ascii="黑体" w:hAnsi="黑体" w:eastAsia="黑体" w:cs="黑体"/>
          <w:color w:val="auto"/>
          <w:sz w:val="21"/>
          <w:szCs w:val="21"/>
          <w:highlight w:val="none"/>
        </w:rPr>
        <w:t>澄清、说明或补正</w:t>
      </w:r>
    </w:p>
    <w:p w14:paraId="4D698A41">
      <w:pPr>
        <w:spacing w:before="149" w:line="352" w:lineRule="auto"/>
        <w:ind w:left="17"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在初步评审过程中，评标委员会应当就投标文件中含义不明确、对同类问题表述不一  致或者有明显文字和计算错误的内容要求投标人进行澄清、说明或者补正。投标人对</w:t>
      </w:r>
      <w:r>
        <w:rPr>
          <w:rFonts w:ascii="宋体" w:hAnsi="宋体" w:eastAsia="宋体" w:cs="宋体"/>
          <w:color w:val="auto"/>
          <w:spacing w:val="2"/>
          <w:sz w:val="21"/>
          <w:szCs w:val="21"/>
          <w:highlight w:val="none"/>
        </w:rPr>
        <w:t>此以</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书面形式予以澄清、说明或者补正。澄清、说明或补正根据本章第</w:t>
      </w:r>
      <w:r>
        <w:rPr>
          <w:rFonts w:ascii="宋体" w:hAnsi="宋体" w:eastAsia="宋体" w:cs="宋体"/>
          <w:color w:val="auto"/>
          <w:spacing w:val="-17"/>
          <w:sz w:val="21"/>
          <w:szCs w:val="21"/>
          <w:highlight w:val="none"/>
        </w:rPr>
        <w:t xml:space="preserve"> </w:t>
      </w:r>
      <w:r>
        <w:rPr>
          <w:rFonts w:ascii="宋体" w:hAnsi="宋体" w:eastAsia="宋体" w:cs="宋体"/>
          <w:color w:val="auto"/>
          <w:spacing w:val="-5"/>
          <w:sz w:val="21"/>
          <w:szCs w:val="21"/>
          <w:highlight w:val="none"/>
        </w:rPr>
        <w:t>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款的规定执行。</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标文件问题澄清通知》</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及《投标文件问题的澄清》采用投标人须知附表六与投标人须知附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表七所提供的格式，并通过电子招标投标系统</w:t>
      </w:r>
      <w:r>
        <w:rPr>
          <w:rFonts w:ascii="宋体" w:hAnsi="宋体" w:eastAsia="宋体" w:cs="宋体"/>
          <w:color w:val="auto"/>
          <w:spacing w:val="2"/>
          <w:sz w:val="21"/>
          <w:szCs w:val="21"/>
          <w:highlight w:val="none"/>
        </w:rPr>
        <w:t>（辽宁省工程建设项目数字化开标评标系统）</w:t>
      </w:r>
    </w:p>
    <w:p w14:paraId="288824B9">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以书面形式进行。</w:t>
      </w:r>
    </w:p>
    <w:p w14:paraId="5E92DEE7">
      <w:pPr>
        <w:spacing w:before="123"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A4.</w:t>
      </w:r>
      <w:r>
        <w:rPr>
          <w:rFonts w:ascii="黑体" w:hAnsi="黑体" w:eastAsia="黑体" w:cs="黑体"/>
          <w:color w:val="auto"/>
          <w:sz w:val="24"/>
          <w:szCs w:val="24"/>
          <w:highlight w:val="none"/>
        </w:rPr>
        <w:t>详细评审</w:t>
      </w:r>
    </w:p>
    <w:p w14:paraId="0F6EAFE3">
      <w:pPr>
        <w:spacing w:before="143" w:line="399"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只有通过了初步评审、被判定为合格的投标方可进入详细评审。初步评审通过后</w:t>
      </w:r>
      <w:r>
        <w:rPr>
          <w:rFonts w:ascii="宋体" w:hAnsi="宋体" w:eastAsia="宋体" w:cs="宋体"/>
          <w:color w:val="auto"/>
          <w:spacing w:val="2"/>
          <w:position w:val="14"/>
          <w:sz w:val="21"/>
          <w:szCs w:val="21"/>
          <w:highlight w:val="none"/>
        </w:rPr>
        <w:t>，使</w:t>
      </w:r>
    </w:p>
    <w:p w14:paraId="3096CC5B">
      <w:pPr>
        <w:spacing w:before="1" w:line="219" w:lineRule="auto"/>
        <w:ind w:left="20"/>
        <w:rPr>
          <w:rFonts w:ascii="黑体" w:hAnsi="黑体" w:eastAsia="黑体" w:cs="黑体"/>
          <w:color w:val="auto"/>
          <w:sz w:val="21"/>
          <w:szCs w:val="21"/>
          <w:highlight w:val="none"/>
        </w:rPr>
      </w:pPr>
      <w:r>
        <w:rPr>
          <w:rFonts w:ascii="宋体" w:hAnsi="宋体" w:eastAsia="宋体" w:cs="宋体"/>
          <w:color w:val="auto"/>
          <w:spacing w:val="-1"/>
          <w:sz w:val="21"/>
          <w:szCs w:val="21"/>
          <w:highlight w:val="none"/>
        </w:rPr>
        <w:t>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A-8</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记录初步评审结果</w:t>
      </w:r>
      <w:r>
        <w:rPr>
          <w:rFonts w:ascii="黑体" w:hAnsi="黑体" w:eastAsia="黑体" w:cs="黑体"/>
          <w:color w:val="auto"/>
          <w:spacing w:val="-1"/>
          <w:sz w:val="21"/>
          <w:szCs w:val="21"/>
          <w:highlight w:val="none"/>
        </w:rPr>
        <w:t>。</w:t>
      </w:r>
    </w:p>
    <w:p w14:paraId="4D77C563">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A4.1 </w:t>
      </w:r>
      <w:r>
        <w:rPr>
          <w:rFonts w:ascii="黑体" w:hAnsi="黑体" w:eastAsia="黑体" w:cs="黑体"/>
          <w:color w:val="auto"/>
          <w:spacing w:val="-1"/>
          <w:sz w:val="21"/>
          <w:szCs w:val="21"/>
          <w:highlight w:val="none"/>
        </w:rPr>
        <w:t>详细评审的程序</w:t>
      </w:r>
    </w:p>
    <w:p w14:paraId="101F33E4">
      <w:pPr>
        <w:spacing w:before="153" w:line="399" w:lineRule="exact"/>
        <w:ind w:left="44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评标委员会按照本章第</w:t>
      </w:r>
      <w:r>
        <w:rPr>
          <w:rFonts w:ascii="宋体" w:hAnsi="宋体" w:eastAsia="宋体" w:cs="宋体"/>
          <w:color w:val="auto"/>
          <w:spacing w:val="-39"/>
          <w:position w:val="14"/>
          <w:sz w:val="21"/>
          <w:szCs w:val="21"/>
          <w:highlight w:val="none"/>
        </w:rPr>
        <w:t xml:space="preserve"> </w:t>
      </w:r>
      <w:r>
        <w:rPr>
          <w:rFonts w:ascii="宋体" w:hAnsi="宋体" w:eastAsia="宋体" w:cs="宋体"/>
          <w:color w:val="auto"/>
          <w:spacing w:val="-2"/>
          <w:position w:val="14"/>
          <w:sz w:val="21"/>
          <w:szCs w:val="21"/>
          <w:highlight w:val="none"/>
        </w:rPr>
        <w:t>3.2</w:t>
      </w:r>
      <w:r>
        <w:rPr>
          <w:rFonts w:ascii="宋体" w:hAnsi="宋体" w:eastAsia="宋体" w:cs="宋体"/>
          <w:color w:val="auto"/>
          <w:spacing w:val="-43"/>
          <w:position w:val="14"/>
          <w:sz w:val="21"/>
          <w:szCs w:val="21"/>
          <w:highlight w:val="none"/>
        </w:rPr>
        <w:t xml:space="preserve"> </w:t>
      </w:r>
      <w:r>
        <w:rPr>
          <w:rFonts w:ascii="宋体" w:hAnsi="宋体" w:eastAsia="宋体" w:cs="宋体"/>
          <w:color w:val="auto"/>
          <w:spacing w:val="-2"/>
          <w:position w:val="14"/>
          <w:sz w:val="21"/>
          <w:szCs w:val="21"/>
          <w:highlight w:val="none"/>
        </w:rPr>
        <w:t>款中规定的程序</w:t>
      </w:r>
      <w:r>
        <w:rPr>
          <w:rFonts w:ascii="宋体" w:hAnsi="宋体" w:eastAsia="宋体" w:cs="宋体"/>
          <w:color w:val="auto"/>
          <w:spacing w:val="-3"/>
          <w:position w:val="14"/>
          <w:sz w:val="21"/>
          <w:szCs w:val="21"/>
          <w:highlight w:val="none"/>
        </w:rPr>
        <w:t>进行详细评审：</w:t>
      </w:r>
    </w:p>
    <w:p w14:paraId="5CE037D6">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（1）确认有效评标价；</w:t>
      </w:r>
    </w:p>
    <w:p w14:paraId="48EBF2A6">
      <w:pPr>
        <w:spacing w:before="149"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（2）将有效评标价（不低于合理最低价）由低到高的顺序排序。</w:t>
      </w:r>
    </w:p>
    <w:p w14:paraId="22DED6A1">
      <w:pPr>
        <w:spacing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A4.2 </w:t>
      </w:r>
      <w:r>
        <w:rPr>
          <w:rFonts w:ascii="黑体" w:hAnsi="黑体" w:eastAsia="黑体" w:cs="黑体"/>
          <w:color w:val="auto"/>
          <w:spacing w:val="-1"/>
          <w:sz w:val="21"/>
          <w:szCs w:val="21"/>
          <w:highlight w:val="none"/>
        </w:rPr>
        <w:t>澄清、说明或补正</w:t>
      </w:r>
    </w:p>
    <w:p w14:paraId="2E79CE4D">
      <w:pPr>
        <w:spacing w:before="149" w:line="352" w:lineRule="auto"/>
        <w:ind w:left="17"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在详细评审过程中，评标委员会应当就投标文件中含义不明确、对同类问题表述不一  致或者有明显文字和计算错误的内容要求投标人进行澄清、说明或者补正。投标人对</w:t>
      </w:r>
      <w:r>
        <w:rPr>
          <w:rFonts w:ascii="宋体" w:hAnsi="宋体" w:eastAsia="宋体" w:cs="宋体"/>
          <w:color w:val="auto"/>
          <w:spacing w:val="2"/>
          <w:sz w:val="21"/>
          <w:szCs w:val="21"/>
          <w:highlight w:val="none"/>
        </w:rPr>
        <w:t>此以</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书面形式予以澄清、说明或者补正。澄清、说明或补正根据本章第</w:t>
      </w:r>
      <w:r>
        <w:rPr>
          <w:rFonts w:ascii="宋体" w:hAnsi="宋体" w:eastAsia="宋体" w:cs="宋体"/>
          <w:color w:val="auto"/>
          <w:spacing w:val="-17"/>
          <w:sz w:val="21"/>
          <w:szCs w:val="21"/>
          <w:highlight w:val="none"/>
        </w:rPr>
        <w:t xml:space="preserve"> </w:t>
      </w:r>
      <w:r>
        <w:rPr>
          <w:rFonts w:ascii="宋体" w:hAnsi="宋体" w:eastAsia="宋体" w:cs="宋体"/>
          <w:color w:val="auto"/>
          <w:spacing w:val="-5"/>
          <w:sz w:val="21"/>
          <w:szCs w:val="21"/>
          <w:highlight w:val="none"/>
        </w:rPr>
        <w:t>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款的规定执行。</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标文件问题澄清通知》</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及《投标文件问题的澄清》采用投标人须知附表六与投标人须知附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表七所提供的格式，并通过电子招标投标系统</w:t>
      </w:r>
      <w:r>
        <w:rPr>
          <w:rFonts w:ascii="宋体" w:hAnsi="宋体" w:eastAsia="宋体" w:cs="宋体"/>
          <w:color w:val="auto"/>
          <w:spacing w:val="2"/>
          <w:sz w:val="21"/>
          <w:szCs w:val="21"/>
          <w:highlight w:val="none"/>
        </w:rPr>
        <w:t>（辽宁省工程建设项目数字化开标评标系统）</w:t>
      </w:r>
    </w:p>
    <w:p w14:paraId="6CBD55F6">
      <w:pPr>
        <w:spacing w:before="1" w:line="219" w:lineRule="auto"/>
        <w:ind w:left="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以书面形式进行。</w:t>
      </w:r>
    </w:p>
    <w:p w14:paraId="69669173">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A4.3 </w:t>
      </w:r>
      <w:r>
        <w:rPr>
          <w:rFonts w:ascii="黑体" w:hAnsi="黑体" w:eastAsia="黑体" w:cs="黑体"/>
          <w:color w:val="auto"/>
          <w:spacing w:val="-1"/>
          <w:sz w:val="21"/>
          <w:szCs w:val="21"/>
          <w:highlight w:val="none"/>
        </w:rPr>
        <w:t>汇总评分（评审）结果</w:t>
      </w:r>
    </w:p>
    <w:p w14:paraId="09BE87A4">
      <w:pPr>
        <w:spacing w:before="149" w:line="403" w:lineRule="exact"/>
        <w:ind w:left="44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评标委员会应按照</w:t>
      </w:r>
      <w:r>
        <w:rPr>
          <w:rFonts w:ascii="宋体" w:hAnsi="宋体" w:eastAsia="宋体" w:cs="宋体"/>
          <w:color w:val="auto"/>
          <w:spacing w:val="-1"/>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5"/>
          <w:position w:val="14"/>
          <w:sz w:val="21"/>
          <w:szCs w:val="21"/>
          <w:highlight w:val="none"/>
        </w:rPr>
        <w:t xml:space="preserve"> </w:t>
      </w:r>
      <w:r>
        <w:rPr>
          <w:rFonts w:ascii="宋体" w:hAnsi="宋体" w:eastAsia="宋体" w:cs="宋体"/>
          <w:color w:val="auto"/>
          <w:spacing w:val="-1"/>
          <w:position w:val="14"/>
          <w:sz w:val="21"/>
          <w:szCs w:val="21"/>
          <w:highlight w:val="none"/>
          <w14:textOutline w14:w="3831" w14:cap="flat" w14:cmpd="sng">
            <w14:solidFill>
              <w14:srgbClr w14:val="000000"/>
            </w14:solidFill>
            <w14:prstDash w14:val="solid"/>
            <w14:miter w14:val="0"/>
          </w14:textOutline>
        </w:rPr>
        <w:t>A-16</w:t>
      </w:r>
      <w:r>
        <w:rPr>
          <w:rFonts w:ascii="宋体" w:hAnsi="宋体" w:eastAsia="宋体" w:cs="宋体"/>
          <w:color w:val="auto"/>
          <w:spacing w:val="-1"/>
          <w:position w:val="14"/>
          <w:sz w:val="21"/>
          <w:szCs w:val="21"/>
          <w:highlight w:val="none"/>
        </w:rPr>
        <w:t xml:space="preserve"> 的格式记录对投标报价的评审结果，并按有效</w:t>
      </w:r>
      <w:r>
        <w:rPr>
          <w:rFonts w:ascii="宋体" w:hAnsi="宋体" w:eastAsia="宋体" w:cs="宋体"/>
          <w:color w:val="auto"/>
          <w:spacing w:val="-2"/>
          <w:position w:val="14"/>
          <w:sz w:val="21"/>
          <w:szCs w:val="21"/>
          <w:highlight w:val="none"/>
        </w:rPr>
        <w:t>评标价由低</w:t>
      </w:r>
    </w:p>
    <w:p w14:paraId="504EDCF1">
      <w:pPr>
        <w:spacing w:line="219"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到高的顺序对投标人进行排序。（适用于经评审的最低投标价法）</w:t>
      </w:r>
    </w:p>
    <w:p w14:paraId="1148D3BB">
      <w:pPr>
        <w:spacing w:before="124" w:line="424" w:lineRule="exact"/>
        <w:ind w:left="11"/>
        <w:rPr>
          <w:rFonts w:ascii="黑体" w:hAnsi="黑体" w:eastAsia="黑体" w:cs="黑体"/>
          <w:color w:val="auto"/>
          <w:sz w:val="24"/>
          <w:szCs w:val="24"/>
          <w:highlight w:val="none"/>
        </w:rPr>
      </w:pPr>
      <w:r>
        <w:rPr>
          <w:rFonts w:ascii="Times New Roman" w:hAnsi="Times New Roman" w:eastAsia="Times New Roman" w:cs="Times New Roman"/>
          <w:color w:val="auto"/>
          <w:position w:val="13"/>
          <w:sz w:val="24"/>
          <w:szCs w:val="24"/>
          <w:highlight w:val="none"/>
        </w:rPr>
        <w:t>A5.</w:t>
      </w:r>
      <w:r>
        <w:rPr>
          <w:rFonts w:ascii="黑体" w:hAnsi="黑体" w:eastAsia="黑体" w:cs="黑体"/>
          <w:color w:val="auto"/>
          <w:position w:val="13"/>
          <w:sz w:val="24"/>
          <w:szCs w:val="24"/>
          <w:highlight w:val="none"/>
        </w:rPr>
        <w:t>推荐中标候选人或者直接确定中标人</w:t>
      </w:r>
    </w:p>
    <w:p w14:paraId="26C88B78">
      <w:pPr>
        <w:spacing w:before="1"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A5.1 </w:t>
      </w:r>
      <w:r>
        <w:rPr>
          <w:rFonts w:ascii="黑体" w:hAnsi="黑体" w:eastAsia="黑体" w:cs="黑体"/>
          <w:color w:val="auto"/>
          <w:spacing w:val="-1"/>
          <w:sz w:val="21"/>
          <w:szCs w:val="21"/>
          <w:highlight w:val="none"/>
        </w:rPr>
        <w:t>推荐中标候选人</w:t>
      </w:r>
    </w:p>
    <w:p w14:paraId="08B0F081">
      <w:pPr>
        <w:spacing w:before="152" w:line="399" w:lineRule="exact"/>
        <w:ind w:left="434"/>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A5.1.1</w:t>
      </w:r>
      <w:r>
        <w:rPr>
          <w:rFonts w:ascii="宋体" w:hAnsi="宋体" w:eastAsia="宋体" w:cs="宋体"/>
          <w:color w:val="auto"/>
          <w:spacing w:val="-11"/>
          <w:position w:val="14"/>
          <w:sz w:val="21"/>
          <w:szCs w:val="21"/>
          <w:highlight w:val="none"/>
        </w:rPr>
        <w:t xml:space="preserve"> </w:t>
      </w:r>
      <w:r>
        <w:rPr>
          <w:rFonts w:ascii="宋体" w:hAnsi="宋体" w:eastAsia="宋体" w:cs="宋体"/>
          <w:color w:val="auto"/>
          <w:spacing w:val="-4"/>
          <w:position w:val="14"/>
          <w:sz w:val="21"/>
          <w:szCs w:val="21"/>
          <w:highlight w:val="none"/>
        </w:rPr>
        <w:t>除第二章“投标人须知”前附表第</w:t>
      </w:r>
      <w:r>
        <w:rPr>
          <w:rFonts w:ascii="宋体" w:hAnsi="宋体" w:eastAsia="宋体" w:cs="宋体"/>
          <w:color w:val="auto"/>
          <w:spacing w:val="-32"/>
          <w:position w:val="14"/>
          <w:sz w:val="21"/>
          <w:szCs w:val="21"/>
          <w:highlight w:val="none"/>
        </w:rPr>
        <w:t xml:space="preserve"> </w:t>
      </w:r>
      <w:r>
        <w:rPr>
          <w:rFonts w:ascii="宋体" w:hAnsi="宋体" w:eastAsia="宋体" w:cs="宋体"/>
          <w:color w:val="auto"/>
          <w:spacing w:val="-4"/>
          <w:position w:val="14"/>
          <w:sz w:val="21"/>
          <w:szCs w:val="21"/>
          <w:highlight w:val="none"/>
        </w:rPr>
        <w:t>7.1</w:t>
      </w:r>
      <w:r>
        <w:rPr>
          <w:rFonts w:ascii="宋体" w:hAnsi="宋体" w:eastAsia="宋体" w:cs="宋体"/>
          <w:color w:val="auto"/>
          <w:spacing w:val="-38"/>
          <w:position w:val="14"/>
          <w:sz w:val="21"/>
          <w:szCs w:val="21"/>
          <w:highlight w:val="none"/>
        </w:rPr>
        <w:t xml:space="preserve"> </w:t>
      </w:r>
      <w:r>
        <w:rPr>
          <w:rFonts w:ascii="宋体" w:hAnsi="宋体" w:eastAsia="宋体" w:cs="宋体"/>
          <w:color w:val="auto"/>
          <w:spacing w:val="-4"/>
          <w:position w:val="14"/>
          <w:sz w:val="21"/>
          <w:szCs w:val="21"/>
          <w:highlight w:val="none"/>
        </w:rPr>
        <w:t>款授权直接确定中标人外， 按照</w:t>
      </w:r>
      <w:r>
        <w:rPr>
          <w:rFonts w:ascii="宋体" w:hAnsi="宋体" w:eastAsia="宋体" w:cs="宋体"/>
          <w:color w:val="auto"/>
          <w:spacing w:val="-4"/>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6"/>
          <w:position w:val="14"/>
          <w:sz w:val="21"/>
          <w:szCs w:val="21"/>
          <w:highlight w:val="none"/>
        </w:rPr>
        <w:t xml:space="preserve"> </w:t>
      </w:r>
      <w:r>
        <w:rPr>
          <w:rFonts w:ascii="宋体" w:hAnsi="宋体" w:eastAsia="宋体" w:cs="宋体"/>
          <w:color w:val="auto"/>
          <w:spacing w:val="-4"/>
          <w:position w:val="14"/>
          <w:sz w:val="21"/>
          <w:szCs w:val="21"/>
          <w:highlight w:val="none"/>
          <w14:textOutline w14:w="3831" w14:cap="flat" w14:cmpd="sng">
            <w14:solidFill>
              <w14:srgbClr w14:val="000000"/>
            </w14:solidFill>
            <w14:prstDash w14:val="solid"/>
            <w14:miter w14:val="0"/>
          </w14:textOutline>
        </w:rPr>
        <w:t>A-</w:t>
      </w:r>
    </w:p>
    <w:p w14:paraId="45E31842">
      <w:pPr>
        <w:spacing w:before="1" w:line="219" w:lineRule="auto"/>
        <w:ind w:left="3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17</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格式推荐中标候选人。评标委员会在推荐中标候选人时，应遵照以下原</w:t>
      </w:r>
      <w:r>
        <w:rPr>
          <w:rFonts w:ascii="宋体" w:hAnsi="宋体" w:eastAsia="宋体" w:cs="宋体"/>
          <w:color w:val="auto"/>
          <w:spacing w:val="-2"/>
          <w:sz w:val="21"/>
          <w:szCs w:val="21"/>
          <w:highlight w:val="none"/>
        </w:rPr>
        <w:t>则</w:t>
      </w:r>
      <w:r>
        <w:rPr>
          <w:rFonts w:ascii="宋体" w:hAnsi="宋体" w:eastAsia="宋体" w:cs="宋体"/>
          <w:color w:val="auto"/>
          <w:spacing w:val="-63"/>
          <w:sz w:val="21"/>
          <w:szCs w:val="21"/>
          <w:highlight w:val="none"/>
        </w:rPr>
        <w:t xml:space="preserve"> </w:t>
      </w:r>
      <w:r>
        <w:rPr>
          <w:rFonts w:ascii="宋体" w:hAnsi="宋体" w:eastAsia="宋体" w:cs="宋体"/>
          <w:color w:val="auto"/>
          <w:spacing w:val="-2"/>
          <w:sz w:val="21"/>
          <w:szCs w:val="21"/>
          <w:highlight w:val="none"/>
        </w:rPr>
        <w:t>:</w:t>
      </w:r>
    </w:p>
    <w:p w14:paraId="084F83BF">
      <w:pPr>
        <w:spacing w:before="147" w:line="352" w:lineRule="auto"/>
        <w:ind w:left="17" w:right="90" w:firstLine="4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（1）评标委员会按照有效评标价由低到高的次序排列，并根据第</w:t>
      </w:r>
      <w:r>
        <w:rPr>
          <w:rFonts w:ascii="宋体" w:hAnsi="宋体" w:eastAsia="宋体" w:cs="宋体"/>
          <w:color w:val="auto"/>
          <w:spacing w:val="2"/>
          <w:sz w:val="21"/>
          <w:szCs w:val="21"/>
          <w:highlight w:val="none"/>
        </w:rPr>
        <w:t>二章“投标人须知”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前附表第 7.1 款规定的中标候选人数量，将排序在前的投标人推荐为</w:t>
      </w:r>
      <w:r>
        <w:rPr>
          <w:rFonts w:ascii="宋体" w:hAnsi="宋体" w:eastAsia="宋体" w:cs="宋体"/>
          <w:color w:val="auto"/>
          <w:spacing w:val="-4"/>
          <w:sz w:val="21"/>
          <w:szCs w:val="21"/>
          <w:highlight w:val="none"/>
        </w:rPr>
        <w:t>中标候选人。</w:t>
      </w:r>
      <w:r>
        <w:rPr>
          <w:rFonts w:ascii="宋体" w:hAnsi="宋体" w:eastAsia="宋体" w:cs="宋体"/>
          <w:color w:val="auto"/>
          <w:spacing w:val="43"/>
          <w:sz w:val="21"/>
          <w:szCs w:val="21"/>
          <w:highlight w:val="none"/>
        </w:rPr>
        <w:t xml:space="preserve"> </w:t>
      </w:r>
      <w:r>
        <w:rPr>
          <w:rFonts w:ascii="宋体" w:hAnsi="宋体" w:eastAsia="宋体" w:cs="宋体"/>
          <w:color w:val="auto"/>
          <w:spacing w:val="-4"/>
          <w:sz w:val="21"/>
          <w:szCs w:val="21"/>
          <w:highlight w:val="none"/>
        </w:rPr>
        <w:t>招标文</w:t>
      </w:r>
      <w:r>
        <w:rPr>
          <w:rFonts w:ascii="宋体" w:hAnsi="宋体" w:eastAsia="宋体" w:cs="宋体"/>
          <w:color w:val="auto"/>
          <w:sz w:val="21"/>
          <w:szCs w:val="21"/>
          <w:highlight w:val="none"/>
        </w:rPr>
        <w:t xml:space="preserve">  件允许多标段投标、多标段中标的，各标段中标候选人的推荐按规定执行， 对某些标段由</w:t>
      </w:r>
    </w:p>
    <w:p w14:paraId="48BE9377">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此产生的空缺由排序在后的投标人依次替补。</w:t>
      </w:r>
    </w:p>
    <w:p w14:paraId="4F951CC4">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（2）如果评标委员会根据本章的规定否决有关投标后，有效投标不足三个，且少于第</w:t>
      </w:r>
    </w:p>
    <w:p w14:paraId="5A581395">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二章“投标人须知”前附表第 7.1 款规定的中标候选人数量的，则评标委员会可以将所有</w:t>
      </w:r>
    </w:p>
    <w:p w14:paraId="3C5B61D3">
      <w:pPr>
        <w:spacing w:line="219" w:lineRule="auto"/>
        <w:rPr>
          <w:rFonts w:ascii="宋体" w:hAnsi="宋体" w:eastAsia="宋体" w:cs="宋体"/>
          <w:color w:val="auto"/>
          <w:sz w:val="21"/>
          <w:szCs w:val="21"/>
          <w:highlight w:val="none"/>
        </w:rPr>
        <w:sectPr>
          <w:footerReference r:id="rId73" w:type="default"/>
          <w:pgSz w:w="11905" w:h="16839"/>
          <w:pgMar w:top="1431" w:right="1598" w:bottom="992" w:left="1785" w:header="0" w:footer="791" w:gutter="0"/>
          <w:pgNumType w:fmt="decimal"/>
          <w:cols w:space="720" w:num="1"/>
        </w:sectPr>
      </w:pPr>
    </w:p>
    <w:p w14:paraId="7011E63F">
      <w:pPr>
        <w:spacing w:before="149" w:line="398" w:lineRule="exact"/>
        <w:ind w:left="19"/>
        <w:rPr>
          <w:rFonts w:ascii="宋体" w:hAnsi="宋体" w:eastAsia="宋体" w:cs="宋体"/>
          <w:color w:val="auto"/>
          <w:sz w:val="21"/>
          <w:szCs w:val="21"/>
          <w:highlight w:val="none"/>
        </w:rPr>
      </w:pPr>
      <w:bookmarkStart w:id="183" w:name="bookmark211"/>
      <w:bookmarkEnd w:id="183"/>
      <w:r>
        <w:rPr>
          <w:rFonts w:ascii="宋体" w:hAnsi="宋体" w:eastAsia="宋体" w:cs="宋体"/>
          <w:color w:val="auto"/>
          <w:spacing w:val="3"/>
          <w:position w:val="14"/>
          <w:sz w:val="21"/>
          <w:szCs w:val="21"/>
          <w:highlight w:val="none"/>
        </w:rPr>
        <w:t>有效评标价由低到高的次序作为中标候选人向招标人推荐。如果因有效投标</w:t>
      </w:r>
      <w:r>
        <w:rPr>
          <w:rFonts w:ascii="宋体" w:hAnsi="宋体" w:eastAsia="宋体" w:cs="宋体"/>
          <w:color w:val="auto"/>
          <w:spacing w:val="2"/>
          <w:position w:val="14"/>
          <w:sz w:val="21"/>
          <w:szCs w:val="21"/>
          <w:highlight w:val="none"/>
        </w:rPr>
        <w:t>不足三个使得</w:t>
      </w:r>
    </w:p>
    <w:p w14:paraId="2084F5CF">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投标明显缺乏竞争的，评标委员会可以否决所有投标，并建议招标人重新招标。</w:t>
      </w:r>
    </w:p>
    <w:p w14:paraId="3E2A9ADA">
      <w:pPr>
        <w:spacing w:before="153" w:line="399"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A5.1.2</w:t>
      </w:r>
      <w:r>
        <w:rPr>
          <w:rFonts w:ascii="宋体" w:hAnsi="宋体" w:eastAsia="宋体" w:cs="宋体"/>
          <w:color w:val="auto"/>
          <w:spacing w:val="-38"/>
          <w:position w:val="14"/>
          <w:sz w:val="21"/>
          <w:szCs w:val="21"/>
          <w:highlight w:val="none"/>
        </w:rPr>
        <w:t xml:space="preserve"> </w:t>
      </w:r>
      <w:r>
        <w:rPr>
          <w:rFonts w:ascii="宋体" w:hAnsi="宋体" w:eastAsia="宋体" w:cs="宋体"/>
          <w:color w:val="auto"/>
          <w:spacing w:val="-3"/>
          <w:position w:val="14"/>
          <w:sz w:val="21"/>
          <w:szCs w:val="21"/>
          <w:highlight w:val="none"/>
        </w:rPr>
        <w:t>投标人数量少于三个或者所有投标被否决的，</w:t>
      </w:r>
      <w:r>
        <w:rPr>
          <w:rFonts w:ascii="宋体" w:hAnsi="宋体" w:eastAsia="宋体" w:cs="宋体"/>
          <w:color w:val="auto"/>
          <w:spacing w:val="-26"/>
          <w:position w:val="14"/>
          <w:sz w:val="21"/>
          <w:szCs w:val="21"/>
          <w:highlight w:val="none"/>
        </w:rPr>
        <w:t xml:space="preserve"> </w:t>
      </w:r>
      <w:r>
        <w:rPr>
          <w:rFonts w:ascii="宋体" w:hAnsi="宋体" w:eastAsia="宋体" w:cs="宋体"/>
          <w:color w:val="auto"/>
          <w:spacing w:val="-3"/>
          <w:position w:val="14"/>
          <w:sz w:val="21"/>
          <w:szCs w:val="21"/>
          <w:highlight w:val="none"/>
        </w:rPr>
        <w:t>招标人应当依法重新招标。</w:t>
      </w:r>
    </w:p>
    <w:p w14:paraId="0CD25C47">
      <w:pPr>
        <w:spacing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A5.2 </w:t>
      </w:r>
      <w:r>
        <w:rPr>
          <w:rFonts w:ascii="黑体" w:hAnsi="黑体" w:eastAsia="黑体" w:cs="黑体"/>
          <w:color w:val="auto"/>
          <w:spacing w:val="-1"/>
          <w:sz w:val="21"/>
          <w:szCs w:val="21"/>
          <w:highlight w:val="none"/>
        </w:rPr>
        <w:t>直接确定中标人</w:t>
      </w:r>
    </w:p>
    <w:p w14:paraId="1217CB1E">
      <w:pPr>
        <w:spacing w:before="149" w:line="403"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第二章“投标人须知”前附表授权评标委员会直接确定中标人的，评标委员会按照有</w:t>
      </w:r>
    </w:p>
    <w:p w14:paraId="7AA41C87">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效评标价由低到高的次序排列，并依法确定中</w:t>
      </w:r>
      <w:r>
        <w:rPr>
          <w:rFonts w:ascii="宋体" w:hAnsi="宋体" w:eastAsia="宋体" w:cs="宋体"/>
          <w:color w:val="auto"/>
          <w:spacing w:val="-2"/>
          <w:sz w:val="21"/>
          <w:szCs w:val="21"/>
          <w:highlight w:val="none"/>
        </w:rPr>
        <w:t>标人。</w:t>
      </w:r>
    </w:p>
    <w:p w14:paraId="7929F0E4">
      <w:pPr>
        <w:spacing w:before="149"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A5.3 </w:t>
      </w:r>
      <w:r>
        <w:rPr>
          <w:rFonts w:ascii="黑体" w:hAnsi="黑体" w:eastAsia="黑体" w:cs="黑体"/>
          <w:color w:val="auto"/>
          <w:spacing w:val="-1"/>
          <w:sz w:val="21"/>
          <w:szCs w:val="21"/>
          <w:highlight w:val="none"/>
        </w:rPr>
        <w:t>编制评标报告</w:t>
      </w:r>
    </w:p>
    <w:p w14:paraId="296BBBDB">
      <w:pPr>
        <w:spacing w:before="151" w:line="352" w:lineRule="auto"/>
        <w:ind w:left="17" w:right="174"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评标委员会根据本章第 3.4.2 项的规定向招标人提交评标报告。评标报告应当由全体</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评标委员会成员签字， 并于评标结束时抄送有关行政监督部门。评标报告应当包括以下内</w:t>
      </w:r>
    </w:p>
    <w:p w14:paraId="5638FF24">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容：</w:t>
      </w:r>
    </w:p>
    <w:p w14:paraId="15D7DA2E">
      <w:pPr>
        <w:spacing w:before="146"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（1）基本情况和数据表；</w:t>
      </w:r>
    </w:p>
    <w:p w14:paraId="45DB9F9F">
      <w:pPr>
        <w:spacing w:before="154" w:line="399"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（2）评标委员会成员名单；</w:t>
      </w:r>
    </w:p>
    <w:p w14:paraId="7963A250">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（3）开标记录；</w:t>
      </w:r>
    </w:p>
    <w:p w14:paraId="05105B3B">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（4）通过初步评审的投标人一览表；</w:t>
      </w:r>
    </w:p>
    <w:p w14:paraId="44908BB1">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（5）被否决投标的情况说明；</w:t>
      </w:r>
    </w:p>
    <w:p w14:paraId="4041B7EE">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（6）评标标准、评标方法或者评标因素一览表；</w:t>
      </w:r>
    </w:p>
    <w:p w14:paraId="0DEDA7E0">
      <w:pPr>
        <w:spacing w:before="148" w:line="404"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（7）经评审的价格一览表（包括评标委员会在评标过程中所形成的所有记载评标结果、</w:t>
      </w:r>
    </w:p>
    <w:p w14:paraId="6C2C5D8B">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结论的表格、说明、记录等文件</w:t>
      </w:r>
      <w:r>
        <w:rPr>
          <w:rFonts w:ascii="宋体" w:hAnsi="宋体" w:eastAsia="宋体" w:cs="宋体"/>
          <w:color w:val="auto"/>
          <w:spacing w:val="-55"/>
          <w:w w:val="98"/>
          <w:sz w:val="21"/>
          <w:szCs w:val="21"/>
          <w:highlight w:val="none"/>
        </w:rPr>
        <w:t>）；</w:t>
      </w:r>
    </w:p>
    <w:p w14:paraId="3A8EA858">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（8）经评审的投标人排序；</w:t>
      </w:r>
    </w:p>
    <w:p w14:paraId="7D4E08E8">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（9）推荐的中标候选人名单（如果第二章“投标人须知”前附表授权评标委员会直接</w:t>
      </w:r>
    </w:p>
    <w:p w14:paraId="5805F3CA">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确定中标人，则为“确定的中标人”）与签订合同前要处理的事宜；</w:t>
      </w:r>
    </w:p>
    <w:p w14:paraId="6266CD89">
      <w:pPr>
        <w:spacing w:before="146" w:line="374" w:lineRule="exact"/>
        <w:ind w:left="447"/>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（10）澄清、说明、补正事项纪要。</w:t>
      </w:r>
    </w:p>
    <w:p w14:paraId="72E6A210">
      <w:pPr>
        <w:spacing w:before="1" w:line="218"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A6.</w:t>
      </w:r>
      <w:r>
        <w:rPr>
          <w:rFonts w:ascii="黑体" w:hAnsi="黑体" w:eastAsia="黑体" w:cs="黑体"/>
          <w:color w:val="auto"/>
          <w:sz w:val="24"/>
          <w:szCs w:val="24"/>
          <w:highlight w:val="none"/>
        </w:rPr>
        <w:t>特殊情况的处置程序</w:t>
      </w:r>
    </w:p>
    <w:p w14:paraId="37A4A2C3">
      <w:pPr>
        <w:spacing w:before="143"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A6.1 </w:t>
      </w:r>
      <w:r>
        <w:rPr>
          <w:rFonts w:ascii="黑体" w:hAnsi="黑体" w:eastAsia="黑体" w:cs="黑体"/>
          <w:color w:val="auto"/>
          <w:sz w:val="21"/>
          <w:szCs w:val="21"/>
          <w:highlight w:val="none"/>
        </w:rPr>
        <w:t>暗标评审的评审程序规定（适用于对技术标进行暗</w:t>
      </w:r>
      <w:r>
        <w:rPr>
          <w:rFonts w:ascii="黑体" w:hAnsi="黑体" w:eastAsia="黑体" w:cs="黑体"/>
          <w:color w:val="auto"/>
          <w:spacing w:val="-1"/>
          <w:sz w:val="21"/>
          <w:szCs w:val="21"/>
          <w:highlight w:val="none"/>
        </w:rPr>
        <w:t>标评审的）</w:t>
      </w:r>
    </w:p>
    <w:p w14:paraId="7054CA6E">
      <w:pPr>
        <w:spacing w:before="148" w:line="352" w:lineRule="auto"/>
        <w:ind w:left="19" w:right="174" w:firstLine="42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如果第二章“投标人须知”前附表第</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3.7.4 </w:t>
      </w:r>
      <w:r>
        <w:rPr>
          <w:rFonts w:ascii="宋体" w:hAnsi="宋体" w:eastAsia="宋体" w:cs="宋体"/>
          <w:color w:val="auto"/>
          <w:spacing w:val="-3"/>
          <w:sz w:val="21"/>
          <w:szCs w:val="21"/>
          <w:highlight w:val="none"/>
        </w:rPr>
        <w:t>项要求对技术标采用模块化暗标方式， 如果</w:t>
      </w:r>
      <w:r>
        <w:rPr>
          <w:rFonts w:ascii="宋体" w:hAnsi="宋体" w:eastAsia="宋体" w:cs="宋体"/>
          <w:color w:val="auto"/>
          <w:sz w:val="21"/>
          <w:szCs w:val="21"/>
          <w:highlight w:val="none"/>
        </w:rPr>
        <w:t xml:space="preserve"> 技术标只进行合格性审查的， 也应在初步评审阶段完成。所有被否决的投标，在上述评审</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完成后再公开其暗标编号与投标人名称之间的对应关系。被否决的投标不再进</w:t>
      </w:r>
      <w:r>
        <w:rPr>
          <w:rFonts w:ascii="宋体" w:hAnsi="宋体" w:eastAsia="宋体" w:cs="宋体"/>
          <w:color w:val="auto"/>
          <w:spacing w:val="2"/>
          <w:sz w:val="21"/>
          <w:szCs w:val="21"/>
          <w:highlight w:val="none"/>
        </w:rPr>
        <w:t>入详细评审</w:t>
      </w:r>
    </w:p>
    <w:p w14:paraId="6612C3D5">
      <w:pPr>
        <w:spacing w:line="222" w:lineRule="auto"/>
        <w:ind w:left="2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阶段。</w:t>
      </w:r>
    </w:p>
    <w:p w14:paraId="4B9205DC">
      <w:pPr>
        <w:spacing w:before="146"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A6.2 </w:t>
      </w:r>
      <w:r>
        <w:rPr>
          <w:rFonts w:ascii="黑体" w:hAnsi="黑体" w:eastAsia="黑体" w:cs="黑体"/>
          <w:color w:val="auto"/>
          <w:spacing w:val="-1"/>
          <w:sz w:val="21"/>
          <w:szCs w:val="21"/>
          <w:highlight w:val="none"/>
        </w:rPr>
        <w:t>关于评标活动暂停</w:t>
      </w:r>
    </w:p>
    <w:p w14:paraId="25D82006">
      <w:pPr>
        <w:spacing w:before="153" w:line="399" w:lineRule="exact"/>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A6.2.1 评标委员会应当执行连续评标的原则，</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4"/>
          <w:position w:val="14"/>
          <w:sz w:val="21"/>
          <w:szCs w:val="21"/>
          <w:highlight w:val="none"/>
        </w:rPr>
        <w:t>按评标办法中规定的程序</w:t>
      </w:r>
      <w:r>
        <w:rPr>
          <w:rFonts w:ascii="宋体" w:hAnsi="宋体" w:eastAsia="宋体" w:cs="宋体"/>
          <w:color w:val="auto"/>
          <w:spacing w:val="-5"/>
          <w:position w:val="14"/>
          <w:sz w:val="21"/>
          <w:szCs w:val="21"/>
          <w:highlight w:val="none"/>
        </w:rPr>
        <w:t>、内容、方法、</w:t>
      </w:r>
    </w:p>
    <w:p w14:paraId="1DB4EA08">
      <w:pPr>
        <w:spacing w:line="220"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标准完成全部评标工作。只有发生不可抗力导</w:t>
      </w:r>
      <w:r>
        <w:rPr>
          <w:rFonts w:ascii="宋体" w:hAnsi="宋体" w:eastAsia="宋体" w:cs="宋体"/>
          <w:color w:val="auto"/>
          <w:spacing w:val="-1"/>
          <w:sz w:val="21"/>
          <w:szCs w:val="21"/>
          <w:highlight w:val="none"/>
        </w:rPr>
        <w:t>致评标工作无法继续时， 评标活动方可暂停。</w:t>
      </w:r>
    </w:p>
    <w:p w14:paraId="07F149DE">
      <w:pPr>
        <w:spacing w:before="148" w:line="403"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A6.2.2 发生评标暂停情况时，</w:t>
      </w:r>
      <w:r>
        <w:rPr>
          <w:rFonts w:ascii="宋体" w:hAnsi="宋体" w:eastAsia="宋体" w:cs="宋体"/>
          <w:color w:val="auto"/>
          <w:spacing w:val="51"/>
          <w:position w:val="14"/>
          <w:sz w:val="21"/>
          <w:szCs w:val="21"/>
          <w:highlight w:val="none"/>
        </w:rPr>
        <w:t xml:space="preserve"> </w:t>
      </w:r>
      <w:r>
        <w:rPr>
          <w:rFonts w:ascii="宋体" w:hAnsi="宋体" w:eastAsia="宋体" w:cs="宋体"/>
          <w:color w:val="auto"/>
          <w:spacing w:val="-3"/>
          <w:position w:val="14"/>
          <w:sz w:val="21"/>
          <w:szCs w:val="21"/>
          <w:highlight w:val="none"/>
        </w:rPr>
        <w:t>评标委员会应当封存</w:t>
      </w:r>
      <w:r>
        <w:rPr>
          <w:rFonts w:ascii="宋体" w:hAnsi="宋体" w:eastAsia="宋体" w:cs="宋体"/>
          <w:color w:val="auto"/>
          <w:spacing w:val="-4"/>
          <w:position w:val="14"/>
          <w:sz w:val="21"/>
          <w:szCs w:val="21"/>
          <w:highlight w:val="none"/>
        </w:rPr>
        <w:t>全部投标文件和评标记录，待不可</w:t>
      </w:r>
    </w:p>
    <w:p w14:paraId="2E5821E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抗力的影响结束且具备继续评标的条件时，由原评标委员会继续评标。</w:t>
      </w:r>
    </w:p>
    <w:p w14:paraId="0E638C4F">
      <w:pPr>
        <w:spacing w:line="219" w:lineRule="auto"/>
        <w:rPr>
          <w:rFonts w:ascii="宋体" w:hAnsi="宋体" w:eastAsia="宋体" w:cs="宋体"/>
          <w:color w:val="auto"/>
          <w:sz w:val="21"/>
          <w:szCs w:val="21"/>
          <w:highlight w:val="none"/>
        </w:rPr>
        <w:sectPr>
          <w:footerReference r:id="rId74" w:type="default"/>
          <w:pgSz w:w="11905" w:h="16839"/>
          <w:pgMar w:top="1431" w:right="1613" w:bottom="996" w:left="1785" w:header="0" w:footer="791" w:gutter="0"/>
          <w:pgNumType w:fmt="decimal"/>
          <w:cols w:space="720" w:num="1"/>
        </w:sectPr>
      </w:pPr>
    </w:p>
    <w:p w14:paraId="3260E490">
      <w:pPr>
        <w:spacing w:before="149" w:line="219" w:lineRule="auto"/>
        <w:ind w:left="11"/>
        <w:rPr>
          <w:rFonts w:ascii="黑体" w:hAnsi="黑体" w:eastAsia="黑体" w:cs="黑体"/>
          <w:color w:val="auto"/>
          <w:sz w:val="21"/>
          <w:szCs w:val="21"/>
          <w:highlight w:val="none"/>
        </w:rPr>
      </w:pPr>
      <w:bookmarkStart w:id="184" w:name="bookmark212"/>
      <w:bookmarkEnd w:id="184"/>
      <w:r>
        <w:rPr>
          <w:rFonts w:ascii="Times New Roman" w:hAnsi="Times New Roman" w:eastAsia="Times New Roman" w:cs="Times New Roman"/>
          <w:color w:val="auto"/>
          <w:spacing w:val="-1"/>
          <w:sz w:val="21"/>
          <w:szCs w:val="21"/>
          <w:highlight w:val="none"/>
        </w:rPr>
        <w:t xml:space="preserve">A6.3 </w:t>
      </w:r>
      <w:r>
        <w:rPr>
          <w:rFonts w:ascii="黑体" w:hAnsi="黑体" w:eastAsia="黑体" w:cs="黑体"/>
          <w:color w:val="auto"/>
          <w:spacing w:val="-1"/>
          <w:sz w:val="21"/>
          <w:szCs w:val="21"/>
          <w:highlight w:val="none"/>
        </w:rPr>
        <w:t>关于评标中途更换评标委员会成员</w:t>
      </w:r>
    </w:p>
    <w:p w14:paraId="7993885F">
      <w:pPr>
        <w:spacing w:before="148" w:line="353" w:lineRule="auto"/>
        <w:ind w:left="446" w:right="1310" w:hanging="1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A6.3.1</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除非发生下列情况之一，评标委员会成</w:t>
      </w:r>
      <w:r>
        <w:rPr>
          <w:rFonts w:ascii="宋体" w:hAnsi="宋体" w:eastAsia="宋体" w:cs="宋体"/>
          <w:color w:val="auto"/>
          <w:spacing w:val="-3"/>
          <w:sz w:val="21"/>
          <w:szCs w:val="21"/>
          <w:highlight w:val="none"/>
        </w:rPr>
        <w:t xml:space="preserve">员不得在评标中途更换： </w:t>
      </w:r>
      <w:r>
        <w:rPr>
          <w:rFonts w:ascii="宋体" w:hAnsi="宋体" w:eastAsia="宋体" w:cs="宋体"/>
          <w:color w:val="auto"/>
          <w:spacing w:val="-4"/>
          <w:sz w:val="21"/>
          <w:szCs w:val="21"/>
          <w:highlight w:val="none"/>
        </w:rPr>
        <w:t>（1）因不可抗拒的客观原因， 不能到场</w:t>
      </w:r>
      <w:r>
        <w:rPr>
          <w:rFonts w:ascii="宋体" w:hAnsi="宋体" w:eastAsia="宋体" w:cs="宋体"/>
          <w:color w:val="auto"/>
          <w:spacing w:val="-5"/>
          <w:sz w:val="21"/>
          <w:szCs w:val="21"/>
          <w:highlight w:val="none"/>
        </w:rPr>
        <w:t>或需在评标中途退出评标活动。</w:t>
      </w:r>
    </w:p>
    <w:p w14:paraId="35221C6A">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（2）根据法律法规规定，某个或某几个评标委员会成员需要回避。</w:t>
      </w:r>
    </w:p>
    <w:p w14:paraId="3B24E3EE">
      <w:pPr>
        <w:spacing w:before="148" w:line="403" w:lineRule="exact"/>
        <w:ind w:right="2"/>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A6.3.2 退出评标的评标委员会成员，</w:t>
      </w:r>
      <w:r>
        <w:rPr>
          <w:rFonts w:ascii="宋体" w:hAnsi="宋体" w:eastAsia="宋体" w:cs="宋体"/>
          <w:color w:val="auto"/>
          <w:position w:val="14"/>
          <w:sz w:val="21"/>
          <w:szCs w:val="21"/>
          <w:highlight w:val="none"/>
        </w:rPr>
        <w:t>其已完成的评标行为无效。由招标人根据本招标</w:t>
      </w:r>
    </w:p>
    <w:p w14:paraId="1928A0F2">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文件规定的评标委员会成员生产方式另行确定替代者进</w:t>
      </w:r>
      <w:r>
        <w:rPr>
          <w:rFonts w:ascii="宋体" w:hAnsi="宋体" w:eastAsia="宋体" w:cs="宋体"/>
          <w:color w:val="auto"/>
          <w:spacing w:val="-2"/>
          <w:sz w:val="21"/>
          <w:szCs w:val="21"/>
          <w:highlight w:val="none"/>
        </w:rPr>
        <w:t>行评标。</w:t>
      </w:r>
    </w:p>
    <w:p w14:paraId="1567EDD9">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A6.4 </w:t>
      </w:r>
      <w:r>
        <w:rPr>
          <w:rFonts w:ascii="黑体" w:hAnsi="黑体" w:eastAsia="黑体" w:cs="黑体"/>
          <w:color w:val="auto"/>
          <w:sz w:val="21"/>
          <w:szCs w:val="21"/>
          <w:highlight w:val="none"/>
        </w:rPr>
        <w:t>评标争议处理</w:t>
      </w:r>
    </w:p>
    <w:p w14:paraId="370D8952">
      <w:pPr>
        <w:spacing w:before="148" w:line="220" w:lineRule="auto"/>
        <w:ind w:left="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A6.4.1</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评标委员会全体成员应独立评审，对所提出的评审意见承担个人责任。</w:t>
      </w:r>
    </w:p>
    <w:p w14:paraId="0964F3C6">
      <w:pPr>
        <w:spacing w:before="154" w:line="350" w:lineRule="auto"/>
        <w:ind w:left="17" w:right="2" w:firstLine="4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A6.4.2 在任何评标环节中，需评标委</w:t>
      </w:r>
      <w:r>
        <w:rPr>
          <w:rFonts w:ascii="宋体" w:hAnsi="宋体" w:eastAsia="宋体" w:cs="宋体"/>
          <w:color w:val="auto"/>
          <w:sz w:val="21"/>
          <w:szCs w:val="21"/>
          <w:highlight w:val="none"/>
        </w:rPr>
        <w:t xml:space="preserve">员会就某项定性的评审结论做出表决的，由评标 </w:t>
      </w:r>
      <w:r>
        <w:rPr>
          <w:rFonts w:ascii="宋体" w:hAnsi="宋体" w:eastAsia="宋体" w:cs="宋体"/>
          <w:color w:val="auto"/>
          <w:spacing w:val="3"/>
          <w:sz w:val="21"/>
          <w:szCs w:val="21"/>
          <w:highlight w:val="none"/>
        </w:rPr>
        <w:t>委员会全体成员按照少数服从多数的原则，以记名投票方式表决。表决不得违</w:t>
      </w:r>
      <w:r>
        <w:rPr>
          <w:rFonts w:ascii="宋体" w:hAnsi="宋体" w:eastAsia="宋体" w:cs="宋体"/>
          <w:color w:val="auto"/>
          <w:spacing w:val="2"/>
          <w:sz w:val="21"/>
          <w:szCs w:val="21"/>
          <w:highlight w:val="none"/>
        </w:rPr>
        <w:t>背法律、法</w:t>
      </w:r>
    </w:p>
    <w:p w14:paraId="5247CBF3">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规、规章和招标文件的规定。</w:t>
      </w:r>
    </w:p>
    <w:p w14:paraId="1B6E1152">
      <w:pPr>
        <w:spacing w:before="152" w:line="351" w:lineRule="auto"/>
        <w:ind w:left="19" w:right="1" w:firstLine="4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A6.4.3 评标委员会成员对书面决议或评审结论持有异议的， 可以书面阐述其不同意见</w:t>
      </w:r>
      <w:r>
        <w:rPr>
          <w:rFonts w:ascii="宋体" w:hAnsi="宋体" w:eastAsia="宋体" w:cs="宋体"/>
          <w:color w:val="auto"/>
          <w:sz w:val="21"/>
          <w:szCs w:val="21"/>
          <w:highlight w:val="none"/>
        </w:rPr>
        <w:t xml:space="preserve"> 和理由。拒绝在书面决议或评标报告上签名， 且不陈述其不同意见和理由的，视为同意书</w:t>
      </w:r>
    </w:p>
    <w:p w14:paraId="65C572C4">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面决议或评标结论， 评标委员会应当对此在评标报告中做出书面</w:t>
      </w:r>
      <w:r>
        <w:rPr>
          <w:rFonts w:ascii="宋体" w:hAnsi="宋体" w:eastAsia="宋体" w:cs="宋体"/>
          <w:color w:val="auto"/>
          <w:spacing w:val="-5"/>
          <w:sz w:val="21"/>
          <w:szCs w:val="21"/>
          <w:highlight w:val="none"/>
        </w:rPr>
        <w:t>说明。</w:t>
      </w:r>
    </w:p>
    <w:p w14:paraId="3E4F07AB">
      <w:pPr>
        <w:spacing w:before="129" w:line="220"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A7.</w:t>
      </w:r>
      <w:r>
        <w:rPr>
          <w:rFonts w:ascii="黑体" w:hAnsi="黑体" w:eastAsia="黑体" w:cs="黑体"/>
          <w:color w:val="auto"/>
          <w:sz w:val="24"/>
          <w:szCs w:val="24"/>
          <w:highlight w:val="none"/>
        </w:rPr>
        <w:t>补充条款</w:t>
      </w:r>
    </w:p>
    <w:p w14:paraId="7182DC71">
      <w:pPr>
        <w:spacing w:before="171"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37966E9C">
      <w:pPr>
        <w:spacing w:line="332" w:lineRule="exact"/>
        <w:rPr>
          <w:rFonts w:ascii="宋体" w:hAnsi="宋体" w:eastAsia="宋体" w:cs="宋体"/>
          <w:color w:val="auto"/>
          <w:sz w:val="21"/>
          <w:szCs w:val="21"/>
          <w:highlight w:val="none"/>
        </w:rPr>
        <w:sectPr>
          <w:footerReference r:id="rId75" w:type="default"/>
          <w:pgSz w:w="11905" w:h="16839"/>
          <w:pgMar w:top="1431" w:right="1785" w:bottom="992" w:left="1785" w:header="0" w:footer="791" w:gutter="0"/>
          <w:pgNumType w:fmt="decimal"/>
          <w:cols w:space="720" w:num="1"/>
        </w:sectPr>
      </w:pPr>
    </w:p>
    <w:p w14:paraId="762EAB74">
      <w:pPr>
        <w:pStyle w:val="3"/>
        <w:spacing w:before="306" w:line="220" w:lineRule="auto"/>
        <w:ind w:left="32"/>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附件</w:t>
      </w:r>
      <w:r>
        <w:rPr>
          <w:rFonts w:ascii="黑体" w:hAnsi="黑体" w:eastAsia="黑体" w:cs="黑体"/>
          <w:color w:val="auto"/>
          <w:spacing w:val="-42"/>
          <w:sz w:val="24"/>
          <w:szCs w:val="24"/>
          <w:highlight w:val="none"/>
        </w:rPr>
        <w:t xml:space="preserve"> </w:t>
      </w:r>
      <w:r>
        <w:rPr>
          <w:color w:val="auto"/>
          <w:spacing w:val="-5"/>
          <w:sz w:val="24"/>
          <w:szCs w:val="24"/>
          <w:highlight w:val="none"/>
        </w:rPr>
        <w:t>B</w:t>
      </w:r>
      <w:r>
        <w:rPr>
          <w:rFonts w:ascii="黑体" w:hAnsi="黑体" w:eastAsia="黑体" w:cs="黑体"/>
          <w:color w:val="auto"/>
          <w:spacing w:val="-5"/>
          <w:sz w:val="24"/>
          <w:szCs w:val="24"/>
          <w:highlight w:val="none"/>
        </w:rPr>
        <w:t>：否决投标的条件</w:t>
      </w:r>
    </w:p>
    <w:p w14:paraId="0B5800E4">
      <w:pPr>
        <w:pStyle w:val="3"/>
        <w:spacing w:line="427" w:lineRule="auto"/>
        <w:rPr>
          <w:color w:val="auto"/>
          <w:highlight w:val="none"/>
        </w:rPr>
      </w:pPr>
    </w:p>
    <w:p w14:paraId="62A3F042">
      <w:pPr>
        <w:spacing w:before="88" w:line="225" w:lineRule="auto"/>
        <w:ind w:left="3195"/>
        <w:rPr>
          <w:rFonts w:ascii="黑体" w:hAnsi="黑体" w:eastAsia="黑体" w:cs="黑体"/>
          <w:color w:val="auto"/>
          <w:sz w:val="27"/>
          <w:szCs w:val="27"/>
          <w:highlight w:val="none"/>
        </w:rPr>
      </w:pPr>
      <w:bookmarkStart w:id="185" w:name="bookmark213"/>
      <w:bookmarkEnd w:id="185"/>
      <w:r>
        <w:rPr>
          <w:rFonts w:ascii="黑体" w:hAnsi="黑体" w:eastAsia="黑体" w:cs="黑体"/>
          <w:color w:val="auto"/>
          <w:spacing w:val="9"/>
          <w:sz w:val="27"/>
          <w:szCs w:val="27"/>
          <w:highlight w:val="none"/>
          <w14:textOutline w14:w="5050" w14:cap="flat" w14:cmpd="sng">
            <w14:solidFill>
              <w14:srgbClr w14:val="000000"/>
            </w14:solidFill>
            <w14:prstDash w14:val="solid"/>
            <w14:miter w14:val="0"/>
          </w14:textOutline>
        </w:rPr>
        <w:t>否决投标的条件</w:t>
      </w:r>
    </w:p>
    <w:p w14:paraId="6D6BC347">
      <w:pPr>
        <w:spacing w:before="106"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B0.</w:t>
      </w:r>
      <w:r>
        <w:rPr>
          <w:rFonts w:ascii="黑体" w:hAnsi="黑体" w:eastAsia="黑体" w:cs="黑体"/>
          <w:color w:val="auto"/>
          <w:spacing w:val="-1"/>
          <w:sz w:val="24"/>
          <w:szCs w:val="24"/>
          <w:highlight w:val="none"/>
        </w:rPr>
        <w:t>总</w:t>
      </w:r>
      <w:r>
        <w:rPr>
          <w:rFonts w:ascii="黑体" w:hAnsi="黑体" w:eastAsia="黑体" w:cs="黑体"/>
          <w:color w:val="auto"/>
          <w:spacing w:val="14"/>
          <w:sz w:val="24"/>
          <w:szCs w:val="24"/>
          <w:highlight w:val="none"/>
        </w:rPr>
        <w:t xml:space="preserve"> </w:t>
      </w:r>
      <w:r>
        <w:rPr>
          <w:rFonts w:ascii="黑体" w:hAnsi="黑体" w:eastAsia="黑体" w:cs="黑体"/>
          <w:color w:val="auto"/>
          <w:spacing w:val="-1"/>
          <w:sz w:val="24"/>
          <w:szCs w:val="24"/>
          <w:highlight w:val="none"/>
        </w:rPr>
        <w:t>则</w:t>
      </w:r>
    </w:p>
    <w:p w14:paraId="34FB237E">
      <w:pPr>
        <w:spacing w:before="162" w:line="432" w:lineRule="exact"/>
        <w:ind w:left="442"/>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本附件所集中列示的否决投标的条件，是本章“评标办法”的组成部分，是对第二章</w:t>
      </w:r>
    </w:p>
    <w:p w14:paraId="24D7244C">
      <w:pPr>
        <w:spacing w:line="219" w:lineRule="auto"/>
        <w:ind w:left="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“投标人须知”和本章正文部分所规定的否决投标的条件的总结和补充，如果出现不一致</w:t>
      </w:r>
    </w:p>
    <w:p w14:paraId="51E1AEAD">
      <w:pPr>
        <w:spacing w:before="178" w:line="383" w:lineRule="exact"/>
        <w:ind w:left="35"/>
        <w:rPr>
          <w:rFonts w:ascii="宋体" w:hAnsi="宋体" w:eastAsia="宋体" w:cs="宋体"/>
          <w:color w:val="auto"/>
          <w:sz w:val="21"/>
          <w:szCs w:val="21"/>
          <w:highlight w:val="none"/>
        </w:rPr>
      </w:pPr>
      <w:r>
        <w:rPr>
          <w:rFonts w:ascii="宋体" w:hAnsi="宋体" w:eastAsia="宋体" w:cs="宋体"/>
          <w:color w:val="auto"/>
          <w:spacing w:val="-9"/>
          <w:position w:val="13"/>
          <w:sz w:val="21"/>
          <w:szCs w:val="21"/>
          <w:highlight w:val="none"/>
        </w:rPr>
        <w:t>的情况，</w:t>
      </w:r>
      <w:r>
        <w:rPr>
          <w:rFonts w:ascii="宋体" w:hAnsi="宋体" w:eastAsia="宋体" w:cs="宋体"/>
          <w:color w:val="auto"/>
          <w:spacing w:val="40"/>
          <w:position w:val="13"/>
          <w:sz w:val="21"/>
          <w:szCs w:val="21"/>
          <w:highlight w:val="none"/>
        </w:rPr>
        <w:t xml:space="preserve"> </w:t>
      </w:r>
      <w:r>
        <w:rPr>
          <w:rFonts w:ascii="宋体" w:hAnsi="宋体" w:eastAsia="宋体" w:cs="宋体"/>
          <w:color w:val="auto"/>
          <w:spacing w:val="-9"/>
          <w:position w:val="13"/>
          <w:sz w:val="21"/>
          <w:szCs w:val="21"/>
          <w:highlight w:val="none"/>
        </w:rPr>
        <w:t>以本章前附表和正文部分的规定为准。</w:t>
      </w:r>
    </w:p>
    <w:p w14:paraId="0D32DEDF">
      <w:pPr>
        <w:spacing w:before="1"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B1.</w:t>
      </w:r>
      <w:r>
        <w:rPr>
          <w:rFonts w:ascii="黑体" w:hAnsi="黑体" w:eastAsia="黑体" w:cs="黑体"/>
          <w:color w:val="auto"/>
          <w:spacing w:val="-1"/>
          <w:sz w:val="24"/>
          <w:szCs w:val="24"/>
          <w:highlight w:val="none"/>
        </w:rPr>
        <w:t>否决投标的条件</w:t>
      </w:r>
    </w:p>
    <w:p w14:paraId="4C22E3DD">
      <w:pPr>
        <w:spacing w:before="161" w:line="220" w:lineRule="auto"/>
        <w:ind w:left="443"/>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投标人或其投标文件有下列情形之一的，评标委员</w:t>
      </w:r>
      <w:r>
        <w:rPr>
          <w:rFonts w:ascii="宋体" w:hAnsi="宋体" w:eastAsia="宋体" w:cs="宋体"/>
          <w:color w:val="auto"/>
          <w:spacing w:val="-1"/>
          <w:sz w:val="21"/>
          <w:szCs w:val="21"/>
          <w:highlight w:val="none"/>
        </w:rPr>
        <w:t>会应当否决其投标：</w:t>
      </w:r>
    </w:p>
    <w:p w14:paraId="2F42D747">
      <w:pPr>
        <w:spacing w:before="182" w:line="432" w:lineRule="exact"/>
        <w:ind w:left="436"/>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B1.1 在形式评审、资格评审、响应性评审</w:t>
      </w:r>
      <w:r>
        <w:rPr>
          <w:rFonts w:ascii="宋体" w:hAnsi="宋体" w:eastAsia="宋体" w:cs="宋体"/>
          <w:color w:val="auto"/>
          <w:spacing w:val="-4"/>
          <w:position w:val="16"/>
          <w:sz w:val="21"/>
          <w:szCs w:val="21"/>
          <w:highlight w:val="none"/>
        </w:rPr>
        <w:t>中，</w:t>
      </w:r>
      <w:r>
        <w:rPr>
          <w:rFonts w:ascii="宋体" w:hAnsi="宋体" w:eastAsia="宋体" w:cs="宋体"/>
          <w:color w:val="auto"/>
          <w:spacing w:val="50"/>
          <w:position w:val="16"/>
          <w:sz w:val="21"/>
          <w:szCs w:val="21"/>
          <w:highlight w:val="none"/>
        </w:rPr>
        <w:t xml:space="preserve"> </w:t>
      </w:r>
      <w:r>
        <w:rPr>
          <w:rFonts w:ascii="宋体" w:hAnsi="宋体" w:eastAsia="宋体" w:cs="宋体"/>
          <w:color w:val="auto"/>
          <w:spacing w:val="-4"/>
          <w:position w:val="16"/>
          <w:sz w:val="21"/>
          <w:szCs w:val="21"/>
          <w:highlight w:val="none"/>
        </w:rPr>
        <w:t>评标委员会认定投标人的投标文件不符</w:t>
      </w:r>
    </w:p>
    <w:p w14:paraId="68E19574">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合评标办法前附表中规定的任何一项评审标准的。</w:t>
      </w:r>
      <w:r>
        <w:rPr>
          <w:rFonts w:ascii="宋体" w:hAnsi="宋体" w:eastAsia="宋体" w:cs="宋体"/>
          <w:color w:val="auto"/>
          <w:spacing w:val="-2"/>
          <w:sz w:val="21"/>
          <w:szCs w:val="21"/>
          <w:highlight w:val="none"/>
        </w:rPr>
        <w:t>主要包括以下内容：</w:t>
      </w:r>
    </w:p>
    <w:p w14:paraId="5D031934">
      <w:pPr>
        <w:spacing w:before="178" w:line="432" w:lineRule="exact"/>
        <w:ind w:left="447"/>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w:t>
      </w:r>
      <w:r>
        <w:rPr>
          <w:rFonts w:ascii="Times New Roman" w:hAnsi="Times New Roman" w:eastAsia="Times New Roman" w:cs="Times New Roman"/>
          <w:color w:val="auto"/>
          <w:position w:val="16"/>
          <w:sz w:val="21"/>
          <w:szCs w:val="21"/>
          <w:highlight w:val="none"/>
        </w:rPr>
        <w:t>1</w:t>
      </w:r>
      <w:r>
        <w:rPr>
          <w:rFonts w:ascii="宋体" w:hAnsi="宋体" w:eastAsia="宋体" w:cs="宋体"/>
          <w:color w:val="auto"/>
          <w:position w:val="16"/>
          <w:sz w:val="21"/>
          <w:szCs w:val="21"/>
          <w:highlight w:val="none"/>
        </w:rPr>
        <w:t>）投标人名称与营业执照、资质证书、安全生产许可证不一致；或提供无效的营业</w:t>
      </w:r>
    </w:p>
    <w:p w14:paraId="06F17BC4">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执照、资质证书、安全生产许可证的；</w:t>
      </w:r>
    </w:p>
    <w:p w14:paraId="12C345B9">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2</w:t>
      </w:r>
      <w:r>
        <w:rPr>
          <w:rFonts w:ascii="宋体" w:hAnsi="宋体" w:eastAsia="宋体" w:cs="宋体"/>
          <w:color w:val="auto"/>
          <w:spacing w:val="-1"/>
          <w:position w:val="16"/>
          <w:sz w:val="21"/>
          <w:szCs w:val="21"/>
          <w:highlight w:val="none"/>
        </w:rPr>
        <w:t xml:space="preserve">）未按照第二章“投标人须知”第 </w:t>
      </w:r>
      <w:r>
        <w:rPr>
          <w:rFonts w:ascii="Times New Roman" w:hAnsi="Times New Roman" w:eastAsia="Times New Roman" w:cs="Times New Roman"/>
          <w:color w:val="auto"/>
          <w:spacing w:val="-1"/>
          <w:position w:val="16"/>
          <w:sz w:val="21"/>
          <w:szCs w:val="21"/>
          <w:highlight w:val="none"/>
        </w:rPr>
        <w:t>3.7.3</w:t>
      </w: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4</w:t>
      </w:r>
      <w:r>
        <w:rPr>
          <w:rFonts w:ascii="宋体" w:hAnsi="宋体" w:eastAsia="宋体" w:cs="宋体"/>
          <w:color w:val="auto"/>
          <w:spacing w:val="-1"/>
          <w:position w:val="16"/>
          <w:sz w:val="21"/>
          <w:szCs w:val="21"/>
          <w:highlight w:val="none"/>
        </w:rPr>
        <w:t>）</w:t>
      </w:r>
      <w:r>
        <w:rPr>
          <w:rFonts w:ascii="宋体" w:hAnsi="宋体" w:eastAsia="宋体" w:cs="宋体"/>
          <w:color w:val="auto"/>
          <w:spacing w:val="-55"/>
          <w:position w:val="16"/>
          <w:sz w:val="21"/>
          <w:szCs w:val="21"/>
          <w:highlight w:val="none"/>
        </w:rPr>
        <w:t xml:space="preserve"> </w:t>
      </w:r>
      <w:r>
        <w:rPr>
          <w:rFonts w:ascii="宋体" w:hAnsi="宋体" w:eastAsia="宋体" w:cs="宋体"/>
          <w:color w:val="auto"/>
          <w:spacing w:val="-1"/>
          <w:position w:val="16"/>
          <w:sz w:val="21"/>
          <w:szCs w:val="21"/>
          <w:highlight w:val="none"/>
        </w:rPr>
        <w:t>目规定和第八章“投标文件格式</w:t>
      </w:r>
      <w:r>
        <w:rPr>
          <w:rFonts w:ascii="宋体" w:hAnsi="宋体" w:eastAsia="宋体" w:cs="宋体"/>
          <w:color w:val="auto"/>
          <w:spacing w:val="-2"/>
          <w:position w:val="16"/>
          <w:sz w:val="21"/>
          <w:szCs w:val="21"/>
          <w:highlight w:val="none"/>
        </w:rPr>
        <w:t>”的</w:t>
      </w:r>
    </w:p>
    <w:p w14:paraId="29063601">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要求进行电子签章的；</w:t>
      </w:r>
    </w:p>
    <w:p w14:paraId="2F0EAE2C">
      <w:pPr>
        <w:spacing w:before="177" w:line="380" w:lineRule="auto"/>
        <w:ind w:left="19" w:firstLine="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）联合体投标没有提交共同投标协议或共同投标协议未按招标文件提供的格式签署、</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提交， 未明确联合体牵头人和各方权利与义务，未承诺就中标项目向招标人承担连带责任</w:t>
      </w:r>
    </w:p>
    <w:p w14:paraId="0E988AFC">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28"/>
          <w:sz w:val="21"/>
          <w:szCs w:val="21"/>
          <w:highlight w:val="none"/>
        </w:rPr>
        <w:t>的（如有</w:t>
      </w:r>
      <w:r>
        <w:rPr>
          <w:rFonts w:ascii="宋体" w:hAnsi="宋体" w:eastAsia="宋体" w:cs="宋体"/>
          <w:color w:val="auto"/>
          <w:spacing w:val="-14"/>
          <w:sz w:val="21"/>
          <w:szCs w:val="21"/>
          <w:highlight w:val="none"/>
        </w:rPr>
        <w:t>）；</w:t>
      </w:r>
    </w:p>
    <w:p w14:paraId="411B4C6D">
      <w:pPr>
        <w:spacing w:before="176" w:line="432" w:lineRule="exact"/>
        <w:ind w:left="447"/>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w:t>
      </w:r>
      <w:r>
        <w:rPr>
          <w:rFonts w:ascii="Times New Roman" w:hAnsi="Times New Roman" w:eastAsia="Times New Roman" w:cs="Times New Roman"/>
          <w:color w:val="auto"/>
          <w:position w:val="17"/>
          <w:sz w:val="21"/>
          <w:szCs w:val="21"/>
          <w:highlight w:val="none"/>
        </w:rPr>
        <w:t>4</w:t>
      </w:r>
      <w:r>
        <w:rPr>
          <w:rFonts w:ascii="宋体" w:hAnsi="宋体" w:eastAsia="宋体" w:cs="宋体"/>
          <w:color w:val="auto"/>
          <w:position w:val="17"/>
          <w:sz w:val="21"/>
          <w:szCs w:val="21"/>
          <w:highlight w:val="none"/>
        </w:rPr>
        <w:t>）同一投标人提交两个以上不同的投标文件或者投标报价的（但招标文件要求提交</w:t>
      </w:r>
    </w:p>
    <w:p w14:paraId="385E44D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备选投标的除外</w:t>
      </w:r>
      <w:r>
        <w:rPr>
          <w:rFonts w:ascii="宋体" w:hAnsi="宋体" w:eastAsia="宋体" w:cs="宋体"/>
          <w:color w:val="auto"/>
          <w:spacing w:val="-18"/>
          <w:sz w:val="21"/>
          <w:szCs w:val="21"/>
          <w:highlight w:val="none"/>
        </w:rPr>
        <w:t>）；</w:t>
      </w:r>
    </w:p>
    <w:p w14:paraId="18082439">
      <w:pPr>
        <w:spacing w:before="176"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）未按照招标文件的要求报送应有的投标报价表格的；</w:t>
      </w:r>
    </w:p>
    <w:p w14:paraId="7A4F5964">
      <w:pPr>
        <w:spacing w:before="18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）项目经理二次刷卡实名认证未通过的；</w:t>
      </w:r>
    </w:p>
    <w:p w14:paraId="77BF7637">
      <w:pPr>
        <w:spacing w:before="18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）法定代表人或授权委托人未完成实名认证的；</w:t>
      </w:r>
    </w:p>
    <w:p w14:paraId="25A4094A">
      <w:pPr>
        <w:spacing w:before="17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8</w:t>
      </w:r>
      <w:r>
        <w:rPr>
          <w:rFonts w:ascii="宋体" w:hAnsi="宋体" w:eastAsia="宋体" w:cs="宋体"/>
          <w:color w:val="auto"/>
          <w:spacing w:val="-2"/>
          <w:sz w:val="21"/>
          <w:szCs w:val="21"/>
          <w:highlight w:val="none"/>
        </w:rPr>
        <w:t>）未按招标文件要求编制技术标（暗标）投标文件的；</w:t>
      </w:r>
    </w:p>
    <w:p w14:paraId="393369B3">
      <w:pPr>
        <w:spacing w:before="18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9</w:t>
      </w:r>
      <w:r>
        <w:rPr>
          <w:rFonts w:ascii="宋体" w:hAnsi="宋体" w:eastAsia="宋体" w:cs="宋体"/>
          <w:color w:val="auto"/>
          <w:spacing w:val="-2"/>
          <w:sz w:val="21"/>
          <w:szCs w:val="21"/>
          <w:highlight w:val="none"/>
        </w:rPr>
        <w:t>）投标人资质条件不符合国家规定和招标文件要求的；</w:t>
      </w:r>
    </w:p>
    <w:p w14:paraId="3468AA88">
      <w:pPr>
        <w:spacing w:before="176" w:line="432" w:lineRule="exact"/>
        <w:ind w:left="447"/>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10</w:t>
      </w:r>
      <w:r>
        <w:rPr>
          <w:rFonts w:ascii="宋体" w:hAnsi="宋体" w:eastAsia="宋体" w:cs="宋体"/>
          <w:color w:val="auto"/>
          <w:spacing w:val="3"/>
          <w:position w:val="16"/>
          <w:sz w:val="21"/>
          <w:szCs w:val="21"/>
          <w:highlight w:val="none"/>
        </w:rPr>
        <w:t>）项目负责人资格不符合招标文件规定的专业等级要求，或已在</w:t>
      </w:r>
      <w:r>
        <w:rPr>
          <w:rFonts w:ascii="宋体" w:hAnsi="宋体" w:eastAsia="宋体" w:cs="宋体"/>
          <w:color w:val="auto"/>
          <w:spacing w:val="2"/>
          <w:position w:val="16"/>
          <w:sz w:val="21"/>
          <w:szCs w:val="21"/>
          <w:highlight w:val="none"/>
        </w:rPr>
        <w:t>其他在建工程担</w:t>
      </w:r>
    </w:p>
    <w:p w14:paraId="50411892">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任项目经理（同一工程相邻分段发包或者分期施工的除外</w:t>
      </w:r>
      <w:r>
        <w:rPr>
          <w:rFonts w:ascii="宋体" w:hAnsi="宋体" w:eastAsia="宋体" w:cs="宋体"/>
          <w:color w:val="auto"/>
          <w:spacing w:val="-13"/>
          <w:sz w:val="21"/>
          <w:szCs w:val="21"/>
          <w:highlight w:val="none"/>
        </w:rPr>
        <w:t>）；</w:t>
      </w:r>
    </w:p>
    <w:p w14:paraId="7E5AFD05">
      <w:pPr>
        <w:spacing w:before="17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11</w:t>
      </w:r>
      <w:r>
        <w:rPr>
          <w:rFonts w:ascii="宋体" w:hAnsi="宋体" w:eastAsia="宋体" w:cs="宋体"/>
          <w:color w:val="auto"/>
          <w:spacing w:val="-1"/>
          <w:sz w:val="21"/>
          <w:szCs w:val="21"/>
          <w:highlight w:val="none"/>
        </w:rPr>
        <w:t>）具有投标人须知第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10</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rPr>
        <w:t>至（</w:t>
      </w:r>
      <w:r>
        <w:rPr>
          <w:rFonts w:ascii="Times New Roman" w:hAnsi="Times New Roman" w:eastAsia="Times New Roman" w:cs="Times New Roman"/>
          <w:color w:val="auto"/>
          <w:spacing w:val="-2"/>
          <w:sz w:val="21"/>
          <w:szCs w:val="21"/>
          <w:highlight w:val="none"/>
        </w:rPr>
        <w:t>17</w:t>
      </w:r>
      <w:r>
        <w:rPr>
          <w:rFonts w:ascii="宋体" w:hAnsi="宋体" w:eastAsia="宋体" w:cs="宋体"/>
          <w:color w:val="auto"/>
          <w:spacing w:val="-2"/>
          <w:sz w:val="21"/>
          <w:szCs w:val="21"/>
          <w:highlight w:val="none"/>
        </w:rPr>
        <w:t>）条目规定的情形；</w:t>
      </w:r>
    </w:p>
    <w:p w14:paraId="0C6B1DA1">
      <w:pPr>
        <w:spacing w:before="18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12</w:t>
      </w:r>
      <w:r>
        <w:rPr>
          <w:rFonts w:ascii="宋体" w:hAnsi="宋体" w:eastAsia="宋体" w:cs="宋体"/>
          <w:color w:val="auto"/>
          <w:spacing w:val="-2"/>
          <w:sz w:val="21"/>
          <w:szCs w:val="21"/>
          <w:highlight w:val="none"/>
        </w:rPr>
        <w:t>）未按招标文件要求提交投标保证金</w:t>
      </w:r>
      <w:r>
        <w:rPr>
          <w:rFonts w:ascii="宋体" w:hAnsi="宋体" w:eastAsia="宋体" w:cs="宋体"/>
          <w:color w:val="auto"/>
          <w:spacing w:val="-3"/>
          <w:sz w:val="21"/>
          <w:szCs w:val="21"/>
          <w:highlight w:val="none"/>
        </w:rPr>
        <w:t>的；</w:t>
      </w:r>
    </w:p>
    <w:p w14:paraId="2357C39F">
      <w:pPr>
        <w:spacing w:before="181" w:line="427" w:lineRule="exact"/>
        <w:ind w:left="447"/>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13</w:t>
      </w:r>
      <w:r>
        <w:rPr>
          <w:rFonts w:ascii="宋体" w:hAnsi="宋体" w:eastAsia="宋体" w:cs="宋体"/>
          <w:color w:val="auto"/>
          <w:spacing w:val="3"/>
          <w:position w:val="16"/>
          <w:sz w:val="21"/>
          <w:szCs w:val="21"/>
          <w:highlight w:val="none"/>
        </w:rPr>
        <w:t>）投标人填写的清单编码、清单名称、项目特征、计</w:t>
      </w:r>
      <w:r>
        <w:rPr>
          <w:rFonts w:ascii="宋体" w:hAnsi="宋体" w:eastAsia="宋体" w:cs="宋体"/>
          <w:color w:val="auto"/>
          <w:spacing w:val="2"/>
          <w:position w:val="16"/>
          <w:sz w:val="21"/>
          <w:szCs w:val="21"/>
          <w:highlight w:val="none"/>
        </w:rPr>
        <w:t>量单位、工程量与招标文件</w:t>
      </w:r>
    </w:p>
    <w:p w14:paraId="3E4AC6C1">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给定的工程量清单不一致的；</w:t>
      </w:r>
    </w:p>
    <w:p w14:paraId="28CFFC7F">
      <w:pPr>
        <w:spacing w:before="180"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14</w:t>
      </w:r>
      <w:r>
        <w:rPr>
          <w:rFonts w:ascii="宋体" w:hAnsi="宋体" w:eastAsia="宋体" w:cs="宋体"/>
          <w:color w:val="auto"/>
          <w:spacing w:val="3"/>
          <w:sz w:val="21"/>
          <w:szCs w:val="21"/>
          <w:highlight w:val="none"/>
        </w:rPr>
        <w:t>）投标人修改招标文件给定的工程量清单中所列价格</w:t>
      </w:r>
      <w:r>
        <w:rPr>
          <w:rFonts w:ascii="宋体" w:hAnsi="宋体" w:eastAsia="宋体" w:cs="宋体"/>
          <w:color w:val="auto"/>
          <w:spacing w:val="2"/>
          <w:sz w:val="21"/>
          <w:szCs w:val="21"/>
          <w:highlight w:val="none"/>
        </w:rPr>
        <w:t>（包括暂列金额、材料暂估</w:t>
      </w:r>
    </w:p>
    <w:p w14:paraId="763D15D2">
      <w:pPr>
        <w:spacing w:line="219" w:lineRule="auto"/>
        <w:rPr>
          <w:rFonts w:ascii="宋体" w:hAnsi="宋体" w:eastAsia="宋体" w:cs="宋体"/>
          <w:color w:val="auto"/>
          <w:sz w:val="21"/>
          <w:szCs w:val="21"/>
          <w:highlight w:val="none"/>
        </w:rPr>
        <w:sectPr>
          <w:footerReference r:id="rId76" w:type="default"/>
          <w:pgSz w:w="11905" w:h="16839"/>
          <w:pgMar w:top="1431" w:right="1614" w:bottom="996" w:left="1785" w:header="0" w:footer="791" w:gutter="0"/>
          <w:pgNumType w:fmt="decimal"/>
          <w:cols w:space="720" w:num="1"/>
        </w:sectPr>
      </w:pPr>
    </w:p>
    <w:p w14:paraId="270D6864">
      <w:pPr>
        <w:spacing w:before="173" w:line="219" w:lineRule="auto"/>
        <w:ind w:left="19"/>
        <w:rPr>
          <w:rFonts w:ascii="宋体" w:hAnsi="宋体" w:eastAsia="宋体" w:cs="宋体"/>
          <w:color w:val="auto"/>
          <w:sz w:val="21"/>
          <w:szCs w:val="21"/>
          <w:highlight w:val="none"/>
        </w:rPr>
      </w:pPr>
      <w:bookmarkStart w:id="186" w:name="bookmark214"/>
      <w:bookmarkEnd w:id="186"/>
      <w:r>
        <w:rPr>
          <w:rFonts w:ascii="宋体" w:hAnsi="宋体" w:eastAsia="宋体" w:cs="宋体"/>
          <w:color w:val="auto"/>
          <w:spacing w:val="-4"/>
          <w:sz w:val="21"/>
          <w:szCs w:val="21"/>
          <w:highlight w:val="none"/>
        </w:rPr>
        <w:t>价、专业工程暂估价等）的；</w:t>
      </w:r>
    </w:p>
    <w:p w14:paraId="75655078">
      <w:pPr>
        <w:spacing w:before="17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15</w:t>
      </w:r>
      <w:r>
        <w:rPr>
          <w:rFonts w:ascii="宋体" w:hAnsi="宋体" w:eastAsia="宋体" w:cs="宋体"/>
          <w:color w:val="auto"/>
          <w:spacing w:val="-3"/>
          <w:sz w:val="21"/>
          <w:szCs w:val="21"/>
          <w:highlight w:val="none"/>
        </w:rPr>
        <w:t>）工期未响应招标文件规定的；</w:t>
      </w:r>
    </w:p>
    <w:p w14:paraId="646FE9B8">
      <w:pPr>
        <w:spacing w:before="18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16</w:t>
      </w:r>
      <w:r>
        <w:rPr>
          <w:rFonts w:ascii="宋体" w:hAnsi="宋体" w:eastAsia="宋体" w:cs="宋体"/>
          <w:color w:val="auto"/>
          <w:spacing w:val="-2"/>
          <w:sz w:val="21"/>
          <w:szCs w:val="21"/>
          <w:highlight w:val="none"/>
        </w:rPr>
        <w:t>）投标人不接受算术错误修正后的报</w:t>
      </w:r>
      <w:r>
        <w:rPr>
          <w:rFonts w:ascii="宋体" w:hAnsi="宋体" w:eastAsia="宋体" w:cs="宋体"/>
          <w:color w:val="auto"/>
          <w:spacing w:val="-3"/>
          <w:sz w:val="21"/>
          <w:szCs w:val="21"/>
          <w:highlight w:val="none"/>
        </w:rPr>
        <w:t>价；</w:t>
      </w:r>
    </w:p>
    <w:p w14:paraId="02418F38">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4"/>
          <w:position w:val="16"/>
          <w:sz w:val="21"/>
          <w:szCs w:val="21"/>
          <w:highlight w:val="none"/>
        </w:rPr>
        <w:t>（</w:t>
      </w:r>
      <w:r>
        <w:rPr>
          <w:rFonts w:ascii="Times New Roman" w:hAnsi="Times New Roman" w:eastAsia="Times New Roman" w:cs="Times New Roman"/>
          <w:color w:val="auto"/>
          <w:spacing w:val="-4"/>
          <w:position w:val="16"/>
          <w:sz w:val="21"/>
          <w:szCs w:val="21"/>
          <w:highlight w:val="none"/>
        </w:rPr>
        <w:t>17</w:t>
      </w:r>
      <w:r>
        <w:rPr>
          <w:rFonts w:ascii="宋体" w:hAnsi="宋体" w:eastAsia="宋体" w:cs="宋体"/>
          <w:color w:val="auto"/>
          <w:spacing w:val="-4"/>
          <w:position w:val="16"/>
          <w:sz w:val="21"/>
          <w:szCs w:val="21"/>
          <w:highlight w:val="none"/>
        </w:rPr>
        <w:t>）投标报价（含修正后） 高于招标文件设定的最高投标限价的；</w:t>
      </w:r>
    </w:p>
    <w:p w14:paraId="1C9D9A25">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18</w:t>
      </w:r>
      <w:r>
        <w:rPr>
          <w:rFonts w:ascii="宋体" w:hAnsi="宋体" w:eastAsia="宋体" w:cs="宋体"/>
          <w:color w:val="auto"/>
          <w:spacing w:val="-3"/>
          <w:sz w:val="21"/>
          <w:szCs w:val="21"/>
          <w:highlight w:val="none"/>
        </w:rPr>
        <w:t>）质量不满足招标文件规定的；</w:t>
      </w:r>
    </w:p>
    <w:p w14:paraId="67806F6F">
      <w:pPr>
        <w:spacing w:before="18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19</w:t>
      </w:r>
      <w:r>
        <w:rPr>
          <w:rFonts w:ascii="宋体" w:hAnsi="宋体" w:eastAsia="宋体" w:cs="宋体"/>
          <w:color w:val="auto"/>
          <w:spacing w:val="-2"/>
          <w:sz w:val="21"/>
          <w:szCs w:val="21"/>
          <w:highlight w:val="none"/>
        </w:rPr>
        <w:t>）投标有效期不符合招标文件规定的；</w:t>
      </w:r>
    </w:p>
    <w:p w14:paraId="2DC72AF5">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2"/>
          <w:position w:val="16"/>
          <w:sz w:val="21"/>
          <w:szCs w:val="21"/>
          <w:highlight w:val="none"/>
        </w:rPr>
        <w:t>（</w:t>
      </w:r>
      <w:r>
        <w:rPr>
          <w:rFonts w:ascii="Times New Roman" w:hAnsi="Times New Roman" w:eastAsia="Times New Roman" w:cs="Times New Roman"/>
          <w:color w:val="auto"/>
          <w:spacing w:val="-2"/>
          <w:position w:val="16"/>
          <w:sz w:val="21"/>
          <w:szCs w:val="21"/>
          <w:highlight w:val="none"/>
        </w:rPr>
        <w:t>20</w:t>
      </w:r>
      <w:r>
        <w:rPr>
          <w:rFonts w:ascii="宋体" w:hAnsi="宋体" w:eastAsia="宋体" w:cs="宋体"/>
          <w:color w:val="auto"/>
          <w:spacing w:val="-2"/>
          <w:position w:val="16"/>
          <w:sz w:val="21"/>
          <w:szCs w:val="21"/>
          <w:highlight w:val="none"/>
        </w:rPr>
        <w:t>）权利义务承诺不符合或低于招标文件规定的；</w:t>
      </w:r>
    </w:p>
    <w:p w14:paraId="52697102">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21</w:t>
      </w:r>
      <w:r>
        <w:rPr>
          <w:rFonts w:ascii="宋体" w:hAnsi="宋体" w:eastAsia="宋体" w:cs="宋体"/>
          <w:color w:val="auto"/>
          <w:spacing w:val="-3"/>
          <w:sz w:val="21"/>
          <w:szCs w:val="21"/>
          <w:highlight w:val="none"/>
        </w:rPr>
        <w:t>）技术标准和要求不符合招标文件规定的；</w:t>
      </w:r>
    </w:p>
    <w:p w14:paraId="0ED026F1">
      <w:pPr>
        <w:spacing w:before="17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22</w:t>
      </w:r>
      <w:r>
        <w:rPr>
          <w:rFonts w:ascii="宋体" w:hAnsi="宋体" w:eastAsia="宋体" w:cs="宋体"/>
          <w:color w:val="auto"/>
          <w:spacing w:val="-1"/>
          <w:sz w:val="21"/>
          <w:szCs w:val="21"/>
          <w:highlight w:val="none"/>
        </w:rPr>
        <w:t>）分包计划不符合招标文件规定的。</w:t>
      </w:r>
    </w:p>
    <w:p w14:paraId="6EB63437">
      <w:pPr>
        <w:spacing w:before="181" w:line="220" w:lineRule="auto"/>
        <w:ind w:left="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B1.2</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不按评标委员会要求澄清、说明或补正的。</w:t>
      </w:r>
    </w:p>
    <w:p w14:paraId="0FCF559D">
      <w:pPr>
        <w:spacing w:before="177" w:line="220" w:lineRule="auto"/>
        <w:ind w:left="436"/>
        <w:rPr>
          <w:rFonts w:ascii="宋体" w:hAnsi="宋体" w:eastAsia="宋体" w:cs="宋体"/>
          <w:color w:val="auto"/>
          <w:sz w:val="21"/>
          <w:szCs w:val="21"/>
          <w:highlight w:val="none"/>
        </w:rPr>
      </w:pPr>
      <w:r>
        <w:rPr>
          <w:rFonts w:ascii="宋体" w:hAnsi="宋体" w:eastAsia="宋体" w:cs="宋体"/>
          <w:color w:val="auto"/>
          <w:sz w:val="21"/>
          <w:szCs w:val="21"/>
          <w:highlight w:val="none"/>
        </w:rPr>
        <w:t>B1.3</w:t>
      </w:r>
      <w:r>
        <w:rPr>
          <w:rFonts w:ascii="宋体" w:hAnsi="宋体" w:eastAsia="宋体" w:cs="宋体"/>
          <w:color w:val="auto"/>
          <w:spacing w:val="-43"/>
          <w:sz w:val="21"/>
          <w:szCs w:val="21"/>
          <w:highlight w:val="none"/>
        </w:rPr>
        <w:t xml:space="preserve"> </w:t>
      </w:r>
      <w:r>
        <w:rPr>
          <w:rFonts w:ascii="宋体" w:hAnsi="宋体" w:eastAsia="宋体" w:cs="宋体"/>
          <w:color w:val="auto"/>
          <w:sz w:val="21"/>
          <w:szCs w:val="21"/>
          <w:highlight w:val="none"/>
        </w:rPr>
        <w:t>有串通投标、弄虚作假或有其他违法行为的</w:t>
      </w:r>
      <w:r>
        <w:rPr>
          <w:rFonts w:ascii="宋体" w:hAnsi="宋体" w:eastAsia="宋体" w:cs="宋体"/>
          <w:color w:val="auto"/>
          <w:spacing w:val="-1"/>
          <w:sz w:val="21"/>
          <w:szCs w:val="21"/>
          <w:highlight w:val="none"/>
        </w:rPr>
        <w:t>。包括以下内容：</w:t>
      </w:r>
    </w:p>
    <w:p w14:paraId="357A904C">
      <w:pPr>
        <w:spacing w:before="182" w:line="432" w:lineRule="exact"/>
        <w:ind w:left="447"/>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1</w:t>
      </w:r>
      <w:r>
        <w:rPr>
          <w:rFonts w:ascii="宋体" w:hAnsi="宋体" w:eastAsia="宋体" w:cs="宋体"/>
          <w:color w:val="auto"/>
          <w:spacing w:val="-1"/>
          <w:position w:val="16"/>
          <w:sz w:val="21"/>
          <w:szCs w:val="21"/>
          <w:highlight w:val="none"/>
        </w:rPr>
        <w:t>）有下列情形之一的，视为投标人相互串通投标：</w:t>
      </w:r>
    </w:p>
    <w:p w14:paraId="52C5A2C6">
      <w:pPr>
        <w:spacing w:line="218"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①</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不同投标人的投标文件由同一单位或者个人编制；</w:t>
      </w:r>
    </w:p>
    <w:p w14:paraId="617325EF">
      <w:pPr>
        <w:spacing w:before="180"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不同投标人委托同一单位或者个人办理投标事宜；</w:t>
      </w:r>
    </w:p>
    <w:p w14:paraId="2BAE7714">
      <w:pPr>
        <w:spacing w:before="183" w:line="42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③ 不同投标人使用同一电脑等电子设备办理投标事宜（下载招标文件、上传投标文件、</w:t>
      </w:r>
    </w:p>
    <w:p w14:paraId="75CCA921">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授权委托人或项目经理实名认证等关键环节</w:t>
      </w:r>
      <w:r>
        <w:rPr>
          <w:rFonts w:ascii="宋体" w:hAnsi="宋体" w:eastAsia="宋体" w:cs="宋体"/>
          <w:color w:val="auto"/>
          <w:spacing w:val="-15"/>
          <w:sz w:val="21"/>
          <w:szCs w:val="21"/>
          <w:highlight w:val="none"/>
        </w:rPr>
        <w:t>）；</w:t>
      </w:r>
    </w:p>
    <w:p w14:paraId="1890C7CA">
      <w:pPr>
        <w:spacing w:before="181"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④</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不同投标人的投标文件载明的项目管理成员为同一人；</w:t>
      </w:r>
    </w:p>
    <w:p w14:paraId="65A1E1A5">
      <w:pPr>
        <w:spacing w:before="184" w:line="427" w:lineRule="exact"/>
        <w:ind w:left="439"/>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⑤</w:t>
      </w:r>
      <w:r>
        <w:rPr>
          <w:rFonts w:ascii="宋体" w:hAnsi="宋体" w:eastAsia="宋体" w:cs="宋体"/>
          <w:color w:val="auto"/>
          <w:spacing w:val="-27"/>
          <w:position w:val="16"/>
          <w:sz w:val="21"/>
          <w:szCs w:val="21"/>
          <w:highlight w:val="none"/>
        </w:rPr>
        <w:t xml:space="preserve"> </w:t>
      </w:r>
      <w:r>
        <w:rPr>
          <w:rFonts w:ascii="宋体" w:hAnsi="宋体" w:eastAsia="宋体" w:cs="宋体"/>
          <w:color w:val="auto"/>
          <w:spacing w:val="-1"/>
          <w:position w:val="16"/>
          <w:sz w:val="21"/>
          <w:szCs w:val="21"/>
          <w:highlight w:val="none"/>
        </w:rPr>
        <w:t>不同投标人的投标文件非典型一致或者投标报价呈规律性差异；</w:t>
      </w:r>
    </w:p>
    <w:p w14:paraId="5143C185">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不同投标人的投标文件相互混装；</w:t>
      </w:r>
    </w:p>
    <w:p w14:paraId="73C4EB77">
      <w:pPr>
        <w:spacing w:before="184" w:line="427" w:lineRule="exact"/>
        <w:ind w:right="15"/>
        <w:jc w:val="right"/>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⑦ 不同投标人的投标保证金或保函（保险）财务费用从同一单位或者个人的账户转出；</w:t>
      </w:r>
    </w:p>
    <w:p w14:paraId="010C3048">
      <w:pPr>
        <w:spacing w:before="1" w:line="218" w:lineRule="auto"/>
        <w:ind w:left="43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⑧</w:t>
      </w:r>
      <w:r>
        <w:rPr>
          <w:rFonts w:ascii="宋体" w:hAnsi="宋体" w:eastAsia="宋体" w:cs="宋体"/>
          <w:color w:val="auto"/>
          <w:spacing w:val="-55"/>
          <w:sz w:val="21"/>
          <w:szCs w:val="21"/>
          <w:highlight w:val="none"/>
        </w:rPr>
        <w:t xml:space="preserve"> </w:t>
      </w:r>
      <w:r>
        <w:rPr>
          <w:rFonts w:ascii="宋体" w:hAnsi="宋体" w:eastAsia="宋体" w:cs="宋体"/>
          <w:color w:val="auto"/>
          <w:spacing w:val="-8"/>
          <w:sz w:val="21"/>
          <w:szCs w:val="21"/>
          <w:highlight w:val="none"/>
        </w:rPr>
        <w:t>不同投标人的投标文件存在“</w:t>
      </w:r>
      <w:r>
        <w:rPr>
          <w:rFonts w:ascii="Times New Roman" w:hAnsi="Times New Roman" w:eastAsia="Times New Roman" w:cs="Times New Roman"/>
          <w:color w:val="auto"/>
          <w:spacing w:val="-8"/>
          <w:sz w:val="21"/>
          <w:szCs w:val="21"/>
          <w:highlight w:val="none"/>
        </w:rPr>
        <w:t>MAC</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8"/>
          <w:sz w:val="21"/>
          <w:szCs w:val="21"/>
          <w:highlight w:val="none"/>
        </w:rPr>
        <w:t>地址”、“文件创</w:t>
      </w:r>
      <w:r>
        <w:rPr>
          <w:rFonts w:ascii="宋体" w:hAnsi="宋体" w:eastAsia="宋体" w:cs="宋体"/>
          <w:color w:val="auto"/>
          <w:spacing w:val="-9"/>
          <w:sz w:val="21"/>
          <w:szCs w:val="21"/>
          <w:highlight w:val="none"/>
        </w:rPr>
        <w:t>建标识码”、“文件制作机器码”</w:t>
      </w:r>
    </w:p>
    <w:p w14:paraId="54AACC05">
      <w:pPr>
        <w:spacing w:before="183"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等唯一性标识一致等情形。</w:t>
      </w:r>
    </w:p>
    <w:p w14:paraId="3CCDA5F4">
      <w:pPr>
        <w:spacing w:before="176"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14:paraId="6B7D85EC">
      <w:pPr>
        <w:spacing w:before="183" w:line="432" w:lineRule="exact"/>
        <w:jc w:val="right"/>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①</w:t>
      </w:r>
      <w:r>
        <w:rPr>
          <w:rFonts w:ascii="宋体" w:hAnsi="宋体" w:eastAsia="宋体" w:cs="宋体"/>
          <w:color w:val="auto"/>
          <w:spacing w:val="-19"/>
          <w:position w:val="17"/>
          <w:sz w:val="21"/>
          <w:szCs w:val="21"/>
          <w:highlight w:val="none"/>
        </w:rPr>
        <w:t xml:space="preserve"> </w:t>
      </w:r>
      <w:r>
        <w:rPr>
          <w:rFonts w:ascii="宋体" w:hAnsi="宋体" w:eastAsia="宋体" w:cs="宋体"/>
          <w:color w:val="auto"/>
          <w:position w:val="17"/>
          <w:sz w:val="21"/>
          <w:szCs w:val="21"/>
          <w:highlight w:val="none"/>
        </w:rPr>
        <w:t>使用通过受让或者租借等方式获取的资格、资质证书投标的，即以他人名义</w:t>
      </w:r>
      <w:r>
        <w:rPr>
          <w:rFonts w:ascii="宋体" w:hAnsi="宋体" w:eastAsia="宋体" w:cs="宋体"/>
          <w:color w:val="auto"/>
          <w:spacing w:val="-1"/>
          <w:position w:val="17"/>
          <w:sz w:val="21"/>
          <w:szCs w:val="21"/>
          <w:highlight w:val="none"/>
        </w:rPr>
        <w:t>投标的。</w:t>
      </w:r>
    </w:p>
    <w:p w14:paraId="0AA7F991">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②</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使用伪造、变造的许可证件；</w:t>
      </w:r>
    </w:p>
    <w:p w14:paraId="7E4ACC3F">
      <w:pPr>
        <w:spacing w:before="179"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③</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提供虚假的财务状况或者业绩；</w:t>
      </w:r>
    </w:p>
    <w:p w14:paraId="017F5D64">
      <w:pPr>
        <w:spacing w:before="184"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④</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提供虚假的项目负责人或者主要技术人员简历、社会保险证明；</w:t>
      </w:r>
    </w:p>
    <w:p w14:paraId="729CDFCE">
      <w:pPr>
        <w:spacing w:before="180" w:line="218" w:lineRule="auto"/>
        <w:ind w:left="43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⑤</w:t>
      </w:r>
      <w:r>
        <w:rPr>
          <w:rFonts w:ascii="宋体" w:hAnsi="宋体" w:eastAsia="宋体" w:cs="宋体"/>
          <w:color w:val="auto"/>
          <w:spacing w:val="-37"/>
          <w:sz w:val="21"/>
          <w:szCs w:val="21"/>
          <w:highlight w:val="none"/>
        </w:rPr>
        <w:t xml:space="preserve"> </w:t>
      </w:r>
      <w:r>
        <w:rPr>
          <w:rFonts w:ascii="宋体" w:hAnsi="宋体" w:eastAsia="宋体" w:cs="宋体"/>
          <w:color w:val="auto"/>
          <w:spacing w:val="-4"/>
          <w:sz w:val="21"/>
          <w:szCs w:val="21"/>
          <w:highlight w:val="none"/>
        </w:rPr>
        <w:t>提供虚假的信用状况；</w:t>
      </w:r>
    </w:p>
    <w:p w14:paraId="2B6DE072">
      <w:pPr>
        <w:spacing w:before="184"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其他弄虚作假的行为。</w:t>
      </w:r>
    </w:p>
    <w:p w14:paraId="65CED303">
      <w:pPr>
        <w:spacing w:before="184" w:line="374" w:lineRule="exact"/>
        <w:ind w:left="436"/>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B1.4</w:t>
      </w:r>
      <w:r>
        <w:rPr>
          <w:rFonts w:ascii="宋体" w:hAnsi="宋体" w:eastAsia="宋体" w:cs="宋体"/>
          <w:color w:val="auto"/>
          <w:spacing w:val="-40"/>
          <w:position w:val="12"/>
          <w:sz w:val="21"/>
          <w:szCs w:val="21"/>
          <w:highlight w:val="none"/>
        </w:rPr>
        <w:t xml:space="preserve"> </w:t>
      </w:r>
      <w:r>
        <w:rPr>
          <w:rFonts w:ascii="宋体" w:hAnsi="宋体" w:eastAsia="宋体" w:cs="宋体"/>
          <w:color w:val="auto"/>
          <w:spacing w:val="-2"/>
          <w:position w:val="12"/>
          <w:sz w:val="21"/>
          <w:szCs w:val="21"/>
          <w:highlight w:val="none"/>
        </w:rPr>
        <w:t>有第二章“投标人须知”第</w:t>
      </w:r>
      <w:r>
        <w:rPr>
          <w:rFonts w:ascii="宋体" w:hAnsi="宋体" w:eastAsia="宋体" w:cs="宋体"/>
          <w:color w:val="auto"/>
          <w:spacing w:val="-27"/>
          <w:position w:val="12"/>
          <w:sz w:val="21"/>
          <w:szCs w:val="21"/>
          <w:highlight w:val="none"/>
        </w:rPr>
        <w:t xml:space="preserve"> </w:t>
      </w:r>
      <w:r>
        <w:rPr>
          <w:rFonts w:ascii="宋体" w:hAnsi="宋体" w:eastAsia="宋体" w:cs="宋体"/>
          <w:color w:val="auto"/>
          <w:spacing w:val="-2"/>
          <w:position w:val="12"/>
          <w:sz w:val="21"/>
          <w:szCs w:val="21"/>
          <w:highlight w:val="none"/>
        </w:rPr>
        <w:t>1.4.3</w:t>
      </w:r>
      <w:r>
        <w:rPr>
          <w:rFonts w:ascii="宋体" w:hAnsi="宋体" w:eastAsia="宋体" w:cs="宋体"/>
          <w:color w:val="auto"/>
          <w:spacing w:val="-45"/>
          <w:position w:val="12"/>
          <w:sz w:val="21"/>
          <w:szCs w:val="21"/>
          <w:highlight w:val="none"/>
        </w:rPr>
        <w:t xml:space="preserve"> </w:t>
      </w:r>
      <w:r>
        <w:rPr>
          <w:rFonts w:ascii="宋体" w:hAnsi="宋体" w:eastAsia="宋体" w:cs="宋体"/>
          <w:color w:val="auto"/>
          <w:spacing w:val="-2"/>
          <w:position w:val="12"/>
          <w:sz w:val="21"/>
          <w:szCs w:val="21"/>
          <w:highlight w:val="none"/>
        </w:rPr>
        <w:t>项规定的任何一种情形。包括以下内容：</w:t>
      </w:r>
    </w:p>
    <w:p w14:paraId="22A77C87">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）为招标人不具有独立法人资格的附属机构（单位</w:t>
      </w:r>
      <w:r>
        <w:rPr>
          <w:rFonts w:ascii="宋体" w:hAnsi="宋体" w:eastAsia="宋体" w:cs="宋体"/>
          <w:color w:val="auto"/>
          <w:spacing w:val="-20"/>
          <w:sz w:val="21"/>
          <w:szCs w:val="21"/>
          <w:highlight w:val="none"/>
        </w:rPr>
        <w:t>）；</w:t>
      </w:r>
    </w:p>
    <w:p w14:paraId="51CC5C44">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）为本标段前期准备提供设计或咨询服务的，但设计施工总承包</w:t>
      </w:r>
      <w:r>
        <w:rPr>
          <w:rFonts w:ascii="宋体" w:hAnsi="宋体" w:eastAsia="宋体" w:cs="宋体"/>
          <w:color w:val="auto"/>
          <w:spacing w:val="-2"/>
          <w:sz w:val="21"/>
          <w:szCs w:val="21"/>
          <w:highlight w:val="none"/>
        </w:rPr>
        <w:t>的除外；</w:t>
      </w:r>
    </w:p>
    <w:p w14:paraId="5C445337">
      <w:pPr>
        <w:spacing w:line="220" w:lineRule="auto"/>
        <w:rPr>
          <w:rFonts w:ascii="宋体" w:hAnsi="宋体" w:eastAsia="宋体" w:cs="宋体"/>
          <w:color w:val="auto"/>
          <w:sz w:val="21"/>
          <w:szCs w:val="21"/>
          <w:highlight w:val="none"/>
        </w:rPr>
        <w:sectPr>
          <w:footerReference r:id="rId77" w:type="default"/>
          <w:pgSz w:w="11905" w:h="16839"/>
          <w:pgMar w:top="1431" w:right="1614" w:bottom="996" w:left="1785" w:header="0" w:footer="791" w:gutter="0"/>
          <w:pgNumType w:fmt="decimal"/>
          <w:cols w:space="720" w:num="1"/>
        </w:sectPr>
      </w:pPr>
    </w:p>
    <w:p w14:paraId="078DB45C">
      <w:pPr>
        <w:spacing w:before="115" w:line="360" w:lineRule="exact"/>
        <w:ind w:left="447"/>
        <w:rPr>
          <w:rFonts w:ascii="宋体" w:hAnsi="宋体" w:eastAsia="宋体" w:cs="宋体"/>
          <w:color w:val="auto"/>
          <w:sz w:val="21"/>
          <w:szCs w:val="21"/>
          <w:highlight w:val="none"/>
        </w:rPr>
      </w:pPr>
      <w:bookmarkStart w:id="187" w:name="bookmark215"/>
      <w:bookmarkEnd w:id="187"/>
      <w:r>
        <w:rPr>
          <w:rFonts w:ascii="宋体" w:hAnsi="宋体" w:eastAsia="宋体" w:cs="宋体"/>
          <w:color w:val="auto"/>
          <w:spacing w:val="-3"/>
          <w:position w:val="11"/>
          <w:sz w:val="21"/>
          <w:szCs w:val="21"/>
          <w:highlight w:val="none"/>
        </w:rPr>
        <w:t>（</w:t>
      </w:r>
      <w:r>
        <w:rPr>
          <w:rFonts w:ascii="Times New Roman" w:hAnsi="Times New Roman" w:eastAsia="Times New Roman" w:cs="Times New Roman"/>
          <w:color w:val="auto"/>
          <w:spacing w:val="-3"/>
          <w:position w:val="11"/>
          <w:sz w:val="21"/>
          <w:szCs w:val="21"/>
          <w:highlight w:val="none"/>
        </w:rPr>
        <w:t>3</w:t>
      </w:r>
      <w:r>
        <w:rPr>
          <w:rFonts w:ascii="宋体" w:hAnsi="宋体" w:eastAsia="宋体" w:cs="宋体"/>
          <w:color w:val="auto"/>
          <w:spacing w:val="-3"/>
          <w:position w:val="11"/>
          <w:sz w:val="21"/>
          <w:szCs w:val="21"/>
          <w:highlight w:val="none"/>
        </w:rPr>
        <w:t>）为本标段的监理人；</w:t>
      </w:r>
    </w:p>
    <w:p w14:paraId="14DCB8BF">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）为本标段的代建人；</w:t>
      </w:r>
    </w:p>
    <w:p w14:paraId="7696A161">
      <w:pPr>
        <w:spacing w:before="109"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）为本标段提供招标代理服务；</w:t>
      </w:r>
    </w:p>
    <w:p w14:paraId="2995F059">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）与本标段的监理人或代建人或招标代理机构同为一个法定代表人或单位负责人；</w:t>
      </w:r>
    </w:p>
    <w:p w14:paraId="36EB6289">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）与本标段的监理人或代建人或招标代理机构</w:t>
      </w:r>
      <w:r>
        <w:rPr>
          <w:rFonts w:ascii="宋体" w:hAnsi="宋体" w:eastAsia="宋体" w:cs="宋体"/>
          <w:color w:val="auto"/>
          <w:spacing w:val="-2"/>
          <w:sz w:val="21"/>
          <w:szCs w:val="21"/>
          <w:highlight w:val="none"/>
        </w:rPr>
        <w:t>相互控股或参股；</w:t>
      </w:r>
    </w:p>
    <w:p w14:paraId="6C188214">
      <w:pPr>
        <w:spacing w:before="110" w:line="269" w:lineRule="auto"/>
        <w:ind w:left="20" w:right="116"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8</w:t>
      </w:r>
      <w:r>
        <w:rPr>
          <w:rFonts w:ascii="宋体" w:hAnsi="宋体" w:eastAsia="宋体" w:cs="宋体"/>
          <w:color w:val="auto"/>
          <w:sz w:val="21"/>
          <w:szCs w:val="21"/>
          <w:highlight w:val="none"/>
        </w:rPr>
        <w:t>）与本标段的监理人或代建人或招标代理机构的法定代表人或单位</w:t>
      </w:r>
      <w:r>
        <w:rPr>
          <w:rFonts w:ascii="宋体" w:hAnsi="宋体" w:eastAsia="宋体" w:cs="宋体"/>
          <w:color w:val="auto"/>
          <w:spacing w:val="-1"/>
          <w:sz w:val="21"/>
          <w:szCs w:val="21"/>
          <w:highlight w:val="none"/>
        </w:rPr>
        <w:t>负责人相互任职</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或工作；</w:t>
      </w:r>
    </w:p>
    <w:p w14:paraId="3CD8E4B5">
      <w:pPr>
        <w:spacing w:before="107" w:line="270" w:lineRule="auto"/>
        <w:ind w:left="35" w:right="104" w:firstLine="411"/>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9</w:t>
      </w:r>
      <w:r>
        <w:rPr>
          <w:rFonts w:ascii="宋体" w:hAnsi="宋体" w:eastAsia="宋体" w:cs="宋体"/>
          <w:color w:val="auto"/>
          <w:sz w:val="21"/>
          <w:szCs w:val="21"/>
          <w:highlight w:val="none"/>
        </w:rPr>
        <w:t>）单位负责人为同一人或者存在控股、管理关系的不同单位，同时参加本标段投标</w:t>
      </w:r>
      <w:r>
        <w:rPr>
          <w:rFonts w:ascii="宋体" w:hAnsi="宋体" w:eastAsia="宋体" w:cs="宋体"/>
          <w:color w:val="auto"/>
          <w:spacing w:val="5"/>
          <w:sz w:val="21"/>
          <w:szCs w:val="21"/>
          <w:highlight w:val="none"/>
        </w:rPr>
        <w:t xml:space="preserve"> </w:t>
      </w:r>
      <w:r>
        <w:rPr>
          <w:rFonts w:ascii="宋体" w:hAnsi="宋体" w:eastAsia="宋体" w:cs="宋体"/>
          <w:color w:val="auto"/>
          <w:spacing w:val="-19"/>
          <w:sz w:val="21"/>
          <w:szCs w:val="21"/>
          <w:highlight w:val="none"/>
        </w:rPr>
        <w:t>的；</w:t>
      </w:r>
    </w:p>
    <w:p w14:paraId="3E6DEEE4">
      <w:pPr>
        <w:spacing w:before="105" w:line="285" w:lineRule="auto"/>
        <w:ind w:left="20" w:right="111"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宋体" w:hAnsi="宋体" w:eastAsia="宋体" w:cs="宋体"/>
          <w:color w:val="auto"/>
          <w:spacing w:val="3"/>
          <w:sz w:val="21"/>
          <w:szCs w:val="21"/>
          <w:highlight w:val="none"/>
        </w:rPr>
        <w:t>）被依法暂停或取消投标资格（指被本招标项目所在</w:t>
      </w:r>
      <w:r>
        <w:rPr>
          <w:rFonts w:ascii="宋体" w:hAnsi="宋体" w:eastAsia="宋体" w:cs="宋体"/>
          <w:color w:val="auto"/>
          <w:spacing w:val="2"/>
          <w:sz w:val="21"/>
          <w:szCs w:val="21"/>
          <w:highlight w:val="none"/>
        </w:rPr>
        <w:t>地县级及以上住房城乡建设</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主管部门或其他行政主管部门暂停或取消投标资格或禁止进入该区域建设</w:t>
      </w:r>
      <w:r>
        <w:rPr>
          <w:rFonts w:ascii="宋体" w:hAnsi="宋体" w:eastAsia="宋体" w:cs="宋体"/>
          <w:color w:val="auto"/>
          <w:spacing w:val="2"/>
          <w:sz w:val="21"/>
          <w:szCs w:val="21"/>
          <w:highlight w:val="none"/>
        </w:rPr>
        <w:t>市场且处于有效</w:t>
      </w:r>
      <w:r>
        <w:rPr>
          <w:rFonts w:ascii="宋体" w:hAnsi="宋体" w:eastAsia="宋体" w:cs="宋体"/>
          <w:color w:val="auto"/>
          <w:sz w:val="21"/>
          <w:szCs w:val="21"/>
          <w:highlight w:val="none"/>
        </w:rPr>
        <w:t xml:space="preserve"> </w:t>
      </w:r>
      <w:r>
        <w:rPr>
          <w:rFonts w:ascii="宋体" w:hAnsi="宋体" w:eastAsia="宋体" w:cs="宋体"/>
          <w:color w:val="auto"/>
          <w:spacing w:val="-38"/>
          <w:w w:val="98"/>
          <w:sz w:val="21"/>
          <w:szCs w:val="21"/>
          <w:highlight w:val="none"/>
        </w:rPr>
        <w:t>期内</w:t>
      </w:r>
      <w:r>
        <w:rPr>
          <w:rFonts w:ascii="宋体" w:hAnsi="宋体" w:eastAsia="宋体" w:cs="宋体"/>
          <w:color w:val="auto"/>
          <w:spacing w:val="-21"/>
          <w:sz w:val="21"/>
          <w:szCs w:val="21"/>
          <w:highlight w:val="none"/>
        </w:rPr>
        <w:t>）；</w:t>
      </w:r>
    </w:p>
    <w:p w14:paraId="08FF44C9">
      <w:pPr>
        <w:spacing w:before="10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宋体" w:hAnsi="宋体" w:eastAsia="宋体" w:cs="宋体"/>
          <w:color w:val="auto"/>
          <w:spacing w:val="-2"/>
          <w:sz w:val="21"/>
          <w:szCs w:val="21"/>
          <w:highlight w:val="none"/>
        </w:rPr>
        <w:t>）被责令停产停业、暂扣或者吊销许可证、暂扣或者吊销执照；</w:t>
      </w:r>
    </w:p>
    <w:p w14:paraId="449B80AC">
      <w:pPr>
        <w:spacing w:before="11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宋体" w:hAnsi="宋体" w:eastAsia="宋体" w:cs="宋体"/>
          <w:color w:val="auto"/>
          <w:spacing w:val="-4"/>
          <w:sz w:val="21"/>
          <w:szCs w:val="21"/>
          <w:highlight w:val="none"/>
        </w:rPr>
        <w:t>）进入清算程序，或被宣告破产， 或其他丧失履约能力的情形；</w:t>
      </w:r>
    </w:p>
    <w:p w14:paraId="55903FB6">
      <w:pPr>
        <w:spacing w:before="111" w:line="268" w:lineRule="auto"/>
        <w:ind w:left="20" w:right="10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13</w:t>
      </w:r>
      <w:r>
        <w:rPr>
          <w:rFonts w:ascii="宋体" w:hAnsi="宋体" w:eastAsia="宋体" w:cs="宋体"/>
          <w:color w:val="auto"/>
          <w:spacing w:val="-2"/>
          <w:sz w:val="21"/>
          <w:szCs w:val="21"/>
          <w:highlight w:val="none"/>
        </w:rPr>
        <w:t>）在最近三年内有骗取中标或严重违约或重大工程质量问题的 （以相关行业主</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管</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部门的行政处罚决定或司法机关出具的有关法律文书为准</w:t>
      </w:r>
      <w:r>
        <w:rPr>
          <w:rFonts w:ascii="宋体" w:hAnsi="宋体" w:eastAsia="宋体" w:cs="宋体"/>
          <w:color w:val="auto"/>
          <w:spacing w:val="-15"/>
          <w:sz w:val="21"/>
          <w:szCs w:val="21"/>
          <w:highlight w:val="none"/>
        </w:rPr>
        <w:t>）；</w:t>
      </w:r>
    </w:p>
    <w:p w14:paraId="07B4C755">
      <w:pPr>
        <w:spacing w:before="110" w:line="269" w:lineRule="auto"/>
        <w:ind w:left="21" w:right="106"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宋体" w:hAnsi="宋体"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宋体" w:hAnsi="宋体" w:eastAsia="宋体" w:cs="宋体"/>
          <w:color w:val="auto"/>
          <w:sz w:val="21"/>
          <w:szCs w:val="21"/>
          <w:highlight w:val="none"/>
        </w:rPr>
        <w:t>）中被列入严重违法</w:t>
      </w:r>
      <w:r>
        <w:rPr>
          <w:rFonts w:ascii="宋体" w:hAnsi="宋体" w:eastAsia="宋体" w:cs="宋体"/>
          <w:color w:val="auto"/>
          <w:spacing w:val="-1"/>
          <w:sz w:val="21"/>
          <w:szCs w:val="21"/>
          <w:highlight w:val="none"/>
        </w:rPr>
        <w:t>失 信</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企业名单；</w:t>
      </w:r>
    </w:p>
    <w:p w14:paraId="4FC88EFA">
      <w:pPr>
        <w:spacing w:before="108" w:line="265" w:lineRule="auto"/>
        <w:ind w:left="24" w:firstLine="422"/>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15</w:t>
      </w:r>
      <w:r>
        <w:rPr>
          <w:rFonts w:ascii="宋体" w:hAnsi="宋体" w:eastAsia="宋体" w:cs="宋体"/>
          <w:color w:val="auto"/>
          <w:spacing w:val="1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cn</w:t>
      </w:r>
      <w:r>
        <w:rPr>
          <w:rFonts w:ascii="宋体" w:hAnsi="宋体" w:eastAsia="宋体" w:cs="宋体"/>
          <w:color w:val="auto"/>
          <w:spacing w:val="15"/>
          <w:sz w:val="21"/>
          <w:szCs w:val="21"/>
          <w:highlight w:val="none"/>
        </w:rPr>
        <w:t>）或“中国执行信息公开网”</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被列入</w:t>
      </w:r>
      <w:r>
        <w:rPr>
          <w:rFonts w:ascii="宋体" w:hAnsi="宋体" w:eastAsia="宋体" w:cs="宋体"/>
          <w:color w:val="auto"/>
          <w:spacing w:val="-3"/>
          <w:sz w:val="21"/>
          <w:szCs w:val="21"/>
          <w:highlight w:val="none"/>
        </w:rPr>
        <w:t>失信被执行人名单；</w:t>
      </w:r>
    </w:p>
    <w:p w14:paraId="7B99C218">
      <w:pPr>
        <w:spacing w:before="118" w:line="268" w:lineRule="auto"/>
        <w:ind w:left="18" w:right="112"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16</w:t>
      </w:r>
      <w:r>
        <w:rPr>
          <w:rFonts w:ascii="宋体" w:hAnsi="宋体" w:eastAsia="宋体" w:cs="宋体"/>
          <w:color w:val="auto"/>
          <w:spacing w:val="1"/>
          <w:sz w:val="21"/>
          <w:szCs w:val="21"/>
          <w:highlight w:val="none"/>
        </w:rPr>
        <w:t>）在辽宁省建设工程招投标监督平台</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辽宁建设工程信息网上被列</w:t>
      </w:r>
      <w:r>
        <w:rPr>
          <w:rFonts w:ascii="宋体" w:hAnsi="宋体" w:eastAsia="宋体" w:cs="宋体"/>
          <w:color w:val="auto"/>
          <w:sz w:val="21"/>
          <w:szCs w:val="21"/>
          <w:highlight w:val="none"/>
        </w:rPr>
        <w:t xml:space="preserve">入不良行为记录 </w:t>
      </w:r>
      <w:r>
        <w:rPr>
          <w:rFonts w:ascii="宋体" w:hAnsi="宋体" w:eastAsia="宋体" w:cs="宋体"/>
          <w:color w:val="auto"/>
          <w:spacing w:val="-5"/>
          <w:sz w:val="21"/>
          <w:szCs w:val="21"/>
          <w:highlight w:val="none"/>
        </w:rPr>
        <w:t>且在公布期内的；</w:t>
      </w:r>
    </w:p>
    <w:p w14:paraId="19081DC2">
      <w:pPr>
        <w:spacing w:before="16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17</w:t>
      </w:r>
      <w:r>
        <w:rPr>
          <w:rFonts w:ascii="宋体" w:hAnsi="宋体" w:eastAsia="宋体" w:cs="宋体"/>
          <w:color w:val="auto"/>
          <w:spacing w:val="-2"/>
          <w:sz w:val="21"/>
          <w:szCs w:val="21"/>
          <w:highlight w:val="none"/>
        </w:rPr>
        <w:t>）法律法规规定的其他情形。</w:t>
      </w:r>
    </w:p>
    <w:p w14:paraId="517DAA74">
      <w:pPr>
        <w:spacing w:before="123" w:line="221"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B1.5</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未如实填写近年发生的诉讼及仲裁情况，隐</w:t>
      </w:r>
      <w:r>
        <w:rPr>
          <w:rFonts w:ascii="宋体" w:hAnsi="宋体" w:eastAsia="宋体" w:cs="宋体"/>
          <w:color w:val="auto"/>
          <w:spacing w:val="-2"/>
          <w:sz w:val="21"/>
          <w:szCs w:val="21"/>
          <w:highlight w:val="none"/>
        </w:rPr>
        <w:t>瞒真实情况的。</w:t>
      </w:r>
    </w:p>
    <w:p w14:paraId="135C4253">
      <w:pPr>
        <w:spacing w:before="162" w:line="432" w:lineRule="exact"/>
        <w:ind w:left="436"/>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B1.6 未按招标文件要求进行实名身份认证的或同一标段实名身份认证中存在不同投标</w:t>
      </w:r>
    </w:p>
    <w:p w14:paraId="234CEA7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人之间身份证识别器码一致的。</w:t>
      </w:r>
    </w:p>
    <w:p w14:paraId="41844D09">
      <w:pPr>
        <w:spacing w:before="176" w:line="219"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B1.7</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投标报价明显低于企业成本可能影响履约的。</w:t>
      </w:r>
    </w:p>
    <w:p w14:paraId="7E73AD0C">
      <w:pPr>
        <w:spacing w:before="184" w:line="220" w:lineRule="auto"/>
        <w:ind w:left="43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B1.8</w:t>
      </w:r>
      <w:r>
        <w:rPr>
          <w:rFonts w:ascii="宋体" w:hAnsi="宋体" w:eastAsia="宋体" w:cs="宋体"/>
          <w:color w:val="auto"/>
          <w:spacing w:val="-36"/>
          <w:sz w:val="21"/>
          <w:szCs w:val="21"/>
          <w:highlight w:val="none"/>
        </w:rPr>
        <w:t xml:space="preserve"> </w:t>
      </w:r>
      <w:r>
        <w:rPr>
          <w:rFonts w:ascii="宋体" w:hAnsi="宋体" w:eastAsia="宋体" w:cs="宋体"/>
          <w:color w:val="auto"/>
          <w:spacing w:val="-5"/>
          <w:sz w:val="21"/>
          <w:szCs w:val="21"/>
          <w:highlight w:val="none"/>
        </w:rPr>
        <w:t>未按招标文件要求采用建筑信息模型技术的（如有）。</w:t>
      </w:r>
    </w:p>
    <w:p w14:paraId="35516FB6">
      <w:pPr>
        <w:spacing w:before="181" w:line="221"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B1.9</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技术标不同模块赋分点之间多个模块固定位置存在内容表述非必要性雷同的。</w:t>
      </w:r>
    </w:p>
    <w:p w14:paraId="2CA9E350">
      <w:pPr>
        <w:pStyle w:val="3"/>
        <w:rPr>
          <w:color w:val="auto"/>
          <w:highlight w:val="none"/>
        </w:rPr>
      </w:pPr>
    </w:p>
    <w:p w14:paraId="3F093955">
      <w:pPr>
        <w:spacing w:before="69" w:line="147" w:lineRule="exact"/>
        <w:ind w:left="467"/>
        <w:rPr>
          <w:rFonts w:ascii="仿宋" w:hAnsi="仿宋" w:eastAsia="仿宋" w:cs="仿宋"/>
          <w:color w:val="auto"/>
          <w:sz w:val="21"/>
          <w:szCs w:val="21"/>
          <w:highlight w:val="none"/>
        </w:rPr>
      </w:pPr>
      <w:r>
        <w:rPr>
          <w:rFonts w:ascii="仿宋" w:hAnsi="仿宋" w:eastAsia="仿宋" w:cs="仿宋"/>
          <w:color w:val="auto"/>
          <w:spacing w:val="-9"/>
          <w:position w:val="-3"/>
          <w:sz w:val="21"/>
          <w:szCs w:val="21"/>
          <w:highlight w:val="none"/>
        </w:rPr>
        <w:t>……</w:t>
      </w:r>
    </w:p>
    <w:p w14:paraId="1F50B6FF">
      <w:pPr>
        <w:spacing w:line="147" w:lineRule="exact"/>
        <w:rPr>
          <w:rFonts w:ascii="仿宋" w:hAnsi="仿宋" w:eastAsia="仿宋" w:cs="仿宋"/>
          <w:color w:val="auto"/>
          <w:sz w:val="21"/>
          <w:szCs w:val="21"/>
          <w:highlight w:val="none"/>
        </w:rPr>
        <w:sectPr>
          <w:footerReference r:id="rId78" w:type="default"/>
          <w:pgSz w:w="11905" w:h="16839"/>
          <w:pgMar w:top="1431" w:right="1685" w:bottom="996" w:left="1785" w:header="0" w:footer="791" w:gutter="0"/>
          <w:pgNumType w:fmt="decimal"/>
          <w:cols w:space="720" w:num="1"/>
        </w:sectPr>
      </w:pPr>
    </w:p>
    <w:p w14:paraId="0AC27AFF">
      <w:pPr>
        <w:spacing w:before="43"/>
        <w:rPr>
          <w:color w:val="auto"/>
          <w:highlight w:val="none"/>
        </w:rPr>
      </w:pPr>
    </w:p>
    <w:p w14:paraId="05CCCDE7">
      <w:pPr>
        <w:spacing w:before="42"/>
        <w:rPr>
          <w:color w:val="auto"/>
          <w:highlight w:val="none"/>
        </w:rPr>
      </w:pPr>
    </w:p>
    <w:p w14:paraId="61CD598B">
      <w:pPr>
        <w:spacing w:before="42"/>
        <w:rPr>
          <w:color w:val="auto"/>
          <w:highlight w:val="none"/>
        </w:rPr>
      </w:pPr>
    </w:p>
    <w:p w14:paraId="1C8E58FB">
      <w:pPr>
        <w:rPr>
          <w:color w:val="auto"/>
          <w:highlight w:val="none"/>
        </w:rPr>
        <w:sectPr>
          <w:footerReference r:id="rId79" w:type="default"/>
          <w:pgSz w:w="16839" w:h="11905"/>
          <w:pgMar w:top="1011" w:right="1483" w:bottom="991" w:left="1449" w:header="0" w:footer="786" w:gutter="0"/>
          <w:pgNumType w:fmt="decimal"/>
          <w:cols w:equalWidth="0" w:num="1">
            <w:col w:w="13906"/>
          </w:cols>
        </w:sectPr>
      </w:pPr>
    </w:p>
    <w:p w14:paraId="74AE45E7">
      <w:pPr>
        <w:spacing w:before="48" w:line="218" w:lineRule="auto"/>
        <w:ind w:left="13"/>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3"/>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：评标委员会签到表</w:t>
      </w:r>
    </w:p>
    <w:p w14:paraId="2B95EAD8">
      <w:pPr>
        <w:spacing w:before="290" w:line="218" w:lineRule="auto"/>
        <w:ind w:left="5544"/>
        <w:rPr>
          <w:rFonts w:ascii="黑体" w:hAnsi="黑体" w:eastAsia="黑体" w:cs="黑体"/>
          <w:color w:val="auto"/>
          <w:sz w:val="36"/>
          <w:szCs w:val="36"/>
          <w:highlight w:val="none"/>
        </w:rPr>
      </w:pPr>
      <w:bookmarkStart w:id="188" w:name="bookmark216"/>
      <w:bookmarkEnd w:id="188"/>
      <w:r>
        <w:rPr>
          <w:rFonts w:ascii="黑体" w:hAnsi="黑体" w:eastAsia="黑体" w:cs="黑体"/>
          <w:color w:val="auto"/>
          <w:spacing w:val="-2"/>
          <w:sz w:val="36"/>
          <w:szCs w:val="36"/>
          <w:highlight w:val="none"/>
        </w:rPr>
        <w:t>评标委员会签到表</w:t>
      </w:r>
    </w:p>
    <w:p w14:paraId="7B8B1EC3">
      <w:pPr>
        <w:spacing w:before="236" w:line="221" w:lineRule="auto"/>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45068B4E">
      <w:pPr>
        <w:spacing w:before="21" w:line="186"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标段唯一标识码</w:t>
      </w:r>
    </w:p>
    <w:p w14:paraId="3E607A7F">
      <w:pPr>
        <w:pStyle w:val="3"/>
        <w:spacing w:line="14" w:lineRule="auto"/>
        <w:rPr>
          <w:color w:val="auto"/>
          <w:sz w:val="2"/>
          <w:highlight w:val="none"/>
        </w:rPr>
      </w:pPr>
      <w:r>
        <w:rPr>
          <w:color w:val="auto"/>
          <w:sz w:val="2"/>
          <w:szCs w:val="2"/>
          <w:highlight w:val="none"/>
        </w:rPr>
        <w:br w:type="column"/>
      </w:r>
    </w:p>
    <w:p w14:paraId="047A2131">
      <w:pPr>
        <w:pStyle w:val="3"/>
        <w:spacing w:line="246" w:lineRule="auto"/>
        <w:rPr>
          <w:color w:val="auto"/>
          <w:highlight w:val="none"/>
        </w:rPr>
      </w:pPr>
    </w:p>
    <w:p w14:paraId="627596CD">
      <w:pPr>
        <w:pStyle w:val="3"/>
        <w:spacing w:line="246" w:lineRule="auto"/>
        <w:rPr>
          <w:color w:val="auto"/>
          <w:highlight w:val="none"/>
        </w:rPr>
      </w:pPr>
    </w:p>
    <w:p w14:paraId="083F497B">
      <w:pPr>
        <w:pStyle w:val="3"/>
        <w:spacing w:line="246" w:lineRule="auto"/>
        <w:rPr>
          <w:color w:val="auto"/>
          <w:highlight w:val="none"/>
        </w:rPr>
      </w:pPr>
    </w:p>
    <w:p w14:paraId="25B982B6">
      <w:pPr>
        <w:pStyle w:val="3"/>
        <w:spacing w:line="246" w:lineRule="auto"/>
        <w:rPr>
          <w:color w:val="auto"/>
          <w:highlight w:val="none"/>
        </w:rPr>
      </w:pPr>
    </w:p>
    <w:p w14:paraId="04A2CB76">
      <w:pPr>
        <w:pStyle w:val="3"/>
        <w:spacing w:line="246" w:lineRule="auto"/>
        <w:rPr>
          <w:color w:val="auto"/>
          <w:highlight w:val="none"/>
        </w:rPr>
      </w:pPr>
    </w:p>
    <w:p w14:paraId="361FEEE5">
      <w:pPr>
        <w:pStyle w:val="3"/>
        <w:spacing w:line="247" w:lineRule="auto"/>
        <w:rPr>
          <w:color w:val="auto"/>
          <w:highlight w:val="none"/>
        </w:rPr>
      </w:pPr>
    </w:p>
    <w:p w14:paraId="6FF3B69E">
      <w:pPr>
        <w:spacing w:before="68"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评标时间：      年</w:t>
      </w:r>
      <w:r>
        <w:rPr>
          <w:rFonts w:ascii="宋体" w:hAnsi="宋体" w:eastAsia="宋体" w:cs="宋体"/>
          <w:color w:val="auto"/>
          <w:spacing w:val="7"/>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23"/>
          <w:sz w:val="21"/>
          <w:szCs w:val="21"/>
          <w:highlight w:val="none"/>
        </w:rPr>
        <w:t xml:space="preserve">  </w:t>
      </w:r>
      <w:r>
        <w:rPr>
          <w:rFonts w:ascii="宋体" w:hAnsi="宋体" w:eastAsia="宋体" w:cs="宋体"/>
          <w:color w:val="auto"/>
          <w:spacing w:val="-13"/>
          <w:sz w:val="21"/>
          <w:szCs w:val="21"/>
          <w:highlight w:val="none"/>
        </w:rPr>
        <w:t>日</w:t>
      </w:r>
    </w:p>
    <w:p w14:paraId="5FFE8BBF">
      <w:pPr>
        <w:spacing w:line="186" w:lineRule="auto"/>
        <w:rPr>
          <w:rFonts w:ascii="宋体" w:hAnsi="宋体" w:eastAsia="宋体" w:cs="宋体"/>
          <w:color w:val="auto"/>
          <w:sz w:val="21"/>
          <w:szCs w:val="21"/>
          <w:highlight w:val="none"/>
        </w:rPr>
        <w:sectPr>
          <w:type w:val="continuous"/>
          <w:pgSz w:w="16839" w:h="11905"/>
          <w:pgMar w:top="1011" w:right="1483" w:bottom="991" w:left="1449" w:header="0" w:footer="786" w:gutter="0"/>
          <w:pgNumType w:fmt="decimal"/>
          <w:cols w:equalWidth="0" w:num="2">
            <w:col w:w="10563" w:space="100"/>
            <w:col w:w="3244"/>
          </w:cols>
        </w:sectPr>
      </w:pPr>
    </w:p>
    <w:p w14:paraId="77032F9B">
      <w:pPr>
        <w:spacing w:line="32" w:lineRule="exact"/>
        <w:rPr>
          <w:color w:val="auto"/>
          <w:highlight w:val="none"/>
        </w:rPr>
      </w:pPr>
    </w:p>
    <w:tbl>
      <w:tblPr>
        <w:tblStyle w:val="10"/>
        <w:tblW w:w="1385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66"/>
        <w:gridCol w:w="1795"/>
        <w:gridCol w:w="1934"/>
        <w:gridCol w:w="1790"/>
        <w:gridCol w:w="1430"/>
        <w:gridCol w:w="1522"/>
        <w:gridCol w:w="1704"/>
        <w:gridCol w:w="1704"/>
      </w:tblGrid>
      <w:tr w14:paraId="018A0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11" w:type="dxa"/>
            <w:tcBorders>
              <w:bottom w:val="single" w:color="000000" w:sz="4" w:space="0"/>
            </w:tcBorders>
            <w:vAlign w:val="top"/>
          </w:tcPr>
          <w:p w14:paraId="16EAB26A">
            <w:pPr>
              <w:pStyle w:val="11"/>
              <w:spacing w:before="255" w:line="222" w:lineRule="auto"/>
              <w:ind w:left="194"/>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166" w:type="dxa"/>
            <w:tcBorders>
              <w:bottom w:val="single" w:color="000000" w:sz="4" w:space="0"/>
            </w:tcBorders>
            <w:vAlign w:val="top"/>
          </w:tcPr>
          <w:p w14:paraId="50E360BF">
            <w:pPr>
              <w:pStyle w:val="11"/>
              <w:spacing w:before="254" w:line="221" w:lineRule="auto"/>
              <w:ind w:left="373"/>
              <w:rPr>
                <w:color w:val="auto"/>
                <w:highlight w:val="none"/>
              </w:rPr>
            </w:pPr>
            <w:r>
              <w:rPr>
                <w:color w:val="auto"/>
                <w:spacing w:val="-2"/>
                <w:highlight w:val="none"/>
                <w14:textOutline w14:w="3831" w14:cap="flat" w14:cmpd="sng">
                  <w14:solidFill>
                    <w14:srgbClr w14:val="000000"/>
                  </w14:solidFill>
                  <w14:prstDash w14:val="solid"/>
                  <w14:miter w14:val="0"/>
                </w14:textOutline>
              </w:rPr>
              <w:t>姓名</w:t>
            </w:r>
          </w:p>
        </w:tc>
        <w:tc>
          <w:tcPr>
            <w:tcW w:w="1795" w:type="dxa"/>
            <w:tcBorders>
              <w:bottom w:val="single" w:color="000000" w:sz="4" w:space="0"/>
            </w:tcBorders>
            <w:vAlign w:val="top"/>
          </w:tcPr>
          <w:p w14:paraId="747F90FE">
            <w:pPr>
              <w:pStyle w:val="11"/>
              <w:spacing w:before="255" w:line="221" w:lineRule="auto"/>
              <w:ind w:left="474"/>
              <w:rPr>
                <w:color w:val="auto"/>
                <w:highlight w:val="none"/>
              </w:rPr>
            </w:pPr>
            <w:r>
              <w:rPr>
                <w:color w:val="auto"/>
                <w:spacing w:val="-1"/>
                <w:highlight w:val="none"/>
                <w14:textOutline w14:w="3831" w14:cap="flat" w14:cmpd="sng">
                  <w14:solidFill>
                    <w14:srgbClr w14:val="000000"/>
                  </w14:solidFill>
                  <w14:prstDash w14:val="solid"/>
                  <w14:miter w14:val="0"/>
                </w14:textOutline>
              </w:rPr>
              <w:t>所在单位</w:t>
            </w:r>
          </w:p>
        </w:tc>
        <w:tc>
          <w:tcPr>
            <w:tcW w:w="1934" w:type="dxa"/>
            <w:tcBorders>
              <w:bottom w:val="single" w:color="000000" w:sz="4" w:space="0"/>
            </w:tcBorders>
            <w:vAlign w:val="top"/>
          </w:tcPr>
          <w:p w14:paraId="61049628">
            <w:pPr>
              <w:pStyle w:val="11"/>
              <w:spacing w:before="254" w:line="221" w:lineRule="auto"/>
              <w:ind w:left="548"/>
              <w:rPr>
                <w:color w:val="auto"/>
                <w:highlight w:val="none"/>
              </w:rPr>
            </w:pPr>
            <w:r>
              <w:rPr>
                <w:color w:val="auto"/>
                <w:spacing w:val="-2"/>
                <w:highlight w:val="none"/>
                <w14:textOutline w14:w="3831" w14:cap="flat" w14:cmpd="sng">
                  <w14:solidFill>
                    <w14:srgbClr w14:val="000000"/>
                  </w14:solidFill>
                  <w14:prstDash w14:val="solid"/>
                  <w14:miter w14:val="0"/>
                </w14:textOutline>
              </w:rPr>
              <w:t>身份证号</w:t>
            </w:r>
          </w:p>
        </w:tc>
        <w:tc>
          <w:tcPr>
            <w:tcW w:w="1790" w:type="dxa"/>
            <w:tcBorders>
              <w:bottom w:val="single" w:color="000000" w:sz="4" w:space="0"/>
            </w:tcBorders>
            <w:vAlign w:val="top"/>
          </w:tcPr>
          <w:p w14:paraId="39473677">
            <w:pPr>
              <w:pStyle w:val="11"/>
              <w:spacing w:before="255" w:line="222" w:lineRule="auto"/>
              <w:ind w:left="477"/>
              <w:rPr>
                <w:color w:val="auto"/>
                <w:highlight w:val="none"/>
              </w:rPr>
            </w:pPr>
            <w:r>
              <w:rPr>
                <w:color w:val="auto"/>
                <w:spacing w:val="-1"/>
                <w:highlight w:val="none"/>
                <w14:textOutline w14:w="3831" w14:cap="flat" w14:cmpd="sng">
                  <w14:solidFill>
                    <w14:srgbClr w14:val="000000"/>
                  </w14:solidFill>
                  <w14:prstDash w14:val="solid"/>
                  <w14:miter w14:val="0"/>
                </w14:textOutline>
              </w:rPr>
              <w:t>联系方式</w:t>
            </w:r>
          </w:p>
        </w:tc>
        <w:tc>
          <w:tcPr>
            <w:tcW w:w="1430" w:type="dxa"/>
            <w:tcBorders>
              <w:bottom w:val="single" w:color="000000" w:sz="4" w:space="0"/>
            </w:tcBorders>
            <w:vAlign w:val="top"/>
          </w:tcPr>
          <w:p w14:paraId="3491D1E7">
            <w:pPr>
              <w:pStyle w:val="11"/>
              <w:spacing w:before="254" w:line="221" w:lineRule="auto"/>
              <w:ind w:left="293"/>
              <w:rPr>
                <w:color w:val="auto"/>
                <w:highlight w:val="none"/>
              </w:rPr>
            </w:pPr>
            <w:r>
              <w:rPr>
                <w:color w:val="auto"/>
                <w:spacing w:val="-1"/>
                <w:highlight w:val="none"/>
                <w14:textOutline w14:w="3831" w14:cap="flat" w14:cmpd="sng">
                  <w14:solidFill>
                    <w14:srgbClr w14:val="000000"/>
                  </w14:solidFill>
                  <w14:prstDash w14:val="solid"/>
                  <w14:miter w14:val="0"/>
                </w14:textOutline>
              </w:rPr>
              <w:t>评审内容</w:t>
            </w:r>
          </w:p>
        </w:tc>
        <w:tc>
          <w:tcPr>
            <w:tcW w:w="1522" w:type="dxa"/>
            <w:tcBorders>
              <w:bottom w:val="single" w:color="000000" w:sz="4" w:space="0"/>
            </w:tcBorders>
            <w:vAlign w:val="top"/>
          </w:tcPr>
          <w:p w14:paraId="55EBEC38">
            <w:pPr>
              <w:pStyle w:val="11"/>
              <w:spacing w:before="255" w:line="220" w:lineRule="auto"/>
              <w:ind w:left="342"/>
              <w:rPr>
                <w:color w:val="auto"/>
                <w:highlight w:val="none"/>
              </w:rPr>
            </w:pPr>
            <w:r>
              <w:rPr>
                <w:color w:val="auto"/>
                <w:spacing w:val="-1"/>
                <w:highlight w:val="none"/>
                <w14:textOutline w14:w="3831" w14:cap="flat" w14:cmpd="sng">
                  <w14:solidFill>
                    <w14:srgbClr w14:val="000000"/>
                  </w14:solidFill>
                  <w14:prstDash w14:val="solid"/>
                  <w14:miter w14:val="0"/>
                </w14:textOutline>
              </w:rPr>
              <w:t>评审角色</w:t>
            </w:r>
          </w:p>
        </w:tc>
        <w:tc>
          <w:tcPr>
            <w:tcW w:w="1704" w:type="dxa"/>
            <w:tcBorders>
              <w:bottom w:val="single" w:color="000000" w:sz="4" w:space="0"/>
            </w:tcBorders>
            <w:vAlign w:val="top"/>
          </w:tcPr>
          <w:p w14:paraId="0BC048C1">
            <w:pPr>
              <w:pStyle w:val="11"/>
              <w:spacing w:before="255" w:line="221" w:lineRule="auto"/>
              <w:ind w:left="222"/>
              <w:rPr>
                <w:color w:val="auto"/>
                <w:highlight w:val="none"/>
              </w:rPr>
            </w:pPr>
            <w:r>
              <w:rPr>
                <w:color w:val="auto"/>
                <w:spacing w:val="-1"/>
                <w:highlight w:val="none"/>
                <w14:textOutline w14:w="3831" w14:cap="flat" w14:cmpd="sng">
                  <w14:solidFill>
                    <w14:srgbClr w14:val="000000"/>
                  </w14:solidFill>
                  <w14:prstDash w14:val="solid"/>
                  <w14:miter w14:val="0"/>
                </w14:textOutline>
              </w:rPr>
              <w:t>评标签到时间</w:t>
            </w:r>
          </w:p>
        </w:tc>
        <w:tc>
          <w:tcPr>
            <w:tcW w:w="1704" w:type="dxa"/>
            <w:tcBorders>
              <w:bottom w:val="single" w:color="000000" w:sz="4" w:space="0"/>
            </w:tcBorders>
            <w:vAlign w:val="top"/>
          </w:tcPr>
          <w:p w14:paraId="24FC4FBE">
            <w:pPr>
              <w:pStyle w:val="11"/>
              <w:spacing w:before="255" w:line="224" w:lineRule="auto"/>
              <w:ind w:left="641"/>
              <w:rPr>
                <w:color w:val="auto"/>
                <w:highlight w:val="none"/>
              </w:rPr>
            </w:pPr>
            <w:r>
              <w:rPr>
                <w:color w:val="auto"/>
                <w:spacing w:val="-2"/>
                <w:highlight w:val="none"/>
                <w14:textOutline w14:w="3831" w14:cap="flat" w14:cmpd="sng">
                  <w14:solidFill>
                    <w14:srgbClr w14:val="000000"/>
                  </w14:solidFill>
                  <w14:prstDash w14:val="solid"/>
                  <w14:miter w14:val="0"/>
                </w14:textOutline>
              </w:rPr>
              <w:t>签名</w:t>
            </w:r>
          </w:p>
        </w:tc>
      </w:tr>
      <w:tr w14:paraId="1EE5E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116234C2">
            <w:pPr>
              <w:pStyle w:val="11"/>
              <w:spacing w:before="281" w:line="183" w:lineRule="auto"/>
              <w:ind w:left="369"/>
              <w:rPr>
                <w:color w:val="auto"/>
                <w:highlight w:val="none"/>
              </w:rPr>
            </w:pPr>
            <w:r>
              <w:rPr>
                <w:color w:val="auto"/>
                <w:highlight w:val="none"/>
              </w:rPr>
              <w:t>1</w:t>
            </w:r>
          </w:p>
        </w:tc>
        <w:tc>
          <w:tcPr>
            <w:tcW w:w="1166" w:type="dxa"/>
            <w:tcBorders>
              <w:top w:val="single" w:color="000000" w:sz="4" w:space="0"/>
            </w:tcBorders>
            <w:vAlign w:val="top"/>
          </w:tcPr>
          <w:p w14:paraId="72276F99">
            <w:pPr>
              <w:rPr>
                <w:rFonts w:ascii="Arial"/>
                <w:color w:val="auto"/>
                <w:sz w:val="21"/>
                <w:highlight w:val="none"/>
              </w:rPr>
            </w:pPr>
          </w:p>
        </w:tc>
        <w:tc>
          <w:tcPr>
            <w:tcW w:w="1795" w:type="dxa"/>
            <w:tcBorders>
              <w:top w:val="single" w:color="000000" w:sz="4" w:space="0"/>
            </w:tcBorders>
            <w:vAlign w:val="top"/>
          </w:tcPr>
          <w:p w14:paraId="14923AAA">
            <w:pPr>
              <w:rPr>
                <w:rFonts w:ascii="Arial"/>
                <w:color w:val="auto"/>
                <w:sz w:val="21"/>
                <w:highlight w:val="none"/>
              </w:rPr>
            </w:pPr>
          </w:p>
        </w:tc>
        <w:tc>
          <w:tcPr>
            <w:tcW w:w="1934" w:type="dxa"/>
            <w:tcBorders>
              <w:top w:val="single" w:color="000000" w:sz="4" w:space="0"/>
            </w:tcBorders>
            <w:vAlign w:val="top"/>
          </w:tcPr>
          <w:p w14:paraId="011DD59E">
            <w:pPr>
              <w:rPr>
                <w:rFonts w:ascii="Arial"/>
                <w:color w:val="auto"/>
                <w:sz w:val="21"/>
                <w:highlight w:val="none"/>
              </w:rPr>
            </w:pPr>
          </w:p>
        </w:tc>
        <w:tc>
          <w:tcPr>
            <w:tcW w:w="1790" w:type="dxa"/>
            <w:tcBorders>
              <w:top w:val="single" w:color="000000" w:sz="4" w:space="0"/>
            </w:tcBorders>
            <w:vAlign w:val="top"/>
          </w:tcPr>
          <w:p w14:paraId="74288AE3">
            <w:pPr>
              <w:rPr>
                <w:rFonts w:ascii="Arial"/>
                <w:color w:val="auto"/>
                <w:sz w:val="21"/>
                <w:highlight w:val="none"/>
              </w:rPr>
            </w:pPr>
          </w:p>
        </w:tc>
        <w:tc>
          <w:tcPr>
            <w:tcW w:w="1430" w:type="dxa"/>
            <w:tcBorders>
              <w:top w:val="single" w:color="000000" w:sz="4" w:space="0"/>
            </w:tcBorders>
            <w:vAlign w:val="top"/>
          </w:tcPr>
          <w:p w14:paraId="0BB684CD">
            <w:pPr>
              <w:rPr>
                <w:rFonts w:ascii="Arial"/>
                <w:color w:val="auto"/>
                <w:sz w:val="21"/>
                <w:highlight w:val="none"/>
              </w:rPr>
            </w:pPr>
          </w:p>
        </w:tc>
        <w:tc>
          <w:tcPr>
            <w:tcW w:w="1522" w:type="dxa"/>
            <w:tcBorders>
              <w:top w:val="single" w:color="000000" w:sz="4" w:space="0"/>
            </w:tcBorders>
            <w:vAlign w:val="top"/>
          </w:tcPr>
          <w:p w14:paraId="714B12FA">
            <w:pPr>
              <w:rPr>
                <w:rFonts w:ascii="Arial"/>
                <w:color w:val="auto"/>
                <w:sz w:val="21"/>
                <w:highlight w:val="none"/>
              </w:rPr>
            </w:pPr>
          </w:p>
        </w:tc>
        <w:tc>
          <w:tcPr>
            <w:tcW w:w="1704" w:type="dxa"/>
            <w:tcBorders>
              <w:top w:val="single" w:color="000000" w:sz="4" w:space="0"/>
            </w:tcBorders>
            <w:vAlign w:val="top"/>
          </w:tcPr>
          <w:p w14:paraId="7FBC5BA2">
            <w:pPr>
              <w:rPr>
                <w:rFonts w:ascii="Arial"/>
                <w:color w:val="auto"/>
                <w:sz w:val="21"/>
                <w:highlight w:val="none"/>
              </w:rPr>
            </w:pPr>
          </w:p>
        </w:tc>
        <w:tc>
          <w:tcPr>
            <w:tcW w:w="1704" w:type="dxa"/>
            <w:tcBorders>
              <w:top w:val="single" w:color="000000" w:sz="4" w:space="0"/>
            </w:tcBorders>
            <w:vAlign w:val="top"/>
          </w:tcPr>
          <w:p w14:paraId="4B3B0BF0">
            <w:pPr>
              <w:rPr>
                <w:rFonts w:ascii="Arial"/>
                <w:color w:val="auto"/>
                <w:sz w:val="21"/>
                <w:highlight w:val="none"/>
              </w:rPr>
            </w:pPr>
          </w:p>
        </w:tc>
      </w:tr>
      <w:tr w14:paraId="5390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tcBorders>
              <w:bottom w:val="single" w:color="000000" w:sz="4" w:space="0"/>
            </w:tcBorders>
            <w:vAlign w:val="top"/>
          </w:tcPr>
          <w:p w14:paraId="1103965C">
            <w:pPr>
              <w:pStyle w:val="11"/>
              <w:spacing w:before="287" w:line="182" w:lineRule="auto"/>
              <w:ind w:left="356"/>
              <w:rPr>
                <w:color w:val="auto"/>
                <w:highlight w:val="none"/>
              </w:rPr>
            </w:pPr>
            <w:r>
              <w:rPr>
                <w:color w:val="auto"/>
                <w:highlight w:val="none"/>
              </w:rPr>
              <w:t>2</w:t>
            </w:r>
          </w:p>
        </w:tc>
        <w:tc>
          <w:tcPr>
            <w:tcW w:w="1166" w:type="dxa"/>
            <w:tcBorders>
              <w:bottom w:val="single" w:color="000000" w:sz="4" w:space="0"/>
            </w:tcBorders>
            <w:vAlign w:val="top"/>
          </w:tcPr>
          <w:p w14:paraId="1620046F">
            <w:pPr>
              <w:rPr>
                <w:rFonts w:ascii="Arial"/>
                <w:color w:val="auto"/>
                <w:sz w:val="21"/>
                <w:highlight w:val="none"/>
              </w:rPr>
            </w:pPr>
          </w:p>
        </w:tc>
        <w:tc>
          <w:tcPr>
            <w:tcW w:w="1795" w:type="dxa"/>
            <w:tcBorders>
              <w:bottom w:val="single" w:color="000000" w:sz="4" w:space="0"/>
            </w:tcBorders>
            <w:vAlign w:val="top"/>
          </w:tcPr>
          <w:p w14:paraId="0B34E21C">
            <w:pPr>
              <w:rPr>
                <w:rFonts w:ascii="Arial"/>
                <w:color w:val="auto"/>
                <w:sz w:val="21"/>
                <w:highlight w:val="none"/>
              </w:rPr>
            </w:pPr>
          </w:p>
        </w:tc>
        <w:tc>
          <w:tcPr>
            <w:tcW w:w="1934" w:type="dxa"/>
            <w:tcBorders>
              <w:bottom w:val="single" w:color="000000" w:sz="4" w:space="0"/>
            </w:tcBorders>
            <w:vAlign w:val="top"/>
          </w:tcPr>
          <w:p w14:paraId="09B8F00B">
            <w:pPr>
              <w:rPr>
                <w:rFonts w:ascii="Arial"/>
                <w:color w:val="auto"/>
                <w:sz w:val="21"/>
                <w:highlight w:val="none"/>
              </w:rPr>
            </w:pPr>
          </w:p>
        </w:tc>
        <w:tc>
          <w:tcPr>
            <w:tcW w:w="1790" w:type="dxa"/>
            <w:tcBorders>
              <w:bottom w:val="single" w:color="000000" w:sz="4" w:space="0"/>
            </w:tcBorders>
            <w:vAlign w:val="top"/>
          </w:tcPr>
          <w:p w14:paraId="56192BC9">
            <w:pPr>
              <w:rPr>
                <w:rFonts w:ascii="Arial"/>
                <w:color w:val="auto"/>
                <w:sz w:val="21"/>
                <w:highlight w:val="none"/>
              </w:rPr>
            </w:pPr>
          </w:p>
        </w:tc>
        <w:tc>
          <w:tcPr>
            <w:tcW w:w="1430" w:type="dxa"/>
            <w:tcBorders>
              <w:bottom w:val="single" w:color="000000" w:sz="4" w:space="0"/>
            </w:tcBorders>
            <w:vAlign w:val="top"/>
          </w:tcPr>
          <w:p w14:paraId="38CB27E7">
            <w:pPr>
              <w:rPr>
                <w:rFonts w:ascii="Arial"/>
                <w:color w:val="auto"/>
                <w:sz w:val="21"/>
                <w:highlight w:val="none"/>
              </w:rPr>
            </w:pPr>
          </w:p>
        </w:tc>
        <w:tc>
          <w:tcPr>
            <w:tcW w:w="1522" w:type="dxa"/>
            <w:tcBorders>
              <w:bottom w:val="single" w:color="000000" w:sz="4" w:space="0"/>
            </w:tcBorders>
            <w:vAlign w:val="top"/>
          </w:tcPr>
          <w:p w14:paraId="0EC00C1A">
            <w:pPr>
              <w:rPr>
                <w:rFonts w:ascii="Arial"/>
                <w:color w:val="auto"/>
                <w:sz w:val="21"/>
                <w:highlight w:val="none"/>
              </w:rPr>
            </w:pPr>
          </w:p>
        </w:tc>
        <w:tc>
          <w:tcPr>
            <w:tcW w:w="1704" w:type="dxa"/>
            <w:tcBorders>
              <w:bottom w:val="single" w:color="000000" w:sz="4" w:space="0"/>
            </w:tcBorders>
            <w:vAlign w:val="top"/>
          </w:tcPr>
          <w:p w14:paraId="6300909D">
            <w:pPr>
              <w:rPr>
                <w:rFonts w:ascii="Arial"/>
                <w:color w:val="auto"/>
                <w:sz w:val="21"/>
                <w:highlight w:val="none"/>
              </w:rPr>
            </w:pPr>
          </w:p>
        </w:tc>
        <w:tc>
          <w:tcPr>
            <w:tcW w:w="1704" w:type="dxa"/>
            <w:tcBorders>
              <w:bottom w:val="single" w:color="000000" w:sz="4" w:space="0"/>
            </w:tcBorders>
            <w:vAlign w:val="top"/>
          </w:tcPr>
          <w:p w14:paraId="47B7B395">
            <w:pPr>
              <w:rPr>
                <w:rFonts w:ascii="Arial"/>
                <w:color w:val="auto"/>
                <w:sz w:val="21"/>
                <w:highlight w:val="none"/>
              </w:rPr>
            </w:pPr>
          </w:p>
        </w:tc>
      </w:tr>
      <w:tr w14:paraId="0B1EB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6E39968D">
            <w:pPr>
              <w:pStyle w:val="11"/>
              <w:spacing w:before="284" w:line="182" w:lineRule="auto"/>
              <w:ind w:left="357"/>
              <w:rPr>
                <w:color w:val="auto"/>
                <w:highlight w:val="none"/>
              </w:rPr>
            </w:pPr>
            <w:r>
              <w:rPr>
                <w:color w:val="auto"/>
                <w:highlight w:val="none"/>
              </w:rPr>
              <w:t>3</w:t>
            </w:r>
          </w:p>
        </w:tc>
        <w:tc>
          <w:tcPr>
            <w:tcW w:w="1166" w:type="dxa"/>
            <w:tcBorders>
              <w:top w:val="single" w:color="000000" w:sz="4" w:space="0"/>
            </w:tcBorders>
            <w:vAlign w:val="top"/>
          </w:tcPr>
          <w:p w14:paraId="65F7D710">
            <w:pPr>
              <w:rPr>
                <w:rFonts w:ascii="Arial"/>
                <w:color w:val="auto"/>
                <w:sz w:val="21"/>
                <w:highlight w:val="none"/>
              </w:rPr>
            </w:pPr>
          </w:p>
        </w:tc>
        <w:tc>
          <w:tcPr>
            <w:tcW w:w="1795" w:type="dxa"/>
            <w:tcBorders>
              <w:top w:val="single" w:color="000000" w:sz="4" w:space="0"/>
            </w:tcBorders>
            <w:vAlign w:val="top"/>
          </w:tcPr>
          <w:p w14:paraId="66CA12FE">
            <w:pPr>
              <w:rPr>
                <w:rFonts w:ascii="Arial"/>
                <w:color w:val="auto"/>
                <w:sz w:val="21"/>
                <w:highlight w:val="none"/>
              </w:rPr>
            </w:pPr>
          </w:p>
        </w:tc>
        <w:tc>
          <w:tcPr>
            <w:tcW w:w="1934" w:type="dxa"/>
            <w:tcBorders>
              <w:top w:val="single" w:color="000000" w:sz="4" w:space="0"/>
            </w:tcBorders>
            <w:vAlign w:val="top"/>
          </w:tcPr>
          <w:p w14:paraId="45E24DE4">
            <w:pPr>
              <w:rPr>
                <w:rFonts w:ascii="Arial"/>
                <w:color w:val="auto"/>
                <w:sz w:val="21"/>
                <w:highlight w:val="none"/>
              </w:rPr>
            </w:pPr>
          </w:p>
        </w:tc>
        <w:tc>
          <w:tcPr>
            <w:tcW w:w="1790" w:type="dxa"/>
            <w:tcBorders>
              <w:top w:val="single" w:color="000000" w:sz="4" w:space="0"/>
            </w:tcBorders>
            <w:vAlign w:val="top"/>
          </w:tcPr>
          <w:p w14:paraId="0FD53F9F">
            <w:pPr>
              <w:rPr>
                <w:rFonts w:ascii="Arial"/>
                <w:color w:val="auto"/>
                <w:sz w:val="21"/>
                <w:highlight w:val="none"/>
              </w:rPr>
            </w:pPr>
          </w:p>
        </w:tc>
        <w:tc>
          <w:tcPr>
            <w:tcW w:w="1430" w:type="dxa"/>
            <w:tcBorders>
              <w:top w:val="single" w:color="000000" w:sz="4" w:space="0"/>
            </w:tcBorders>
            <w:vAlign w:val="top"/>
          </w:tcPr>
          <w:p w14:paraId="26490140">
            <w:pPr>
              <w:rPr>
                <w:rFonts w:ascii="Arial"/>
                <w:color w:val="auto"/>
                <w:sz w:val="21"/>
                <w:highlight w:val="none"/>
              </w:rPr>
            </w:pPr>
          </w:p>
        </w:tc>
        <w:tc>
          <w:tcPr>
            <w:tcW w:w="1522" w:type="dxa"/>
            <w:tcBorders>
              <w:top w:val="single" w:color="000000" w:sz="4" w:space="0"/>
            </w:tcBorders>
            <w:vAlign w:val="top"/>
          </w:tcPr>
          <w:p w14:paraId="25EF923F">
            <w:pPr>
              <w:rPr>
                <w:rFonts w:ascii="Arial"/>
                <w:color w:val="auto"/>
                <w:sz w:val="21"/>
                <w:highlight w:val="none"/>
              </w:rPr>
            </w:pPr>
          </w:p>
        </w:tc>
        <w:tc>
          <w:tcPr>
            <w:tcW w:w="1704" w:type="dxa"/>
            <w:tcBorders>
              <w:top w:val="single" w:color="000000" w:sz="4" w:space="0"/>
            </w:tcBorders>
            <w:vAlign w:val="top"/>
          </w:tcPr>
          <w:p w14:paraId="3504929A">
            <w:pPr>
              <w:rPr>
                <w:rFonts w:ascii="Arial"/>
                <w:color w:val="auto"/>
                <w:sz w:val="21"/>
                <w:highlight w:val="none"/>
              </w:rPr>
            </w:pPr>
          </w:p>
        </w:tc>
        <w:tc>
          <w:tcPr>
            <w:tcW w:w="1704" w:type="dxa"/>
            <w:tcBorders>
              <w:top w:val="single" w:color="000000" w:sz="4" w:space="0"/>
            </w:tcBorders>
            <w:vAlign w:val="top"/>
          </w:tcPr>
          <w:p w14:paraId="4D1D1864">
            <w:pPr>
              <w:rPr>
                <w:rFonts w:ascii="Arial"/>
                <w:color w:val="auto"/>
                <w:sz w:val="21"/>
                <w:highlight w:val="none"/>
              </w:rPr>
            </w:pPr>
          </w:p>
        </w:tc>
      </w:tr>
      <w:tr w14:paraId="0EDA8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19990B51">
            <w:pPr>
              <w:pStyle w:val="11"/>
              <w:spacing w:before="289" w:line="182" w:lineRule="auto"/>
              <w:ind w:left="352"/>
              <w:rPr>
                <w:color w:val="auto"/>
                <w:highlight w:val="none"/>
              </w:rPr>
            </w:pPr>
            <w:r>
              <w:rPr>
                <w:color w:val="auto"/>
                <w:highlight w:val="none"/>
              </w:rPr>
              <w:t>4</w:t>
            </w:r>
          </w:p>
        </w:tc>
        <w:tc>
          <w:tcPr>
            <w:tcW w:w="1166" w:type="dxa"/>
            <w:vAlign w:val="top"/>
          </w:tcPr>
          <w:p w14:paraId="436034C6">
            <w:pPr>
              <w:rPr>
                <w:rFonts w:ascii="Arial"/>
                <w:color w:val="auto"/>
                <w:sz w:val="21"/>
                <w:highlight w:val="none"/>
              </w:rPr>
            </w:pPr>
          </w:p>
        </w:tc>
        <w:tc>
          <w:tcPr>
            <w:tcW w:w="1795" w:type="dxa"/>
            <w:vAlign w:val="top"/>
          </w:tcPr>
          <w:p w14:paraId="317E6B6D">
            <w:pPr>
              <w:rPr>
                <w:rFonts w:ascii="Arial"/>
                <w:color w:val="auto"/>
                <w:sz w:val="21"/>
                <w:highlight w:val="none"/>
              </w:rPr>
            </w:pPr>
          </w:p>
        </w:tc>
        <w:tc>
          <w:tcPr>
            <w:tcW w:w="1934" w:type="dxa"/>
            <w:vAlign w:val="top"/>
          </w:tcPr>
          <w:p w14:paraId="479C8EB7">
            <w:pPr>
              <w:rPr>
                <w:rFonts w:ascii="Arial"/>
                <w:color w:val="auto"/>
                <w:sz w:val="21"/>
                <w:highlight w:val="none"/>
              </w:rPr>
            </w:pPr>
          </w:p>
        </w:tc>
        <w:tc>
          <w:tcPr>
            <w:tcW w:w="1790" w:type="dxa"/>
            <w:vAlign w:val="top"/>
          </w:tcPr>
          <w:p w14:paraId="77EA57F8">
            <w:pPr>
              <w:rPr>
                <w:rFonts w:ascii="Arial"/>
                <w:color w:val="auto"/>
                <w:sz w:val="21"/>
                <w:highlight w:val="none"/>
              </w:rPr>
            </w:pPr>
          </w:p>
        </w:tc>
        <w:tc>
          <w:tcPr>
            <w:tcW w:w="1430" w:type="dxa"/>
            <w:vAlign w:val="top"/>
          </w:tcPr>
          <w:p w14:paraId="30A0D5A0">
            <w:pPr>
              <w:rPr>
                <w:rFonts w:ascii="Arial"/>
                <w:color w:val="auto"/>
                <w:sz w:val="21"/>
                <w:highlight w:val="none"/>
              </w:rPr>
            </w:pPr>
          </w:p>
        </w:tc>
        <w:tc>
          <w:tcPr>
            <w:tcW w:w="1522" w:type="dxa"/>
            <w:vAlign w:val="top"/>
          </w:tcPr>
          <w:p w14:paraId="18067AE8">
            <w:pPr>
              <w:rPr>
                <w:rFonts w:ascii="Arial"/>
                <w:color w:val="auto"/>
                <w:sz w:val="21"/>
                <w:highlight w:val="none"/>
              </w:rPr>
            </w:pPr>
          </w:p>
        </w:tc>
        <w:tc>
          <w:tcPr>
            <w:tcW w:w="1704" w:type="dxa"/>
            <w:vAlign w:val="top"/>
          </w:tcPr>
          <w:p w14:paraId="2B6BF5BD">
            <w:pPr>
              <w:rPr>
                <w:rFonts w:ascii="Arial"/>
                <w:color w:val="auto"/>
                <w:sz w:val="21"/>
                <w:highlight w:val="none"/>
              </w:rPr>
            </w:pPr>
          </w:p>
        </w:tc>
        <w:tc>
          <w:tcPr>
            <w:tcW w:w="1704" w:type="dxa"/>
            <w:vAlign w:val="top"/>
          </w:tcPr>
          <w:p w14:paraId="09410288">
            <w:pPr>
              <w:rPr>
                <w:rFonts w:ascii="Arial"/>
                <w:color w:val="auto"/>
                <w:sz w:val="21"/>
                <w:highlight w:val="none"/>
              </w:rPr>
            </w:pPr>
          </w:p>
        </w:tc>
      </w:tr>
      <w:tr w14:paraId="1D180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vAlign w:val="top"/>
          </w:tcPr>
          <w:p w14:paraId="2ED35DD6">
            <w:pPr>
              <w:pStyle w:val="11"/>
              <w:spacing w:before="291" w:line="181" w:lineRule="auto"/>
              <w:ind w:left="357"/>
              <w:rPr>
                <w:color w:val="auto"/>
                <w:highlight w:val="none"/>
              </w:rPr>
            </w:pPr>
            <w:r>
              <w:rPr>
                <w:color w:val="auto"/>
                <w:highlight w:val="none"/>
              </w:rPr>
              <w:t>5</w:t>
            </w:r>
          </w:p>
        </w:tc>
        <w:tc>
          <w:tcPr>
            <w:tcW w:w="1166" w:type="dxa"/>
            <w:vAlign w:val="top"/>
          </w:tcPr>
          <w:p w14:paraId="0F78EAC7">
            <w:pPr>
              <w:rPr>
                <w:rFonts w:ascii="Arial"/>
                <w:color w:val="auto"/>
                <w:sz w:val="21"/>
                <w:highlight w:val="none"/>
              </w:rPr>
            </w:pPr>
          </w:p>
        </w:tc>
        <w:tc>
          <w:tcPr>
            <w:tcW w:w="1795" w:type="dxa"/>
            <w:vAlign w:val="top"/>
          </w:tcPr>
          <w:p w14:paraId="72F571F8">
            <w:pPr>
              <w:rPr>
                <w:rFonts w:ascii="Arial"/>
                <w:color w:val="auto"/>
                <w:sz w:val="21"/>
                <w:highlight w:val="none"/>
              </w:rPr>
            </w:pPr>
          </w:p>
        </w:tc>
        <w:tc>
          <w:tcPr>
            <w:tcW w:w="1934" w:type="dxa"/>
            <w:vAlign w:val="top"/>
          </w:tcPr>
          <w:p w14:paraId="4ACD6182">
            <w:pPr>
              <w:rPr>
                <w:rFonts w:ascii="Arial"/>
                <w:color w:val="auto"/>
                <w:sz w:val="21"/>
                <w:highlight w:val="none"/>
              </w:rPr>
            </w:pPr>
          </w:p>
        </w:tc>
        <w:tc>
          <w:tcPr>
            <w:tcW w:w="1790" w:type="dxa"/>
            <w:vAlign w:val="top"/>
          </w:tcPr>
          <w:p w14:paraId="7DD5C3DD">
            <w:pPr>
              <w:rPr>
                <w:rFonts w:ascii="Arial"/>
                <w:color w:val="auto"/>
                <w:sz w:val="21"/>
                <w:highlight w:val="none"/>
              </w:rPr>
            </w:pPr>
          </w:p>
        </w:tc>
        <w:tc>
          <w:tcPr>
            <w:tcW w:w="1430" w:type="dxa"/>
            <w:vAlign w:val="top"/>
          </w:tcPr>
          <w:p w14:paraId="22BBF7AA">
            <w:pPr>
              <w:rPr>
                <w:rFonts w:ascii="Arial"/>
                <w:color w:val="auto"/>
                <w:sz w:val="21"/>
                <w:highlight w:val="none"/>
              </w:rPr>
            </w:pPr>
          </w:p>
        </w:tc>
        <w:tc>
          <w:tcPr>
            <w:tcW w:w="1522" w:type="dxa"/>
            <w:vAlign w:val="top"/>
          </w:tcPr>
          <w:p w14:paraId="5C26BD5A">
            <w:pPr>
              <w:rPr>
                <w:rFonts w:ascii="Arial"/>
                <w:color w:val="auto"/>
                <w:sz w:val="21"/>
                <w:highlight w:val="none"/>
              </w:rPr>
            </w:pPr>
          </w:p>
        </w:tc>
        <w:tc>
          <w:tcPr>
            <w:tcW w:w="1704" w:type="dxa"/>
            <w:vAlign w:val="top"/>
          </w:tcPr>
          <w:p w14:paraId="4A98996E">
            <w:pPr>
              <w:rPr>
                <w:rFonts w:ascii="Arial"/>
                <w:color w:val="auto"/>
                <w:sz w:val="21"/>
                <w:highlight w:val="none"/>
              </w:rPr>
            </w:pPr>
          </w:p>
        </w:tc>
        <w:tc>
          <w:tcPr>
            <w:tcW w:w="1704" w:type="dxa"/>
            <w:vAlign w:val="top"/>
          </w:tcPr>
          <w:p w14:paraId="50968387">
            <w:pPr>
              <w:rPr>
                <w:rFonts w:ascii="Arial"/>
                <w:color w:val="auto"/>
                <w:sz w:val="21"/>
                <w:highlight w:val="none"/>
              </w:rPr>
            </w:pPr>
          </w:p>
        </w:tc>
      </w:tr>
      <w:tr w14:paraId="2F512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6C1DDC17">
            <w:pPr>
              <w:pStyle w:val="11"/>
              <w:spacing w:before="291" w:line="182" w:lineRule="auto"/>
              <w:ind w:left="355"/>
              <w:rPr>
                <w:color w:val="auto"/>
                <w:highlight w:val="none"/>
              </w:rPr>
            </w:pPr>
            <w:r>
              <w:rPr>
                <w:color w:val="auto"/>
                <w:highlight w:val="none"/>
              </w:rPr>
              <w:t>6</w:t>
            </w:r>
          </w:p>
        </w:tc>
        <w:tc>
          <w:tcPr>
            <w:tcW w:w="1166" w:type="dxa"/>
            <w:vAlign w:val="top"/>
          </w:tcPr>
          <w:p w14:paraId="55ED2107">
            <w:pPr>
              <w:rPr>
                <w:rFonts w:ascii="Arial"/>
                <w:color w:val="auto"/>
                <w:sz w:val="21"/>
                <w:highlight w:val="none"/>
              </w:rPr>
            </w:pPr>
          </w:p>
        </w:tc>
        <w:tc>
          <w:tcPr>
            <w:tcW w:w="1795" w:type="dxa"/>
            <w:vAlign w:val="top"/>
          </w:tcPr>
          <w:p w14:paraId="1256B10F">
            <w:pPr>
              <w:rPr>
                <w:rFonts w:ascii="Arial"/>
                <w:color w:val="auto"/>
                <w:sz w:val="21"/>
                <w:highlight w:val="none"/>
              </w:rPr>
            </w:pPr>
          </w:p>
        </w:tc>
        <w:tc>
          <w:tcPr>
            <w:tcW w:w="1934" w:type="dxa"/>
            <w:vAlign w:val="top"/>
          </w:tcPr>
          <w:p w14:paraId="6A63D117">
            <w:pPr>
              <w:rPr>
                <w:rFonts w:ascii="Arial"/>
                <w:color w:val="auto"/>
                <w:sz w:val="21"/>
                <w:highlight w:val="none"/>
              </w:rPr>
            </w:pPr>
          </w:p>
        </w:tc>
        <w:tc>
          <w:tcPr>
            <w:tcW w:w="1790" w:type="dxa"/>
            <w:vAlign w:val="top"/>
          </w:tcPr>
          <w:p w14:paraId="034D6DDB">
            <w:pPr>
              <w:rPr>
                <w:rFonts w:ascii="Arial"/>
                <w:color w:val="auto"/>
                <w:sz w:val="21"/>
                <w:highlight w:val="none"/>
              </w:rPr>
            </w:pPr>
          </w:p>
        </w:tc>
        <w:tc>
          <w:tcPr>
            <w:tcW w:w="1430" w:type="dxa"/>
            <w:vAlign w:val="top"/>
          </w:tcPr>
          <w:p w14:paraId="67696A8F">
            <w:pPr>
              <w:rPr>
                <w:rFonts w:ascii="Arial"/>
                <w:color w:val="auto"/>
                <w:sz w:val="21"/>
                <w:highlight w:val="none"/>
              </w:rPr>
            </w:pPr>
          </w:p>
        </w:tc>
        <w:tc>
          <w:tcPr>
            <w:tcW w:w="1522" w:type="dxa"/>
            <w:vAlign w:val="top"/>
          </w:tcPr>
          <w:p w14:paraId="3C7E091A">
            <w:pPr>
              <w:rPr>
                <w:rFonts w:ascii="Arial"/>
                <w:color w:val="auto"/>
                <w:sz w:val="21"/>
                <w:highlight w:val="none"/>
              </w:rPr>
            </w:pPr>
          </w:p>
        </w:tc>
        <w:tc>
          <w:tcPr>
            <w:tcW w:w="1704" w:type="dxa"/>
            <w:vAlign w:val="top"/>
          </w:tcPr>
          <w:p w14:paraId="6D77ECD3">
            <w:pPr>
              <w:rPr>
                <w:rFonts w:ascii="Arial"/>
                <w:color w:val="auto"/>
                <w:sz w:val="21"/>
                <w:highlight w:val="none"/>
              </w:rPr>
            </w:pPr>
          </w:p>
        </w:tc>
        <w:tc>
          <w:tcPr>
            <w:tcW w:w="1704" w:type="dxa"/>
            <w:vAlign w:val="top"/>
          </w:tcPr>
          <w:p w14:paraId="284B8472">
            <w:pPr>
              <w:rPr>
                <w:rFonts w:ascii="Arial"/>
                <w:color w:val="auto"/>
                <w:sz w:val="21"/>
                <w:highlight w:val="none"/>
              </w:rPr>
            </w:pPr>
          </w:p>
        </w:tc>
      </w:tr>
      <w:tr w14:paraId="4C956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1" w:type="dxa"/>
            <w:vAlign w:val="top"/>
          </w:tcPr>
          <w:p w14:paraId="186A98E9">
            <w:pPr>
              <w:pStyle w:val="11"/>
              <w:spacing w:before="297" w:line="181" w:lineRule="auto"/>
              <w:ind w:left="358"/>
              <w:rPr>
                <w:color w:val="auto"/>
                <w:highlight w:val="none"/>
              </w:rPr>
            </w:pPr>
            <w:r>
              <w:rPr>
                <w:color w:val="auto"/>
                <w:highlight w:val="none"/>
              </w:rPr>
              <w:t>7</w:t>
            </w:r>
          </w:p>
        </w:tc>
        <w:tc>
          <w:tcPr>
            <w:tcW w:w="1166" w:type="dxa"/>
            <w:vAlign w:val="top"/>
          </w:tcPr>
          <w:p w14:paraId="276093CA">
            <w:pPr>
              <w:rPr>
                <w:rFonts w:ascii="Arial"/>
                <w:color w:val="auto"/>
                <w:sz w:val="21"/>
                <w:highlight w:val="none"/>
              </w:rPr>
            </w:pPr>
          </w:p>
        </w:tc>
        <w:tc>
          <w:tcPr>
            <w:tcW w:w="1795" w:type="dxa"/>
            <w:vAlign w:val="top"/>
          </w:tcPr>
          <w:p w14:paraId="4D24939B">
            <w:pPr>
              <w:rPr>
                <w:rFonts w:ascii="Arial"/>
                <w:color w:val="auto"/>
                <w:sz w:val="21"/>
                <w:highlight w:val="none"/>
              </w:rPr>
            </w:pPr>
          </w:p>
        </w:tc>
        <w:tc>
          <w:tcPr>
            <w:tcW w:w="1934" w:type="dxa"/>
            <w:vAlign w:val="top"/>
          </w:tcPr>
          <w:p w14:paraId="4943FF00">
            <w:pPr>
              <w:rPr>
                <w:rFonts w:ascii="Arial"/>
                <w:color w:val="auto"/>
                <w:sz w:val="21"/>
                <w:highlight w:val="none"/>
              </w:rPr>
            </w:pPr>
          </w:p>
        </w:tc>
        <w:tc>
          <w:tcPr>
            <w:tcW w:w="1790" w:type="dxa"/>
            <w:vAlign w:val="top"/>
          </w:tcPr>
          <w:p w14:paraId="6A050D60">
            <w:pPr>
              <w:rPr>
                <w:rFonts w:ascii="Arial"/>
                <w:color w:val="auto"/>
                <w:sz w:val="21"/>
                <w:highlight w:val="none"/>
              </w:rPr>
            </w:pPr>
          </w:p>
        </w:tc>
        <w:tc>
          <w:tcPr>
            <w:tcW w:w="1430" w:type="dxa"/>
            <w:vAlign w:val="top"/>
          </w:tcPr>
          <w:p w14:paraId="3316F3B4">
            <w:pPr>
              <w:rPr>
                <w:rFonts w:ascii="Arial"/>
                <w:color w:val="auto"/>
                <w:sz w:val="21"/>
                <w:highlight w:val="none"/>
              </w:rPr>
            </w:pPr>
          </w:p>
        </w:tc>
        <w:tc>
          <w:tcPr>
            <w:tcW w:w="1522" w:type="dxa"/>
            <w:vAlign w:val="top"/>
          </w:tcPr>
          <w:p w14:paraId="4643AC1E">
            <w:pPr>
              <w:rPr>
                <w:rFonts w:ascii="Arial"/>
                <w:color w:val="auto"/>
                <w:sz w:val="21"/>
                <w:highlight w:val="none"/>
              </w:rPr>
            </w:pPr>
          </w:p>
        </w:tc>
        <w:tc>
          <w:tcPr>
            <w:tcW w:w="1704" w:type="dxa"/>
            <w:vAlign w:val="top"/>
          </w:tcPr>
          <w:p w14:paraId="5B1D1BBA">
            <w:pPr>
              <w:rPr>
                <w:rFonts w:ascii="Arial"/>
                <w:color w:val="auto"/>
                <w:sz w:val="21"/>
                <w:highlight w:val="none"/>
              </w:rPr>
            </w:pPr>
          </w:p>
        </w:tc>
        <w:tc>
          <w:tcPr>
            <w:tcW w:w="1704" w:type="dxa"/>
            <w:vAlign w:val="top"/>
          </w:tcPr>
          <w:p w14:paraId="7001A236">
            <w:pPr>
              <w:rPr>
                <w:rFonts w:ascii="Arial"/>
                <w:color w:val="auto"/>
                <w:sz w:val="21"/>
                <w:highlight w:val="none"/>
              </w:rPr>
            </w:pPr>
          </w:p>
        </w:tc>
      </w:tr>
    </w:tbl>
    <w:p w14:paraId="4269BDD2">
      <w:pPr>
        <w:pStyle w:val="3"/>
        <w:spacing w:line="14" w:lineRule="auto"/>
        <w:rPr>
          <w:color w:val="auto"/>
          <w:sz w:val="2"/>
          <w:highlight w:val="none"/>
        </w:rPr>
      </w:pPr>
    </w:p>
    <w:p w14:paraId="31B966A9">
      <w:pPr>
        <w:spacing w:line="14" w:lineRule="auto"/>
        <w:rPr>
          <w:color w:val="auto"/>
          <w:sz w:val="2"/>
          <w:szCs w:val="2"/>
          <w:highlight w:val="none"/>
        </w:rPr>
        <w:sectPr>
          <w:type w:val="continuous"/>
          <w:pgSz w:w="16839" w:h="11905"/>
          <w:pgMar w:top="1011" w:right="1483" w:bottom="991" w:left="1449" w:header="0" w:footer="786" w:gutter="0"/>
          <w:pgNumType w:fmt="decimal"/>
          <w:cols w:equalWidth="0" w:num="1">
            <w:col w:w="13906"/>
          </w:cols>
        </w:sectPr>
      </w:pPr>
    </w:p>
    <w:p w14:paraId="61A498F3">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w:t>
      </w:r>
      <w:r>
        <w:rPr>
          <w:rFonts w:ascii="黑体" w:hAnsi="黑体" w:eastAsia="黑体" w:cs="黑体"/>
          <w:color w:val="auto"/>
          <w:spacing w:val="-54"/>
          <w:sz w:val="24"/>
          <w:szCs w:val="24"/>
          <w:highlight w:val="none"/>
        </w:rPr>
        <w:t xml:space="preserve"> </w:t>
      </w:r>
      <w:r>
        <w:rPr>
          <w:rFonts w:ascii="Times New Roman" w:hAnsi="Times New Roman" w:eastAsia="Times New Roman" w:cs="Times New Roman"/>
          <w:color w:val="auto"/>
          <w:spacing w:val="-2"/>
          <w:sz w:val="24"/>
          <w:szCs w:val="24"/>
          <w:highlight w:val="none"/>
        </w:rPr>
        <w:t>A-2</w:t>
      </w:r>
      <w:r>
        <w:rPr>
          <w:rFonts w:ascii="黑体" w:hAnsi="黑体" w:eastAsia="黑体" w:cs="黑体"/>
          <w:color w:val="auto"/>
          <w:spacing w:val="-2"/>
          <w:sz w:val="24"/>
          <w:szCs w:val="24"/>
          <w:highlight w:val="none"/>
        </w:rPr>
        <w:t>：评标专家告知承诺函</w:t>
      </w:r>
    </w:p>
    <w:p w14:paraId="41C3DF4F">
      <w:pPr>
        <w:pStyle w:val="3"/>
        <w:spacing w:line="302" w:lineRule="auto"/>
        <w:rPr>
          <w:color w:val="auto"/>
          <w:highlight w:val="none"/>
        </w:rPr>
      </w:pPr>
    </w:p>
    <w:p w14:paraId="73939B74">
      <w:pPr>
        <w:pStyle w:val="3"/>
        <w:spacing w:line="303" w:lineRule="auto"/>
        <w:rPr>
          <w:color w:val="auto"/>
          <w:highlight w:val="none"/>
        </w:rPr>
      </w:pPr>
    </w:p>
    <w:p w14:paraId="31D70078">
      <w:pPr>
        <w:spacing w:before="117" w:line="219" w:lineRule="auto"/>
        <w:ind w:left="2558"/>
        <w:rPr>
          <w:rFonts w:ascii="黑体" w:hAnsi="黑体" w:eastAsia="黑体" w:cs="黑体"/>
          <w:color w:val="auto"/>
          <w:sz w:val="36"/>
          <w:szCs w:val="36"/>
          <w:highlight w:val="none"/>
        </w:rPr>
      </w:pPr>
      <w:bookmarkStart w:id="189" w:name="bookmark217"/>
      <w:bookmarkEnd w:id="189"/>
      <w:r>
        <w:rPr>
          <w:rFonts w:ascii="黑体" w:hAnsi="黑体" w:eastAsia="黑体" w:cs="黑体"/>
          <w:color w:val="auto"/>
          <w:spacing w:val="-2"/>
          <w:sz w:val="36"/>
          <w:szCs w:val="36"/>
          <w:highlight w:val="none"/>
        </w:rPr>
        <w:t>评标专家告知承诺函</w:t>
      </w:r>
    </w:p>
    <w:p w14:paraId="1670F300">
      <w:pPr>
        <w:pStyle w:val="3"/>
        <w:spacing w:line="263" w:lineRule="auto"/>
        <w:rPr>
          <w:color w:val="auto"/>
          <w:highlight w:val="none"/>
        </w:rPr>
      </w:pPr>
    </w:p>
    <w:p w14:paraId="40759E3A">
      <w:pPr>
        <w:pStyle w:val="3"/>
        <w:spacing w:line="264" w:lineRule="auto"/>
        <w:rPr>
          <w:color w:val="auto"/>
          <w:highlight w:val="none"/>
        </w:rPr>
      </w:pPr>
    </w:p>
    <w:p w14:paraId="7603324A">
      <w:pPr>
        <w:spacing w:before="68" w:line="220" w:lineRule="auto"/>
        <w:ind w:left="44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本人接受招标人邀请，担任</w:t>
      </w:r>
      <w:r>
        <w:rPr>
          <w:rFonts w:ascii="宋体" w:hAnsi="宋体" w:eastAsia="宋体" w:cs="宋体"/>
          <w:color w:val="auto"/>
          <w:spacing w:val="-42"/>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6"/>
          <w:sz w:val="21"/>
          <w:szCs w:val="21"/>
          <w:highlight w:val="none"/>
        </w:rPr>
        <w:t>（标段名称）</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项目招标</w:t>
      </w:r>
      <w:r>
        <w:rPr>
          <w:rFonts w:ascii="宋体" w:hAnsi="宋体" w:eastAsia="宋体" w:cs="宋体"/>
          <w:color w:val="auto"/>
          <w:spacing w:val="-7"/>
          <w:sz w:val="21"/>
          <w:szCs w:val="21"/>
          <w:highlight w:val="none"/>
        </w:rPr>
        <w:t>的评标专家。</w:t>
      </w:r>
    </w:p>
    <w:p w14:paraId="1FD6C9AF">
      <w:pPr>
        <w:spacing w:before="157" w:line="409" w:lineRule="exact"/>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本人作为辽宁省评标专家库评标专家， 已知悉相关权利义务，已熟知告知承诺函内容，</w:t>
      </w:r>
    </w:p>
    <w:p w14:paraId="4DB5DFCA">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并在此郑重承诺:</w:t>
      </w:r>
    </w:p>
    <w:p w14:paraId="39B5327A">
      <w:pPr>
        <w:spacing w:before="156" w:line="221" w:lineRule="auto"/>
        <w:ind w:left="44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一、尽职承诺</w:t>
      </w:r>
    </w:p>
    <w:p w14:paraId="2C349BB5">
      <w:pPr>
        <w:spacing w:before="162" w:line="40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（一）客观、公正地履行职务， 严格按照法律法规规定、评标办法独立完成该</w:t>
      </w:r>
      <w:r>
        <w:rPr>
          <w:rFonts w:ascii="宋体" w:hAnsi="宋体" w:eastAsia="宋体" w:cs="宋体"/>
          <w:color w:val="auto"/>
          <w:spacing w:val="-1"/>
          <w:position w:val="14"/>
          <w:sz w:val="21"/>
          <w:szCs w:val="21"/>
          <w:highlight w:val="none"/>
        </w:rPr>
        <w:t>项目的</w:t>
      </w:r>
    </w:p>
    <w:p w14:paraId="13607D91">
      <w:pPr>
        <w:spacing w:before="1" w:line="221"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评标工作。</w:t>
      </w:r>
    </w:p>
    <w:p w14:paraId="46210E9F">
      <w:pPr>
        <w:spacing w:before="156" w:line="408"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（二） 严格遵守评标纪律， 保证评标过程中不发表任何涉及实质性内容的倾向性、引</w:t>
      </w:r>
    </w:p>
    <w:p w14:paraId="39CD8111">
      <w:pPr>
        <w:spacing w:before="1" w:line="221" w:lineRule="auto"/>
        <w:ind w:left="24"/>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导性言论，</w:t>
      </w:r>
      <w:r>
        <w:rPr>
          <w:rFonts w:ascii="宋体" w:hAnsi="宋体" w:eastAsia="宋体" w:cs="宋体"/>
          <w:color w:val="auto"/>
          <w:spacing w:val="23"/>
          <w:sz w:val="21"/>
          <w:szCs w:val="21"/>
          <w:highlight w:val="none"/>
        </w:rPr>
        <w:t xml:space="preserve"> </w:t>
      </w:r>
      <w:r>
        <w:rPr>
          <w:rFonts w:ascii="宋体" w:hAnsi="宋体" w:eastAsia="宋体" w:cs="宋体"/>
          <w:color w:val="auto"/>
          <w:spacing w:val="-14"/>
          <w:sz w:val="21"/>
          <w:szCs w:val="21"/>
          <w:highlight w:val="none"/>
        </w:rPr>
        <w:t>不擅离职守。</w:t>
      </w:r>
    </w:p>
    <w:p w14:paraId="2BCCA499">
      <w:pPr>
        <w:spacing w:before="155" w:line="359" w:lineRule="auto"/>
        <w:ind w:left="19" w:right="193"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（三）严格遵守《中华人民共和国招标投标法</w:t>
      </w:r>
      <w:r>
        <w:rPr>
          <w:rFonts w:ascii="宋体" w:hAnsi="宋体" w:eastAsia="宋体" w:cs="宋体"/>
          <w:color w:val="auto"/>
          <w:spacing w:val="2"/>
          <w:sz w:val="21"/>
          <w:szCs w:val="21"/>
          <w:highlight w:val="none"/>
        </w:rPr>
        <w:t>》《中华人民共和国保守国家秘密法》</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《中华人民共和国招标投标法实施条例》相关规定，遵守职</w:t>
      </w:r>
      <w:r>
        <w:rPr>
          <w:rFonts w:ascii="宋体" w:hAnsi="宋体" w:eastAsia="宋体" w:cs="宋体"/>
          <w:color w:val="auto"/>
          <w:spacing w:val="2"/>
          <w:sz w:val="21"/>
          <w:szCs w:val="21"/>
          <w:highlight w:val="none"/>
        </w:rPr>
        <w:t>业道德，对所提出的评审意见</w:t>
      </w:r>
    </w:p>
    <w:p w14:paraId="6CD4C18B">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承担个人责任，自觉维护国家利益、社会公共利益。</w:t>
      </w:r>
    </w:p>
    <w:p w14:paraId="0E5DAE61">
      <w:pPr>
        <w:spacing w:before="15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（四）对依法应当否决的投标提出否决意见。</w:t>
      </w:r>
    </w:p>
    <w:p w14:paraId="21B126DA">
      <w:pPr>
        <w:spacing w:before="158"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二、回避承诺</w:t>
      </w:r>
    </w:p>
    <w:p w14:paraId="37780807">
      <w:pPr>
        <w:spacing w:before="16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（一）与招标人或投标人的主要负责人不存在近亲属关系。</w:t>
      </w:r>
    </w:p>
    <w:p w14:paraId="31D3BBF0">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（二）非项目主管部门或者行政监督部门的人员。</w:t>
      </w:r>
    </w:p>
    <w:p w14:paraId="015E828B">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（三）近</w:t>
      </w:r>
      <w:r>
        <w:rPr>
          <w:rFonts w:ascii="宋体" w:hAnsi="宋体" w:eastAsia="宋体" w:cs="宋体"/>
          <w:color w:val="auto"/>
          <w:spacing w:val="-31"/>
          <w:sz w:val="21"/>
          <w:szCs w:val="21"/>
          <w:highlight w:val="none"/>
        </w:rPr>
        <w:t xml:space="preserve"> </w:t>
      </w:r>
      <w:r>
        <w:rPr>
          <w:rFonts w:ascii="宋体" w:hAnsi="宋体" w:eastAsia="宋体" w:cs="宋体"/>
          <w:color w:val="auto"/>
          <w:spacing w:val="-1"/>
          <w:sz w:val="21"/>
          <w:szCs w:val="21"/>
          <w:highlight w:val="none"/>
        </w:rPr>
        <w:t>5</w:t>
      </w:r>
      <w:r>
        <w:rPr>
          <w:rFonts w:ascii="宋体" w:hAnsi="宋体" w:eastAsia="宋体" w:cs="宋体"/>
          <w:color w:val="auto"/>
          <w:spacing w:val="-48"/>
          <w:sz w:val="21"/>
          <w:szCs w:val="21"/>
          <w:highlight w:val="none"/>
        </w:rPr>
        <w:t xml:space="preserve"> </w:t>
      </w:r>
      <w:r>
        <w:rPr>
          <w:rFonts w:ascii="宋体" w:hAnsi="宋体" w:eastAsia="宋体" w:cs="宋体"/>
          <w:color w:val="auto"/>
          <w:spacing w:val="-1"/>
          <w:sz w:val="21"/>
          <w:szCs w:val="21"/>
          <w:highlight w:val="none"/>
        </w:rPr>
        <w:t>年未与投标人或者投标人主要负责人有其他社会关系或者经济利益关系。</w:t>
      </w:r>
    </w:p>
    <w:p w14:paraId="6D2620F9">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（四） 未曾因在招标、评标以及其他与招标投标有关活动中从事违法行为而受</w:t>
      </w:r>
      <w:r>
        <w:rPr>
          <w:rFonts w:ascii="宋体" w:hAnsi="宋体" w:eastAsia="宋体" w:cs="宋体"/>
          <w:color w:val="auto"/>
          <w:spacing w:val="-1"/>
          <w:position w:val="14"/>
          <w:sz w:val="21"/>
          <w:szCs w:val="21"/>
          <w:highlight w:val="none"/>
        </w:rPr>
        <w:t>过行政</w:t>
      </w:r>
    </w:p>
    <w:p w14:paraId="427C1B19">
      <w:pPr>
        <w:spacing w:line="221"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处罚或刑事处罚的。</w:t>
      </w:r>
    </w:p>
    <w:p w14:paraId="1C13089D">
      <w:pPr>
        <w:spacing w:before="156"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三、保密承诺</w:t>
      </w:r>
    </w:p>
    <w:p w14:paraId="38AF17DC">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spacing w:val="-4"/>
          <w:position w:val="15"/>
          <w:sz w:val="21"/>
          <w:szCs w:val="21"/>
          <w:highlight w:val="none"/>
        </w:rPr>
        <w:t>（一）不在公共社交网站、媒体、平台，如微信群、QQ 群、朋友圈、个人微博等，</w:t>
      </w:r>
      <w:r>
        <w:rPr>
          <w:rFonts w:ascii="宋体" w:hAnsi="宋体" w:eastAsia="宋体" w:cs="宋体"/>
          <w:color w:val="auto"/>
          <w:spacing w:val="60"/>
          <w:position w:val="15"/>
          <w:sz w:val="21"/>
          <w:szCs w:val="21"/>
          <w:highlight w:val="none"/>
        </w:rPr>
        <w:t xml:space="preserve"> </w:t>
      </w:r>
      <w:r>
        <w:rPr>
          <w:rFonts w:ascii="宋体" w:hAnsi="宋体" w:eastAsia="宋体" w:cs="宋体"/>
          <w:color w:val="auto"/>
          <w:spacing w:val="-4"/>
          <w:position w:val="15"/>
          <w:sz w:val="21"/>
          <w:szCs w:val="21"/>
          <w:highlight w:val="none"/>
        </w:rPr>
        <w:t>通</w:t>
      </w:r>
    </w:p>
    <w:p w14:paraId="7E9CAE89">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过视频、图片、暗语等方式泄露评标任务。</w:t>
      </w:r>
    </w:p>
    <w:p w14:paraId="003619C5">
      <w:pPr>
        <w:spacing w:before="157" w:line="408"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（二） 评审结束时，全部清退不应由个人持有的评审项目所有文件和资料， 不向任何</w:t>
      </w:r>
    </w:p>
    <w:p w14:paraId="519629B6">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人透露投标文件的评审和比较情况、中标候选人推荐情况以及与评审有关的其他情况。</w:t>
      </w:r>
    </w:p>
    <w:p w14:paraId="603E0CD4">
      <w:pPr>
        <w:spacing w:before="162" w:line="221" w:lineRule="auto"/>
        <w:ind w:left="46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四、廉洁承诺</w:t>
      </w:r>
    </w:p>
    <w:p w14:paraId="0D7A6D7D">
      <w:pPr>
        <w:spacing w:before="157" w:line="40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（一）严格履行廉政自律责任， 遵守评标廉政纪律，没有私下接触招标人、招</w:t>
      </w:r>
      <w:r>
        <w:rPr>
          <w:rFonts w:ascii="宋体" w:hAnsi="宋体" w:eastAsia="宋体" w:cs="宋体"/>
          <w:color w:val="auto"/>
          <w:spacing w:val="-1"/>
          <w:position w:val="14"/>
          <w:sz w:val="21"/>
          <w:szCs w:val="21"/>
          <w:highlight w:val="none"/>
        </w:rPr>
        <w:t>标代理</w:t>
      </w:r>
    </w:p>
    <w:p w14:paraId="7C81B7DE">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机构、投标人，没有收受利益相关人或企业的财物、好处。</w:t>
      </w:r>
    </w:p>
    <w:p w14:paraId="70CC9383">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（二） 不向招标人征询确定中标人的意向或者接受任何单位、个人明示暗示特</w:t>
      </w:r>
      <w:r>
        <w:rPr>
          <w:rFonts w:ascii="宋体" w:hAnsi="宋体" w:eastAsia="宋体" w:cs="宋体"/>
          <w:color w:val="auto"/>
          <w:spacing w:val="-1"/>
          <w:position w:val="14"/>
          <w:sz w:val="21"/>
          <w:szCs w:val="21"/>
          <w:highlight w:val="none"/>
        </w:rPr>
        <w:t>定投标</w:t>
      </w:r>
    </w:p>
    <w:p w14:paraId="43DC8010">
      <w:pPr>
        <w:spacing w:line="222"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人的要求。</w:t>
      </w:r>
    </w:p>
    <w:p w14:paraId="40B0E220">
      <w:pPr>
        <w:spacing w:before="156" w:line="221"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 不暗示或者诱导投标人作出澄清、说明或者接受投标人主动提出的澄清、说明。</w:t>
      </w:r>
    </w:p>
    <w:p w14:paraId="59ECD53C">
      <w:pPr>
        <w:spacing w:line="221" w:lineRule="auto"/>
        <w:rPr>
          <w:rFonts w:ascii="宋体" w:hAnsi="宋体" w:eastAsia="宋体" w:cs="宋体"/>
          <w:color w:val="auto"/>
          <w:sz w:val="21"/>
          <w:szCs w:val="21"/>
          <w:highlight w:val="none"/>
        </w:rPr>
        <w:sectPr>
          <w:footerReference r:id="rId80" w:type="default"/>
          <w:pgSz w:w="11905" w:h="16839"/>
          <w:pgMar w:top="1431" w:right="1612" w:bottom="996" w:left="1785" w:header="0" w:footer="791" w:gutter="0"/>
          <w:pgNumType w:fmt="decimal"/>
          <w:cols w:space="720" w:num="1"/>
        </w:sectPr>
      </w:pPr>
    </w:p>
    <w:p w14:paraId="372424A6">
      <w:pPr>
        <w:spacing w:before="42" w:line="408" w:lineRule="exact"/>
        <w:ind w:right="12"/>
        <w:jc w:val="right"/>
        <w:rPr>
          <w:rFonts w:ascii="宋体" w:hAnsi="宋体" w:eastAsia="宋体" w:cs="宋体"/>
          <w:color w:val="auto"/>
          <w:sz w:val="21"/>
          <w:szCs w:val="21"/>
          <w:highlight w:val="none"/>
        </w:rPr>
      </w:pPr>
      <w:bookmarkStart w:id="190" w:name="bookmark218"/>
      <w:bookmarkEnd w:id="190"/>
      <w:r>
        <w:rPr>
          <w:rFonts w:ascii="宋体" w:hAnsi="宋体" w:eastAsia="宋体" w:cs="宋体"/>
          <w:color w:val="auto"/>
          <w:position w:val="14"/>
          <w:sz w:val="21"/>
          <w:szCs w:val="21"/>
          <w:highlight w:val="none"/>
        </w:rPr>
        <w:t>（四） 自觉抵制招标投标活动中的违法违规行为，积极配合协助行政监督部门</w:t>
      </w:r>
      <w:r>
        <w:rPr>
          <w:rFonts w:ascii="宋体" w:hAnsi="宋体" w:eastAsia="宋体" w:cs="宋体"/>
          <w:color w:val="auto"/>
          <w:spacing w:val="-1"/>
          <w:position w:val="14"/>
          <w:sz w:val="21"/>
          <w:szCs w:val="21"/>
          <w:highlight w:val="none"/>
        </w:rPr>
        <w:t>、纪检</w:t>
      </w:r>
    </w:p>
    <w:p w14:paraId="3546F328">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监察部门、公安部门、检察机关等依法进行监督。</w:t>
      </w:r>
    </w:p>
    <w:p w14:paraId="7B66EB74">
      <w:pPr>
        <w:spacing w:before="157"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五、不参与串通投标承诺</w:t>
      </w:r>
    </w:p>
    <w:p w14:paraId="5CADD3C5">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（一）依法依规参加本招标项目的评标工作</w:t>
      </w:r>
      <w:r>
        <w:rPr>
          <w:rFonts w:ascii="宋体" w:hAnsi="宋体" w:eastAsia="宋体" w:cs="宋体"/>
          <w:color w:val="auto"/>
          <w:spacing w:val="-2"/>
          <w:sz w:val="21"/>
          <w:szCs w:val="21"/>
          <w:highlight w:val="none"/>
        </w:rPr>
        <w:t>，不参与串通投标。</w:t>
      </w:r>
    </w:p>
    <w:p w14:paraId="717F2456">
      <w:pPr>
        <w:spacing w:before="157" w:line="360" w:lineRule="auto"/>
        <w:ind w:left="18" w:right="1" w:firstLine="4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 清楚并知晓《中华人民共和国刑法</w:t>
      </w:r>
      <w:r>
        <w:rPr>
          <w:rFonts w:ascii="宋体" w:hAnsi="宋体" w:eastAsia="宋体" w:cs="宋体"/>
          <w:color w:val="auto"/>
          <w:spacing w:val="-3"/>
          <w:sz w:val="21"/>
          <w:szCs w:val="21"/>
          <w:highlight w:val="none"/>
        </w:rPr>
        <w:t>》第一百六十三条“公司、 企业或者其他单</w:t>
      </w:r>
      <w:r>
        <w:rPr>
          <w:rFonts w:ascii="宋体" w:hAnsi="宋体" w:eastAsia="宋体" w:cs="宋体"/>
          <w:color w:val="auto"/>
          <w:sz w:val="21"/>
          <w:szCs w:val="21"/>
          <w:highlight w:val="none"/>
        </w:rPr>
        <w:t xml:space="preserve"> 位的工作人员，利用职务上的便利，索取他人财物或者非法收受他人财物， 为他人谋取利</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益，数额较大的，处三年以下有期徒刑或者拘役，并处罚金；数额巨大或者有其</w:t>
      </w:r>
      <w:r>
        <w:rPr>
          <w:rFonts w:ascii="宋体" w:hAnsi="宋体" w:eastAsia="宋体" w:cs="宋体"/>
          <w:color w:val="auto"/>
          <w:spacing w:val="2"/>
          <w:sz w:val="21"/>
          <w:szCs w:val="21"/>
          <w:highlight w:val="none"/>
        </w:rPr>
        <w:t>他严重情</w:t>
      </w:r>
      <w:r>
        <w:rPr>
          <w:rFonts w:ascii="宋体" w:hAnsi="宋体" w:eastAsia="宋体" w:cs="宋体"/>
          <w:color w:val="auto"/>
          <w:sz w:val="21"/>
          <w:szCs w:val="21"/>
          <w:highlight w:val="none"/>
        </w:rPr>
        <w:t xml:space="preserve"> 节的， 处三年以上十年以下有期徒刑，并处罚金；数额特别巨大或者有其他特别严重情节</w:t>
      </w:r>
    </w:p>
    <w:p w14:paraId="4E09C4DD">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的，处十年以上有期徒刑或者无期徒刑，并处罚金”的规定。</w:t>
      </w:r>
    </w:p>
    <w:p w14:paraId="084A0F0F">
      <w:pPr>
        <w:spacing w:before="158" w:line="408" w:lineRule="exact"/>
        <w:ind w:right="12"/>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（三） 本人如被查实在本招标项目评标工作中参与串通投标的， 自愿承担相应法律责</w:t>
      </w:r>
    </w:p>
    <w:p w14:paraId="455A78D9">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任，接受相应刑事和纪律、行政处罚以及失信惩戒。</w:t>
      </w:r>
    </w:p>
    <w:p w14:paraId="42898F53">
      <w:pPr>
        <w:spacing w:before="157"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六、本承诺函由我本人亲自签字确认。</w:t>
      </w:r>
    </w:p>
    <w:p w14:paraId="53EA6EE6">
      <w:pPr>
        <w:pStyle w:val="3"/>
        <w:spacing w:line="301" w:lineRule="auto"/>
        <w:rPr>
          <w:color w:val="auto"/>
          <w:highlight w:val="none"/>
        </w:rPr>
      </w:pPr>
    </w:p>
    <w:p w14:paraId="33F1ED31">
      <w:pPr>
        <w:pStyle w:val="3"/>
        <w:spacing w:line="302" w:lineRule="auto"/>
        <w:rPr>
          <w:color w:val="auto"/>
          <w:highlight w:val="none"/>
        </w:rPr>
      </w:pPr>
    </w:p>
    <w:p w14:paraId="72BE97F6">
      <w:pPr>
        <w:pStyle w:val="3"/>
        <w:spacing w:line="302" w:lineRule="auto"/>
        <w:rPr>
          <w:color w:val="auto"/>
          <w:highlight w:val="none"/>
        </w:rPr>
      </w:pPr>
    </w:p>
    <w:p w14:paraId="4C191640">
      <w:pPr>
        <w:spacing w:before="69"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本人是□ 否□</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为中共党员</w:t>
      </w:r>
    </w:p>
    <w:p w14:paraId="7F3FC717">
      <w:pPr>
        <w:spacing w:before="157" w:line="221" w:lineRule="auto"/>
        <w:ind w:left="1705"/>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（应单选，</w:t>
      </w:r>
      <w:r>
        <w:rPr>
          <w:rFonts w:ascii="宋体" w:hAnsi="宋体" w:eastAsia="宋体" w:cs="宋体"/>
          <w:color w:val="auto"/>
          <w:spacing w:val="28"/>
          <w:sz w:val="21"/>
          <w:szCs w:val="21"/>
          <w:highlight w:val="none"/>
        </w:rPr>
        <w:t xml:space="preserve"> </w:t>
      </w:r>
      <w:r>
        <w:rPr>
          <w:rFonts w:ascii="宋体" w:hAnsi="宋体" w:eastAsia="宋体" w:cs="宋体"/>
          <w:color w:val="auto"/>
          <w:spacing w:val="-15"/>
          <w:sz w:val="21"/>
          <w:szCs w:val="21"/>
          <w:highlight w:val="none"/>
          <w14:textOutline w14:w="3831" w14:cap="flat" w14:cmpd="sng">
            <w14:solidFill>
              <w14:srgbClr w14:val="000000"/>
            </w14:solidFill>
            <w14:prstDash w14:val="solid"/>
            <w14:miter w14:val="0"/>
          </w14:textOutline>
        </w:rPr>
        <w:t>并在方框内打“</w:t>
      </w:r>
      <w:r>
        <w:rPr>
          <w:rFonts w:ascii="宋体" w:hAnsi="宋体" w:eastAsia="宋体" w:cs="宋体"/>
          <w:color w:val="auto"/>
          <w:spacing w:val="-45"/>
          <w:sz w:val="21"/>
          <w:szCs w:val="21"/>
          <w:highlight w:val="none"/>
        </w:rPr>
        <w:t xml:space="preserve"> </w:t>
      </w:r>
      <w:r>
        <w:rPr>
          <w:rFonts w:ascii="宋体" w:hAnsi="宋体" w:eastAsia="宋体" w:cs="宋体"/>
          <w:color w:val="auto"/>
          <w:spacing w:val="-15"/>
          <w:sz w:val="21"/>
          <w:szCs w:val="21"/>
          <w:highlight w:val="none"/>
          <w14:textOutline w14:w="3831" w14:cap="flat" w14:cmpd="sng">
            <w14:solidFill>
              <w14:srgbClr w14:val="000000"/>
            </w14:solidFill>
            <w14:prstDash w14:val="solid"/>
            <w14:miter w14:val="0"/>
          </w14:textOutline>
        </w:rPr>
        <w:t>√</w:t>
      </w:r>
      <w:r>
        <w:rPr>
          <w:rFonts w:ascii="宋体" w:hAnsi="宋体" w:eastAsia="宋体" w:cs="宋体"/>
          <w:color w:val="auto"/>
          <w:spacing w:val="-76"/>
          <w:sz w:val="21"/>
          <w:szCs w:val="21"/>
          <w:highlight w:val="none"/>
        </w:rPr>
        <w:t xml:space="preserve"> </w:t>
      </w:r>
      <w:r>
        <w:rPr>
          <w:rFonts w:ascii="宋体" w:hAnsi="宋体" w:eastAsia="宋体" w:cs="宋体"/>
          <w:color w:val="auto"/>
          <w:spacing w:val="-15"/>
          <w:sz w:val="21"/>
          <w:szCs w:val="21"/>
          <w:highlight w:val="none"/>
          <w14:textOutline w14:w="3831" w14:cap="flat" w14:cmpd="sng">
            <w14:solidFill>
              <w14:srgbClr w14:val="000000"/>
            </w14:solidFill>
            <w14:prstDash w14:val="solid"/>
            <w14:miter w14:val="0"/>
          </w14:textOutline>
        </w:rPr>
        <w:t>”</w:t>
      </w:r>
      <w:r>
        <w:rPr>
          <w:rFonts w:ascii="宋体" w:hAnsi="宋体" w:eastAsia="宋体" w:cs="宋体"/>
          <w:color w:val="auto"/>
          <w:spacing w:val="-15"/>
          <w:sz w:val="21"/>
          <w:szCs w:val="21"/>
          <w:highlight w:val="none"/>
        </w:rPr>
        <w:t>)</w:t>
      </w:r>
    </w:p>
    <w:p w14:paraId="35B4A114">
      <w:pPr>
        <w:pStyle w:val="3"/>
        <w:spacing w:line="260" w:lineRule="auto"/>
        <w:rPr>
          <w:color w:val="auto"/>
          <w:highlight w:val="none"/>
        </w:rPr>
      </w:pPr>
    </w:p>
    <w:p w14:paraId="671FB583">
      <w:pPr>
        <w:pStyle w:val="3"/>
        <w:spacing w:line="261" w:lineRule="auto"/>
        <w:rPr>
          <w:color w:val="auto"/>
          <w:highlight w:val="none"/>
        </w:rPr>
      </w:pPr>
    </w:p>
    <w:p w14:paraId="41BE8B91">
      <w:pPr>
        <w:pStyle w:val="3"/>
        <w:spacing w:line="261" w:lineRule="auto"/>
        <w:rPr>
          <w:color w:val="auto"/>
          <w:highlight w:val="none"/>
        </w:rPr>
      </w:pPr>
    </w:p>
    <w:p w14:paraId="341B1DB7">
      <w:pPr>
        <w:pStyle w:val="3"/>
        <w:spacing w:line="261" w:lineRule="auto"/>
        <w:rPr>
          <w:color w:val="auto"/>
          <w:highlight w:val="none"/>
        </w:rPr>
      </w:pPr>
    </w:p>
    <w:p w14:paraId="00BF5242">
      <w:pPr>
        <w:pStyle w:val="3"/>
        <w:spacing w:line="261" w:lineRule="auto"/>
        <w:rPr>
          <w:color w:val="auto"/>
          <w:highlight w:val="none"/>
        </w:rPr>
      </w:pPr>
    </w:p>
    <w:p w14:paraId="2B9EDC33">
      <w:pPr>
        <w:spacing w:before="69" w:line="221" w:lineRule="auto"/>
        <w:ind w:left="4810"/>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 诺</w:t>
      </w:r>
      <w:r>
        <w:rPr>
          <w:rFonts w:ascii="宋体" w:hAnsi="宋体" w:eastAsia="宋体" w:cs="宋体"/>
          <w:color w:val="auto"/>
          <w:spacing w:val="6"/>
          <w:sz w:val="21"/>
          <w:szCs w:val="21"/>
          <w:highlight w:val="none"/>
        </w:rPr>
        <w:t xml:space="preserve"> </w:t>
      </w:r>
      <w:r>
        <w:rPr>
          <w:rFonts w:ascii="宋体" w:hAnsi="宋体" w:eastAsia="宋体" w:cs="宋体"/>
          <w:color w:val="auto"/>
          <w:spacing w:val="-11"/>
          <w:sz w:val="21"/>
          <w:szCs w:val="21"/>
          <w:highlight w:val="none"/>
        </w:rPr>
        <w:t>人</w:t>
      </w:r>
      <w:r>
        <w:rPr>
          <w:rFonts w:ascii="宋体" w:hAnsi="宋体" w:eastAsia="宋体" w:cs="宋体"/>
          <w:color w:val="auto"/>
          <w:spacing w:val="-15"/>
          <w:sz w:val="21"/>
          <w:szCs w:val="21"/>
          <w:highlight w:val="none"/>
        </w:rPr>
        <w:t>：</w:t>
      </w:r>
      <w:r>
        <w:rPr>
          <w:rFonts w:ascii="宋体" w:hAnsi="宋体" w:eastAsia="宋体" w:cs="宋体"/>
          <w:color w:val="auto"/>
          <w:spacing w:val="5"/>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1"/>
          <w:sz w:val="21"/>
          <w:szCs w:val="21"/>
          <w:highlight w:val="none"/>
        </w:rPr>
        <w:t>签字）</w:t>
      </w:r>
    </w:p>
    <w:p w14:paraId="44DE0A0F">
      <w:pPr>
        <w:pStyle w:val="3"/>
        <w:spacing w:line="246" w:lineRule="auto"/>
        <w:rPr>
          <w:color w:val="auto"/>
          <w:highlight w:val="none"/>
        </w:rPr>
      </w:pPr>
    </w:p>
    <w:p w14:paraId="7BBB778B">
      <w:pPr>
        <w:pStyle w:val="3"/>
        <w:spacing w:line="247" w:lineRule="auto"/>
        <w:rPr>
          <w:color w:val="auto"/>
          <w:highlight w:val="none"/>
        </w:rPr>
      </w:pPr>
    </w:p>
    <w:p w14:paraId="0811D307">
      <w:pPr>
        <w:spacing w:before="69" w:line="221" w:lineRule="auto"/>
        <w:ind w:left="470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承诺时间：     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10"/>
          <w:sz w:val="21"/>
          <w:szCs w:val="21"/>
          <w:highlight w:val="none"/>
        </w:rPr>
        <w:t>月</w:t>
      </w:r>
      <w:r>
        <w:rPr>
          <w:rFonts w:ascii="宋体" w:hAnsi="宋体" w:eastAsia="宋体" w:cs="宋体"/>
          <w:color w:val="auto"/>
          <w:spacing w:val="24"/>
          <w:sz w:val="21"/>
          <w:szCs w:val="21"/>
          <w:highlight w:val="none"/>
        </w:rPr>
        <w:t xml:space="preserve">  </w:t>
      </w:r>
      <w:r>
        <w:rPr>
          <w:rFonts w:ascii="宋体" w:hAnsi="宋体" w:eastAsia="宋体" w:cs="宋体"/>
          <w:color w:val="auto"/>
          <w:spacing w:val="-10"/>
          <w:sz w:val="21"/>
          <w:szCs w:val="21"/>
          <w:highlight w:val="none"/>
        </w:rPr>
        <w:t>日</w:t>
      </w:r>
    </w:p>
    <w:p w14:paraId="2E228ADD">
      <w:pPr>
        <w:spacing w:line="221" w:lineRule="auto"/>
        <w:rPr>
          <w:rFonts w:ascii="宋体" w:hAnsi="宋体" w:eastAsia="宋体" w:cs="宋体"/>
          <w:color w:val="auto"/>
          <w:sz w:val="21"/>
          <w:szCs w:val="21"/>
          <w:highlight w:val="none"/>
        </w:rPr>
        <w:sectPr>
          <w:footerReference r:id="rId81" w:type="default"/>
          <w:pgSz w:w="11905" w:h="16839"/>
          <w:pgMar w:top="1427" w:right="1785" w:bottom="996" w:left="1785" w:header="0" w:footer="791" w:gutter="0"/>
          <w:pgNumType w:fmt="decimal"/>
          <w:cols w:space="720" w:num="1"/>
        </w:sectPr>
      </w:pPr>
    </w:p>
    <w:p w14:paraId="12ABEC6E">
      <w:pPr>
        <w:spacing w:before="124" w:line="218" w:lineRule="auto"/>
        <w:ind w:left="5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49"/>
          <w:sz w:val="24"/>
          <w:szCs w:val="24"/>
          <w:highlight w:val="none"/>
        </w:rPr>
        <w:t xml:space="preserve"> </w:t>
      </w:r>
      <w:r>
        <w:rPr>
          <w:rFonts w:ascii="Times New Roman" w:hAnsi="Times New Roman" w:eastAsia="Times New Roman" w:cs="Times New Roman"/>
          <w:color w:val="auto"/>
          <w:spacing w:val="-3"/>
          <w:sz w:val="24"/>
          <w:szCs w:val="24"/>
          <w:highlight w:val="none"/>
        </w:rPr>
        <w:t>A-3</w:t>
      </w:r>
      <w:r>
        <w:rPr>
          <w:rFonts w:ascii="黑体" w:hAnsi="黑体" w:eastAsia="黑体" w:cs="黑体"/>
          <w:color w:val="auto"/>
          <w:spacing w:val="-3"/>
          <w:sz w:val="24"/>
          <w:szCs w:val="24"/>
          <w:highlight w:val="none"/>
        </w:rPr>
        <w:t>：技术暗标编号确认表</w:t>
      </w:r>
    </w:p>
    <w:p w14:paraId="246C8C07">
      <w:pPr>
        <w:pStyle w:val="3"/>
        <w:spacing w:line="411" w:lineRule="auto"/>
        <w:rPr>
          <w:color w:val="auto"/>
          <w:highlight w:val="none"/>
        </w:rPr>
      </w:pPr>
    </w:p>
    <w:p w14:paraId="3CFA703E">
      <w:pPr>
        <w:spacing w:before="117" w:line="218" w:lineRule="auto"/>
        <w:ind w:left="2938"/>
        <w:rPr>
          <w:rFonts w:ascii="黑体" w:hAnsi="黑体" w:eastAsia="黑体" w:cs="黑体"/>
          <w:color w:val="auto"/>
          <w:sz w:val="36"/>
          <w:szCs w:val="36"/>
          <w:highlight w:val="none"/>
        </w:rPr>
      </w:pPr>
      <w:bookmarkStart w:id="191" w:name="bookmark219"/>
      <w:bookmarkEnd w:id="191"/>
      <w:r>
        <w:rPr>
          <w:rFonts w:ascii="黑体" w:hAnsi="黑体" w:eastAsia="黑体" w:cs="黑体"/>
          <w:color w:val="auto"/>
          <w:spacing w:val="-2"/>
          <w:sz w:val="36"/>
          <w:szCs w:val="36"/>
          <w:highlight w:val="none"/>
        </w:rPr>
        <w:t>技术暗标编号确认表</w:t>
      </w:r>
    </w:p>
    <w:p w14:paraId="3EB7C3D6">
      <w:pPr>
        <w:spacing w:before="235" w:line="221" w:lineRule="auto"/>
        <w:ind w:left="397"/>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31D46C6E">
      <w:pPr>
        <w:spacing w:before="22" w:line="214" w:lineRule="auto"/>
        <w:ind w:left="39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9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938"/>
        <w:gridCol w:w="754"/>
        <w:gridCol w:w="748"/>
        <w:gridCol w:w="749"/>
        <w:gridCol w:w="754"/>
        <w:gridCol w:w="748"/>
        <w:gridCol w:w="754"/>
        <w:gridCol w:w="748"/>
        <w:gridCol w:w="754"/>
        <w:gridCol w:w="629"/>
      </w:tblGrid>
      <w:tr w14:paraId="3BDBA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14" w:type="dxa"/>
            <w:vMerge w:val="restart"/>
            <w:tcBorders>
              <w:bottom w:val="nil"/>
            </w:tcBorders>
            <w:textDirection w:val="tbRlV"/>
            <w:vAlign w:val="top"/>
          </w:tcPr>
          <w:p w14:paraId="085F5B30">
            <w:pPr>
              <w:pStyle w:val="11"/>
              <w:spacing w:before="149" w:line="211" w:lineRule="auto"/>
              <w:ind w:left="207"/>
              <w:rPr>
                <w:color w:val="auto"/>
                <w:highlight w:val="none"/>
              </w:rPr>
            </w:pPr>
            <w:r>
              <w:rPr>
                <w:color w:val="auto"/>
                <w:spacing w:val="1"/>
                <w:highlight w:val="none"/>
                <w14:textOutline w14:w="3831" w14:cap="flat" w14:cmpd="sng">
                  <w14:solidFill>
                    <w14:srgbClr w14:val="000000"/>
                  </w14:solidFill>
                  <w14:prstDash w14:val="solid"/>
                  <w14:miter w14:val="0"/>
                </w14:textOutline>
              </w:rPr>
              <w:t>序</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1938" w:type="dxa"/>
            <w:vMerge w:val="restart"/>
            <w:tcBorders>
              <w:bottom w:val="nil"/>
            </w:tcBorders>
            <w:vAlign w:val="top"/>
          </w:tcPr>
          <w:p w14:paraId="4A28C691">
            <w:pPr>
              <w:spacing w:line="271" w:lineRule="auto"/>
              <w:rPr>
                <w:rFonts w:ascii="Arial"/>
                <w:color w:val="auto"/>
                <w:sz w:val="21"/>
                <w:highlight w:val="none"/>
              </w:rPr>
            </w:pPr>
          </w:p>
          <w:p w14:paraId="26B46B00">
            <w:pPr>
              <w:pStyle w:val="11"/>
              <w:spacing w:before="69" w:line="221" w:lineRule="auto"/>
              <w:ind w:left="452"/>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6638" w:type="dxa"/>
            <w:gridSpan w:val="9"/>
            <w:vAlign w:val="top"/>
          </w:tcPr>
          <w:p w14:paraId="707EE4D1">
            <w:pPr>
              <w:pStyle w:val="11"/>
              <w:spacing w:before="33" w:line="221" w:lineRule="auto"/>
              <w:ind w:left="2371"/>
              <w:rPr>
                <w:color w:val="auto"/>
                <w:highlight w:val="none"/>
              </w:rPr>
            </w:pPr>
            <w:r>
              <w:rPr>
                <w:color w:val="auto"/>
                <w:highlight w:val="none"/>
                <w14:textOutline w14:w="3831" w14:cap="flat" w14:cmpd="sng">
                  <w14:solidFill>
                    <w14:srgbClr w14:val="000000"/>
                  </w14:solidFill>
                  <w14:prstDash w14:val="solid"/>
                  <w14:miter w14:val="0"/>
                </w14:textOutline>
              </w:rPr>
              <w:t>评审因素及暗标编号</w:t>
            </w:r>
          </w:p>
        </w:tc>
      </w:tr>
      <w:tr w14:paraId="36C74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vMerge w:val="continue"/>
            <w:tcBorders>
              <w:top w:val="nil"/>
            </w:tcBorders>
            <w:textDirection w:val="tbRlV"/>
            <w:vAlign w:val="top"/>
          </w:tcPr>
          <w:p w14:paraId="2790409F">
            <w:pPr>
              <w:rPr>
                <w:rFonts w:ascii="Arial"/>
                <w:color w:val="auto"/>
                <w:sz w:val="21"/>
                <w:highlight w:val="none"/>
              </w:rPr>
            </w:pPr>
          </w:p>
        </w:tc>
        <w:tc>
          <w:tcPr>
            <w:tcW w:w="1938" w:type="dxa"/>
            <w:vMerge w:val="continue"/>
            <w:tcBorders>
              <w:top w:val="nil"/>
            </w:tcBorders>
            <w:vAlign w:val="top"/>
          </w:tcPr>
          <w:p w14:paraId="48E801F3">
            <w:pPr>
              <w:rPr>
                <w:rFonts w:ascii="Arial"/>
                <w:color w:val="auto"/>
                <w:sz w:val="21"/>
                <w:highlight w:val="none"/>
              </w:rPr>
            </w:pPr>
          </w:p>
        </w:tc>
        <w:tc>
          <w:tcPr>
            <w:tcW w:w="754" w:type="dxa"/>
            <w:vAlign w:val="top"/>
          </w:tcPr>
          <w:p w14:paraId="636721AF">
            <w:pPr>
              <w:rPr>
                <w:rFonts w:ascii="Arial"/>
                <w:color w:val="auto"/>
                <w:sz w:val="21"/>
                <w:highlight w:val="none"/>
              </w:rPr>
            </w:pPr>
          </w:p>
        </w:tc>
        <w:tc>
          <w:tcPr>
            <w:tcW w:w="748" w:type="dxa"/>
            <w:vAlign w:val="top"/>
          </w:tcPr>
          <w:p w14:paraId="19A1FA89">
            <w:pPr>
              <w:rPr>
                <w:rFonts w:ascii="Arial"/>
                <w:color w:val="auto"/>
                <w:sz w:val="21"/>
                <w:highlight w:val="none"/>
              </w:rPr>
            </w:pPr>
          </w:p>
        </w:tc>
        <w:tc>
          <w:tcPr>
            <w:tcW w:w="749" w:type="dxa"/>
            <w:vAlign w:val="top"/>
          </w:tcPr>
          <w:p w14:paraId="18A84E6B">
            <w:pPr>
              <w:rPr>
                <w:rFonts w:ascii="Arial"/>
                <w:color w:val="auto"/>
                <w:sz w:val="21"/>
                <w:highlight w:val="none"/>
              </w:rPr>
            </w:pPr>
          </w:p>
        </w:tc>
        <w:tc>
          <w:tcPr>
            <w:tcW w:w="754" w:type="dxa"/>
            <w:vAlign w:val="top"/>
          </w:tcPr>
          <w:p w14:paraId="3F202862">
            <w:pPr>
              <w:rPr>
                <w:rFonts w:ascii="Arial"/>
                <w:color w:val="auto"/>
                <w:sz w:val="21"/>
                <w:highlight w:val="none"/>
              </w:rPr>
            </w:pPr>
          </w:p>
        </w:tc>
        <w:tc>
          <w:tcPr>
            <w:tcW w:w="748" w:type="dxa"/>
            <w:vAlign w:val="top"/>
          </w:tcPr>
          <w:p w14:paraId="5C3C2D8E">
            <w:pPr>
              <w:rPr>
                <w:rFonts w:ascii="Arial"/>
                <w:color w:val="auto"/>
                <w:sz w:val="21"/>
                <w:highlight w:val="none"/>
              </w:rPr>
            </w:pPr>
          </w:p>
        </w:tc>
        <w:tc>
          <w:tcPr>
            <w:tcW w:w="754" w:type="dxa"/>
            <w:vAlign w:val="top"/>
          </w:tcPr>
          <w:p w14:paraId="51E934D3">
            <w:pPr>
              <w:rPr>
                <w:rFonts w:ascii="Arial"/>
                <w:color w:val="auto"/>
                <w:sz w:val="21"/>
                <w:highlight w:val="none"/>
              </w:rPr>
            </w:pPr>
          </w:p>
        </w:tc>
        <w:tc>
          <w:tcPr>
            <w:tcW w:w="748" w:type="dxa"/>
            <w:vAlign w:val="top"/>
          </w:tcPr>
          <w:p w14:paraId="206B305C">
            <w:pPr>
              <w:rPr>
                <w:rFonts w:ascii="Arial"/>
                <w:color w:val="auto"/>
                <w:sz w:val="21"/>
                <w:highlight w:val="none"/>
              </w:rPr>
            </w:pPr>
          </w:p>
        </w:tc>
        <w:tc>
          <w:tcPr>
            <w:tcW w:w="754" w:type="dxa"/>
            <w:vAlign w:val="top"/>
          </w:tcPr>
          <w:p w14:paraId="3220989E">
            <w:pPr>
              <w:rPr>
                <w:rFonts w:ascii="Arial"/>
                <w:color w:val="auto"/>
                <w:sz w:val="21"/>
                <w:highlight w:val="none"/>
              </w:rPr>
            </w:pPr>
          </w:p>
        </w:tc>
        <w:tc>
          <w:tcPr>
            <w:tcW w:w="629" w:type="dxa"/>
            <w:vAlign w:val="top"/>
          </w:tcPr>
          <w:p w14:paraId="27D9BD08">
            <w:pPr>
              <w:rPr>
                <w:rFonts w:ascii="Arial"/>
                <w:color w:val="auto"/>
                <w:sz w:val="21"/>
                <w:highlight w:val="none"/>
              </w:rPr>
            </w:pPr>
          </w:p>
        </w:tc>
      </w:tr>
      <w:tr w14:paraId="5E687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514" w:type="dxa"/>
            <w:vAlign w:val="top"/>
          </w:tcPr>
          <w:p w14:paraId="5C0C26A1">
            <w:pPr>
              <w:pStyle w:val="11"/>
              <w:spacing w:before="222" w:line="183" w:lineRule="auto"/>
              <w:ind w:left="225"/>
              <w:rPr>
                <w:color w:val="auto"/>
                <w:highlight w:val="none"/>
              </w:rPr>
            </w:pPr>
            <w:r>
              <w:rPr>
                <w:color w:val="auto"/>
                <w:highlight w:val="none"/>
              </w:rPr>
              <w:t>1</w:t>
            </w:r>
          </w:p>
        </w:tc>
        <w:tc>
          <w:tcPr>
            <w:tcW w:w="1938" w:type="dxa"/>
            <w:vAlign w:val="top"/>
          </w:tcPr>
          <w:p w14:paraId="35216E08">
            <w:pPr>
              <w:rPr>
                <w:rFonts w:ascii="Arial"/>
                <w:color w:val="auto"/>
                <w:sz w:val="21"/>
                <w:highlight w:val="none"/>
              </w:rPr>
            </w:pPr>
          </w:p>
        </w:tc>
        <w:tc>
          <w:tcPr>
            <w:tcW w:w="754" w:type="dxa"/>
            <w:vAlign w:val="top"/>
          </w:tcPr>
          <w:p w14:paraId="6D8A5F4D">
            <w:pPr>
              <w:rPr>
                <w:rFonts w:ascii="Arial"/>
                <w:color w:val="auto"/>
                <w:sz w:val="21"/>
                <w:highlight w:val="none"/>
              </w:rPr>
            </w:pPr>
          </w:p>
        </w:tc>
        <w:tc>
          <w:tcPr>
            <w:tcW w:w="748" w:type="dxa"/>
            <w:vAlign w:val="top"/>
          </w:tcPr>
          <w:p w14:paraId="6F1E82B0">
            <w:pPr>
              <w:rPr>
                <w:rFonts w:ascii="Arial"/>
                <w:color w:val="auto"/>
                <w:sz w:val="21"/>
                <w:highlight w:val="none"/>
              </w:rPr>
            </w:pPr>
          </w:p>
        </w:tc>
        <w:tc>
          <w:tcPr>
            <w:tcW w:w="749" w:type="dxa"/>
            <w:vAlign w:val="top"/>
          </w:tcPr>
          <w:p w14:paraId="494291F5">
            <w:pPr>
              <w:rPr>
                <w:rFonts w:ascii="Arial"/>
                <w:color w:val="auto"/>
                <w:sz w:val="21"/>
                <w:highlight w:val="none"/>
              </w:rPr>
            </w:pPr>
          </w:p>
        </w:tc>
        <w:tc>
          <w:tcPr>
            <w:tcW w:w="754" w:type="dxa"/>
            <w:vAlign w:val="top"/>
          </w:tcPr>
          <w:p w14:paraId="5E48726C">
            <w:pPr>
              <w:rPr>
                <w:rFonts w:ascii="Arial"/>
                <w:color w:val="auto"/>
                <w:sz w:val="21"/>
                <w:highlight w:val="none"/>
              </w:rPr>
            </w:pPr>
          </w:p>
        </w:tc>
        <w:tc>
          <w:tcPr>
            <w:tcW w:w="748" w:type="dxa"/>
            <w:vAlign w:val="top"/>
          </w:tcPr>
          <w:p w14:paraId="4CF85E23">
            <w:pPr>
              <w:rPr>
                <w:rFonts w:ascii="Arial"/>
                <w:color w:val="auto"/>
                <w:sz w:val="21"/>
                <w:highlight w:val="none"/>
              </w:rPr>
            </w:pPr>
          </w:p>
        </w:tc>
        <w:tc>
          <w:tcPr>
            <w:tcW w:w="754" w:type="dxa"/>
            <w:vAlign w:val="top"/>
          </w:tcPr>
          <w:p w14:paraId="2EEF43C7">
            <w:pPr>
              <w:rPr>
                <w:rFonts w:ascii="Arial"/>
                <w:color w:val="auto"/>
                <w:sz w:val="21"/>
                <w:highlight w:val="none"/>
              </w:rPr>
            </w:pPr>
          </w:p>
        </w:tc>
        <w:tc>
          <w:tcPr>
            <w:tcW w:w="748" w:type="dxa"/>
            <w:vAlign w:val="top"/>
          </w:tcPr>
          <w:p w14:paraId="129CDC07">
            <w:pPr>
              <w:rPr>
                <w:rFonts w:ascii="Arial"/>
                <w:color w:val="auto"/>
                <w:sz w:val="21"/>
                <w:highlight w:val="none"/>
              </w:rPr>
            </w:pPr>
          </w:p>
        </w:tc>
        <w:tc>
          <w:tcPr>
            <w:tcW w:w="754" w:type="dxa"/>
            <w:vAlign w:val="top"/>
          </w:tcPr>
          <w:p w14:paraId="175AEC78">
            <w:pPr>
              <w:rPr>
                <w:rFonts w:ascii="Arial"/>
                <w:color w:val="auto"/>
                <w:sz w:val="21"/>
                <w:highlight w:val="none"/>
              </w:rPr>
            </w:pPr>
          </w:p>
        </w:tc>
        <w:tc>
          <w:tcPr>
            <w:tcW w:w="629" w:type="dxa"/>
            <w:vAlign w:val="top"/>
          </w:tcPr>
          <w:p w14:paraId="6B1C3619">
            <w:pPr>
              <w:rPr>
                <w:rFonts w:ascii="Arial"/>
                <w:color w:val="auto"/>
                <w:sz w:val="21"/>
                <w:highlight w:val="none"/>
              </w:rPr>
            </w:pPr>
          </w:p>
        </w:tc>
      </w:tr>
      <w:tr w14:paraId="1A674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514" w:type="dxa"/>
            <w:vAlign w:val="top"/>
          </w:tcPr>
          <w:p w14:paraId="5582D74E">
            <w:pPr>
              <w:pStyle w:val="11"/>
              <w:spacing w:before="224" w:line="182" w:lineRule="auto"/>
              <w:ind w:left="212"/>
              <w:rPr>
                <w:color w:val="auto"/>
                <w:highlight w:val="none"/>
              </w:rPr>
            </w:pPr>
            <w:r>
              <w:rPr>
                <w:color w:val="auto"/>
                <w:highlight w:val="none"/>
              </w:rPr>
              <w:t>2</w:t>
            </w:r>
          </w:p>
        </w:tc>
        <w:tc>
          <w:tcPr>
            <w:tcW w:w="1938" w:type="dxa"/>
            <w:vAlign w:val="top"/>
          </w:tcPr>
          <w:p w14:paraId="6DD073C2">
            <w:pPr>
              <w:rPr>
                <w:rFonts w:ascii="Arial"/>
                <w:color w:val="auto"/>
                <w:sz w:val="21"/>
                <w:highlight w:val="none"/>
              </w:rPr>
            </w:pPr>
          </w:p>
        </w:tc>
        <w:tc>
          <w:tcPr>
            <w:tcW w:w="754" w:type="dxa"/>
            <w:vAlign w:val="top"/>
          </w:tcPr>
          <w:p w14:paraId="65FC18D8">
            <w:pPr>
              <w:rPr>
                <w:rFonts w:ascii="Arial"/>
                <w:color w:val="auto"/>
                <w:sz w:val="21"/>
                <w:highlight w:val="none"/>
              </w:rPr>
            </w:pPr>
          </w:p>
        </w:tc>
        <w:tc>
          <w:tcPr>
            <w:tcW w:w="748" w:type="dxa"/>
            <w:vAlign w:val="top"/>
          </w:tcPr>
          <w:p w14:paraId="6E6568C7">
            <w:pPr>
              <w:rPr>
                <w:rFonts w:ascii="Arial"/>
                <w:color w:val="auto"/>
                <w:sz w:val="21"/>
                <w:highlight w:val="none"/>
              </w:rPr>
            </w:pPr>
          </w:p>
        </w:tc>
        <w:tc>
          <w:tcPr>
            <w:tcW w:w="749" w:type="dxa"/>
            <w:vAlign w:val="top"/>
          </w:tcPr>
          <w:p w14:paraId="3771F6A8">
            <w:pPr>
              <w:rPr>
                <w:rFonts w:ascii="Arial"/>
                <w:color w:val="auto"/>
                <w:sz w:val="21"/>
                <w:highlight w:val="none"/>
              </w:rPr>
            </w:pPr>
          </w:p>
        </w:tc>
        <w:tc>
          <w:tcPr>
            <w:tcW w:w="754" w:type="dxa"/>
            <w:vAlign w:val="top"/>
          </w:tcPr>
          <w:p w14:paraId="72A5D417">
            <w:pPr>
              <w:rPr>
                <w:rFonts w:ascii="Arial"/>
                <w:color w:val="auto"/>
                <w:sz w:val="21"/>
                <w:highlight w:val="none"/>
              </w:rPr>
            </w:pPr>
          </w:p>
        </w:tc>
        <w:tc>
          <w:tcPr>
            <w:tcW w:w="748" w:type="dxa"/>
            <w:vAlign w:val="top"/>
          </w:tcPr>
          <w:p w14:paraId="611C50D3">
            <w:pPr>
              <w:rPr>
                <w:rFonts w:ascii="Arial"/>
                <w:color w:val="auto"/>
                <w:sz w:val="21"/>
                <w:highlight w:val="none"/>
              </w:rPr>
            </w:pPr>
          </w:p>
        </w:tc>
        <w:tc>
          <w:tcPr>
            <w:tcW w:w="754" w:type="dxa"/>
            <w:vAlign w:val="top"/>
          </w:tcPr>
          <w:p w14:paraId="5F92B5B9">
            <w:pPr>
              <w:rPr>
                <w:rFonts w:ascii="Arial"/>
                <w:color w:val="auto"/>
                <w:sz w:val="21"/>
                <w:highlight w:val="none"/>
              </w:rPr>
            </w:pPr>
          </w:p>
        </w:tc>
        <w:tc>
          <w:tcPr>
            <w:tcW w:w="748" w:type="dxa"/>
            <w:vAlign w:val="top"/>
          </w:tcPr>
          <w:p w14:paraId="79D04FFA">
            <w:pPr>
              <w:rPr>
                <w:rFonts w:ascii="Arial"/>
                <w:color w:val="auto"/>
                <w:sz w:val="21"/>
                <w:highlight w:val="none"/>
              </w:rPr>
            </w:pPr>
          </w:p>
        </w:tc>
        <w:tc>
          <w:tcPr>
            <w:tcW w:w="754" w:type="dxa"/>
            <w:vAlign w:val="top"/>
          </w:tcPr>
          <w:p w14:paraId="1B2D8655">
            <w:pPr>
              <w:rPr>
                <w:rFonts w:ascii="Arial"/>
                <w:color w:val="auto"/>
                <w:sz w:val="21"/>
                <w:highlight w:val="none"/>
              </w:rPr>
            </w:pPr>
          </w:p>
        </w:tc>
        <w:tc>
          <w:tcPr>
            <w:tcW w:w="629" w:type="dxa"/>
            <w:vAlign w:val="top"/>
          </w:tcPr>
          <w:p w14:paraId="48A79A6C">
            <w:pPr>
              <w:rPr>
                <w:rFonts w:ascii="Arial"/>
                <w:color w:val="auto"/>
                <w:sz w:val="21"/>
                <w:highlight w:val="none"/>
              </w:rPr>
            </w:pPr>
          </w:p>
        </w:tc>
      </w:tr>
      <w:tr w14:paraId="091A6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514" w:type="dxa"/>
            <w:vAlign w:val="top"/>
          </w:tcPr>
          <w:p w14:paraId="26BC2393">
            <w:pPr>
              <w:pStyle w:val="11"/>
              <w:spacing w:before="226" w:line="182" w:lineRule="auto"/>
              <w:ind w:left="213"/>
              <w:rPr>
                <w:color w:val="auto"/>
                <w:highlight w:val="none"/>
              </w:rPr>
            </w:pPr>
            <w:r>
              <w:rPr>
                <w:color w:val="auto"/>
                <w:highlight w:val="none"/>
              </w:rPr>
              <w:t>3</w:t>
            </w:r>
          </w:p>
        </w:tc>
        <w:tc>
          <w:tcPr>
            <w:tcW w:w="1938" w:type="dxa"/>
            <w:vAlign w:val="top"/>
          </w:tcPr>
          <w:p w14:paraId="1CA60BF1">
            <w:pPr>
              <w:rPr>
                <w:rFonts w:ascii="Arial"/>
                <w:color w:val="auto"/>
                <w:sz w:val="21"/>
                <w:highlight w:val="none"/>
              </w:rPr>
            </w:pPr>
          </w:p>
        </w:tc>
        <w:tc>
          <w:tcPr>
            <w:tcW w:w="754" w:type="dxa"/>
            <w:vAlign w:val="top"/>
          </w:tcPr>
          <w:p w14:paraId="5DEE408B">
            <w:pPr>
              <w:rPr>
                <w:rFonts w:ascii="Arial"/>
                <w:color w:val="auto"/>
                <w:sz w:val="21"/>
                <w:highlight w:val="none"/>
              </w:rPr>
            </w:pPr>
          </w:p>
        </w:tc>
        <w:tc>
          <w:tcPr>
            <w:tcW w:w="748" w:type="dxa"/>
            <w:vAlign w:val="top"/>
          </w:tcPr>
          <w:p w14:paraId="522E504A">
            <w:pPr>
              <w:rPr>
                <w:rFonts w:ascii="Arial"/>
                <w:color w:val="auto"/>
                <w:sz w:val="21"/>
                <w:highlight w:val="none"/>
              </w:rPr>
            </w:pPr>
          </w:p>
        </w:tc>
        <w:tc>
          <w:tcPr>
            <w:tcW w:w="749" w:type="dxa"/>
            <w:vAlign w:val="top"/>
          </w:tcPr>
          <w:p w14:paraId="068DE328">
            <w:pPr>
              <w:rPr>
                <w:rFonts w:ascii="Arial"/>
                <w:color w:val="auto"/>
                <w:sz w:val="21"/>
                <w:highlight w:val="none"/>
              </w:rPr>
            </w:pPr>
          </w:p>
        </w:tc>
        <w:tc>
          <w:tcPr>
            <w:tcW w:w="754" w:type="dxa"/>
            <w:vAlign w:val="top"/>
          </w:tcPr>
          <w:p w14:paraId="099967F7">
            <w:pPr>
              <w:rPr>
                <w:rFonts w:ascii="Arial"/>
                <w:color w:val="auto"/>
                <w:sz w:val="21"/>
                <w:highlight w:val="none"/>
              </w:rPr>
            </w:pPr>
          </w:p>
        </w:tc>
        <w:tc>
          <w:tcPr>
            <w:tcW w:w="748" w:type="dxa"/>
            <w:vAlign w:val="top"/>
          </w:tcPr>
          <w:p w14:paraId="4F9B8BB8">
            <w:pPr>
              <w:rPr>
                <w:rFonts w:ascii="Arial"/>
                <w:color w:val="auto"/>
                <w:sz w:val="21"/>
                <w:highlight w:val="none"/>
              </w:rPr>
            </w:pPr>
          </w:p>
        </w:tc>
        <w:tc>
          <w:tcPr>
            <w:tcW w:w="754" w:type="dxa"/>
            <w:vAlign w:val="top"/>
          </w:tcPr>
          <w:p w14:paraId="2F84A149">
            <w:pPr>
              <w:rPr>
                <w:rFonts w:ascii="Arial"/>
                <w:color w:val="auto"/>
                <w:sz w:val="21"/>
                <w:highlight w:val="none"/>
              </w:rPr>
            </w:pPr>
          </w:p>
        </w:tc>
        <w:tc>
          <w:tcPr>
            <w:tcW w:w="748" w:type="dxa"/>
            <w:vAlign w:val="top"/>
          </w:tcPr>
          <w:p w14:paraId="726DD550">
            <w:pPr>
              <w:rPr>
                <w:rFonts w:ascii="Arial"/>
                <w:color w:val="auto"/>
                <w:sz w:val="21"/>
                <w:highlight w:val="none"/>
              </w:rPr>
            </w:pPr>
          </w:p>
        </w:tc>
        <w:tc>
          <w:tcPr>
            <w:tcW w:w="754" w:type="dxa"/>
            <w:vAlign w:val="top"/>
          </w:tcPr>
          <w:p w14:paraId="28BE91DD">
            <w:pPr>
              <w:rPr>
                <w:rFonts w:ascii="Arial"/>
                <w:color w:val="auto"/>
                <w:sz w:val="21"/>
                <w:highlight w:val="none"/>
              </w:rPr>
            </w:pPr>
          </w:p>
        </w:tc>
        <w:tc>
          <w:tcPr>
            <w:tcW w:w="629" w:type="dxa"/>
            <w:vAlign w:val="top"/>
          </w:tcPr>
          <w:p w14:paraId="1E597C5F">
            <w:pPr>
              <w:rPr>
                <w:rFonts w:ascii="Arial"/>
                <w:color w:val="auto"/>
                <w:sz w:val="21"/>
                <w:highlight w:val="none"/>
              </w:rPr>
            </w:pPr>
          </w:p>
        </w:tc>
      </w:tr>
      <w:tr w14:paraId="16291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4BD0E76F">
            <w:pPr>
              <w:pStyle w:val="11"/>
              <w:spacing w:before="226" w:line="182" w:lineRule="auto"/>
              <w:ind w:left="208"/>
              <w:rPr>
                <w:color w:val="auto"/>
                <w:highlight w:val="none"/>
              </w:rPr>
            </w:pPr>
            <w:r>
              <w:rPr>
                <w:color w:val="auto"/>
                <w:highlight w:val="none"/>
              </w:rPr>
              <w:t>4</w:t>
            </w:r>
          </w:p>
        </w:tc>
        <w:tc>
          <w:tcPr>
            <w:tcW w:w="1938" w:type="dxa"/>
            <w:vAlign w:val="top"/>
          </w:tcPr>
          <w:p w14:paraId="03E0E66F">
            <w:pPr>
              <w:rPr>
                <w:rFonts w:ascii="Arial"/>
                <w:color w:val="auto"/>
                <w:sz w:val="21"/>
                <w:highlight w:val="none"/>
              </w:rPr>
            </w:pPr>
          </w:p>
        </w:tc>
        <w:tc>
          <w:tcPr>
            <w:tcW w:w="754" w:type="dxa"/>
            <w:vAlign w:val="top"/>
          </w:tcPr>
          <w:p w14:paraId="3220269D">
            <w:pPr>
              <w:rPr>
                <w:rFonts w:ascii="Arial"/>
                <w:color w:val="auto"/>
                <w:sz w:val="21"/>
                <w:highlight w:val="none"/>
              </w:rPr>
            </w:pPr>
          </w:p>
        </w:tc>
        <w:tc>
          <w:tcPr>
            <w:tcW w:w="748" w:type="dxa"/>
            <w:vAlign w:val="top"/>
          </w:tcPr>
          <w:p w14:paraId="43BC6CF8">
            <w:pPr>
              <w:rPr>
                <w:rFonts w:ascii="Arial"/>
                <w:color w:val="auto"/>
                <w:sz w:val="21"/>
                <w:highlight w:val="none"/>
              </w:rPr>
            </w:pPr>
          </w:p>
        </w:tc>
        <w:tc>
          <w:tcPr>
            <w:tcW w:w="749" w:type="dxa"/>
            <w:vAlign w:val="top"/>
          </w:tcPr>
          <w:p w14:paraId="0A674A7E">
            <w:pPr>
              <w:rPr>
                <w:rFonts w:ascii="Arial"/>
                <w:color w:val="auto"/>
                <w:sz w:val="21"/>
                <w:highlight w:val="none"/>
              </w:rPr>
            </w:pPr>
          </w:p>
        </w:tc>
        <w:tc>
          <w:tcPr>
            <w:tcW w:w="754" w:type="dxa"/>
            <w:vAlign w:val="top"/>
          </w:tcPr>
          <w:p w14:paraId="522F233B">
            <w:pPr>
              <w:rPr>
                <w:rFonts w:ascii="Arial"/>
                <w:color w:val="auto"/>
                <w:sz w:val="21"/>
                <w:highlight w:val="none"/>
              </w:rPr>
            </w:pPr>
          </w:p>
        </w:tc>
        <w:tc>
          <w:tcPr>
            <w:tcW w:w="748" w:type="dxa"/>
            <w:vAlign w:val="top"/>
          </w:tcPr>
          <w:p w14:paraId="7E89931E">
            <w:pPr>
              <w:rPr>
                <w:rFonts w:ascii="Arial"/>
                <w:color w:val="auto"/>
                <w:sz w:val="21"/>
                <w:highlight w:val="none"/>
              </w:rPr>
            </w:pPr>
          </w:p>
        </w:tc>
        <w:tc>
          <w:tcPr>
            <w:tcW w:w="754" w:type="dxa"/>
            <w:vAlign w:val="top"/>
          </w:tcPr>
          <w:p w14:paraId="640343EB">
            <w:pPr>
              <w:rPr>
                <w:rFonts w:ascii="Arial"/>
                <w:color w:val="auto"/>
                <w:sz w:val="21"/>
                <w:highlight w:val="none"/>
              </w:rPr>
            </w:pPr>
          </w:p>
        </w:tc>
        <w:tc>
          <w:tcPr>
            <w:tcW w:w="748" w:type="dxa"/>
            <w:vAlign w:val="top"/>
          </w:tcPr>
          <w:p w14:paraId="56BAEE3D">
            <w:pPr>
              <w:rPr>
                <w:rFonts w:ascii="Arial"/>
                <w:color w:val="auto"/>
                <w:sz w:val="21"/>
                <w:highlight w:val="none"/>
              </w:rPr>
            </w:pPr>
          </w:p>
        </w:tc>
        <w:tc>
          <w:tcPr>
            <w:tcW w:w="754" w:type="dxa"/>
            <w:vAlign w:val="top"/>
          </w:tcPr>
          <w:p w14:paraId="465B7A4A">
            <w:pPr>
              <w:rPr>
                <w:rFonts w:ascii="Arial"/>
                <w:color w:val="auto"/>
                <w:sz w:val="21"/>
                <w:highlight w:val="none"/>
              </w:rPr>
            </w:pPr>
          </w:p>
        </w:tc>
        <w:tc>
          <w:tcPr>
            <w:tcW w:w="629" w:type="dxa"/>
            <w:vAlign w:val="top"/>
          </w:tcPr>
          <w:p w14:paraId="12EF2333">
            <w:pPr>
              <w:rPr>
                <w:rFonts w:ascii="Arial"/>
                <w:color w:val="auto"/>
                <w:sz w:val="21"/>
                <w:highlight w:val="none"/>
              </w:rPr>
            </w:pPr>
          </w:p>
        </w:tc>
      </w:tr>
      <w:tr w14:paraId="76E2F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514" w:type="dxa"/>
            <w:vAlign w:val="top"/>
          </w:tcPr>
          <w:p w14:paraId="50D8F347">
            <w:pPr>
              <w:pStyle w:val="11"/>
              <w:spacing w:before="224" w:line="181" w:lineRule="auto"/>
              <w:ind w:left="213"/>
              <w:rPr>
                <w:color w:val="auto"/>
                <w:highlight w:val="none"/>
              </w:rPr>
            </w:pPr>
            <w:r>
              <w:rPr>
                <w:color w:val="auto"/>
                <w:highlight w:val="none"/>
              </w:rPr>
              <w:t>5</w:t>
            </w:r>
          </w:p>
        </w:tc>
        <w:tc>
          <w:tcPr>
            <w:tcW w:w="1938" w:type="dxa"/>
            <w:vAlign w:val="top"/>
          </w:tcPr>
          <w:p w14:paraId="220EE5D3">
            <w:pPr>
              <w:rPr>
                <w:rFonts w:ascii="Arial"/>
                <w:color w:val="auto"/>
                <w:sz w:val="21"/>
                <w:highlight w:val="none"/>
              </w:rPr>
            </w:pPr>
          </w:p>
        </w:tc>
        <w:tc>
          <w:tcPr>
            <w:tcW w:w="754" w:type="dxa"/>
            <w:vAlign w:val="top"/>
          </w:tcPr>
          <w:p w14:paraId="1A7B4C6E">
            <w:pPr>
              <w:rPr>
                <w:rFonts w:ascii="Arial"/>
                <w:color w:val="auto"/>
                <w:sz w:val="21"/>
                <w:highlight w:val="none"/>
              </w:rPr>
            </w:pPr>
          </w:p>
        </w:tc>
        <w:tc>
          <w:tcPr>
            <w:tcW w:w="748" w:type="dxa"/>
            <w:vAlign w:val="top"/>
          </w:tcPr>
          <w:p w14:paraId="32259318">
            <w:pPr>
              <w:rPr>
                <w:rFonts w:ascii="Arial"/>
                <w:color w:val="auto"/>
                <w:sz w:val="21"/>
                <w:highlight w:val="none"/>
              </w:rPr>
            </w:pPr>
          </w:p>
        </w:tc>
        <w:tc>
          <w:tcPr>
            <w:tcW w:w="749" w:type="dxa"/>
            <w:vAlign w:val="top"/>
          </w:tcPr>
          <w:p w14:paraId="0E9B4AA9">
            <w:pPr>
              <w:rPr>
                <w:rFonts w:ascii="Arial"/>
                <w:color w:val="auto"/>
                <w:sz w:val="21"/>
                <w:highlight w:val="none"/>
              </w:rPr>
            </w:pPr>
          </w:p>
        </w:tc>
        <w:tc>
          <w:tcPr>
            <w:tcW w:w="754" w:type="dxa"/>
            <w:vAlign w:val="top"/>
          </w:tcPr>
          <w:p w14:paraId="09E12B25">
            <w:pPr>
              <w:rPr>
                <w:rFonts w:ascii="Arial"/>
                <w:color w:val="auto"/>
                <w:sz w:val="21"/>
                <w:highlight w:val="none"/>
              </w:rPr>
            </w:pPr>
          </w:p>
        </w:tc>
        <w:tc>
          <w:tcPr>
            <w:tcW w:w="748" w:type="dxa"/>
            <w:vAlign w:val="top"/>
          </w:tcPr>
          <w:p w14:paraId="0EB3824C">
            <w:pPr>
              <w:rPr>
                <w:rFonts w:ascii="Arial"/>
                <w:color w:val="auto"/>
                <w:sz w:val="21"/>
                <w:highlight w:val="none"/>
              </w:rPr>
            </w:pPr>
          </w:p>
        </w:tc>
        <w:tc>
          <w:tcPr>
            <w:tcW w:w="754" w:type="dxa"/>
            <w:vAlign w:val="top"/>
          </w:tcPr>
          <w:p w14:paraId="5DA40294">
            <w:pPr>
              <w:rPr>
                <w:rFonts w:ascii="Arial"/>
                <w:color w:val="auto"/>
                <w:sz w:val="21"/>
                <w:highlight w:val="none"/>
              </w:rPr>
            </w:pPr>
          </w:p>
        </w:tc>
        <w:tc>
          <w:tcPr>
            <w:tcW w:w="748" w:type="dxa"/>
            <w:vAlign w:val="top"/>
          </w:tcPr>
          <w:p w14:paraId="3E9DCC92">
            <w:pPr>
              <w:rPr>
                <w:rFonts w:ascii="Arial"/>
                <w:color w:val="auto"/>
                <w:sz w:val="21"/>
                <w:highlight w:val="none"/>
              </w:rPr>
            </w:pPr>
          </w:p>
        </w:tc>
        <w:tc>
          <w:tcPr>
            <w:tcW w:w="754" w:type="dxa"/>
            <w:vAlign w:val="top"/>
          </w:tcPr>
          <w:p w14:paraId="5B128FB4">
            <w:pPr>
              <w:rPr>
                <w:rFonts w:ascii="Arial"/>
                <w:color w:val="auto"/>
                <w:sz w:val="21"/>
                <w:highlight w:val="none"/>
              </w:rPr>
            </w:pPr>
          </w:p>
        </w:tc>
        <w:tc>
          <w:tcPr>
            <w:tcW w:w="629" w:type="dxa"/>
            <w:vAlign w:val="top"/>
          </w:tcPr>
          <w:p w14:paraId="18753125">
            <w:pPr>
              <w:rPr>
                <w:rFonts w:ascii="Arial"/>
                <w:color w:val="auto"/>
                <w:sz w:val="21"/>
                <w:highlight w:val="none"/>
              </w:rPr>
            </w:pPr>
          </w:p>
        </w:tc>
      </w:tr>
      <w:tr w14:paraId="72535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9" w:hRule="atLeast"/>
        </w:trPr>
        <w:tc>
          <w:tcPr>
            <w:tcW w:w="514" w:type="dxa"/>
            <w:vAlign w:val="top"/>
          </w:tcPr>
          <w:p w14:paraId="7A5EFE0B">
            <w:pPr>
              <w:spacing w:before="192" w:line="332" w:lineRule="exact"/>
              <w:ind w:left="168"/>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1938" w:type="dxa"/>
            <w:vAlign w:val="top"/>
          </w:tcPr>
          <w:p w14:paraId="4BD5212C">
            <w:pPr>
              <w:rPr>
                <w:rFonts w:ascii="Arial"/>
                <w:color w:val="auto"/>
                <w:sz w:val="21"/>
                <w:highlight w:val="none"/>
              </w:rPr>
            </w:pPr>
          </w:p>
        </w:tc>
        <w:tc>
          <w:tcPr>
            <w:tcW w:w="754" w:type="dxa"/>
            <w:vAlign w:val="top"/>
          </w:tcPr>
          <w:p w14:paraId="49508C2C">
            <w:pPr>
              <w:rPr>
                <w:rFonts w:ascii="Arial"/>
                <w:color w:val="auto"/>
                <w:sz w:val="21"/>
                <w:highlight w:val="none"/>
              </w:rPr>
            </w:pPr>
          </w:p>
        </w:tc>
        <w:tc>
          <w:tcPr>
            <w:tcW w:w="748" w:type="dxa"/>
            <w:vAlign w:val="top"/>
          </w:tcPr>
          <w:p w14:paraId="41A8A909">
            <w:pPr>
              <w:rPr>
                <w:rFonts w:ascii="Arial"/>
                <w:color w:val="auto"/>
                <w:sz w:val="21"/>
                <w:highlight w:val="none"/>
              </w:rPr>
            </w:pPr>
          </w:p>
        </w:tc>
        <w:tc>
          <w:tcPr>
            <w:tcW w:w="749" w:type="dxa"/>
            <w:vAlign w:val="top"/>
          </w:tcPr>
          <w:p w14:paraId="5B57FC1E">
            <w:pPr>
              <w:rPr>
                <w:rFonts w:ascii="Arial"/>
                <w:color w:val="auto"/>
                <w:sz w:val="21"/>
                <w:highlight w:val="none"/>
              </w:rPr>
            </w:pPr>
          </w:p>
        </w:tc>
        <w:tc>
          <w:tcPr>
            <w:tcW w:w="754" w:type="dxa"/>
            <w:vAlign w:val="top"/>
          </w:tcPr>
          <w:p w14:paraId="7B54284D">
            <w:pPr>
              <w:rPr>
                <w:rFonts w:ascii="Arial"/>
                <w:color w:val="auto"/>
                <w:sz w:val="21"/>
                <w:highlight w:val="none"/>
              </w:rPr>
            </w:pPr>
          </w:p>
        </w:tc>
        <w:tc>
          <w:tcPr>
            <w:tcW w:w="748" w:type="dxa"/>
            <w:vAlign w:val="top"/>
          </w:tcPr>
          <w:p w14:paraId="6AED80B9">
            <w:pPr>
              <w:rPr>
                <w:rFonts w:ascii="Arial"/>
                <w:color w:val="auto"/>
                <w:sz w:val="21"/>
                <w:highlight w:val="none"/>
              </w:rPr>
            </w:pPr>
          </w:p>
        </w:tc>
        <w:tc>
          <w:tcPr>
            <w:tcW w:w="754" w:type="dxa"/>
            <w:vAlign w:val="top"/>
          </w:tcPr>
          <w:p w14:paraId="69F1E051">
            <w:pPr>
              <w:rPr>
                <w:rFonts w:ascii="Arial"/>
                <w:color w:val="auto"/>
                <w:sz w:val="21"/>
                <w:highlight w:val="none"/>
              </w:rPr>
            </w:pPr>
          </w:p>
        </w:tc>
        <w:tc>
          <w:tcPr>
            <w:tcW w:w="748" w:type="dxa"/>
            <w:vAlign w:val="top"/>
          </w:tcPr>
          <w:p w14:paraId="732692C6">
            <w:pPr>
              <w:rPr>
                <w:rFonts w:ascii="Arial"/>
                <w:color w:val="auto"/>
                <w:sz w:val="21"/>
                <w:highlight w:val="none"/>
              </w:rPr>
            </w:pPr>
          </w:p>
        </w:tc>
        <w:tc>
          <w:tcPr>
            <w:tcW w:w="754" w:type="dxa"/>
            <w:vAlign w:val="top"/>
          </w:tcPr>
          <w:p w14:paraId="2B3BE1B4">
            <w:pPr>
              <w:rPr>
                <w:rFonts w:ascii="Arial"/>
                <w:color w:val="auto"/>
                <w:sz w:val="21"/>
                <w:highlight w:val="none"/>
              </w:rPr>
            </w:pPr>
          </w:p>
        </w:tc>
        <w:tc>
          <w:tcPr>
            <w:tcW w:w="629" w:type="dxa"/>
            <w:vAlign w:val="top"/>
          </w:tcPr>
          <w:p w14:paraId="2C216353">
            <w:pPr>
              <w:rPr>
                <w:rFonts w:ascii="Arial"/>
                <w:color w:val="auto"/>
                <w:sz w:val="21"/>
                <w:highlight w:val="none"/>
              </w:rPr>
            </w:pPr>
          </w:p>
        </w:tc>
      </w:tr>
    </w:tbl>
    <w:p w14:paraId="678CC87F">
      <w:pPr>
        <w:spacing w:before="269" w:line="221" w:lineRule="auto"/>
        <w:ind w:left="6805"/>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日期：</w:t>
      </w:r>
      <w:r>
        <w:rPr>
          <w:rFonts w:ascii="宋体" w:hAnsi="宋体" w:eastAsia="宋体" w:cs="宋体"/>
          <w:color w:val="auto"/>
          <w:spacing w:val="34"/>
          <w:sz w:val="21"/>
          <w:szCs w:val="21"/>
          <w:highlight w:val="none"/>
        </w:rPr>
        <w:t xml:space="preserve">   </w:t>
      </w:r>
      <w:r>
        <w:rPr>
          <w:rFonts w:ascii="宋体" w:hAnsi="宋体" w:eastAsia="宋体" w:cs="宋体"/>
          <w:color w:val="auto"/>
          <w:spacing w:val="-26"/>
          <w:sz w:val="21"/>
          <w:szCs w:val="21"/>
          <w:highlight w:val="none"/>
        </w:rPr>
        <w:t>年</w:t>
      </w:r>
      <w:r>
        <w:rPr>
          <w:rFonts w:ascii="宋体" w:hAnsi="宋体" w:eastAsia="宋体" w:cs="宋体"/>
          <w:color w:val="auto"/>
          <w:spacing w:val="6"/>
          <w:sz w:val="21"/>
          <w:szCs w:val="21"/>
          <w:highlight w:val="none"/>
        </w:rPr>
        <w:t xml:space="preserve">  </w:t>
      </w:r>
      <w:r>
        <w:rPr>
          <w:rFonts w:ascii="宋体" w:hAnsi="宋体" w:eastAsia="宋体" w:cs="宋体"/>
          <w:color w:val="auto"/>
          <w:spacing w:val="-26"/>
          <w:sz w:val="21"/>
          <w:szCs w:val="21"/>
          <w:highlight w:val="none"/>
        </w:rPr>
        <w:t>月</w:t>
      </w:r>
      <w:r>
        <w:rPr>
          <w:rFonts w:ascii="宋体" w:hAnsi="宋体" w:eastAsia="宋体" w:cs="宋体"/>
          <w:color w:val="auto"/>
          <w:spacing w:val="98"/>
          <w:sz w:val="21"/>
          <w:szCs w:val="21"/>
          <w:highlight w:val="none"/>
        </w:rPr>
        <w:t xml:space="preserve"> </w:t>
      </w:r>
      <w:r>
        <w:rPr>
          <w:rFonts w:ascii="宋体" w:hAnsi="宋体" w:eastAsia="宋体" w:cs="宋体"/>
          <w:color w:val="auto"/>
          <w:spacing w:val="-26"/>
          <w:sz w:val="21"/>
          <w:szCs w:val="21"/>
          <w:highlight w:val="none"/>
        </w:rPr>
        <w:t>日</w:t>
      </w:r>
    </w:p>
    <w:p w14:paraId="3CDA72DB">
      <w:pPr>
        <w:spacing w:line="221" w:lineRule="auto"/>
        <w:rPr>
          <w:rFonts w:ascii="宋体" w:hAnsi="宋体" w:eastAsia="宋体" w:cs="宋体"/>
          <w:color w:val="auto"/>
          <w:sz w:val="21"/>
          <w:szCs w:val="21"/>
          <w:highlight w:val="none"/>
        </w:rPr>
        <w:sectPr>
          <w:footerReference r:id="rId82" w:type="default"/>
          <w:pgSz w:w="11905" w:h="16839"/>
          <w:pgMar w:top="1431" w:right="1402" w:bottom="996" w:left="1406" w:header="0" w:footer="791" w:gutter="0"/>
          <w:pgNumType w:fmt="decimal"/>
          <w:cols w:space="720" w:num="1"/>
        </w:sectPr>
      </w:pPr>
    </w:p>
    <w:p w14:paraId="01CA0369">
      <w:pPr>
        <w:pStyle w:val="3"/>
        <w:spacing w:line="297" w:lineRule="auto"/>
        <w:rPr>
          <w:color w:val="auto"/>
          <w:highlight w:val="none"/>
        </w:rPr>
      </w:pPr>
    </w:p>
    <w:p w14:paraId="480AFA34">
      <w:pPr>
        <w:pStyle w:val="3"/>
        <w:spacing w:line="297" w:lineRule="auto"/>
        <w:rPr>
          <w:color w:val="auto"/>
          <w:highlight w:val="none"/>
        </w:rPr>
      </w:pPr>
    </w:p>
    <w:p w14:paraId="4D1EF1B8">
      <w:pPr>
        <w:spacing w:before="78"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4"/>
          <w:sz w:val="24"/>
          <w:szCs w:val="24"/>
          <w:highlight w:val="none"/>
        </w:rPr>
        <w:t xml:space="preserve"> </w:t>
      </w:r>
      <w:r>
        <w:rPr>
          <w:rFonts w:ascii="Times New Roman" w:hAnsi="Times New Roman" w:eastAsia="Times New Roman" w:cs="Times New Roman"/>
          <w:color w:val="auto"/>
          <w:spacing w:val="-3"/>
          <w:sz w:val="24"/>
          <w:szCs w:val="24"/>
          <w:highlight w:val="none"/>
        </w:rPr>
        <w:t>A-4</w:t>
      </w:r>
      <w:r>
        <w:rPr>
          <w:rFonts w:ascii="黑体" w:hAnsi="黑体" w:eastAsia="黑体" w:cs="黑体"/>
          <w:color w:val="auto"/>
          <w:spacing w:val="-3"/>
          <w:sz w:val="24"/>
          <w:szCs w:val="24"/>
          <w:highlight w:val="none"/>
        </w:rPr>
        <w:t>：形式评审记录表</w:t>
      </w:r>
    </w:p>
    <w:p w14:paraId="42971D61">
      <w:pPr>
        <w:pStyle w:val="3"/>
        <w:spacing w:line="405" w:lineRule="auto"/>
        <w:rPr>
          <w:color w:val="auto"/>
          <w:highlight w:val="none"/>
        </w:rPr>
      </w:pPr>
    </w:p>
    <w:p w14:paraId="669026F4">
      <w:pPr>
        <w:spacing w:before="117" w:line="219" w:lineRule="auto"/>
        <w:ind w:left="2922"/>
        <w:rPr>
          <w:rFonts w:ascii="黑体" w:hAnsi="黑体" w:eastAsia="黑体" w:cs="黑体"/>
          <w:color w:val="auto"/>
          <w:sz w:val="36"/>
          <w:szCs w:val="36"/>
          <w:highlight w:val="none"/>
        </w:rPr>
      </w:pPr>
      <w:bookmarkStart w:id="192" w:name="bookmark220"/>
      <w:bookmarkEnd w:id="192"/>
      <w:r>
        <w:rPr>
          <w:rFonts w:ascii="黑体" w:hAnsi="黑体" w:eastAsia="黑体" w:cs="黑体"/>
          <w:color w:val="auto"/>
          <w:spacing w:val="-3"/>
          <w:sz w:val="36"/>
          <w:szCs w:val="36"/>
          <w:highlight w:val="none"/>
        </w:rPr>
        <w:t>形式评审记录表</w:t>
      </w:r>
    </w:p>
    <w:p w14:paraId="12CD86A6">
      <w:pPr>
        <w:spacing w:before="239"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7A7F523C">
      <w:pPr>
        <w:spacing w:before="22" w:line="214"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286"/>
        <w:gridCol w:w="615"/>
        <w:gridCol w:w="614"/>
        <w:gridCol w:w="619"/>
        <w:gridCol w:w="614"/>
        <w:gridCol w:w="614"/>
        <w:gridCol w:w="619"/>
        <w:gridCol w:w="615"/>
        <w:gridCol w:w="614"/>
        <w:gridCol w:w="619"/>
        <w:gridCol w:w="791"/>
      </w:tblGrid>
      <w:tr w14:paraId="57DA5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restart"/>
            <w:tcBorders>
              <w:bottom w:val="nil"/>
            </w:tcBorders>
            <w:vAlign w:val="top"/>
          </w:tcPr>
          <w:p w14:paraId="49EC041E">
            <w:pPr>
              <w:spacing w:line="252" w:lineRule="auto"/>
              <w:rPr>
                <w:rFonts w:ascii="Arial"/>
                <w:color w:val="auto"/>
                <w:sz w:val="21"/>
                <w:highlight w:val="none"/>
              </w:rPr>
            </w:pPr>
          </w:p>
          <w:p w14:paraId="4034FF7B">
            <w:pPr>
              <w:pStyle w:val="11"/>
              <w:spacing w:before="69" w:line="222" w:lineRule="auto"/>
              <w:ind w:left="142"/>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286" w:type="dxa"/>
            <w:vMerge w:val="restart"/>
            <w:tcBorders>
              <w:bottom w:val="nil"/>
            </w:tcBorders>
            <w:vAlign w:val="top"/>
          </w:tcPr>
          <w:p w14:paraId="6B9DF783">
            <w:pPr>
              <w:spacing w:line="253" w:lineRule="auto"/>
              <w:rPr>
                <w:rFonts w:ascii="Arial"/>
                <w:color w:val="auto"/>
                <w:sz w:val="21"/>
                <w:highlight w:val="none"/>
              </w:rPr>
            </w:pPr>
          </w:p>
          <w:p w14:paraId="2A04B269">
            <w:pPr>
              <w:pStyle w:val="11"/>
              <w:spacing w:before="68" w:line="221" w:lineRule="auto"/>
              <w:ind w:left="121"/>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14:paraId="4A76B7F0">
            <w:pPr>
              <w:pStyle w:val="11"/>
              <w:spacing w:before="105" w:line="221" w:lineRule="auto"/>
              <w:ind w:left="1828"/>
              <w:rPr>
                <w:color w:val="auto"/>
                <w:highlight w:val="none"/>
              </w:rPr>
            </w:pPr>
            <w:r>
              <w:rPr>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27F80C9C">
            <w:pPr>
              <w:pStyle w:val="11"/>
              <w:spacing w:before="183" w:line="241" w:lineRule="auto"/>
              <w:ind w:left="189"/>
              <w:rPr>
                <w:color w:val="auto"/>
                <w:highlight w:val="none"/>
              </w:rPr>
            </w:pPr>
            <w:r>
              <w:rPr>
                <w:color w:val="auto"/>
                <w:spacing w:val="-2"/>
                <w:highlight w:val="none"/>
                <w14:textOutline w14:w="3831" w14:cap="flat" w14:cmpd="sng">
                  <w14:solidFill>
                    <w14:srgbClr w14:val="000000"/>
                  </w14:solidFill>
                  <w14:prstDash w14:val="solid"/>
                  <w14:miter w14:val="0"/>
                </w14:textOutline>
              </w:rPr>
              <w:t>评审</w:t>
            </w:r>
          </w:p>
          <w:p w14:paraId="4EBA9A09">
            <w:pPr>
              <w:pStyle w:val="11"/>
              <w:spacing w:line="222" w:lineRule="auto"/>
              <w:ind w:left="195"/>
              <w:rPr>
                <w:color w:val="auto"/>
                <w:highlight w:val="none"/>
              </w:rPr>
            </w:pPr>
            <w:r>
              <w:rPr>
                <w:color w:val="auto"/>
                <w:spacing w:val="-3"/>
                <w:highlight w:val="none"/>
                <w14:textOutline w14:w="3831" w14:cap="flat" w14:cmpd="sng">
                  <w14:solidFill>
                    <w14:srgbClr w14:val="000000"/>
                  </w14:solidFill>
                  <w14:prstDash w14:val="solid"/>
                  <w14:miter w14:val="0"/>
                </w14:textOutline>
              </w:rPr>
              <w:t>结论</w:t>
            </w:r>
          </w:p>
        </w:tc>
      </w:tr>
      <w:tr w14:paraId="4C3DF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continue"/>
            <w:tcBorders>
              <w:top w:val="nil"/>
            </w:tcBorders>
            <w:vAlign w:val="top"/>
          </w:tcPr>
          <w:p w14:paraId="52D3831E">
            <w:pPr>
              <w:rPr>
                <w:rFonts w:ascii="Arial"/>
                <w:color w:val="auto"/>
                <w:sz w:val="21"/>
                <w:highlight w:val="none"/>
              </w:rPr>
            </w:pPr>
          </w:p>
        </w:tc>
        <w:tc>
          <w:tcPr>
            <w:tcW w:w="1286" w:type="dxa"/>
            <w:vMerge w:val="continue"/>
            <w:tcBorders>
              <w:top w:val="nil"/>
            </w:tcBorders>
            <w:vAlign w:val="top"/>
          </w:tcPr>
          <w:p w14:paraId="76FAD9C9">
            <w:pPr>
              <w:rPr>
                <w:rFonts w:ascii="Arial"/>
                <w:color w:val="auto"/>
                <w:sz w:val="21"/>
                <w:highlight w:val="none"/>
              </w:rPr>
            </w:pPr>
          </w:p>
        </w:tc>
        <w:tc>
          <w:tcPr>
            <w:tcW w:w="615" w:type="dxa"/>
            <w:vAlign w:val="top"/>
          </w:tcPr>
          <w:p w14:paraId="425F9A95">
            <w:pPr>
              <w:rPr>
                <w:rFonts w:ascii="Arial"/>
                <w:color w:val="auto"/>
                <w:sz w:val="21"/>
                <w:highlight w:val="none"/>
              </w:rPr>
            </w:pPr>
          </w:p>
        </w:tc>
        <w:tc>
          <w:tcPr>
            <w:tcW w:w="614" w:type="dxa"/>
            <w:vAlign w:val="top"/>
          </w:tcPr>
          <w:p w14:paraId="7E62B8F8">
            <w:pPr>
              <w:rPr>
                <w:rFonts w:ascii="Arial"/>
                <w:color w:val="auto"/>
                <w:sz w:val="21"/>
                <w:highlight w:val="none"/>
              </w:rPr>
            </w:pPr>
          </w:p>
        </w:tc>
        <w:tc>
          <w:tcPr>
            <w:tcW w:w="619" w:type="dxa"/>
            <w:vAlign w:val="top"/>
          </w:tcPr>
          <w:p w14:paraId="75155925">
            <w:pPr>
              <w:rPr>
                <w:rFonts w:ascii="Arial"/>
                <w:color w:val="auto"/>
                <w:sz w:val="21"/>
                <w:highlight w:val="none"/>
              </w:rPr>
            </w:pPr>
          </w:p>
        </w:tc>
        <w:tc>
          <w:tcPr>
            <w:tcW w:w="614" w:type="dxa"/>
            <w:vAlign w:val="top"/>
          </w:tcPr>
          <w:p w14:paraId="48C38BF4">
            <w:pPr>
              <w:rPr>
                <w:rFonts w:ascii="Arial"/>
                <w:color w:val="auto"/>
                <w:sz w:val="21"/>
                <w:highlight w:val="none"/>
              </w:rPr>
            </w:pPr>
          </w:p>
        </w:tc>
        <w:tc>
          <w:tcPr>
            <w:tcW w:w="614" w:type="dxa"/>
            <w:vAlign w:val="top"/>
          </w:tcPr>
          <w:p w14:paraId="7F19EF84">
            <w:pPr>
              <w:rPr>
                <w:rFonts w:ascii="Arial"/>
                <w:color w:val="auto"/>
                <w:sz w:val="21"/>
                <w:highlight w:val="none"/>
              </w:rPr>
            </w:pPr>
          </w:p>
        </w:tc>
        <w:tc>
          <w:tcPr>
            <w:tcW w:w="619" w:type="dxa"/>
            <w:vAlign w:val="top"/>
          </w:tcPr>
          <w:p w14:paraId="11F5B6F8">
            <w:pPr>
              <w:rPr>
                <w:rFonts w:ascii="Arial"/>
                <w:color w:val="auto"/>
                <w:sz w:val="21"/>
                <w:highlight w:val="none"/>
              </w:rPr>
            </w:pPr>
          </w:p>
        </w:tc>
        <w:tc>
          <w:tcPr>
            <w:tcW w:w="615" w:type="dxa"/>
            <w:vAlign w:val="top"/>
          </w:tcPr>
          <w:p w14:paraId="1DA119B4">
            <w:pPr>
              <w:rPr>
                <w:rFonts w:ascii="Arial"/>
                <w:color w:val="auto"/>
                <w:sz w:val="21"/>
                <w:highlight w:val="none"/>
              </w:rPr>
            </w:pPr>
          </w:p>
        </w:tc>
        <w:tc>
          <w:tcPr>
            <w:tcW w:w="614" w:type="dxa"/>
            <w:vAlign w:val="top"/>
          </w:tcPr>
          <w:p w14:paraId="7BA87BA5">
            <w:pPr>
              <w:rPr>
                <w:rFonts w:ascii="Arial"/>
                <w:color w:val="auto"/>
                <w:sz w:val="21"/>
                <w:highlight w:val="none"/>
              </w:rPr>
            </w:pPr>
          </w:p>
        </w:tc>
        <w:tc>
          <w:tcPr>
            <w:tcW w:w="619" w:type="dxa"/>
            <w:vAlign w:val="top"/>
          </w:tcPr>
          <w:p w14:paraId="5434B2CB">
            <w:pPr>
              <w:rPr>
                <w:rFonts w:ascii="Arial"/>
                <w:color w:val="auto"/>
                <w:sz w:val="21"/>
                <w:highlight w:val="none"/>
              </w:rPr>
            </w:pPr>
          </w:p>
        </w:tc>
        <w:tc>
          <w:tcPr>
            <w:tcW w:w="791" w:type="dxa"/>
            <w:vMerge w:val="continue"/>
            <w:tcBorders>
              <w:top w:val="nil"/>
            </w:tcBorders>
            <w:vAlign w:val="top"/>
          </w:tcPr>
          <w:p w14:paraId="64772F0C">
            <w:pPr>
              <w:rPr>
                <w:rFonts w:ascii="Arial"/>
                <w:color w:val="auto"/>
                <w:sz w:val="21"/>
                <w:highlight w:val="none"/>
              </w:rPr>
            </w:pPr>
          </w:p>
        </w:tc>
      </w:tr>
      <w:tr w14:paraId="7174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2942BFE8">
            <w:pPr>
              <w:pStyle w:val="11"/>
              <w:spacing w:before="208" w:line="183" w:lineRule="auto"/>
              <w:ind w:left="316"/>
              <w:rPr>
                <w:color w:val="auto"/>
                <w:highlight w:val="none"/>
              </w:rPr>
            </w:pPr>
            <w:r>
              <w:rPr>
                <w:color w:val="auto"/>
                <w:highlight w:val="none"/>
              </w:rPr>
              <w:t>1</w:t>
            </w:r>
          </w:p>
        </w:tc>
        <w:tc>
          <w:tcPr>
            <w:tcW w:w="1286" w:type="dxa"/>
            <w:vAlign w:val="top"/>
          </w:tcPr>
          <w:p w14:paraId="32F21DA0">
            <w:pPr>
              <w:rPr>
                <w:rFonts w:ascii="Arial"/>
                <w:color w:val="auto"/>
                <w:sz w:val="21"/>
                <w:highlight w:val="none"/>
              </w:rPr>
            </w:pPr>
          </w:p>
        </w:tc>
        <w:tc>
          <w:tcPr>
            <w:tcW w:w="615" w:type="dxa"/>
            <w:vAlign w:val="top"/>
          </w:tcPr>
          <w:p w14:paraId="14111456">
            <w:pPr>
              <w:rPr>
                <w:rFonts w:ascii="Arial"/>
                <w:color w:val="auto"/>
                <w:sz w:val="21"/>
                <w:highlight w:val="none"/>
              </w:rPr>
            </w:pPr>
          </w:p>
        </w:tc>
        <w:tc>
          <w:tcPr>
            <w:tcW w:w="614" w:type="dxa"/>
            <w:vAlign w:val="top"/>
          </w:tcPr>
          <w:p w14:paraId="4E7AFF65">
            <w:pPr>
              <w:rPr>
                <w:rFonts w:ascii="Arial"/>
                <w:color w:val="auto"/>
                <w:sz w:val="21"/>
                <w:highlight w:val="none"/>
              </w:rPr>
            </w:pPr>
          </w:p>
        </w:tc>
        <w:tc>
          <w:tcPr>
            <w:tcW w:w="619" w:type="dxa"/>
            <w:vAlign w:val="top"/>
          </w:tcPr>
          <w:p w14:paraId="034F589C">
            <w:pPr>
              <w:rPr>
                <w:rFonts w:ascii="Arial"/>
                <w:color w:val="auto"/>
                <w:sz w:val="21"/>
                <w:highlight w:val="none"/>
              </w:rPr>
            </w:pPr>
          </w:p>
        </w:tc>
        <w:tc>
          <w:tcPr>
            <w:tcW w:w="614" w:type="dxa"/>
            <w:vAlign w:val="top"/>
          </w:tcPr>
          <w:p w14:paraId="3A63C375">
            <w:pPr>
              <w:rPr>
                <w:rFonts w:ascii="Arial"/>
                <w:color w:val="auto"/>
                <w:sz w:val="21"/>
                <w:highlight w:val="none"/>
              </w:rPr>
            </w:pPr>
          </w:p>
        </w:tc>
        <w:tc>
          <w:tcPr>
            <w:tcW w:w="614" w:type="dxa"/>
            <w:vAlign w:val="top"/>
          </w:tcPr>
          <w:p w14:paraId="535D0928">
            <w:pPr>
              <w:rPr>
                <w:rFonts w:ascii="Arial"/>
                <w:color w:val="auto"/>
                <w:sz w:val="21"/>
                <w:highlight w:val="none"/>
              </w:rPr>
            </w:pPr>
          </w:p>
        </w:tc>
        <w:tc>
          <w:tcPr>
            <w:tcW w:w="619" w:type="dxa"/>
            <w:vAlign w:val="top"/>
          </w:tcPr>
          <w:p w14:paraId="3758AFA9">
            <w:pPr>
              <w:rPr>
                <w:rFonts w:ascii="Arial"/>
                <w:color w:val="auto"/>
                <w:sz w:val="21"/>
                <w:highlight w:val="none"/>
              </w:rPr>
            </w:pPr>
          </w:p>
        </w:tc>
        <w:tc>
          <w:tcPr>
            <w:tcW w:w="615" w:type="dxa"/>
            <w:vAlign w:val="top"/>
          </w:tcPr>
          <w:p w14:paraId="4F68BF34">
            <w:pPr>
              <w:rPr>
                <w:rFonts w:ascii="Arial"/>
                <w:color w:val="auto"/>
                <w:sz w:val="21"/>
                <w:highlight w:val="none"/>
              </w:rPr>
            </w:pPr>
          </w:p>
        </w:tc>
        <w:tc>
          <w:tcPr>
            <w:tcW w:w="614" w:type="dxa"/>
            <w:vAlign w:val="top"/>
          </w:tcPr>
          <w:p w14:paraId="7CC143EB">
            <w:pPr>
              <w:rPr>
                <w:rFonts w:ascii="Arial"/>
                <w:color w:val="auto"/>
                <w:sz w:val="21"/>
                <w:highlight w:val="none"/>
              </w:rPr>
            </w:pPr>
          </w:p>
        </w:tc>
        <w:tc>
          <w:tcPr>
            <w:tcW w:w="619" w:type="dxa"/>
            <w:vAlign w:val="top"/>
          </w:tcPr>
          <w:p w14:paraId="0FF76059">
            <w:pPr>
              <w:rPr>
                <w:rFonts w:ascii="Arial"/>
                <w:color w:val="auto"/>
                <w:sz w:val="21"/>
                <w:highlight w:val="none"/>
              </w:rPr>
            </w:pPr>
          </w:p>
        </w:tc>
        <w:tc>
          <w:tcPr>
            <w:tcW w:w="791" w:type="dxa"/>
            <w:vAlign w:val="top"/>
          </w:tcPr>
          <w:p w14:paraId="5377BE52">
            <w:pPr>
              <w:rPr>
                <w:rFonts w:ascii="Arial"/>
                <w:color w:val="auto"/>
                <w:sz w:val="21"/>
                <w:highlight w:val="none"/>
              </w:rPr>
            </w:pPr>
          </w:p>
        </w:tc>
      </w:tr>
      <w:tr w14:paraId="1A3BA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6315E290">
            <w:pPr>
              <w:pStyle w:val="11"/>
              <w:spacing w:before="214" w:line="182" w:lineRule="auto"/>
              <w:ind w:left="303"/>
              <w:rPr>
                <w:color w:val="auto"/>
                <w:highlight w:val="none"/>
              </w:rPr>
            </w:pPr>
            <w:r>
              <w:rPr>
                <w:color w:val="auto"/>
                <w:highlight w:val="none"/>
              </w:rPr>
              <w:t>2</w:t>
            </w:r>
          </w:p>
        </w:tc>
        <w:tc>
          <w:tcPr>
            <w:tcW w:w="1286" w:type="dxa"/>
            <w:vAlign w:val="top"/>
          </w:tcPr>
          <w:p w14:paraId="37DBDAAB">
            <w:pPr>
              <w:rPr>
                <w:rFonts w:ascii="Arial"/>
                <w:color w:val="auto"/>
                <w:sz w:val="21"/>
                <w:highlight w:val="none"/>
              </w:rPr>
            </w:pPr>
          </w:p>
        </w:tc>
        <w:tc>
          <w:tcPr>
            <w:tcW w:w="615" w:type="dxa"/>
            <w:vAlign w:val="top"/>
          </w:tcPr>
          <w:p w14:paraId="51977848">
            <w:pPr>
              <w:rPr>
                <w:rFonts w:ascii="Arial"/>
                <w:color w:val="auto"/>
                <w:sz w:val="21"/>
                <w:highlight w:val="none"/>
              </w:rPr>
            </w:pPr>
          </w:p>
        </w:tc>
        <w:tc>
          <w:tcPr>
            <w:tcW w:w="614" w:type="dxa"/>
            <w:vAlign w:val="top"/>
          </w:tcPr>
          <w:p w14:paraId="2CB3DB5A">
            <w:pPr>
              <w:rPr>
                <w:rFonts w:ascii="Arial"/>
                <w:color w:val="auto"/>
                <w:sz w:val="21"/>
                <w:highlight w:val="none"/>
              </w:rPr>
            </w:pPr>
          </w:p>
        </w:tc>
        <w:tc>
          <w:tcPr>
            <w:tcW w:w="619" w:type="dxa"/>
            <w:vAlign w:val="top"/>
          </w:tcPr>
          <w:p w14:paraId="1ABE7234">
            <w:pPr>
              <w:rPr>
                <w:rFonts w:ascii="Arial"/>
                <w:color w:val="auto"/>
                <w:sz w:val="21"/>
                <w:highlight w:val="none"/>
              </w:rPr>
            </w:pPr>
          </w:p>
        </w:tc>
        <w:tc>
          <w:tcPr>
            <w:tcW w:w="614" w:type="dxa"/>
            <w:vAlign w:val="top"/>
          </w:tcPr>
          <w:p w14:paraId="789EF138">
            <w:pPr>
              <w:rPr>
                <w:rFonts w:ascii="Arial"/>
                <w:color w:val="auto"/>
                <w:sz w:val="21"/>
                <w:highlight w:val="none"/>
              </w:rPr>
            </w:pPr>
          </w:p>
        </w:tc>
        <w:tc>
          <w:tcPr>
            <w:tcW w:w="614" w:type="dxa"/>
            <w:vAlign w:val="top"/>
          </w:tcPr>
          <w:p w14:paraId="5AB587ED">
            <w:pPr>
              <w:rPr>
                <w:rFonts w:ascii="Arial"/>
                <w:color w:val="auto"/>
                <w:sz w:val="21"/>
                <w:highlight w:val="none"/>
              </w:rPr>
            </w:pPr>
          </w:p>
        </w:tc>
        <w:tc>
          <w:tcPr>
            <w:tcW w:w="619" w:type="dxa"/>
            <w:vAlign w:val="top"/>
          </w:tcPr>
          <w:p w14:paraId="14880280">
            <w:pPr>
              <w:rPr>
                <w:rFonts w:ascii="Arial"/>
                <w:color w:val="auto"/>
                <w:sz w:val="21"/>
                <w:highlight w:val="none"/>
              </w:rPr>
            </w:pPr>
          </w:p>
        </w:tc>
        <w:tc>
          <w:tcPr>
            <w:tcW w:w="615" w:type="dxa"/>
            <w:vAlign w:val="top"/>
          </w:tcPr>
          <w:p w14:paraId="646C824D">
            <w:pPr>
              <w:rPr>
                <w:rFonts w:ascii="Arial"/>
                <w:color w:val="auto"/>
                <w:sz w:val="21"/>
                <w:highlight w:val="none"/>
              </w:rPr>
            </w:pPr>
          </w:p>
        </w:tc>
        <w:tc>
          <w:tcPr>
            <w:tcW w:w="614" w:type="dxa"/>
            <w:vAlign w:val="top"/>
          </w:tcPr>
          <w:p w14:paraId="130DDFF8">
            <w:pPr>
              <w:rPr>
                <w:rFonts w:ascii="Arial"/>
                <w:color w:val="auto"/>
                <w:sz w:val="21"/>
                <w:highlight w:val="none"/>
              </w:rPr>
            </w:pPr>
          </w:p>
        </w:tc>
        <w:tc>
          <w:tcPr>
            <w:tcW w:w="619" w:type="dxa"/>
            <w:vAlign w:val="top"/>
          </w:tcPr>
          <w:p w14:paraId="2128A5D2">
            <w:pPr>
              <w:rPr>
                <w:rFonts w:ascii="Arial"/>
                <w:color w:val="auto"/>
                <w:sz w:val="21"/>
                <w:highlight w:val="none"/>
              </w:rPr>
            </w:pPr>
          </w:p>
        </w:tc>
        <w:tc>
          <w:tcPr>
            <w:tcW w:w="791" w:type="dxa"/>
            <w:vAlign w:val="top"/>
          </w:tcPr>
          <w:p w14:paraId="57796DF6">
            <w:pPr>
              <w:rPr>
                <w:rFonts w:ascii="Arial"/>
                <w:color w:val="auto"/>
                <w:sz w:val="21"/>
                <w:highlight w:val="none"/>
              </w:rPr>
            </w:pPr>
          </w:p>
        </w:tc>
      </w:tr>
      <w:tr w14:paraId="6CD6C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59196B9E">
            <w:pPr>
              <w:pStyle w:val="11"/>
              <w:spacing w:before="215" w:line="182" w:lineRule="auto"/>
              <w:ind w:left="305"/>
              <w:rPr>
                <w:color w:val="auto"/>
                <w:highlight w:val="none"/>
              </w:rPr>
            </w:pPr>
            <w:r>
              <w:rPr>
                <w:color w:val="auto"/>
                <w:highlight w:val="none"/>
              </w:rPr>
              <w:t>3</w:t>
            </w:r>
          </w:p>
        </w:tc>
        <w:tc>
          <w:tcPr>
            <w:tcW w:w="1286" w:type="dxa"/>
            <w:vAlign w:val="top"/>
          </w:tcPr>
          <w:p w14:paraId="47D0E574">
            <w:pPr>
              <w:rPr>
                <w:rFonts w:ascii="Arial"/>
                <w:color w:val="auto"/>
                <w:sz w:val="21"/>
                <w:highlight w:val="none"/>
              </w:rPr>
            </w:pPr>
          </w:p>
        </w:tc>
        <w:tc>
          <w:tcPr>
            <w:tcW w:w="615" w:type="dxa"/>
            <w:vAlign w:val="top"/>
          </w:tcPr>
          <w:p w14:paraId="5B4822BA">
            <w:pPr>
              <w:rPr>
                <w:rFonts w:ascii="Arial"/>
                <w:color w:val="auto"/>
                <w:sz w:val="21"/>
                <w:highlight w:val="none"/>
              </w:rPr>
            </w:pPr>
          </w:p>
        </w:tc>
        <w:tc>
          <w:tcPr>
            <w:tcW w:w="614" w:type="dxa"/>
            <w:vAlign w:val="top"/>
          </w:tcPr>
          <w:p w14:paraId="73CDCB1E">
            <w:pPr>
              <w:rPr>
                <w:rFonts w:ascii="Arial"/>
                <w:color w:val="auto"/>
                <w:sz w:val="21"/>
                <w:highlight w:val="none"/>
              </w:rPr>
            </w:pPr>
          </w:p>
        </w:tc>
        <w:tc>
          <w:tcPr>
            <w:tcW w:w="619" w:type="dxa"/>
            <w:vAlign w:val="top"/>
          </w:tcPr>
          <w:p w14:paraId="18D40B85">
            <w:pPr>
              <w:rPr>
                <w:rFonts w:ascii="Arial"/>
                <w:color w:val="auto"/>
                <w:sz w:val="21"/>
                <w:highlight w:val="none"/>
              </w:rPr>
            </w:pPr>
          </w:p>
        </w:tc>
        <w:tc>
          <w:tcPr>
            <w:tcW w:w="614" w:type="dxa"/>
            <w:vAlign w:val="top"/>
          </w:tcPr>
          <w:p w14:paraId="02E6C267">
            <w:pPr>
              <w:rPr>
                <w:rFonts w:ascii="Arial"/>
                <w:color w:val="auto"/>
                <w:sz w:val="21"/>
                <w:highlight w:val="none"/>
              </w:rPr>
            </w:pPr>
          </w:p>
        </w:tc>
        <w:tc>
          <w:tcPr>
            <w:tcW w:w="614" w:type="dxa"/>
            <w:vAlign w:val="top"/>
          </w:tcPr>
          <w:p w14:paraId="6985727B">
            <w:pPr>
              <w:rPr>
                <w:rFonts w:ascii="Arial"/>
                <w:color w:val="auto"/>
                <w:sz w:val="21"/>
                <w:highlight w:val="none"/>
              </w:rPr>
            </w:pPr>
          </w:p>
        </w:tc>
        <w:tc>
          <w:tcPr>
            <w:tcW w:w="619" w:type="dxa"/>
            <w:vAlign w:val="top"/>
          </w:tcPr>
          <w:p w14:paraId="0042ECD2">
            <w:pPr>
              <w:rPr>
                <w:rFonts w:ascii="Arial"/>
                <w:color w:val="auto"/>
                <w:sz w:val="21"/>
                <w:highlight w:val="none"/>
              </w:rPr>
            </w:pPr>
          </w:p>
        </w:tc>
        <w:tc>
          <w:tcPr>
            <w:tcW w:w="615" w:type="dxa"/>
            <w:vAlign w:val="top"/>
          </w:tcPr>
          <w:p w14:paraId="1823E7AA">
            <w:pPr>
              <w:rPr>
                <w:rFonts w:ascii="Arial"/>
                <w:color w:val="auto"/>
                <w:sz w:val="21"/>
                <w:highlight w:val="none"/>
              </w:rPr>
            </w:pPr>
          </w:p>
        </w:tc>
        <w:tc>
          <w:tcPr>
            <w:tcW w:w="614" w:type="dxa"/>
            <w:vAlign w:val="top"/>
          </w:tcPr>
          <w:p w14:paraId="31805135">
            <w:pPr>
              <w:rPr>
                <w:rFonts w:ascii="Arial"/>
                <w:color w:val="auto"/>
                <w:sz w:val="21"/>
                <w:highlight w:val="none"/>
              </w:rPr>
            </w:pPr>
          </w:p>
        </w:tc>
        <w:tc>
          <w:tcPr>
            <w:tcW w:w="619" w:type="dxa"/>
            <w:vAlign w:val="top"/>
          </w:tcPr>
          <w:p w14:paraId="08DADE57">
            <w:pPr>
              <w:rPr>
                <w:rFonts w:ascii="Arial"/>
                <w:color w:val="auto"/>
                <w:sz w:val="21"/>
                <w:highlight w:val="none"/>
              </w:rPr>
            </w:pPr>
          </w:p>
        </w:tc>
        <w:tc>
          <w:tcPr>
            <w:tcW w:w="791" w:type="dxa"/>
            <w:vAlign w:val="top"/>
          </w:tcPr>
          <w:p w14:paraId="16D4D25A">
            <w:pPr>
              <w:rPr>
                <w:rFonts w:ascii="Arial"/>
                <w:color w:val="auto"/>
                <w:sz w:val="21"/>
                <w:highlight w:val="none"/>
              </w:rPr>
            </w:pPr>
          </w:p>
        </w:tc>
      </w:tr>
      <w:tr w14:paraId="24AEA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91" w:type="dxa"/>
            <w:vAlign w:val="top"/>
          </w:tcPr>
          <w:p w14:paraId="5581D3A6">
            <w:pPr>
              <w:pStyle w:val="11"/>
              <w:spacing w:before="215" w:line="182" w:lineRule="auto"/>
              <w:ind w:left="300"/>
              <w:rPr>
                <w:color w:val="auto"/>
                <w:highlight w:val="none"/>
              </w:rPr>
            </w:pPr>
            <w:r>
              <w:rPr>
                <w:color w:val="auto"/>
                <w:highlight w:val="none"/>
              </w:rPr>
              <w:t>4</w:t>
            </w:r>
          </w:p>
        </w:tc>
        <w:tc>
          <w:tcPr>
            <w:tcW w:w="1286" w:type="dxa"/>
            <w:vAlign w:val="top"/>
          </w:tcPr>
          <w:p w14:paraId="72FE2B7E">
            <w:pPr>
              <w:rPr>
                <w:rFonts w:ascii="Arial"/>
                <w:color w:val="auto"/>
                <w:sz w:val="21"/>
                <w:highlight w:val="none"/>
              </w:rPr>
            </w:pPr>
          </w:p>
        </w:tc>
        <w:tc>
          <w:tcPr>
            <w:tcW w:w="615" w:type="dxa"/>
            <w:vAlign w:val="top"/>
          </w:tcPr>
          <w:p w14:paraId="4C7A6DC8">
            <w:pPr>
              <w:rPr>
                <w:rFonts w:ascii="Arial"/>
                <w:color w:val="auto"/>
                <w:sz w:val="21"/>
                <w:highlight w:val="none"/>
              </w:rPr>
            </w:pPr>
          </w:p>
        </w:tc>
        <w:tc>
          <w:tcPr>
            <w:tcW w:w="614" w:type="dxa"/>
            <w:vAlign w:val="top"/>
          </w:tcPr>
          <w:p w14:paraId="4DBD1A02">
            <w:pPr>
              <w:rPr>
                <w:rFonts w:ascii="Arial"/>
                <w:color w:val="auto"/>
                <w:sz w:val="21"/>
                <w:highlight w:val="none"/>
              </w:rPr>
            </w:pPr>
          </w:p>
        </w:tc>
        <w:tc>
          <w:tcPr>
            <w:tcW w:w="619" w:type="dxa"/>
            <w:vAlign w:val="top"/>
          </w:tcPr>
          <w:p w14:paraId="0CA1E78A">
            <w:pPr>
              <w:rPr>
                <w:rFonts w:ascii="Arial"/>
                <w:color w:val="auto"/>
                <w:sz w:val="21"/>
                <w:highlight w:val="none"/>
              </w:rPr>
            </w:pPr>
          </w:p>
        </w:tc>
        <w:tc>
          <w:tcPr>
            <w:tcW w:w="614" w:type="dxa"/>
            <w:vAlign w:val="top"/>
          </w:tcPr>
          <w:p w14:paraId="429EB231">
            <w:pPr>
              <w:rPr>
                <w:rFonts w:ascii="Arial"/>
                <w:color w:val="auto"/>
                <w:sz w:val="21"/>
                <w:highlight w:val="none"/>
              </w:rPr>
            </w:pPr>
          </w:p>
        </w:tc>
        <w:tc>
          <w:tcPr>
            <w:tcW w:w="614" w:type="dxa"/>
            <w:vAlign w:val="top"/>
          </w:tcPr>
          <w:p w14:paraId="041F8718">
            <w:pPr>
              <w:rPr>
                <w:rFonts w:ascii="Arial"/>
                <w:color w:val="auto"/>
                <w:sz w:val="21"/>
                <w:highlight w:val="none"/>
              </w:rPr>
            </w:pPr>
          </w:p>
        </w:tc>
        <w:tc>
          <w:tcPr>
            <w:tcW w:w="619" w:type="dxa"/>
            <w:vAlign w:val="top"/>
          </w:tcPr>
          <w:p w14:paraId="0A460684">
            <w:pPr>
              <w:rPr>
                <w:rFonts w:ascii="Arial"/>
                <w:color w:val="auto"/>
                <w:sz w:val="21"/>
                <w:highlight w:val="none"/>
              </w:rPr>
            </w:pPr>
          </w:p>
        </w:tc>
        <w:tc>
          <w:tcPr>
            <w:tcW w:w="615" w:type="dxa"/>
            <w:vAlign w:val="top"/>
          </w:tcPr>
          <w:p w14:paraId="498A09B9">
            <w:pPr>
              <w:rPr>
                <w:rFonts w:ascii="Arial"/>
                <w:color w:val="auto"/>
                <w:sz w:val="21"/>
                <w:highlight w:val="none"/>
              </w:rPr>
            </w:pPr>
          </w:p>
        </w:tc>
        <w:tc>
          <w:tcPr>
            <w:tcW w:w="614" w:type="dxa"/>
            <w:vAlign w:val="top"/>
          </w:tcPr>
          <w:p w14:paraId="30C114B6">
            <w:pPr>
              <w:rPr>
                <w:rFonts w:ascii="Arial"/>
                <w:color w:val="auto"/>
                <w:sz w:val="21"/>
                <w:highlight w:val="none"/>
              </w:rPr>
            </w:pPr>
          </w:p>
        </w:tc>
        <w:tc>
          <w:tcPr>
            <w:tcW w:w="619" w:type="dxa"/>
            <w:vAlign w:val="top"/>
          </w:tcPr>
          <w:p w14:paraId="1DEDF88C">
            <w:pPr>
              <w:rPr>
                <w:rFonts w:ascii="Arial"/>
                <w:color w:val="auto"/>
                <w:sz w:val="21"/>
                <w:highlight w:val="none"/>
              </w:rPr>
            </w:pPr>
          </w:p>
        </w:tc>
        <w:tc>
          <w:tcPr>
            <w:tcW w:w="791" w:type="dxa"/>
            <w:vAlign w:val="top"/>
          </w:tcPr>
          <w:p w14:paraId="742993C3">
            <w:pPr>
              <w:rPr>
                <w:rFonts w:ascii="Arial"/>
                <w:color w:val="auto"/>
                <w:sz w:val="21"/>
                <w:highlight w:val="none"/>
              </w:rPr>
            </w:pPr>
          </w:p>
        </w:tc>
      </w:tr>
      <w:tr w14:paraId="15237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4A00164C">
            <w:pPr>
              <w:pStyle w:val="11"/>
              <w:spacing w:before="212" w:line="181" w:lineRule="auto"/>
              <w:ind w:left="305"/>
              <w:rPr>
                <w:color w:val="auto"/>
                <w:highlight w:val="none"/>
              </w:rPr>
            </w:pPr>
            <w:r>
              <w:rPr>
                <w:color w:val="auto"/>
                <w:highlight w:val="none"/>
              </w:rPr>
              <w:t>5</w:t>
            </w:r>
          </w:p>
        </w:tc>
        <w:tc>
          <w:tcPr>
            <w:tcW w:w="1286" w:type="dxa"/>
            <w:vAlign w:val="top"/>
          </w:tcPr>
          <w:p w14:paraId="5383895B">
            <w:pPr>
              <w:rPr>
                <w:rFonts w:ascii="Arial"/>
                <w:color w:val="auto"/>
                <w:sz w:val="21"/>
                <w:highlight w:val="none"/>
              </w:rPr>
            </w:pPr>
          </w:p>
        </w:tc>
        <w:tc>
          <w:tcPr>
            <w:tcW w:w="615" w:type="dxa"/>
            <w:vAlign w:val="top"/>
          </w:tcPr>
          <w:p w14:paraId="1096DA3E">
            <w:pPr>
              <w:rPr>
                <w:rFonts w:ascii="Arial"/>
                <w:color w:val="auto"/>
                <w:sz w:val="21"/>
                <w:highlight w:val="none"/>
              </w:rPr>
            </w:pPr>
          </w:p>
        </w:tc>
        <w:tc>
          <w:tcPr>
            <w:tcW w:w="614" w:type="dxa"/>
            <w:vAlign w:val="top"/>
          </w:tcPr>
          <w:p w14:paraId="7D9A0A88">
            <w:pPr>
              <w:rPr>
                <w:rFonts w:ascii="Arial"/>
                <w:color w:val="auto"/>
                <w:sz w:val="21"/>
                <w:highlight w:val="none"/>
              </w:rPr>
            </w:pPr>
          </w:p>
        </w:tc>
        <w:tc>
          <w:tcPr>
            <w:tcW w:w="619" w:type="dxa"/>
            <w:vAlign w:val="top"/>
          </w:tcPr>
          <w:p w14:paraId="2236D21F">
            <w:pPr>
              <w:rPr>
                <w:rFonts w:ascii="Arial"/>
                <w:color w:val="auto"/>
                <w:sz w:val="21"/>
                <w:highlight w:val="none"/>
              </w:rPr>
            </w:pPr>
          </w:p>
        </w:tc>
        <w:tc>
          <w:tcPr>
            <w:tcW w:w="614" w:type="dxa"/>
            <w:vAlign w:val="top"/>
          </w:tcPr>
          <w:p w14:paraId="72ACF3B7">
            <w:pPr>
              <w:rPr>
                <w:rFonts w:ascii="Arial"/>
                <w:color w:val="auto"/>
                <w:sz w:val="21"/>
                <w:highlight w:val="none"/>
              </w:rPr>
            </w:pPr>
          </w:p>
        </w:tc>
        <w:tc>
          <w:tcPr>
            <w:tcW w:w="614" w:type="dxa"/>
            <w:vAlign w:val="top"/>
          </w:tcPr>
          <w:p w14:paraId="561C474B">
            <w:pPr>
              <w:rPr>
                <w:rFonts w:ascii="Arial"/>
                <w:color w:val="auto"/>
                <w:sz w:val="21"/>
                <w:highlight w:val="none"/>
              </w:rPr>
            </w:pPr>
          </w:p>
        </w:tc>
        <w:tc>
          <w:tcPr>
            <w:tcW w:w="619" w:type="dxa"/>
            <w:vAlign w:val="top"/>
          </w:tcPr>
          <w:p w14:paraId="61744F44">
            <w:pPr>
              <w:rPr>
                <w:rFonts w:ascii="Arial"/>
                <w:color w:val="auto"/>
                <w:sz w:val="21"/>
                <w:highlight w:val="none"/>
              </w:rPr>
            </w:pPr>
          </w:p>
        </w:tc>
        <w:tc>
          <w:tcPr>
            <w:tcW w:w="615" w:type="dxa"/>
            <w:vAlign w:val="top"/>
          </w:tcPr>
          <w:p w14:paraId="5EDC2BC7">
            <w:pPr>
              <w:rPr>
                <w:rFonts w:ascii="Arial"/>
                <w:color w:val="auto"/>
                <w:sz w:val="21"/>
                <w:highlight w:val="none"/>
              </w:rPr>
            </w:pPr>
          </w:p>
        </w:tc>
        <w:tc>
          <w:tcPr>
            <w:tcW w:w="614" w:type="dxa"/>
            <w:vAlign w:val="top"/>
          </w:tcPr>
          <w:p w14:paraId="51432D6D">
            <w:pPr>
              <w:rPr>
                <w:rFonts w:ascii="Arial"/>
                <w:color w:val="auto"/>
                <w:sz w:val="21"/>
                <w:highlight w:val="none"/>
              </w:rPr>
            </w:pPr>
          </w:p>
        </w:tc>
        <w:tc>
          <w:tcPr>
            <w:tcW w:w="619" w:type="dxa"/>
            <w:vAlign w:val="top"/>
          </w:tcPr>
          <w:p w14:paraId="3EDD9C2D">
            <w:pPr>
              <w:rPr>
                <w:rFonts w:ascii="Arial"/>
                <w:color w:val="auto"/>
                <w:sz w:val="21"/>
                <w:highlight w:val="none"/>
              </w:rPr>
            </w:pPr>
          </w:p>
        </w:tc>
        <w:tc>
          <w:tcPr>
            <w:tcW w:w="791" w:type="dxa"/>
            <w:vAlign w:val="top"/>
          </w:tcPr>
          <w:p w14:paraId="7964F180">
            <w:pPr>
              <w:rPr>
                <w:rFonts w:ascii="Arial"/>
                <w:color w:val="auto"/>
                <w:sz w:val="21"/>
                <w:highlight w:val="none"/>
              </w:rPr>
            </w:pPr>
          </w:p>
        </w:tc>
      </w:tr>
      <w:tr w14:paraId="53BC5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001DEFC4">
            <w:pPr>
              <w:pStyle w:val="11"/>
              <w:spacing w:before="213" w:line="182" w:lineRule="auto"/>
              <w:ind w:left="303"/>
              <w:rPr>
                <w:color w:val="auto"/>
                <w:highlight w:val="none"/>
              </w:rPr>
            </w:pPr>
            <w:r>
              <w:rPr>
                <w:color w:val="auto"/>
                <w:highlight w:val="none"/>
              </w:rPr>
              <w:t>6</w:t>
            </w:r>
          </w:p>
        </w:tc>
        <w:tc>
          <w:tcPr>
            <w:tcW w:w="1286" w:type="dxa"/>
            <w:vAlign w:val="top"/>
          </w:tcPr>
          <w:p w14:paraId="37F0BCFB">
            <w:pPr>
              <w:rPr>
                <w:rFonts w:ascii="Arial"/>
                <w:color w:val="auto"/>
                <w:sz w:val="21"/>
                <w:highlight w:val="none"/>
              </w:rPr>
            </w:pPr>
          </w:p>
        </w:tc>
        <w:tc>
          <w:tcPr>
            <w:tcW w:w="615" w:type="dxa"/>
            <w:vAlign w:val="top"/>
          </w:tcPr>
          <w:p w14:paraId="0854CF8E">
            <w:pPr>
              <w:rPr>
                <w:rFonts w:ascii="Arial"/>
                <w:color w:val="auto"/>
                <w:sz w:val="21"/>
                <w:highlight w:val="none"/>
              </w:rPr>
            </w:pPr>
          </w:p>
        </w:tc>
        <w:tc>
          <w:tcPr>
            <w:tcW w:w="614" w:type="dxa"/>
            <w:vAlign w:val="top"/>
          </w:tcPr>
          <w:p w14:paraId="4C1028C6">
            <w:pPr>
              <w:rPr>
                <w:rFonts w:ascii="Arial"/>
                <w:color w:val="auto"/>
                <w:sz w:val="21"/>
                <w:highlight w:val="none"/>
              </w:rPr>
            </w:pPr>
          </w:p>
        </w:tc>
        <w:tc>
          <w:tcPr>
            <w:tcW w:w="619" w:type="dxa"/>
            <w:vAlign w:val="top"/>
          </w:tcPr>
          <w:p w14:paraId="7818F97D">
            <w:pPr>
              <w:rPr>
                <w:rFonts w:ascii="Arial"/>
                <w:color w:val="auto"/>
                <w:sz w:val="21"/>
                <w:highlight w:val="none"/>
              </w:rPr>
            </w:pPr>
          </w:p>
        </w:tc>
        <w:tc>
          <w:tcPr>
            <w:tcW w:w="614" w:type="dxa"/>
            <w:vAlign w:val="top"/>
          </w:tcPr>
          <w:p w14:paraId="5218B35C">
            <w:pPr>
              <w:rPr>
                <w:rFonts w:ascii="Arial"/>
                <w:color w:val="auto"/>
                <w:sz w:val="21"/>
                <w:highlight w:val="none"/>
              </w:rPr>
            </w:pPr>
          </w:p>
        </w:tc>
        <w:tc>
          <w:tcPr>
            <w:tcW w:w="614" w:type="dxa"/>
            <w:vAlign w:val="top"/>
          </w:tcPr>
          <w:p w14:paraId="6DD2395A">
            <w:pPr>
              <w:rPr>
                <w:rFonts w:ascii="Arial"/>
                <w:color w:val="auto"/>
                <w:sz w:val="21"/>
                <w:highlight w:val="none"/>
              </w:rPr>
            </w:pPr>
          </w:p>
        </w:tc>
        <w:tc>
          <w:tcPr>
            <w:tcW w:w="619" w:type="dxa"/>
            <w:vAlign w:val="top"/>
          </w:tcPr>
          <w:p w14:paraId="1FDC498A">
            <w:pPr>
              <w:rPr>
                <w:rFonts w:ascii="Arial"/>
                <w:color w:val="auto"/>
                <w:sz w:val="21"/>
                <w:highlight w:val="none"/>
              </w:rPr>
            </w:pPr>
          </w:p>
        </w:tc>
        <w:tc>
          <w:tcPr>
            <w:tcW w:w="615" w:type="dxa"/>
            <w:vAlign w:val="top"/>
          </w:tcPr>
          <w:p w14:paraId="5F01DEB5">
            <w:pPr>
              <w:rPr>
                <w:rFonts w:ascii="Arial"/>
                <w:color w:val="auto"/>
                <w:sz w:val="21"/>
                <w:highlight w:val="none"/>
              </w:rPr>
            </w:pPr>
          </w:p>
        </w:tc>
        <w:tc>
          <w:tcPr>
            <w:tcW w:w="614" w:type="dxa"/>
            <w:vAlign w:val="top"/>
          </w:tcPr>
          <w:p w14:paraId="572C73AB">
            <w:pPr>
              <w:rPr>
                <w:rFonts w:ascii="Arial"/>
                <w:color w:val="auto"/>
                <w:sz w:val="21"/>
                <w:highlight w:val="none"/>
              </w:rPr>
            </w:pPr>
          </w:p>
        </w:tc>
        <w:tc>
          <w:tcPr>
            <w:tcW w:w="619" w:type="dxa"/>
            <w:vAlign w:val="top"/>
          </w:tcPr>
          <w:p w14:paraId="1C65ECC9">
            <w:pPr>
              <w:rPr>
                <w:rFonts w:ascii="Arial"/>
                <w:color w:val="auto"/>
                <w:sz w:val="21"/>
                <w:highlight w:val="none"/>
              </w:rPr>
            </w:pPr>
          </w:p>
        </w:tc>
        <w:tc>
          <w:tcPr>
            <w:tcW w:w="791" w:type="dxa"/>
            <w:vAlign w:val="top"/>
          </w:tcPr>
          <w:p w14:paraId="52FAC0DB">
            <w:pPr>
              <w:rPr>
                <w:rFonts w:ascii="Arial"/>
                <w:color w:val="auto"/>
                <w:sz w:val="21"/>
                <w:highlight w:val="none"/>
              </w:rPr>
            </w:pPr>
          </w:p>
        </w:tc>
      </w:tr>
      <w:tr w14:paraId="1300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222B98AE">
            <w:pPr>
              <w:pStyle w:val="11"/>
              <w:spacing w:before="182" w:line="332" w:lineRule="exact"/>
              <w:ind w:left="261"/>
              <w:rPr>
                <w:color w:val="auto"/>
                <w:highlight w:val="none"/>
              </w:rPr>
            </w:pPr>
            <w:r>
              <w:rPr>
                <w:color w:val="auto"/>
                <w:position w:val="2"/>
                <w:highlight w:val="none"/>
              </w:rPr>
              <w:t>…</w:t>
            </w:r>
          </w:p>
        </w:tc>
        <w:tc>
          <w:tcPr>
            <w:tcW w:w="1286" w:type="dxa"/>
            <w:vAlign w:val="top"/>
          </w:tcPr>
          <w:p w14:paraId="75AC94FA">
            <w:pPr>
              <w:rPr>
                <w:rFonts w:ascii="Arial"/>
                <w:color w:val="auto"/>
                <w:sz w:val="21"/>
                <w:highlight w:val="none"/>
              </w:rPr>
            </w:pPr>
          </w:p>
        </w:tc>
        <w:tc>
          <w:tcPr>
            <w:tcW w:w="615" w:type="dxa"/>
            <w:vAlign w:val="top"/>
          </w:tcPr>
          <w:p w14:paraId="662589B2">
            <w:pPr>
              <w:rPr>
                <w:rFonts w:ascii="Arial"/>
                <w:color w:val="auto"/>
                <w:sz w:val="21"/>
                <w:highlight w:val="none"/>
              </w:rPr>
            </w:pPr>
          </w:p>
        </w:tc>
        <w:tc>
          <w:tcPr>
            <w:tcW w:w="614" w:type="dxa"/>
            <w:vAlign w:val="top"/>
          </w:tcPr>
          <w:p w14:paraId="785A2F13">
            <w:pPr>
              <w:rPr>
                <w:rFonts w:ascii="Arial"/>
                <w:color w:val="auto"/>
                <w:sz w:val="21"/>
                <w:highlight w:val="none"/>
              </w:rPr>
            </w:pPr>
          </w:p>
        </w:tc>
        <w:tc>
          <w:tcPr>
            <w:tcW w:w="619" w:type="dxa"/>
            <w:vAlign w:val="top"/>
          </w:tcPr>
          <w:p w14:paraId="52C7427B">
            <w:pPr>
              <w:rPr>
                <w:rFonts w:ascii="Arial"/>
                <w:color w:val="auto"/>
                <w:sz w:val="21"/>
                <w:highlight w:val="none"/>
              </w:rPr>
            </w:pPr>
          </w:p>
        </w:tc>
        <w:tc>
          <w:tcPr>
            <w:tcW w:w="614" w:type="dxa"/>
            <w:vAlign w:val="top"/>
          </w:tcPr>
          <w:p w14:paraId="365604C2">
            <w:pPr>
              <w:rPr>
                <w:rFonts w:ascii="Arial"/>
                <w:color w:val="auto"/>
                <w:sz w:val="21"/>
                <w:highlight w:val="none"/>
              </w:rPr>
            </w:pPr>
          </w:p>
        </w:tc>
        <w:tc>
          <w:tcPr>
            <w:tcW w:w="614" w:type="dxa"/>
            <w:vAlign w:val="top"/>
          </w:tcPr>
          <w:p w14:paraId="45A0F5E1">
            <w:pPr>
              <w:rPr>
                <w:rFonts w:ascii="Arial"/>
                <w:color w:val="auto"/>
                <w:sz w:val="21"/>
                <w:highlight w:val="none"/>
              </w:rPr>
            </w:pPr>
          </w:p>
        </w:tc>
        <w:tc>
          <w:tcPr>
            <w:tcW w:w="619" w:type="dxa"/>
            <w:vAlign w:val="top"/>
          </w:tcPr>
          <w:p w14:paraId="5AD008C3">
            <w:pPr>
              <w:rPr>
                <w:rFonts w:ascii="Arial"/>
                <w:color w:val="auto"/>
                <w:sz w:val="21"/>
                <w:highlight w:val="none"/>
              </w:rPr>
            </w:pPr>
          </w:p>
        </w:tc>
        <w:tc>
          <w:tcPr>
            <w:tcW w:w="615" w:type="dxa"/>
            <w:vAlign w:val="top"/>
          </w:tcPr>
          <w:p w14:paraId="47D6DCE8">
            <w:pPr>
              <w:rPr>
                <w:rFonts w:ascii="Arial"/>
                <w:color w:val="auto"/>
                <w:sz w:val="21"/>
                <w:highlight w:val="none"/>
              </w:rPr>
            </w:pPr>
          </w:p>
        </w:tc>
        <w:tc>
          <w:tcPr>
            <w:tcW w:w="614" w:type="dxa"/>
            <w:vAlign w:val="top"/>
          </w:tcPr>
          <w:p w14:paraId="2DAB377A">
            <w:pPr>
              <w:rPr>
                <w:rFonts w:ascii="Arial"/>
                <w:color w:val="auto"/>
                <w:sz w:val="21"/>
                <w:highlight w:val="none"/>
              </w:rPr>
            </w:pPr>
          </w:p>
        </w:tc>
        <w:tc>
          <w:tcPr>
            <w:tcW w:w="619" w:type="dxa"/>
            <w:vAlign w:val="top"/>
          </w:tcPr>
          <w:p w14:paraId="567382D4">
            <w:pPr>
              <w:rPr>
                <w:rFonts w:ascii="Arial"/>
                <w:color w:val="auto"/>
                <w:sz w:val="21"/>
                <w:highlight w:val="none"/>
              </w:rPr>
            </w:pPr>
          </w:p>
        </w:tc>
        <w:tc>
          <w:tcPr>
            <w:tcW w:w="791" w:type="dxa"/>
            <w:vAlign w:val="top"/>
          </w:tcPr>
          <w:p w14:paraId="3B07870C">
            <w:pPr>
              <w:rPr>
                <w:rFonts w:ascii="Arial"/>
                <w:color w:val="auto"/>
                <w:sz w:val="21"/>
                <w:highlight w:val="none"/>
              </w:rPr>
            </w:pPr>
          </w:p>
        </w:tc>
      </w:tr>
      <w:tr w14:paraId="7E881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311" w:type="dxa"/>
            <w:gridSpan w:val="12"/>
            <w:vAlign w:val="top"/>
          </w:tcPr>
          <w:p w14:paraId="599B254E">
            <w:pPr>
              <w:pStyle w:val="11"/>
              <w:spacing w:before="288" w:line="220" w:lineRule="auto"/>
              <w:ind w:left="118"/>
              <w:rPr>
                <w:color w:val="auto"/>
                <w:highlight w:val="none"/>
              </w:rPr>
            </w:pPr>
            <w:r>
              <w:rPr>
                <w:color w:val="auto"/>
                <w:spacing w:val="-3"/>
                <w:highlight w:val="none"/>
              </w:rPr>
              <w:t>评标委员会全体成员签名：</w:t>
            </w:r>
          </w:p>
        </w:tc>
      </w:tr>
    </w:tbl>
    <w:p w14:paraId="31A09A46">
      <w:pPr>
        <w:spacing w:before="139" w:line="221" w:lineRule="auto"/>
        <w:ind w:left="5730"/>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日期：</w:t>
      </w:r>
      <w:r>
        <w:rPr>
          <w:rFonts w:ascii="宋体" w:hAnsi="宋体" w:eastAsia="宋体" w:cs="宋体"/>
          <w:color w:val="auto"/>
          <w:spacing w:val="24"/>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9"/>
          <w:sz w:val="21"/>
          <w:szCs w:val="21"/>
          <w:highlight w:val="none"/>
        </w:rPr>
        <w:t>月     日</w:t>
      </w:r>
    </w:p>
    <w:p w14:paraId="60412CCE">
      <w:pPr>
        <w:spacing w:line="221" w:lineRule="auto"/>
        <w:rPr>
          <w:rFonts w:ascii="宋体" w:hAnsi="宋体" w:eastAsia="宋体" w:cs="宋体"/>
          <w:color w:val="auto"/>
          <w:sz w:val="21"/>
          <w:szCs w:val="21"/>
          <w:highlight w:val="none"/>
        </w:rPr>
        <w:sectPr>
          <w:footerReference r:id="rId83" w:type="default"/>
          <w:pgSz w:w="11905" w:h="16839"/>
          <w:pgMar w:top="1431" w:right="1785" w:bottom="996" w:left="1785" w:header="0" w:footer="791" w:gutter="0"/>
          <w:pgNumType w:fmt="decimal"/>
          <w:cols w:space="720" w:num="1"/>
        </w:sectPr>
      </w:pPr>
    </w:p>
    <w:p w14:paraId="0D77D62E">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4"/>
          <w:sz w:val="24"/>
          <w:szCs w:val="24"/>
          <w:highlight w:val="none"/>
        </w:rPr>
        <w:t xml:space="preserve"> </w:t>
      </w:r>
      <w:r>
        <w:rPr>
          <w:rFonts w:ascii="Times New Roman" w:hAnsi="Times New Roman" w:eastAsia="Times New Roman" w:cs="Times New Roman"/>
          <w:color w:val="auto"/>
          <w:spacing w:val="-3"/>
          <w:sz w:val="24"/>
          <w:szCs w:val="24"/>
          <w:highlight w:val="none"/>
        </w:rPr>
        <w:t>A-5</w:t>
      </w:r>
      <w:r>
        <w:rPr>
          <w:rFonts w:ascii="黑体" w:hAnsi="黑体" w:eastAsia="黑体" w:cs="黑体"/>
          <w:color w:val="auto"/>
          <w:spacing w:val="-3"/>
          <w:sz w:val="24"/>
          <w:szCs w:val="24"/>
          <w:highlight w:val="none"/>
        </w:rPr>
        <w:t>：资格评审记录表</w:t>
      </w:r>
    </w:p>
    <w:p w14:paraId="2A1EDA93">
      <w:pPr>
        <w:pStyle w:val="3"/>
        <w:spacing w:line="317" w:lineRule="auto"/>
        <w:rPr>
          <w:color w:val="auto"/>
          <w:highlight w:val="none"/>
        </w:rPr>
      </w:pPr>
    </w:p>
    <w:p w14:paraId="0ED17C90">
      <w:pPr>
        <w:pStyle w:val="3"/>
        <w:spacing w:line="317" w:lineRule="auto"/>
        <w:rPr>
          <w:color w:val="auto"/>
          <w:highlight w:val="none"/>
        </w:rPr>
      </w:pPr>
    </w:p>
    <w:p w14:paraId="161FDD0A">
      <w:pPr>
        <w:spacing w:before="117" w:line="219" w:lineRule="auto"/>
        <w:ind w:left="2932"/>
        <w:rPr>
          <w:rFonts w:ascii="黑体" w:hAnsi="黑体" w:eastAsia="黑体" w:cs="黑体"/>
          <w:color w:val="auto"/>
          <w:sz w:val="36"/>
          <w:szCs w:val="36"/>
          <w:highlight w:val="none"/>
        </w:rPr>
      </w:pPr>
      <w:bookmarkStart w:id="193" w:name="bookmark221"/>
      <w:bookmarkEnd w:id="193"/>
      <w:r>
        <w:rPr>
          <w:rFonts w:ascii="黑体" w:hAnsi="黑体" w:eastAsia="黑体" w:cs="黑体"/>
          <w:color w:val="auto"/>
          <w:spacing w:val="-4"/>
          <w:sz w:val="36"/>
          <w:szCs w:val="36"/>
          <w:highlight w:val="none"/>
        </w:rPr>
        <w:t>资格评审记录表</w:t>
      </w:r>
    </w:p>
    <w:p w14:paraId="054C3A8D">
      <w:pPr>
        <w:spacing w:before="234"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225AAB18">
      <w:pPr>
        <w:spacing w:before="22" w:line="214"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348"/>
        <w:gridCol w:w="615"/>
        <w:gridCol w:w="614"/>
        <w:gridCol w:w="619"/>
        <w:gridCol w:w="614"/>
        <w:gridCol w:w="614"/>
        <w:gridCol w:w="619"/>
        <w:gridCol w:w="615"/>
        <w:gridCol w:w="614"/>
        <w:gridCol w:w="619"/>
        <w:gridCol w:w="791"/>
      </w:tblGrid>
      <w:tr w14:paraId="47B11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restart"/>
            <w:tcBorders>
              <w:bottom w:val="nil"/>
            </w:tcBorders>
            <w:textDirection w:val="tbRlV"/>
            <w:vAlign w:val="top"/>
          </w:tcPr>
          <w:p w14:paraId="0D5D6CFE">
            <w:pPr>
              <w:pStyle w:val="11"/>
              <w:spacing w:before="205" w:line="211" w:lineRule="auto"/>
              <w:ind w:left="183"/>
              <w:rPr>
                <w:color w:val="auto"/>
                <w:highlight w:val="none"/>
              </w:rPr>
            </w:pPr>
            <w:r>
              <w:rPr>
                <w:color w:val="auto"/>
                <w:spacing w:val="1"/>
                <w:highlight w:val="none"/>
                <w14:textOutline w14:w="3831" w14:cap="flat" w14:cmpd="sng">
                  <w14:solidFill>
                    <w14:srgbClr w14:val="000000"/>
                  </w14:solidFill>
                  <w14:prstDash w14:val="solid"/>
                  <w14:miter w14:val="0"/>
                </w14:textOutline>
              </w:rPr>
              <w:t>序</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1348" w:type="dxa"/>
            <w:vMerge w:val="restart"/>
            <w:tcBorders>
              <w:bottom w:val="nil"/>
            </w:tcBorders>
            <w:vAlign w:val="top"/>
          </w:tcPr>
          <w:p w14:paraId="15D4AE46">
            <w:pPr>
              <w:spacing w:line="252" w:lineRule="auto"/>
              <w:rPr>
                <w:rFonts w:ascii="Arial"/>
                <w:color w:val="auto"/>
                <w:sz w:val="21"/>
                <w:highlight w:val="none"/>
              </w:rPr>
            </w:pPr>
          </w:p>
          <w:p w14:paraId="7D04B728">
            <w:pPr>
              <w:pStyle w:val="11"/>
              <w:spacing w:before="69" w:line="221" w:lineRule="auto"/>
              <w:ind w:left="154"/>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14:paraId="7C8E8BC3">
            <w:pPr>
              <w:pStyle w:val="11"/>
              <w:spacing w:before="105" w:line="221" w:lineRule="auto"/>
              <w:ind w:left="1828"/>
              <w:rPr>
                <w:color w:val="auto"/>
                <w:highlight w:val="none"/>
              </w:rPr>
            </w:pPr>
            <w:r>
              <w:rPr>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1D135669">
            <w:pPr>
              <w:pStyle w:val="11"/>
              <w:spacing w:before="183" w:line="241" w:lineRule="auto"/>
              <w:ind w:left="189"/>
              <w:rPr>
                <w:color w:val="auto"/>
                <w:highlight w:val="none"/>
              </w:rPr>
            </w:pPr>
            <w:r>
              <w:rPr>
                <w:color w:val="auto"/>
                <w:spacing w:val="-2"/>
                <w:highlight w:val="none"/>
                <w14:textOutline w14:w="3831" w14:cap="flat" w14:cmpd="sng">
                  <w14:solidFill>
                    <w14:srgbClr w14:val="000000"/>
                  </w14:solidFill>
                  <w14:prstDash w14:val="solid"/>
                  <w14:miter w14:val="0"/>
                </w14:textOutline>
              </w:rPr>
              <w:t>评审</w:t>
            </w:r>
          </w:p>
          <w:p w14:paraId="24A2EE22">
            <w:pPr>
              <w:pStyle w:val="11"/>
              <w:spacing w:line="222" w:lineRule="auto"/>
              <w:ind w:left="195"/>
              <w:rPr>
                <w:color w:val="auto"/>
                <w:highlight w:val="none"/>
              </w:rPr>
            </w:pPr>
            <w:r>
              <w:rPr>
                <w:color w:val="auto"/>
                <w:spacing w:val="-3"/>
                <w:highlight w:val="none"/>
                <w14:textOutline w14:w="3831" w14:cap="flat" w14:cmpd="sng">
                  <w14:solidFill>
                    <w14:srgbClr w14:val="000000"/>
                  </w14:solidFill>
                  <w14:prstDash w14:val="solid"/>
                  <w14:miter w14:val="0"/>
                </w14:textOutline>
              </w:rPr>
              <w:t>结论</w:t>
            </w:r>
          </w:p>
        </w:tc>
      </w:tr>
      <w:tr w14:paraId="367B3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continue"/>
            <w:tcBorders>
              <w:top w:val="nil"/>
            </w:tcBorders>
            <w:textDirection w:val="tbRlV"/>
            <w:vAlign w:val="top"/>
          </w:tcPr>
          <w:p w14:paraId="35645841">
            <w:pPr>
              <w:rPr>
                <w:rFonts w:ascii="Arial"/>
                <w:color w:val="auto"/>
                <w:sz w:val="21"/>
                <w:highlight w:val="none"/>
              </w:rPr>
            </w:pPr>
          </w:p>
        </w:tc>
        <w:tc>
          <w:tcPr>
            <w:tcW w:w="1348" w:type="dxa"/>
            <w:vMerge w:val="continue"/>
            <w:tcBorders>
              <w:top w:val="nil"/>
            </w:tcBorders>
            <w:vAlign w:val="top"/>
          </w:tcPr>
          <w:p w14:paraId="4F68D0A9">
            <w:pPr>
              <w:rPr>
                <w:rFonts w:ascii="Arial"/>
                <w:color w:val="auto"/>
                <w:sz w:val="21"/>
                <w:highlight w:val="none"/>
              </w:rPr>
            </w:pPr>
          </w:p>
        </w:tc>
        <w:tc>
          <w:tcPr>
            <w:tcW w:w="615" w:type="dxa"/>
            <w:vAlign w:val="top"/>
          </w:tcPr>
          <w:p w14:paraId="08E84ED1">
            <w:pPr>
              <w:rPr>
                <w:rFonts w:ascii="Arial"/>
                <w:color w:val="auto"/>
                <w:sz w:val="21"/>
                <w:highlight w:val="none"/>
              </w:rPr>
            </w:pPr>
          </w:p>
        </w:tc>
        <w:tc>
          <w:tcPr>
            <w:tcW w:w="614" w:type="dxa"/>
            <w:vAlign w:val="top"/>
          </w:tcPr>
          <w:p w14:paraId="3801FB38">
            <w:pPr>
              <w:rPr>
                <w:rFonts w:ascii="Arial"/>
                <w:color w:val="auto"/>
                <w:sz w:val="21"/>
                <w:highlight w:val="none"/>
              </w:rPr>
            </w:pPr>
          </w:p>
        </w:tc>
        <w:tc>
          <w:tcPr>
            <w:tcW w:w="619" w:type="dxa"/>
            <w:vAlign w:val="top"/>
          </w:tcPr>
          <w:p w14:paraId="00A44EA8">
            <w:pPr>
              <w:rPr>
                <w:rFonts w:ascii="Arial"/>
                <w:color w:val="auto"/>
                <w:sz w:val="21"/>
                <w:highlight w:val="none"/>
              </w:rPr>
            </w:pPr>
          </w:p>
        </w:tc>
        <w:tc>
          <w:tcPr>
            <w:tcW w:w="614" w:type="dxa"/>
            <w:vAlign w:val="top"/>
          </w:tcPr>
          <w:p w14:paraId="499B54F5">
            <w:pPr>
              <w:rPr>
                <w:rFonts w:ascii="Arial"/>
                <w:color w:val="auto"/>
                <w:sz w:val="21"/>
                <w:highlight w:val="none"/>
              </w:rPr>
            </w:pPr>
          </w:p>
        </w:tc>
        <w:tc>
          <w:tcPr>
            <w:tcW w:w="614" w:type="dxa"/>
            <w:vAlign w:val="top"/>
          </w:tcPr>
          <w:p w14:paraId="1C2C1E84">
            <w:pPr>
              <w:rPr>
                <w:rFonts w:ascii="Arial"/>
                <w:color w:val="auto"/>
                <w:sz w:val="21"/>
                <w:highlight w:val="none"/>
              </w:rPr>
            </w:pPr>
          </w:p>
        </w:tc>
        <w:tc>
          <w:tcPr>
            <w:tcW w:w="619" w:type="dxa"/>
            <w:vAlign w:val="top"/>
          </w:tcPr>
          <w:p w14:paraId="6D60E69B">
            <w:pPr>
              <w:rPr>
                <w:rFonts w:ascii="Arial"/>
                <w:color w:val="auto"/>
                <w:sz w:val="21"/>
                <w:highlight w:val="none"/>
              </w:rPr>
            </w:pPr>
          </w:p>
        </w:tc>
        <w:tc>
          <w:tcPr>
            <w:tcW w:w="615" w:type="dxa"/>
            <w:vAlign w:val="top"/>
          </w:tcPr>
          <w:p w14:paraId="0532E522">
            <w:pPr>
              <w:rPr>
                <w:rFonts w:ascii="Arial"/>
                <w:color w:val="auto"/>
                <w:sz w:val="21"/>
                <w:highlight w:val="none"/>
              </w:rPr>
            </w:pPr>
          </w:p>
        </w:tc>
        <w:tc>
          <w:tcPr>
            <w:tcW w:w="614" w:type="dxa"/>
            <w:vAlign w:val="top"/>
          </w:tcPr>
          <w:p w14:paraId="0CD53F6E">
            <w:pPr>
              <w:rPr>
                <w:rFonts w:ascii="Arial"/>
                <w:color w:val="auto"/>
                <w:sz w:val="21"/>
                <w:highlight w:val="none"/>
              </w:rPr>
            </w:pPr>
          </w:p>
        </w:tc>
        <w:tc>
          <w:tcPr>
            <w:tcW w:w="619" w:type="dxa"/>
            <w:vAlign w:val="top"/>
          </w:tcPr>
          <w:p w14:paraId="1943BBA0">
            <w:pPr>
              <w:rPr>
                <w:rFonts w:ascii="Arial"/>
                <w:color w:val="auto"/>
                <w:sz w:val="21"/>
                <w:highlight w:val="none"/>
              </w:rPr>
            </w:pPr>
          </w:p>
        </w:tc>
        <w:tc>
          <w:tcPr>
            <w:tcW w:w="791" w:type="dxa"/>
            <w:vMerge w:val="continue"/>
            <w:tcBorders>
              <w:top w:val="nil"/>
            </w:tcBorders>
            <w:vAlign w:val="top"/>
          </w:tcPr>
          <w:p w14:paraId="60189D2F">
            <w:pPr>
              <w:rPr>
                <w:rFonts w:ascii="Arial"/>
                <w:color w:val="auto"/>
                <w:sz w:val="21"/>
                <w:highlight w:val="none"/>
              </w:rPr>
            </w:pPr>
          </w:p>
        </w:tc>
      </w:tr>
      <w:tr w14:paraId="2F7E4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1F8A78E7">
            <w:pPr>
              <w:pStyle w:val="11"/>
              <w:spacing w:before="208" w:line="183" w:lineRule="auto"/>
              <w:ind w:left="283"/>
              <w:rPr>
                <w:color w:val="auto"/>
                <w:highlight w:val="none"/>
              </w:rPr>
            </w:pPr>
            <w:r>
              <w:rPr>
                <w:color w:val="auto"/>
                <w:highlight w:val="none"/>
              </w:rPr>
              <w:t>1</w:t>
            </w:r>
          </w:p>
        </w:tc>
        <w:tc>
          <w:tcPr>
            <w:tcW w:w="1348" w:type="dxa"/>
            <w:vAlign w:val="top"/>
          </w:tcPr>
          <w:p w14:paraId="118F5D21">
            <w:pPr>
              <w:rPr>
                <w:rFonts w:ascii="Arial"/>
                <w:color w:val="auto"/>
                <w:sz w:val="21"/>
                <w:highlight w:val="none"/>
              </w:rPr>
            </w:pPr>
          </w:p>
        </w:tc>
        <w:tc>
          <w:tcPr>
            <w:tcW w:w="615" w:type="dxa"/>
            <w:vAlign w:val="top"/>
          </w:tcPr>
          <w:p w14:paraId="24B2F433">
            <w:pPr>
              <w:rPr>
                <w:rFonts w:ascii="Arial"/>
                <w:color w:val="auto"/>
                <w:sz w:val="21"/>
                <w:highlight w:val="none"/>
              </w:rPr>
            </w:pPr>
          </w:p>
        </w:tc>
        <w:tc>
          <w:tcPr>
            <w:tcW w:w="614" w:type="dxa"/>
            <w:vAlign w:val="top"/>
          </w:tcPr>
          <w:p w14:paraId="3CD30A9E">
            <w:pPr>
              <w:rPr>
                <w:rFonts w:ascii="Arial"/>
                <w:color w:val="auto"/>
                <w:sz w:val="21"/>
                <w:highlight w:val="none"/>
              </w:rPr>
            </w:pPr>
          </w:p>
        </w:tc>
        <w:tc>
          <w:tcPr>
            <w:tcW w:w="619" w:type="dxa"/>
            <w:vAlign w:val="top"/>
          </w:tcPr>
          <w:p w14:paraId="26DAF3C5">
            <w:pPr>
              <w:rPr>
                <w:rFonts w:ascii="Arial"/>
                <w:color w:val="auto"/>
                <w:sz w:val="21"/>
                <w:highlight w:val="none"/>
              </w:rPr>
            </w:pPr>
          </w:p>
        </w:tc>
        <w:tc>
          <w:tcPr>
            <w:tcW w:w="614" w:type="dxa"/>
            <w:vAlign w:val="top"/>
          </w:tcPr>
          <w:p w14:paraId="5035910D">
            <w:pPr>
              <w:rPr>
                <w:rFonts w:ascii="Arial"/>
                <w:color w:val="auto"/>
                <w:sz w:val="21"/>
                <w:highlight w:val="none"/>
              </w:rPr>
            </w:pPr>
          </w:p>
        </w:tc>
        <w:tc>
          <w:tcPr>
            <w:tcW w:w="614" w:type="dxa"/>
            <w:vAlign w:val="top"/>
          </w:tcPr>
          <w:p w14:paraId="35A689F9">
            <w:pPr>
              <w:rPr>
                <w:rFonts w:ascii="Arial"/>
                <w:color w:val="auto"/>
                <w:sz w:val="21"/>
                <w:highlight w:val="none"/>
              </w:rPr>
            </w:pPr>
          </w:p>
        </w:tc>
        <w:tc>
          <w:tcPr>
            <w:tcW w:w="619" w:type="dxa"/>
            <w:vAlign w:val="top"/>
          </w:tcPr>
          <w:p w14:paraId="1A1C8849">
            <w:pPr>
              <w:rPr>
                <w:rFonts w:ascii="Arial"/>
                <w:color w:val="auto"/>
                <w:sz w:val="21"/>
                <w:highlight w:val="none"/>
              </w:rPr>
            </w:pPr>
          </w:p>
        </w:tc>
        <w:tc>
          <w:tcPr>
            <w:tcW w:w="615" w:type="dxa"/>
            <w:vAlign w:val="top"/>
          </w:tcPr>
          <w:p w14:paraId="0E715F3A">
            <w:pPr>
              <w:rPr>
                <w:rFonts w:ascii="Arial"/>
                <w:color w:val="auto"/>
                <w:sz w:val="21"/>
                <w:highlight w:val="none"/>
              </w:rPr>
            </w:pPr>
          </w:p>
        </w:tc>
        <w:tc>
          <w:tcPr>
            <w:tcW w:w="614" w:type="dxa"/>
            <w:vAlign w:val="top"/>
          </w:tcPr>
          <w:p w14:paraId="07D7BA08">
            <w:pPr>
              <w:rPr>
                <w:rFonts w:ascii="Arial"/>
                <w:color w:val="auto"/>
                <w:sz w:val="21"/>
                <w:highlight w:val="none"/>
              </w:rPr>
            </w:pPr>
          </w:p>
        </w:tc>
        <w:tc>
          <w:tcPr>
            <w:tcW w:w="619" w:type="dxa"/>
            <w:vAlign w:val="top"/>
          </w:tcPr>
          <w:p w14:paraId="0382E353">
            <w:pPr>
              <w:rPr>
                <w:rFonts w:ascii="Arial"/>
                <w:color w:val="auto"/>
                <w:sz w:val="21"/>
                <w:highlight w:val="none"/>
              </w:rPr>
            </w:pPr>
          </w:p>
        </w:tc>
        <w:tc>
          <w:tcPr>
            <w:tcW w:w="791" w:type="dxa"/>
            <w:vAlign w:val="top"/>
          </w:tcPr>
          <w:p w14:paraId="0457B7F2">
            <w:pPr>
              <w:rPr>
                <w:rFonts w:ascii="Arial"/>
                <w:color w:val="auto"/>
                <w:sz w:val="21"/>
                <w:highlight w:val="none"/>
              </w:rPr>
            </w:pPr>
          </w:p>
        </w:tc>
      </w:tr>
      <w:tr w14:paraId="747A6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01C42531">
            <w:pPr>
              <w:pStyle w:val="11"/>
              <w:spacing w:before="215" w:line="182" w:lineRule="auto"/>
              <w:ind w:left="270"/>
              <w:rPr>
                <w:color w:val="auto"/>
                <w:highlight w:val="none"/>
              </w:rPr>
            </w:pPr>
            <w:r>
              <w:rPr>
                <w:color w:val="auto"/>
                <w:highlight w:val="none"/>
              </w:rPr>
              <w:t>2</w:t>
            </w:r>
          </w:p>
        </w:tc>
        <w:tc>
          <w:tcPr>
            <w:tcW w:w="1348" w:type="dxa"/>
            <w:vAlign w:val="top"/>
          </w:tcPr>
          <w:p w14:paraId="68147FC6">
            <w:pPr>
              <w:rPr>
                <w:rFonts w:ascii="Arial"/>
                <w:color w:val="auto"/>
                <w:sz w:val="21"/>
                <w:highlight w:val="none"/>
              </w:rPr>
            </w:pPr>
          </w:p>
        </w:tc>
        <w:tc>
          <w:tcPr>
            <w:tcW w:w="615" w:type="dxa"/>
            <w:vAlign w:val="top"/>
          </w:tcPr>
          <w:p w14:paraId="2C43CF9A">
            <w:pPr>
              <w:rPr>
                <w:rFonts w:ascii="Arial"/>
                <w:color w:val="auto"/>
                <w:sz w:val="21"/>
                <w:highlight w:val="none"/>
              </w:rPr>
            </w:pPr>
          </w:p>
        </w:tc>
        <w:tc>
          <w:tcPr>
            <w:tcW w:w="614" w:type="dxa"/>
            <w:vAlign w:val="top"/>
          </w:tcPr>
          <w:p w14:paraId="78E40363">
            <w:pPr>
              <w:rPr>
                <w:rFonts w:ascii="Arial"/>
                <w:color w:val="auto"/>
                <w:sz w:val="21"/>
                <w:highlight w:val="none"/>
              </w:rPr>
            </w:pPr>
          </w:p>
        </w:tc>
        <w:tc>
          <w:tcPr>
            <w:tcW w:w="619" w:type="dxa"/>
            <w:vAlign w:val="top"/>
          </w:tcPr>
          <w:p w14:paraId="2F611917">
            <w:pPr>
              <w:rPr>
                <w:rFonts w:ascii="Arial"/>
                <w:color w:val="auto"/>
                <w:sz w:val="21"/>
                <w:highlight w:val="none"/>
              </w:rPr>
            </w:pPr>
          </w:p>
        </w:tc>
        <w:tc>
          <w:tcPr>
            <w:tcW w:w="614" w:type="dxa"/>
            <w:vAlign w:val="top"/>
          </w:tcPr>
          <w:p w14:paraId="797AB092">
            <w:pPr>
              <w:rPr>
                <w:rFonts w:ascii="Arial"/>
                <w:color w:val="auto"/>
                <w:sz w:val="21"/>
                <w:highlight w:val="none"/>
              </w:rPr>
            </w:pPr>
          </w:p>
        </w:tc>
        <w:tc>
          <w:tcPr>
            <w:tcW w:w="614" w:type="dxa"/>
            <w:vAlign w:val="top"/>
          </w:tcPr>
          <w:p w14:paraId="4E496FDB">
            <w:pPr>
              <w:rPr>
                <w:rFonts w:ascii="Arial"/>
                <w:color w:val="auto"/>
                <w:sz w:val="21"/>
                <w:highlight w:val="none"/>
              </w:rPr>
            </w:pPr>
          </w:p>
        </w:tc>
        <w:tc>
          <w:tcPr>
            <w:tcW w:w="619" w:type="dxa"/>
            <w:vAlign w:val="top"/>
          </w:tcPr>
          <w:p w14:paraId="515C2EF3">
            <w:pPr>
              <w:rPr>
                <w:rFonts w:ascii="Arial"/>
                <w:color w:val="auto"/>
                <w:sz w:val="21"/>
                <w:highlight w:val="none"/>
              </w:rPr>
            </w:pPr>
          </w:p>
        </w:tc>
        <w:tc>
          <w:tcPr>
            <w:tcW w:w="615" w:type="dxa"/>
            <w:vAlign w:val="top"/>
          </w:tcPr>
          <w:p w14:paraId="24D32C91">
            <w:pPr>
              <w:rPr>
                <w:rFonts w:ascii="Arial"/>
                <w:color w:val="auto"/>
                <w:sz w:val="21"/>
                <w:highlight w:val="none"/>
              </w:rPr>
            </w:pPr>
          </w:p>
        </w:tc>
        <w:tc>
          <w:tcPr>
            <w:tcW w:w="614" w:type="dxa"/>
            <w:vAlign w:val="top"/>
          </w:tcPr>
          <w:p w14:paraId="7CC7F417">
            <w:pPr>
              <w:rPr>
                <w:rFonts w:ascii="Arial"/>
                <w:color w:val="auto"/>
                <w:sz w:val="21"/>
                <w:highlight w:val="none"/>
              </w:rPr>
            </w:pPr>
          </w:p>
        </w:tc>
        <w:tc>
          <w:tcPr>
            <w:tcW w:w="619" w:type="dxa"/>
            <w:vAlign w:val="top"/>
          </w:tcPr>
          <w:p w14:paraId="55EFF13E">
            <w:pPr>
              <w:rPr>
                <w:rFonts w:ascii="Arial"/>
                <w:color w:val="auto"/>
                <w:sz w:val="21"/>
                <w:highlight w:val="none"/>
              </w:rPr>
            </w:pPr>
          </w:p>
        </w:tc>
        <w:tc>
          <w:tcPr>
            <w:tcW w:w="791" w:type="dxa"/>
            <w:vAlign w:val="top"/>
          </w:tcPr>
          <w:p w14:paraId="1A5D697E">
            <w:pPr>
              <w:rPr>
                <w:rFonts w:ascii="Arial"/>
                <w:color w:val="auto"/>
                <w:sz w:val="21"/>
                <w:highlight w:val="none"/>
              </w:rPr>
            </w:pPr>
          </w:p>
        </w:tc>
      </w:tr>
      <w:tr w14:paraId="7AC21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29" w:type="dxa"/>
            <w:vAlign w:val="top"/>
          </w:tcPr>
          <w:p w14:paraId="31D10A76">
            <w:pPr>
              <w:pStyle w:val="11"/>
              <w:spacing w:before="215" w:line="182" w:lineRule="auto"/>
              <w:ind w:left="271"/>
              <w:rPr>
                <w:color w:val="auto"/>
                <w:highlight w:val="none"/>
              </w:rPr>
            </w:pPr>
            <w:r>
              <w:rPr>
                <w:color w:val="auto"/>
                <w:highlight w:val="none"/>
              </w:rPr>
              <w:t>3</w:t>
            </w:r>
          </w:p>
        </w:tc>
        <w:tc>
          <w:tcPr>
            <w:tcW w:w="1348" w:type="dxa"/>
            <w:vAlign w:val="top"/>
          </w:tcPr>
          <w:p w14:paraId="117323E4">
            <w:pPr>
              <w:rPr>
                <w:rFonts w:ascii="Arial"/>
                <w:color w:val="auto"/>
                <w:sz w:val="21"/>
                <w:highlight w:val="none"/>
              </w:rPr>
            </w:pPr>
          </w:p>
        </w:tc>
        <w:tc>
          <w:tcPr>
            <w:tcW w:w="615" w:type="dxa"/>
            <w:vAlign w:val="top"/>
          </w:tcPr>
          <w:p w14:paraId="741BAF1D">
            <w:pPr>
              <w:rPr>
                <w:rFonts w:ascii="Arial"/>
                <w:color w:val="auto"/>
                <w:sz w:val="21"/>
                <w:highlight w:val="none"/>
              </w:rPr>
            </w:pPr>
          </w:p>
        </w:tc>
        <w:tc>
          <w:tcPr>
            <w:tcW w:w="614" w:type="dxa"/>
            <w:vAlign w:val="top"/>
          </w:tcPr>
          <w:p w14:paraId="26152B73">
            <w:pPr>
              <w:rPr>
                <w:rFonts w:ascii="Arial"/>
                <w:color w:val="auto"/>
                <w:sz w:val="21"/>
                <w:highlight w:val="none"/>
              </w:rPr>
            </w:pPr>
          </w:p>
        </w:tc>
        <w:tc>
          <w:tcPr>
            <w:tcW w:w="619" w:type="dxa"/>
            <w:vAlign w:val="top"/>
          </w:tcPr>
          <w:p w14:paraId="23DB1A02">
            <w:pPr>
              <w:rPr>
                <w:rFonts w:ascii="Arial"/>
                <w:color w:val="auto"/>
                <w:sz w:val="21"/>
                <w:highlight w:val="none"/>
              </w:rPr>
            </w:pPr>
          </w:p>
        </w:tc>
        <w:tc>
          <w:tcPr>
            <w:tcW w:w="614" w:type="dxa"/>
            <w:vAlign w:val="top"/>
          </w:tcPr>
          <w:p w14:paraId="082FDD94">
            <w:pPr>
              <w:rPr>
                <w:rFonts w:ascii="Arial"/>
                <w:color w:val="auto"/>
                <w:sz w:val="21"/>
                <w:highlight w:val="none"/>
              </w:rPr>
            </w:pPr>
          </w:p>
        </w:tc>
        <w:tc>
          <w:tcPr>
            <w:tcW w:w="614" w:type="dxa"/>
            <w:vAlign w:val="top"/>
          </w:tcPr>
          <w:p w14:paraId="3BF4F481">
            <w:pPr>
              <w:rPr>
                <w:rFonts w:ascii="Arial"/>
                <w:color w:val="auto"/>
                <w:sz w:val="21"/>
                <w:highlight w:val="none"/>
              </w:rPr>
            </w:pPr>
          </w:p>
        </w:tc>
        <w:tc>
          <w:tcPr>
            <w:tcW w:w="619" w:type="dxa"/>
            <w:vAlign w:val="top"/>
          </w:tcPr>
          <w:p w14:paraId="2EFF484D">
            <w:pPr>
              <w:rPr>
                <w:rFonts w:ascii="Arial"/>
                <w:color w:val="auto"/>
                <w:sz w:val="21"/>
                <w:highlight w:val="none"/>
              </w:rPr>
            </w:pPr>
          </w:p>
        </w:tc>
        <w:tc>
          <w:tcPr>
            <w:tcW w:w="615" w:type="dxa"/>
            <w:vAlign w:val="top"/>
          </w:tcPr>
          <w:p w14:paraId="64C7EF8F">
            <w:pPr>
              <w:rPr>
                <w:rFonts w:ascii="Arial"/>
                <w:color w:val="auto"/>
                <w:sz w:val="21"/>
                <w:highlight w:val="none"/>
              </w:rPr>
            </w:pPr>
          </w:p>
        </w:tc>
        <w:tc>
          <w:tcPr>
            <w:tcW w:w="614" w:type="dxa"/>
            <w:vAlign w:val="top"/>
          </w:tcPr>
          <w:p w14:paraId="44CA93DE">
            <w:pPr>
              <w:rPr>
                <w:rFonts w:ascii="Arial"/>
                <w:color w:val="auto"/>
                <w:sz w:val="21"/>
                <w:highlight w:val="none"/>
              </w:rPr>
            </w:pPr>
          </w:p>
        </w:tc>
        <w:tc>
          <w:tcPr>
            <w:tcW w:w="619" w:type="dxa"/>
            <w:vAlign w:val="top"/>
          </w:tcPr>
          <w:p w14:paraId="1BDF62E4">
            <w:pPr>
              <w:rPr>
                <w:rFonts w:ascii="Arial"/>
                <w:color w:val="auto"/>
                <w:sz w:val="21"/>
                <w:highlight w:val="none"/>
              </w:rPr>
            </w:pPr>
          </w:p>
        </w:tc>
        <w:tc>
          <w:tcPr>
            <w:tcW w:w="791" w:type="dxa"/>
            <w:vAlign w:val="top"/>
          </w:tcPr>
          <w:p w14:paraId="0B9DEBAE">
            <w:pPr>
              <w:rPr>
                <w:rFonts w:ascii="Arial"/>
                <w:color w:val="auto"/>
                <w:sz w:val="21"/>
                <w:highlight w:val="none"/>
              </w:rPr>
            </w:pPr>
          </w:p>
        </w:tc>
      </w:tr>
      <w:tr w14:paraId="59987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19EC35EC">
            <w:pPr>
              <w:pStyle w:val="11"/>
              <w:spacing w:before="210" w:line="182" w:lineRule="auto"/>
              <w:ind w:left="266"/>
              <w:rPr>
                <w:color w:val="auto"/>
                <w:highlight w:val="none"/>
              </w:rPr>
            </w:pPr>
            <w:r>
              <w:rPr>
                <w:color w:val="auto"/>
                <w:highlight w:val="none"/>
              </w:rPr>
              <w:t>4</w:t>
            </w:r>
          </w:p>
        </w:tc>
        <w:tc>
          <w:tcPr>
            <w:tcW w:w="1348" w:type="dxa"/>
            <w:vAlign w:val="top"/>
          </w:tcPr>
          <w:p w14:paraId="589D9D48">
            <w:pPr>
              <w:rPr>
                <w:rFonts w:ascii="Arial"/>
                <w:color w:val="auto"/>
                <w:sz w:val="21"/>
                <w:highlight w:val="none"/>
              </w:rPr>
            </w:pPr>
          </w:p>
        </w:tc>
        <w:tc>
          <w:tcPr>
            <w:tcW w:w="615" w:type="dxa"/>
            <w:vAlign w:val="top"/>
          </w:tcPr>
          <w:p w14:paraId="1D4DABD2">
            <w:pPr>
              <w:rPr>
                <w:rFonts w:ascii="Arial"/>
                <w:color w:val="auto"/>
                <w:sz w:val="21"/>
                <w:highlight w:val="none"/>
              </w:rPr>
            </w:pPr>
          </w:p>
        </w:tc>
        <w:tc>
          <w:tcPr>
            <w:tcW w:w="614" w:type="dxa"/>
            <w:vAlign w:val="top"/>
          </w:tcPr>
          <w:p w14:paraId="79C06D47">
            <w:pPr>
              <w:rPr>
                <w:rFonts w:ascii="Arial"/>
                <w:color w:val="auto"/>
                <w:sz w:val="21"/>
                <w:highlight w:val="none"/>
              </w:rPr>
            </w:pPr>
          </w:p>
        </w:tc>
        <w:tc>
          <w:tcPr>
            <w:tcW w:w="619" w:type="dxa"/>
            <w:vAlign w:val="top"/>
          </w:tcPr>
          <w:p w14:paraId="5C39F0C5">
            <w:pPr>
              <w:rPr>
                <w:rFonts w:ascii="Arial"/>
                <w:color w:val="auto"/>
                <w:sz w:val="21"/>
                <w:highlight w:val="none"/>
              </w:rPr>
            </w:pPr>
          </w:p>
        </w:tc>
        <w:tc>
          <w:tcPr>
            <w:tcW w:w="614" w:type="dxa"/>
            <w:vAlign w:val="top"/>
          </w:tcPr>
          <w:p w14:paraId="1D9C7049">
            <w:pPr>
              <w:rPr>
                <w:rFonts w:ascii="Arial"/>
                <w:color w:val="auto"/>
                <w:sz w:val="21"/>
                <w:highlight w:val="none"/>
              </w:rPr>
            </w:pPr>
          </w:p>
        </w:tc>
        <w:tc>
          <w:tcPr>
            <w:tcW w:w="614" w:type="dxa"/>
            <w:vAlign w:val="top"/>
          </w:tcPr>
          <w:p w14:paraId="012394E4">
            <w:pPr>
              <w:rPr>
                <w:rFonts w:ascii="Arial"/>
                <w:color w:val="auto"/>
                <w:sz w:val="21"/>
                <w:highlight w:val="none"/>
              </w:rPr>
            </w:pPr>
          </w:p>
        </w:tc>
        <w:tc>
          <w:tcPr>
            <w:tcW w:w="619" w:type="dxa"/>
            <w:vAlign w:val="top"/>
          </w:tcPr>
          <w:p w14:paraId="4D2DB247">
            <w:pPr>
              <w:rPr>
                <w:rFonts w:ascii="Arial"/>
                <w:color w:val="auto"/>
                <w:sz w:val="21"/>
                <w:highlight w:val="none"/>
              </w:rPr>
            </w:pPr>
          </w:p>
        </w:tc>
        <w:tc>
          <w:tcPr>
            <w:tcW w:w="615" w:type="dxa"/>
            <w:vAlign w:val="top"/>
          </w:tcPr>
          <w:p w14:paraId="3AF958E8">
            <w:pPr>
              <w:rPr>
                <w:rFonts w:ascii="Arial"/>
                <w:color w:val="auto"/>
                <w:sz w:val="21"/>
                <w:highlight w:val="none"/>
              </w:rPr>
            </w:pPr>
          </w:p>
        </w:tc>
        <w:tc>
          <w:tcPr>
            <w:tcW w:w="614" w:type="dxa"/>
            <w:vAlign w:val="top"/>
          </w:tcPr>
          <w:p w14:paraId="33543BE9">
            <w:pPr>
              <w:rPr>
                <w:rFonts w:ascii="Arial"/>
                <w:color w:val="auto"/>
                <w:sz w:val="21"/>
                <w:highlight w:val="none"/>
              </w:rPr>
            </w:pPr>
          </w:p>
        </w:tc>
        <w:tc>
          <w:tcPr>
            <w:tcW w:w="619" w:type="dxa"/>
            <w:vAlign w:val="top"/>
          </w:tcPr>
          <w:p w14:paraId="450A6B43">
            <w:pPr>
              <w:rPr>
                <w:rFonts w:ascii="Arial"/>
                <w:color w:val="auto"/>
                <w:sz w:val="21"/>
                <w:highlight w:val="none"/>
              </w:rPr>
            </w:pPr>
          </w:p>
        </w:tc>
        <w:tc>
          <w:tcPr>
            <w:tcW w:w="791" w:type="dxa"/>
            <w:vAlign w:val="top"/>
          </w:tcPr>
          <w:p w14:paraId="1742B346">
            <w:pPr>
              <w:rPr>
                <w:rFonts w:ascii="Arial"/>
                <w:color w:val="auto"/>
                <w:sz w:val="21"/>
                <w:highlight w:val="none"/>
              </w:rPr>
            </w:pPr>
          </w:p>
        </w:tc>
      </w:tr>
      <w:tr w14:paraId="3F26D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73EF2C1D">
            <w:pPr>
              <w:pStyle w:val="11"/>
              <w:spacing w:before="212" w:line="181" w:lineRule="auto"/>
              <w:ind w:left="271"/>
              <w:rPr>
                <w:color w:val="auto"/>
                <w:highlight w:val="none"/>
              </w:rPr>
            </w:pPr>
            <w:r>
              <w:rPr>
                <w:color w:val="auto"/>
                <w:highlight w:val="none"/>
              </w:rPr>
              <w:t>5</w:t>
            </w:r>
          </w:p>
        </w:tc>
        <w:tc>
          <w:tcPr>
            <w:tcW w:w="1348" w:type="dxa"/>
            <w:vAlign w:val="top"/>
          </w:tcPr>
          <w:p w14:paraId="328B85D0">
            <w:pPr>
              <w:rPr>
                <w:rFonts w:ascii="Arial"/>
                <w:color w:val="auto"/>
                <w:sz w:val="21"/>
                <w:highlight w:val="none"/>
              </w:rPr>
            </w:pPr>
          </w:p>
        </w:tc>
        <w:tc>
          <w:tcPr>
            <w:tcW w:w="615" w:type="dxa"/>
            <w:vAlign w:val="top"/>
          </w:tcPr>
          <w:p w14:paraId="3F3B9A2F">
            <w:pPr>
              <w:rPr>
                <w:rFonts w:ascii="Arial"/>
                <w:color w:val="auto"/>
                <w:sz w:val="21"/>
                <w:highlight w:val="none"/>
              </w:rPr>
            </w:pPr>
          </w:p>
        </w:tc>
        <w:tc>
          <w:tcPr>
            <w:tcW w:w="614" w:type="dxa"/>
            <w:vAlign w:val="top"/>
          </w:tcPr>
          <w:p w14:paraId="2824346E">
            <w:pPr>
              <w:rPr>
                <w:rFonts w:ascii="Arial"/>
                <w:color w:val="auto"/>
                <w:sz w:val="21"/>
                <w:highlight w:val="none"/>
              </w:rPr>
            </w:pPr>
          </w:p>
        </w:tc>
        <w:tc>
          <w:tcPr>
            <w:tcW w:w="619" w:type="dxa"/>
            <w:vAlign w:val="top"/>
          </w:tcPr>
          <w:p w14:paraId="5A536DEA">
            <w:pPr>
              <w:rPr>
                <w:rFonts w:ascii="Arial"/>
                <w:color w:val="auto"/>
                <w:sz w:val="21"/>
                <w:highlight w:val="none"/>
              </w:rPr>
            </w:pPr>
          </w:p>
        </w:tc>
        <w:tc>
          <w:tcPr>
            <w:tcW w:w="614" w:type="dxa"/>
            <w:vAlign w:val="top"/>
          </w:tcPr>
          <w:p w14:paraId="59F88BCB">
            <w:pPr>
              <w:rPr>
                <w:rFonts w:ascii="Arial"/>
                <w:color w:val="auto"/>
                <w:sz w:val="21"/>
                <w:highlight w:val="none"/>
              </w:rPr>
            </w:pPr>
          </w:p>
        </w:tc>
        <w:tc>
          <w:tcPr>
            <w:tcW w:w="614" w:type="dxa"/>
            <w:vAlign w:val="top"/>
          </w:tcPr>
          <w:p w14:paraId="2F97AE90">
            <w:pPr>
              <w:rPr>
                <w:rFonts w:ascii="Arial"/>
                <w:color w:val="auto"/>
                <w:sz w:val="21"/>
                <w:highlight w:val="none"/>
              </w:rPr>
            </w:pPr>
          </w:p>
        </w:tc>
        <w:tc>
          <w:tcPr>
            <w:tcW w:w="619" w:type="dxa"/>
            <w:vAlign w:val="top"/>
          </w:tcPr>
          <w:p w14:paraId="230391F8">
            <w:pPr>
              <w:rPr>
                <w:rFonts w:ascii="Arial"/>
                <w:color w:val="auto"/>
                <w:sz w:val="21"/>
                <w:highlight w:val="none"/>
              </w:rPr>
            </w:pPr>
          </w:p>
        </w:tc>
        <w:tc>
          <w:tcPr>
            <w:tcW w:w="615" w:type="dxa"/>
            <w:vAlign w:val="top"/>
          </w:tcPr>
          <w:p w14:paraId="0825C349">
            <w:pPr>
              <w:rPr>
                <w:rFonts w:ascii="Arial"/>
                <w:color w:val="auto"/>
                <w:sz w:val="21"/>
                <w:highlight w:val="none"/>
              </w:rPr>
            </w:pPr>
          </w:p>
        </w:tc>
        <w:tc>
          <w:tcPr>
            <w:tcW w:w="614" w:type="dxa"/>
            <w:vAlign w:val="top"/>
          </w:tcPr>
          <w:p w14:paraId="263A8AB7">
            <w:pPr>
              <w:rPr>
                <w:rFonts w:ascii="Arial"/>
                <w:color w:val="auto"/>
                <w:sz w:val="21"/>
                <w:highlight w:val="none"/>
              </w:rPr>
            </w:pPr>
          </w:p>
        </w:tc>
        <w:tc>
          <w:tcPr>
            <w:tcW w:w="619" w:type="dxa"/>
            <w:vAlign w:val="top"/>
          </w:tcPr>
          <w:p w14:paraId="3559F4B1">
            <w:pPr>
              <w:rPr>
                <w:rFonts w:ascii="Arial"/>
                <w:color w:val="auto"/>
                <w:sz w:val="21"/>
                <w:highlight w:val="none"/>
              </w:rPr>
            </w:pPr>
          </w:p>
        </w:tc>
        <w:tc>
          <w:tcPr>
            <w:tcW w:w="791" w:type="dxa"/>
            <w:vAlign w:val="top"/>
          </w:tcPr>
          <w:p w14:paraId="1BFBAB7B">
            <w:pPr>
              <w:rPr>
                <w:rFonts w:ascii="Arial"/>
                <w:color w:val="auto"/>
                <w:sz w:val="21"/>
                <w:highlight w:val="none"/>
              </w:rPr>
            </w:pPr>
          </w:p>
        </w:tc>
      </w:tr>
      <w:tr w14:paraId="70FD5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49375EDC">
            <w:pPr>
              <w:pStyle w:val="11"/>
              <w:spacing w:before="212" w:line="182" w:lineRule="auto"/>
              <w:ind w:left="269"/>
              <w:rPr>
                <w:color w:val="auto"/>
                <w:highlight w:val="none"/>
              </w:rPr>
            </w:pPr>
            <w:r>
              <w:rPr>
                <w:color w:val="auto"/>
                <w:highlight w:val="none"/>
              </w:rPr>
              <w:t>6</w:t>
            </w:r>
          </w:p>
        </w:tc>
        <w:tc>
          <w:tcPr>
            <w:tcW w:w="1348" w:type="dxa"/>
            <w:vAlign w:val="top"/>
          </w:tcPr>
          <w:p w14:paraId="58556AD5">
            <w:pPr>
              <w:rPr>
                <w:rFonts w:ascii="Arial"/>
                <w:color w:val="auto"/>
                <w:sz w:val="21"/>
                <w:highlight w:val="none"/>
              </w:rPr>
            </w:pPr>
          </w:p>
        </w:tc>
        <w:tc>
          <w:tcPr>
            <w:tcW w:w="615" w:type="dxa"/>
            <w:vAlign w:val="top"/>
          </w:tcPr>
          <w:p w14:paraId="4D1C3FF4">
            <w:pPr>
              <w:rPr>
                <w:rFonts w:ascii="Arial"/>
                <w:color w:val="auto"/>
                <w:sz w:val="21"/>
                <w:highlight w:val="none"/>
              </w:rPr>
            </w:pPr>
          </w:p>
        </w:tc>
        <w:tc>
          <w:tcPr>
            <w:tcW w:w="614" w:type="dxa"/>
            <w:vAlign w:val="top"/>
          </w:tcPr>
          <w:p w14:paraId="779B4F41">
            <w:pPr>
              <w:rPr>
                <w:rFonts w:ascii="Arial"/>
                <w:color w:val="auto"/>
                <w:sz w:val="21"/>
                <w:highlight w:val="none"/>
              </w:rPr>
            </w:pPr>
          </w:p>
        </w:tc>
        <w:tc>
          <w:tcPr>
            <w:tcW w:w="619" w:type="dxa"/>
            <w:vAlign w:val="top"/>
          </w:tcPr>
          <w:p w14:paraId="364760A9">
            <w:pPr>
              <w:rPr>
                <w:rFonts w:ascii="Arial"/>
                <w:color w:val="auto"/>
                <w:sz w:val="21"/>
                <w:highlight w:val="none"/>
              </w:rPr>
            </w:pPr>
          </w:p>
        </w:tc>
        <w:tc>
          <w:tcPr>
            <w:tcW w:w="614" w:type="dxa"/>
            <w:vAlign w:val="top"/>
          </w:tcPr>
          <w:p w14:paraId="5D8CD33F">
            <w:pPr>
              <w:rPr>
                <w:rFonts w:ascii="Arial"/>
                <w:color w:val="auto"/>
                <w:sz w:val="21"/>
                <w:highlight w:val="none"/>
              </w:rPr>
            </w:pPr>
          </w:p>
        </w:tc>
        <w:tc>
          <w:tcPr>
            <w:tcW w:w="614" w:type="dxa"/>
            <w:vAlign w:val="top"/>
          </w:tcPr>
          <w:p w14:paraId="44125E0F">
            <w:pPr>
              <w:rPr>
                <w:rFonts w:ascii="Arial"/>
                <w:color w:val="auto"/>
                <w:sz w:val="21"/>
                <w:highlight w:val="none"/>
              </w:rPr>
            </w:pPr>
          </w:p>
        </w:tc>
        <w:tc>
          <w:tcPr>
            <w:tcW w:w="619" w:type="dxa"/>
            <w:vAlign w:val="top"/>
          </w:tcPr>
          <w:p w14:paraId="216F7850">
            <w:pPr>
              <w:rPr>
                <w:rFonts w:ascii="Arial"/>
                <w:color w:val="auto"/>
                <w:sz w:val="21"/>
                <w:highlight w:val="none"/>
              </w:rPr>
            </w:pPr>
          </w:p>
        </w:tc>
        <w:tc>
          <w:tcPr>
            <w:tcW w:w="615" w:type="dxa"/>
            <w:vAlign w:val="top"/>
          </w:tcPr>
          <w:p w14:paraId="6A84FA70">
            <w:pPr>
              <w:rPr>
                <w:rFonts w:ascii="Arial"/>
                <w:color w:val="auto"/>
                <w:sz w:val="21"/>
                <w:highlight w:val="none"/>
              </w:rPr>
            </w:pPr>
          </w:p>
        </w:tc>
        <w:tc>
          <w:tcPr>
            <w:tcW w:w="614" w:type="dxa"/>
            <w:vAlign w:val="top"/>
          </w:tcPr>
          <w:p w14:paraId="48EC50FD">
            <w:pPr>
              <w:rPr>
                <w:rFonts w:ascii="Arial"/>
                <w:color w:val="auto"/>
                <w:sz w:val="21"/>
                <w:highlight w:val="none"/>
              </w:rPr>
            </w:pPr>
          </w:p>
        </w:tc>
        <w:tc>
          <w:tcPr>
            <w:tcW w:w="619" w:type="dxa"/>
            <w:vAlign w:val="top"/>
          </w:tcPr>
          <w:p w14:paraId="0077FFEF">
            <w:pPr>
              <w:rPr>
                <w:rFonts w:ascii="Arial"/>
                <w:color w:val="auto"/>
                <w:sz w:val="21"/>
                <w:highlight w:val="none"/>
              </w:rPr>
            </w:pPr>
          </w:p>
        </w:tc>
        <w:tc>
          <w:tcPr>
            <w:tcW w:w="791" w:type="dxa"/>
            <w:vAlign w:val="top"/>
          </w:tcPr>
          <w:p w14:paraId="58E2ACC6">
            <w:pPr>
              <w:rPr>
                <w:rFonts w:ascii="Arial"/>
                <w:color w:val="auto"/>
                <w:sz w:val="21"/>
                <w:highlight w:val="none"/>
              </w:rPr>
            </w:pPr>
          </w:p>
        </w:tc>
      </w:tr>
      <w:tr w14:paraId="4A90C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29843C82">
            <w:pPr>
              <w:pStyle w:val="11"/>
              <w:spacing w:before="182" w:line="332" w:lineRule="exact"/>
              <w:ind w:left="228"/>
              <w:rPr>
                <w:color w:val="auto"/>
                <w:highlight w:val="none"/>
              </w:rPr>
            </w:pPr>
            <w:r>
              <w:rPr>
                <w:color w:val="auto"/>
                <w:position w:val="2"/>
                <w:highlight w:val="none"/>
              </w:rPr>
              <w:t>…</w:t>
            </w:r>
          </w:p>
        </w:tc>
        <w:tc>
          <w:tcPr>
            <w:tcW w:w="1348" w:type="dxa"/>
            <w:vAlign w:val="top"/>
          </w:tcPr>
          <w:p w14:paraId="3BD16742">
            <w:pPr>
              <w:rPr>
                <w:rFonts w:ascii="Arial"/>
                <w:color w:val="auto"/>
                <w:sz w:val="21"/>
                <w:highlight w:val="none"/>
              </w:rPr>
            </w:pPr>
          </w:p>
        </w:tc>
        <w:tc>
          <w:tcPr>
            <w:tcW w:w="615" w:type="dxa"/>
            <w:vAlign w:val="top"/>
          </w:tcPr>
          <w:p w14:paraId="089AB5BB">
            <w:pPr>
              <w:rPr>
                <w:rFonts w:ascii="Arial"/>
                <w:color w:val="auto"/>
                <w:sz w:val="21"/>
                <w:highlight w:val="none"/>
              </w:rPr>
            </w:pPr>
          </w:p>
        </w:tc>
        <w:tc>
          <w:tcPr>
            <w:tcW w:w="614" w:type="dxa"/>
            <w:vAlign w:val="top"/>
          </w:tcPr>
          <w:p w14:paraId="770F0094">
            <w:pPr>
              <w:rPr>
                <w:rFonts w:ascii="Arial"/>
                <w:color w:val="auto"/>
                <w:sz w:val="21"/>
                <w:highlight w:val="none"/>
              </w:rPr>
            </w:pPr>
          </w:p>
        </w:tc>
        <w:tc>
          <w:tcPr>
            <w:tcW w:w="619" w:type="dxa"/>
            <w:vAlign w:val="top"/>
          </w:tcPr>
          <w:p w14:paraId="49CD4CB1">
            <w:pPr>
              <w:rPr>
                <w:rFonts w:ascii="Arial"/>
                <w:color w:val="auto"/>
                <w:sz w:val="21"/>
                <w:highlight w:val="none"/>
              </w:rPr>
            </w:pPr>
          </w:p>
        </w:tc>
        <w:tc>
          <w:tcPr>
            <w:tcW w:w="614" w:type="dxa"/>
            <w:vAlign w:val="top"/>
          </w:tcPr>
          <w:p w14:paraId="2F5FC54C">
            <w:pPr>
              <w:rPr>
                <w:rFonts w:ascii="Arial"/>
                <w:color w:val="auto"/>
                <w:sz w:val="21"/>
                <w:highlight w:val="none"/>
              </w:rPr>
            </w:pPr>
          </w:p>
        </w:tc>
        <w:tc>
          <w:tcPr>
            <w:tcW w:w="614" w:type="dxa"/>
            <w:vAlign w:val="top"/>
          </w:tcPr>
          <w:p w14:paraId="35B7DB6A">
            <w:pPr>
              <w:rPr>
                <w:rFonts w:ascii="Arial"/>
                <w:color w:val="auto"/>
                <w:sz w:val="21"/>
                <w:highlight w:val="none"/>
              </w:rPr>
            </w:pPr>
          </w:p>
        </w:tc>
        <w:tc>
          <w:tcPr>
            <w:tcW w:w="619" w:type="dxa"/>
            <w:vAlign w:val="top"/>
          </w:tcPr>
          <w:p w14:paraId="69255044">
            <w:pPr>
              <w:rPr>
                <w:rFonts w:ascii="Arial"/>
                <w:color w:val="auto"/>
                <w:sz w:val="21"/>
                <w:highlight w:val="none"/>
              </w:rPr>
            </w:pPr>
          </w:p>
        </w:tc>
        <w:tc>
          <w:tcPr>
            <w:tcW w:w="615" w:type="dxa"/>
            <w:vAlign w:val="top"/>
          </w:tcPr>
          <w:p w14:paraId="319D0082">
            <w:pPr>
              <w:rPr>
                <w:rFonts w:ascii="Arial"/>
                <w:color w:val="auto"/>
                <w:sz w:val="21"/>
                <w:highlight w:val="none"/>
              </w:rPr>
            </w:pPr>
          </w:p>
        </w:tc>
        <w:tc>
          <w:tcPr>
            <w:tcW w:w="614" w:type="dxa"/>
            <w:vAlign w:val="top"/>
          </w:tcPr>
          <w:p w14:paraId="435053D2">
            <w:pPr>
              <w:rPr>
                <w:rFonts w:ascii="Arial"/>
                <w:color w:val="auto"/>
                <w:sz w:val="21"/>
                <w:highlight w:val="none"/>
              </w:rPr>
            </w:pPr>
          </w:p>
        </w:tc>
        <w:tc>
          <w:tcPr>
            <w:tcW w:w="619" w:type="dxa"/>
            <w:vAlign w:val="top"/>
          </w:tcPr>
          <w:p w14:paraId="3093B7DD">
            <w:pPr>
              <w:rPr>
                <w:rFonts w:ascii="Arial"/>
                <w:color w:val="auto"/>
                <w:sz w:val="21"/>
                <w:highlight w:val="none"/>
              </w:rPr>
            </w:pPr>
          </w:p>
        </w:tc>
        <w:tc>
          <w:tcPr>
            <w:tcW w:w="791" w:type="dxa"/>
            <w:vAlign w:val="top"/>
          </w:tcPr>
          <w:p w14:paraId="063D8786">
            <w:pPr>
              <w:rPr>
                <w:rFonts w:ascii="Arial"/>
                <w:color w:val="auto"/>
                <w:sz w:val="21"/>
                <w:highlight w:val="none"/>
              </w:rPr>
            </w:pPr>
          </w:p>
        </w:tc>
      </w:tr>
      <w:tr w14:paraId="75782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8311" w:type="dxa"/>
            <w:gridSpan w:val="12"/>
            <w:vAlign w:val="top"/>
          </w:tcPr>
          <w:p w14:paraId="6845F678">
            <w:pPr>
              <w:spacing w:line="285" w:lineRule="auto"/>
              <w:rPr>
                <w:rFonts w:ascii="Arial"/>
                <w:color w:val="auto"/>
                <w:sz w:val="21"/>
                <w:highlight w:val="none"/>
              </w:rPr>
            </w:pPr>
          </w:p>
          <w:p w14:paraId="6C3A6660">
            <w:pPr>
              <w:pStyle w:val="11"/>
              <w:spacing w:before="68" w:line="220" w:lineRule="auto"/>
              <w:ind w:left="118"/>
              <w:rPr>
                <w:color w:val="auto"/>
                <w:highlight w:val="none"/>
              </w:rPr>
            </w:pPr>
            <w:r>
              <w:rPr>
                <w:color w:val="auto"/>
                <w:spacing w:val="-3"/>
                <w:highlight w:val="none"/>
              </w:rPr>
              <w:t>评标委员会全体成员签名：</w:t>
            </w:r>
          </w:p>
        </w:tc>
      </w:tr>
    </w:tbl>
    <w:p w14:paraId="4DAAC7AA">
      <w:pPr>
        <w:spacing w:before="24" w:line="221" w:lineRule="auto"/>
        <w:ind w:left="5730"/>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24"/>
          <w:sz w:val="21"/>
          <w:szCs w:val="21"/>
          <w:highlight w:val="none"/>
        </w:rPr>
        <w:t>日</w:t>
      </w:r>
    </w:p>
    <w:p w14:paraId="0A088040">
      <w:pPr>
        <w:spacing w:line="221" w:lineRule="auto"/>
        <w:rPr>
          <w:rFonts w:ascii="宋体" w:hAnsi="宋体" w:eastAsia="宋体" w:cs="宋体"/>
          <w:color w:val="auto"/>
          <w:sz w:val="21"/>
          <w:szCs w:val="21"/>
          <w:highlight w:val="none"/>
        </w:rPr>
        <w:sectPr>
          <w:footerReference r:id="rId84" w:type="default"/>
          <w:pgSz w:w="11905" w:h="16839"/>
          <w:pgMar w:top="1431" w:right="1785" w:bottom="996" w:left="1785" w:header="0" w:footer="791" w:gutter="0"/>
          <w:pgNumType w:fmt="decimal"/>
          <w:cols w:space="720" w:num="1"/>
        </w:sectPr>
      </w:pPr>
    </w:p>
    <w:p w14:paraId="756EDF31">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1"/>
          <w:sz w:val="24"/>
          <w:szCs w:val="24"/>
          <w:highlight w:val="none"/>
        </w:rPr>
        <w:t xml:space="preserve"> </w:t>
      </w:r>
      <w:r>
        <w:rPr>
          <w:rFonts w:ascii="Times New Roman" w:hAnsi="Times New Roman" w:eastAsia="Times New Roman" w:cs="Times New Roman"/>
          <w:color w:val="auto"/>
          <w:spacing w:val="-3"/>
          <w:sz w:val="24"/>
          <w:szCs w:val="24"/>
          <w:highlight w:val="none"/>
        </w:rPr>
        <w:t>A-6</w:t>
      </w:r>
      <w:r>
        <w:rPr>
          <w:rFonts w:ascii="黑体" w:hAnsi="黑体" w:eastAsia="黑体" w:cs="黑体"/>
          <w:color w:val="auto"/>
          <w:spacing w:val="-3"/>
          <w:sz w:val="24"/>
          <w:szCs w:val="24"/>
          <w:highlight w:val="none"/>
        </w:rPr>
        <w:t>：响应性评审记录表</w:t>
      </w:r>
    </w:p>
    <w:p w14:paraId="3E606CAA">
      <w:pPr>
        <w:pStyle w:val="3"/>
        <w:spacing w:line="317" w:lineRule="auto"/>
        <w:rPr>
          <w:color w:val="auto"/>
          <w:highlight w:val="none"/>
        </w:rPr>
      </w:pPr>
    </w:p>
    <w:p w14:paraId="3FCE5015">
      <w:pPr>
        <w:pStyle w:val="3"/>
        <w:spacing w:line="317" w:lineRule="auto"/>
        <w:rPr>
          <w:color w:val="auto"/>
          <w:highlight w:val="none"/>
        </w:rPr>
      </w:pPr>
    </w:p>
    <w:p w14:paraId="3F845F5B">
      <w:pPr>
        <w:spacing w:before="117" w:line="219" w:lineRule="auto"/>
        <w:ind w:left="2756"/>
        <w:rPr>
          <w:rFonts w:ascii="黑体" w:hAnsi="黑体" w:eastAsia="黑体" w:cs="黑体"/>
          <w:color w:val="auto"/>
          <w:sz w:val="36"/>
          <w:szCs w:val="36"/>
          <w:highlight w:val="none"/>
        </w:rPr>
      </w:pPr>
      <w:bookmarkStart w:id="194" w:name="bookmark222"/>
      <w:bookmarkEnd w:id="194"/>
      <w:r>
        <w:rPr>
          <w:rFonts w:ascii="黑体" w:hAnsi="黑体" w:eastAsia="黑体" w:cs="黑体"/>
          <w:color w:val="auto"/>
          <w:spacing w:val="-4"/>
          <w:sz w:val="36"/>
          <w:szCs w:val="36"/>
          <w:highlight w:val="none"/>
        </w:rPr>
        <w:t>响应性评审记录表</w:t>
      </w:r>
    </w:p>
    <w:p w14:paraId="5F6B4A09">
      <w:pPr>
        <w:spacing w:before="234"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42AF790E">
      <w:pPr>
        <w:spacing w:before="22" w:line="214"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4"/>
        <w:gridCol w:w="615"/>
        <w:gridCol w:w="614"/>
        <w:gridCol w:w="614"/>
        <w:gridCol w:w="614"/>
        <w:gridCol w:w="614"/>
        <w:gridCol w:w="614"/>
        <w:gridCol w:w="615"/>
        <w:gridCol w:w="619"/>
        <w:gridCol w:w="614"/>
        <w:gridCol w:w="791"/>
      </w:tblGrid>
      <w:tr w14:paraId="6E9E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restart"/>
            <w:tcBorders>
              <w:bottom w:val="nil"/>
            </w:tcBorders>
            <w:vAlign w:val="top"/>
          </w:tcPr>
          <w:p w14:paraId="275A947A">
            <w:pPr>
              <w:spacing w:line="252" w:lineRule="auto"/>
              <w:rPr>
                <w:rFonts w:ascii="Arial"/>
                <w:color w:val="auto"/>
                <w:sz w:val="21"/>
                <w:highlight w:val="none"/>
              </w:rPr>
            </w:pPr>
          </w:p>
          <w:p w14:paraId="1141D281">
            <w:pPr>
              <w:pStyle w:val="11"/>
              <w:spacing w:before="68" w:line="222" w:lineRule="auto"/>
              <w:ind w:left="175"/>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224" w:type="dxa"/>
            <w:vMerge w:val="restart"/>
            <w:tcBorders>
              <w:bottom w:val="nil"/>
            </w:tcBorders>
            <w:vAlign w:val="top"/>
          </w:tcPr>
          <w:p w14:paraId="3C522FCF">
            <w:pPr>
              <w:pStyle w:val="11"/>
              <w:spacing w:before="182" w:line="232" w:lineRule="auto"/>
              <w:ind w:left="511" w:right="186" w:hanging="313"/>
              <w:rPr>
                <w:color w:val="auto"/>
                <w:highlight w:val="none"/>
              </w:rPr>
            </w:pPr>
            <w:r>
              <w:rPr>
                <w:color w:val="auto"/>
                <w:spacing w:val="-2"/>
                <w:highlight w:val="none"/>
                <w14:textOutline w14:w="3831" w14:cap="flat" w14:cmpd="sng">
                  <w14:solidFill>
                    <w14:srgbClr w14:val="000000"/>
                  </w14:solidFill>
                  <w14:prstDash w14:val="solid"/>
                  <w14:miter w14:val="0"/>
                </w14:textOutline>
              </w:rPr>
              <w:t>投标人名</w:t>
            </w:r>
            <w:r>
              <w:rPr>
                <w:color w:val="auto"/>
                <w:spacing w:val="1"/>
                <w:highlight w:val="none"/>
              </w:rPr>
              <w:t xml:space="preserve"> </w:t>
            </w:r>
            <w:r>
              <w:rPr>
                <w:color w:val="auto"/>
                <w:highlight w:val="none"/>
                <w14:textOutline w14:w="3831" w14:cap="flat" w14:cmpd="sng">
                  <w14:solidFill>
                    <w14:srgbClr w14:val="000000"/>
                  </w14:solidFill>
                  <w14:prstDash w14:val="solid"/>
                  <w14:miter w14:val="0"/>
                </w14:textOutline>
              </w:rPr>
              <w:t>称</w:t>
            </w:r>
          </w:p>
        </w:tc>
        <w:tc>
          <w:tcPr>
            <w:tcW w:w="5533" w:type="dxa"/>
            <w:gridSpan w:val="9"/>
            <w:vAlign w:val="top"/>
          </w:tcPr>
          <w:p w14:paraId="5B04787A">
            <w:pPr>
              <w:pStyle w:val="11"/>
              <w:spacing w:before="105" w:line="221" w:lineRule="auto"/>
              <w:ind w:left="1818"/>
              <w:rPr>
                <w:color w:val="auto"/>
                <w:highlight w:val="none"/>
              </w:rPr>
            </w:pPr>
            <w:r>
              <w:rPr>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6C292246">
            <w:pPr>
              <w:pStyle w:val="11"/>
              <w:spacing w:before="183" w:line="241" w:lineRule="auto"/>
              <w:ind w:left="189"/>
              <w:rPr>
                <w:color w:val="auto"/>
                <w:highlight w:val="none"/>
              </w:rPr>
            </w:pPr>
            <w:r>
              <w:rPr>
                <w:color w:val="auto"/>
                <w:spacing w:val="-2"/>
                <w:highlight w:val="none"/>
                <w14:textOutline w14:w="3831" w14:cap="flat" w14:cmpd="sng">
                  <w14:solidFill>
                    <w14:srgbClr w14:val="000000"/>
                  </w14:solidFill>
                  <w14:prstDash w14:val="solid"/>
                  <w14:miter w14:val="0"/>
                </w14:textOutline>
              </w:rPr>
              <w:t>评审</w:t>
            </w:r>
          </w:p>
          <w:p w14:paraId="7564BBCF">
            <w:pPr>
              <w:pStyle w:val="11"/>
              <w:spacing w:line="222" w:lineRule="auto"/>
              <w:ind w:left="195"/>
              <w:rPr>
                <w:color w:val="auto"/>
                <w:highlight w:val="none"/>
              </w:rPr>
            </w:pPr>
            <w:r>
              <w:rPr>
                <w:color w:val="auto"/>
                <w:spacing w:val="-3"/>
                <w:highlight w:val="none"/>
                <w14:textOutline w14:w="3831" w14:cap="flat" w14:cmpd="sng">
                  <w14:solidFill>
                    <w14:srgbClr w14:val="000000"/>
                  </w14:solidFill>
                  <w14:prstDash w14:val="solid"/>
                  <w14:miter w14:val="0"/>
                </w14:textOutline>
              </w:rPr>
              <w:t>结论</w:t>
            </w:r>
          </w:p>
        </w:tc>
      </w:tr>
      <w:tr w14:paraId="0EFEC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continue"/>
            <w:tcBorders>
              <w:top w:val="nil"/>
            </w:tcBorders>
            <w:vAlign w:val="top"/>
          </w:tcPr>
          <w:p w14:paraId="46EE7A69">
            <w:pPr>
              <w:rPr>
                <w:rFonts w:ascii="Arial"/>
                <w:color w:val="auto"/>
                <w:sz w:val="21"/>
                <w:highlight w:val="none"/>
              </w:rPr>
            </w:pPr>
          </w:p>
        </w:tc>
        <w:tc>
          <w:tcPr>
            <w:tcW w:w="1224" w:type="dxa"/>
            <w:vMerge w:val="continue"/>
            <w:tcBorders>
              <w:top w:val="nil"/>
            </w:tcBorders>
            <w:vAlign w:val="top"/>
          </w:tcPr>
          <w:p w14:paraId="4A544FFF">
            <w:pPr>
              <w:rPr>
                <w:rFonts w:ascii="Arial"/>
                <w:color w:val="auto"/>
                <w:sz w:val="21"/>
                <w:highlight w:val="none"/>
              </w:rPr>
            </w:pPr>
          </w:p>
        </w:tc>
        <w:tc>
          <w:tcPr>
            <w:tcW w:w="615" w:type="dxa"/>
            <w:vAlign w:val="top"/>
          </w:tcPr>
          <w:p w14:paraId="5384C838">
            <w:pPr>
              <w:rPr>
                <w:rFonts w:ascii="Arial"/>
                <w:color w:val="auto"/>
                <w:sz w:val="21"/>
                <w:highlight w:val="none"/>
              </w:rPr>
            </w:pPr>
          </w:p>
        </w:tc>
        <w:tc>
          <w:tcPr>
            <w:tcW w:w="614" w:type="dxa"/>
            <w:vAlign w:val="top"/>
          </w:tcPr>
          <w:p w14:paraId="69CE883B">
            <w:pPr>
              <w:rPr>
                <w:rFonts w:ascii="Arial"/>
                <w:color w:val="auto"/>
                <w:sz w:val="21"/>
                <w:highlight w:val="none"/>
              </w:rPr>
            </w:pPr>
          </w:p>
        </w:tc>
        <w:tc>
          <w:tcPr>
            <w:tcW w:w="614" w:type="dxa"/>
            <w:vAlign w:val="top"/>
          </w:tcPr>
          <w:p w14:paraId="1DDEC9F3">
            <w:pPr>
              <w:rPr>
                <w:rFonts w:ascii="Arial"/>
                <w:color w:val="auto"/>
                <w:sz w:val="21"/>
                <w:highlight w:val="none"/>
              </w:rPr>
            </w:pPr>
          </w:p>
        </w:tc>
        <w:tc>
          <w:tcPr>
            <w:tcW w:w="614" w:type="dxa"/>
            <w:vAlign w:val="top"/>
          </w:tcPr>
          <w:p w14:paraId="7AA7A054">
            <w:pPr>
              <w:rPr>
                <w:rFonts w:ascii="Arial"/>
                <w:color w:val="auto"/>
                <w:sz w:val="21"/>
                <w:highlight w:val="none"/>
              </w:rPr>
            </w:pPr>
          </w:p>
        </w:tc>
        <w:tc>
          <w:tcPr>
            <w:tcW w:w="614" w:type="dxa"/>
            <w:vAlign w:val="top"/>
          </w:tcPr>
          <w:p w14:paraId="07FD33BF">
            <w:pPr>
              <w:rPr>
                <w:rFonts w:ascii="Arial"/>
                <w:color w:val="auto"/>
                <w:sz w:val="21"/>
                <w:highlight w:val="none"/>
              </w:rPr>
            </w:pPr>
          </w:p>
        </w:tc>
        <w:tc>
          <w:tcPr>
            <w:tcW w:w="614" w:type="dxa"/>
            <w:vAlign w:val="top"/>
          </w:tcPr>
          <w:p w14:paraId="2F870F59">
            <w:pPr>
              <w:rPr>
                <w:rFonts w:ascii="Arial"/>
                <w:color w:val="auto"/>
                <w:sz w:val="21"/>
                <w:highlight w:val="none"/>
              </w:rPr>
            </w:pPr>
          </w:p>
        </w:tc>
        <w:tc>
          <w:tcPr>
            <w:tcW w:w="615" w:type="dxa"/>
            <w:vAlign w:val="top"/>
          </w:tcPr>
          <w:p w14:paraId="12FE2455">
            <w:pPr>
              <w:rPr>
                <w:rFonts w:ascii="Arial"/>
                <w:color w:val="auto"/>
                <w:sz w:val="21"/>
                <w:highlight w:val="none"/>
              </w:rPr>
            </w:pPr>
          </w:p>
        </w:tc>
        <w:tc>
          <w:tcPr>
            <w:tcW w:w="619" w:type="dxa"/>
            <w:vAlign w:val="top"/>
          </w:tcPr>
          <w:p w14:paraId="2525C67E">
            <w:pPr>
              <w:rPr>
                <w:rFonts w:ascii="Arial"/>
                <w:color w:val="auto"/>
                <w:sz w:val="21"/>
                <w:highlight w:val="none"/>
              </w:rPr>
            </w:pPr>
          </w:p>
        </w:tc>
        <w:tc>
          <w:tcPr>
            <w:tcW w:w="614" w:type="dxa"/>
            <w:vAlign w:val="top"/>
          </w:tcPr>
          <w:p w14:paraId="387DC36F">
            <w:pPr>
              <w:rPr>
                <w:rFonts w:ascii="Arial"/>
                <w:color w:val="auto"/>
                <w:sz w:val="21"/>
                <w:highlight w:val="none"/>
              </w:rPr>
            </w:pPr>
          </w:p>
        </w:tc>
        <w:tc>
          <w:tcPr>
            <w:tcW w:w="791" w:type="dxa"/>
            <w:vMerge w:val="continue"/>
            <w:tcBorders>
              <w:top w:val="nil"/>
            </w:tcBorders>
            <w:vAlign w:val="top"/>
          </w:tcPr>
          <w:p w14:paraId="20B71C94">
            <w:pPr>
              <w:rPr>
                <w:rFonts w:ascii="Arial"/>
                <w:color w:val="auto"/>
                <w:sz w:val="21"/>
                <w:highlight w:val="none"/>
              </w:rPr>
            </w:pPr>
          </w:p>
        </w:tc>
      </w:tr>
      <w:tr w14:paraId="1E180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2F9219D6">
            <w:pPr>
              <w:pStyle w:val="11"/>
              <w:spacing w:before="208" w:line="183" w:lineRule="auto"/>
              <w:ind w:left="350"/>
              <w:rPr>
                <w:color w:val="auto"/>
                <w:highlight w:val="none"/>
              </w:rPr>
            </w:pPr>
            <w:r>
              <w:rPr>
                <w:color w:val="auto"/>
                <w:highlight w:val="none"/>
              </w:rPr>
              <w:t>1</w:t>
            </w:r>
          </w:p>
        </w:tc>
        <w:tc>
          <w:tcPr>
            <w:tcW w:w="1224" w:type="dxa"/>
            <w:vAlign w:val="top"/>
          </w:tcPr>
          <w:p w14:paraId="5D529481">
            <w:pPr>
              <w:rPr>
                <w:rFonts w:ascii="Arial"/>
                <w:color w:val="auto"/>
                <w:sz w:val="21"/>
                <w:highlight w:val="none"/>
              </w:rPr>
            </w:pPr>
          </w:p>
        </w:tc>
        <w:tc>
          <w:tcPr>
            <w:tcW w:w="615" w:type="dxa"/>
            <w:vAlign w:val="top"/>
          </w:tcPr>
          <w:p w14:paraId="1C73F613">
            <w:pPr>
              <w:rPr>
                <w:rFonts w:ascii="Arial"/>
                <w:color w:val="auto"/>
                <w:sz w:val="21"/>
                <w:highlight w:val="none"/>
              </w:rPr>
            </w:pPr>
          </w:p>
        </w:tc>
        <w:tc>
          <w:tcPr>
            <w:tcW w:w="614" w:type="dxa"/>
            <w:vAlign w:val="top"/>
          </w:tcPr>
          <w:p w14:paraId="39983E31">
            <w:pPr>
              <w:rPr>
                <w:rFonts w:ascii="Arial"/>
                <w:color w:val="auto"/>
                <w:sz w:val="21"/>
                <w:highlight w:val="none"/>
              </w:rPr>
            </w:pPr>
          </w:p>
        </w:tc>
        <w:tc>
          <w:tcPr>
            <w:tcW w:w="614" w:type="dxa"/>
            <w:vAlign w:val="top"/>
          </w:tcPr>
          <w:p w14:paraId="09294108">
            <w:pPr>
              <w:rPr>
                <w:rFonts w:ascii="Arial"/>
                <w:color w:val="auto"/>
                <w:sz w:val="21"/>
                <w:highlight w:val="none"/>
              </w:rPr>
            </w:pPr>
          </w:p>
        </w:tc>
        <w:tc>
          <w:tcPr>
            <w:tcW w:w="614" w:type="dxa"/>
            <w:vAlign w:val="top"/>
          </w:tcPr>
          <w:p w14:paraId="259FCAFE">
            <w:pPr>
              <w:rPr>
                <w:rFonts w:ascii="Arial"/>
                <w:color w:val="auto"/>
                <w:sz w:val="21"/>
                <w:highlight w:val="none"/>
              </w:rPr>
            </w:pPr>
          </w:p>
        </w:tc>
        <w:tc>
          <w:tcPr>
            <w:tcW w:w="614" w:type="dxa"/>
            <w:vAlign w:val="top"/>
          </w:tcPr>
          <w:p w14:paraId="1E97EA57">
            <w:pPr>
              <w:rPr>
                <w:rFonts w:ascii="Arial"/>
                <w:color w:val="auto"/>
                <w:sz w:val="21"/>
                <w:highlight w:val="none"/>
              </w:rPr>
            </w:pPr>
          </w:p>
        </w:tc>
        <w:tc>
          <w:tcPr>
            <w:tcW w:w="614" w:type="dxa"/>
            <w:vAlign w:val="top"/>
          </w:tcPr>
          <w:p w14:paraId="66B0E076">
            <w:pPr>
              <w:rPr>
                <w:rFonts w:ascii="Arial"/>
                <w:color w:val="auto"/>
                <w:sz w:val="21"/>
                <w:highlight w:val="none"/>
              </w:rPr>
            </w:pPr>
          </w:p>
        </w:tc>
        <w:tc>
          <w:tcPr>
            <w:tcW w:w="615" w:type="dxa"/>
            <w:vAlign w:val="top"/>
          </w:tcPr>
          <w:p w14:paraId="3068E261">
            <w:pPr>
              <w:rPr>
                <w:rFonts w:ascii="Arial"/>
                <w:color w:val="auto"/>
                <w:sz w:val="21"/>
                <w:highlight w:val="none"/>
              </w:rPr>
            </w:pPr>
          </w:p>
        </w:tc>
        <w:tc>
          <w:tcPr>
            <w:tcW w:w="619" w:type="dxa"/>
            <w:vAlign w:val="top"/>
          </w:tcPr>
          <w:p w14:paraId="5B17E1EF">
            <w:pPr>
              <w:rPr>
                <w:rFonts w:ascii="Arial"/>
                <w:color w:val="auto"/>
                <w:sz w:val="21"/>
                <w:highlight w:val="none"/>
              </w:rPr>
            </w:pPr>
          </w:p>
        </w:tc>
        <w:tc>
          <w:tcPr>
            <w:tcW w:w="614" w:type="dxa"/>
            <w:vAlign w:val="top"/>
          </w:tcPr>
          <w:p w14:paraId="73BDFC08">
            <w:pPr>
              <w:rPr>
                <w:rFonts w:ascii="Arial"/>
                <w:color w:val="auto"/>
                <w:sz w:val="21"/>
                <w:highlight w:val="none"/>
              </w:rPr>
            </w:pPr>
          </w:p>
        </w:tc>
        <w:tc>
          <w:tcPr>
            <w:tcW w:w="791" w:type="dxa"/>
            <w:vAlign w:val="top"/>
          </w:tcPr>
          <w:p w14:paraId="74A3B5F1">
            <w:pPr>
              <w:rPr>
                <w:rFonts w:ascii="Arial"/>
                <w:color w:val="auto"/>
                <w:sz w:val="21"/>
                <w:highlight w:val="none"/>
              </w:rPr>
            </w:pPr>
          </w:p>
        </w:tc>
      </w:tr>
      <w:tr w14:paraId="1834D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3D7FDA1E">
            <w:pPr>
              <w:pStyle w:val="11"/>
              <w:spacing w:before="215" w:line="182" w:lineRule="auto"/>
              <w:ind w:left="337"/>
              <w:rPr>
                <w:color w:val="auto"/>
                <w:highlight w:val="none"/>
              </w:rPr>
            </w:pPr>
            <w:r>
              <w:rPr>
                <w:color w:val="auto"/>
                <w:highlight w:val="none"/>
              </w:rPr>
              <w:t>2</w:t>
            </w:r>
          </w:p>
        </w:tc>
        <w:tc>
          <w:tcPr>
            <w:tcW w:w="1224" w:type="dxa"/>
            <w:vAlign w:val="top"/>
          </w:tcPr>
          <w:p w14:paraId="0DA02193">
            <w:pPr>
              <w:rPr>
                <w:rFonts w:ascii="Arial"/>
                <w:color w:val="auto"/>
                <w:sz w:val="21"/>
                <w:highlight w:val="none"/>
              </w:rPr>
            </w:pPr>
          </w:p>
        </w:tc>
        <w:tc>
          <w:tcPr>
            <w:tcW w:w="615" w:type="dxa"/>
            <w:vAlign w:val="top"/>
          </w:tcPr>
          <w:p w14:paraId="708F13C6">
            <w:pPr>
              <w:rPr>
                <w:rFonts w:ascii="Arial"/>
                <w:color w:val="auto"/>
                <w:sz w:val="21"/>
                <w:highlight w:val="none"/>
              </w:rPr>
            </w:pPr>
          </w:p>
        </w:tc>
        <w:tc>
          <w:tcPr>
            <w:tcW w:w="614" w:type="dxa"/>
            <w:vAlign w:val="top"/>
          </w:tcPr>
          <w:p w14:paraId="1698066A">
            <w:pPr>
              <w:rPr>
                <w:rFonts w:ascii="Arial"/>
                <w:color w:val="auto"/>
                <w:sz w:val="21"/>
                <w:highlight w:val="none"/>
              </w:rPr>
            </w:pPr>
          </w:p>
        </w:tc>
        <w:tc>
          <w:tcPr>
            <w:tcW w:w="614" w:type="dxa"/>
            <w:vAlign w:val="top"/>
          </w:tcPr>
          <w:p w14:paraId="6D59E9BB">
            <w:pPr>
              <w:rPr>
                <w:rFonts w:ascii="Arial"/>
                <w:color w:val="auto"/>
                <w:sz w:val="21"/>
                <w:highlight w:val="none"/>
              </w:rPr>
            </w:pPr>
          </w:p>
        </w:tc>
        <w:tc>
          <w:tcPr>
            <w:tcW w:w="614" w:type="dxa"/>
            <w:vAlign w:val="top"/>
          </w:tcPr>
          <w:p w14:paraId="245814AF">
            <w:pPr>
              <w:rPr>
                <w:rFonts w:ascii="Arial"/>
                <w:color w:val="auto"/>
                <w:sz w:val="21"/>
                <w:highlight w:val="none"/>
              </w:rPr>
            </w:pPr>
          </w:p>
        </w:tc>
        <w:tc>
          <w:tcPr>
            <w:tcW w:w="614" w:type="dxa"/>
            <w:vAlign w:val="top"/>
          </w:tcPr>
          <w:p w14:paraId="26820180">
            <w:pPr>
              <w:rPr>
                <w:rFonts w:ascii="Arial"/>
                <w:color w:val="auto"/>
                <w:sz w:val="21"/>
                <w:highlight w:val="none"/>
              </w:rPr>
            </w:pPr>
          </w:p>
        </w:tc>
        <w:tc>
          <w:tcPr>
            <w:tcW w:w="614" w:type="dxa"/>
            <w:vAlign w:val="top"/>
          </w:tcPr>
          <w:p w14:paraId="4A7C26D3">
            <w:pPr>
              <w:rPr>
                <w:rFonts w:ascii="Arial"/>
                <w:color w:val="auto"/>
                <w:sz w:val="21"/>
                <w:highlight w:val="none"/>
              </w:rPr>
            </w:pPr>
          </w:p>
        </w:tc>
        <w:tc>
          <w:tcPr>
            <w:tcW w:w="615" w:type="dxa"/>
            <w:vAlign w:val="top"/>
          </w:tcPr>
          <w:p w14:paraId="16BBE96C">
            <w:pPr>
              <w:rPr>
                <w:rFonts w:ascii="Arial"/>
                <w:color w:val="auto"/>
                <w:sz w:val="21"/>
                <w:highlight w:val="none"/>
              </w:rPr>
            </w:pPr>
          </w:p>
        </w:tc>
        <w:tc>
          <w:tcPr>
            <w:tcW w:w="619" w:type="dxa"/>
            <w:vAlign w:val="top"/>
          </w:tcPr>
          <w:p w14:paraId="78A4C960">
            <w:pPr>
              <w:rPr>
                <w:rFonts w:ascii="Arial"/>
                <w:color w:val="auto"/>
                <w:sz w:val="21"/>
                <w:highlight w:val="none"/>
              </w:rPr>
            </w:pPr>
          </w:p>
        </w:tc>
        <w:tc>
          <w:tcPr>
            <w:tcW w:w="614" w:type="dxa"/>
            <w:vAlign w:val="top"/>
          </w:tcPr>
          <w:p w14:paraId="57FF71A9">
            <w:pPr>
              <w:rPr>
                <w:rFonts w:ascii="Arial"/>
                <w:color w:val="auto"/>
                <w:sz w:val="21"/>
                <w:highlight w:val="none"/>
              </w:rPr>
            </w:pPr>
          </w:p>
        </w:tc>
        <w:tc>
          <w:tcPr>
            <w:tcW w:w="791" w:type="dxa"/>
            <w:vAlign w:val="top"/>
          </w:tcPr>
          <w:p w14:paraId="0A3D7A1B">
            <w:pPr>
              <w:rPr>
                <w:rFonts w:ascii="Arial"/>
                <w:color w:val="auto"/>
                <w:sz w:val="21"/>
                <w:highlight w:val="none"/>
              </w:rPr>
            </w:pPr>
          </w:p>
        </w:tc>
      </w:tr>
      <w:tr w14:paraId="1B02F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763" w:type="dxa"/>
            <w:vAlign w:val="top"/>
          </w:tcPr>
          <w:p w14:paraId="4CA4E81E">
            <w:pPr>
              <w:pStyle w:val="11"/>
              <w:spacing w:before="215" w:line="182" w:lineRule="auto"/>
              <w:ind w:left="339"/>
              <w:rPr>
                <w:color w:val="auto"/>
                <w:highlight w:val="none"/>
              </w:rPr>
            </w:pPr>
            <w:r>
              <w:rPr>
                <w:color w:val="auto"/>
                <w:highlight w:val="none"/>
              </w:rPr>
              <w:t>3</w:t>
            </w:r>
          </w:p>
        </w:tc>
        <w:tc>
          <w:tcPr>
            <w:tcW w:w="1224" w:type="dxa"/>
            <w:vAlign w:val="top"/>
          </w:tcPr>
          <w:p w14:paraId="365C4113">
            <w:pPr>
              <w:rPr>
                <w:rFonts w:ascii="Arial"/>
                <w:color w:val="auto"/>
                <w:sz w:val="21"/>
                <w:highlight w:val="none"/>
              </w:rPr>
            </w:pPr>
          </w:p>
        </w:tc>
        <w:tc>
          <w:tcPr>
            <w:tcW w:w="615" w:type="dxa"/>
            <w:vAlign w:val="top"/>
          </w:tcPr>
          <w:p w14:paraId="447AACE9">
            <w:pPr>
              <w:rPr>
                <w:rFonts w:ascii="Arial"/>
                <w:color w:val="auto"/>
                <w:sz w:val="21"/>
                <w:highlight w:val="none"/>
              </w:rPr>
            </w:pPr>
          </w:p>
        </w:tc>
        <w:tc>
          <w:tcPr>
            <w:tcW w:w="614" w:type="dxa"/>
            <w:vAlign w:val="top"/>
          </w:tcPr>
          <w:p w14:paraId="42CFC7FF">
            <w:pPr>
              <w:rPr>
                <w:rFonts w:ascii="Arial"/>
                <w:color w:val="auto"/>
                <w:sz w:val="21"/>
                <w:highlight w:val="none"/>
              </w:rPr>
            </w:pPr>
          </w:p>
        </w:tc>
        <w:tc>
          <w:tcPr>
            <w:tcW w:w="614" w:type="dxa"/>
            <w:vAlign w:val="top"/>
          </w:tcPr>
          <w:p w14:paraId="6E1E1A5F">
            <w:pPr>
              <w:rPr>
                <w:rFonts w:ascii="Arial"/>
                <w:color w:val="auto"/>
                <w:sz w:val="21"/>
                <w:highlight w:val="none"/>
              </w:rPr>
            </w:pPr>
          </w:p>
        </w:tc>
        <w:tc>
          <w:tcPr>
            <w:tcW w:w="614" w:type="dxa"/>
            <w:vAlign w:val="top"/>
          </w:tcPr>
          <w:p w14:paraId="02083842">
            <w:pPr>
              <w:rPr>
                <w:rFonts w:ascii="Arial"/>
                <w:color w:val="auto"/>
                <w:sz w:val="21"/>
                <w:highlight w:val="none"/>
              </w:rPr>
            </w:pPr>
          </w:p>
        </w:tc>
        <w:tc>
          <w:tcPr>
            <w:tcW w:w="614" w:type="dxa"/>
            <w:vAlign w:val="top"/>
          </w:tcPr>
          <w:p w14:paraId="6BF26010">
            <w:pPr>
              <w:rPr>
                <w:rFonts w:ascii="Arial"/>
                <w:color w:val="auto"/>
                <w:sz w:val="21"/>
                <w:highlight w:val="none"/>
              </w:rPr>
            </w:pPr>
          </w:p>
        </w:tc>
        <w:tc>
          <w:tcPr>
            <w:tcW w:w="614" w:type="dxa"/>
            <w:vAlign w:val="top"/>
          </w:tcPr>
          <w:p w14:paraId="5439013D">
            <w:pPr>
              <w:rPr>
                <w:rFonts w:ascii="Arial"/>
                <w:color w:val="auto"/>
                <w:sz w:val="21"/>
                <w:highlight w:val="none"/>
              </w:rPr>
            </w:pPr>
          </w:p>
        </w:tc>
        <w:tc>
          <w:tcPr>
            <w:tcW w:w="615" w:type="dxa"/>
            <w:vAlign w:val="top"/>
          </w:tcPr>
          <w:p w14:paraId="4A130A28">
            <w:pPr>
              <w:rPr>
                <w:rFonts w:ascii="Arial"/>
                <w:color w:val="auto"/>
                <w:sz w:val="21"/>
                <w:highlight w:val="none"/>
              </w:rPr>
            </w:pPr>
          </w:p>
        </w:tc>
        <w:tc>
          <w:tcPr>
            <w:tcW w:w="619" w:type="dxa"/>
            <w:vAlign w:val="top"/>
          </w:tcPr>
          <w:p w14:paraId="2E4B081A">
            <w:pPr>
              <w:rPr>
                <w:rFonts w:ascii="Arial"/>
                <w:color w:val="auto"/>
                <w:sz w:val="21"/>
                <w:highlight w:val="none"/>
              </w:rPr>
            </w:pPr>
          </w:p>
        </w:tc>
        <w:tc>
          <w:tcPr>
            <w:tcW w:w="614" w:type="dxa"/>
            <w:vAlign w:val="top"/>
          </w:tcPr>
          <w:p w14:paraId="72A71D96">
            <w:pPr>
              <w:rPr>
                <w:rFonts w:ascii="Arial"/>
                <w:color w:val="auto"/>
                <w:sz w:val="21"/>
                <w:highlight w:val="none"/>
              </w:rPr>
            </w:pPr>
          </w:p>
        </w:tc>
        <w:tc>
          <w:tcPr>
            <w:tcW w:w="791" w:type="dxa"/>
            <w:vAlign w:val="top"/>
          </w:tcPr>
          <w:p w14:paraId="385CDC2E">
            <w:pPr>
              <w:rPr>
                <w:rFonts w:ascii="Arial"/>
                <w:color w:val="auto"/>
                <w:sz w:val="21"/>
                <w:highlight w:val="none"/>
              </w:rPr>
            </w:pPr>
          </w:p>
        </w:tc>
      </w:tr>
      <w:tr w14:paraId="4017C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1F2C02C9">
            <w:pPr>
              <w:pStyle w:val="11"/>
              <w:spacing w:before="210" w:line="182" w:lineRule="auto"/>
              <w:ind w:left="334"/>
              <w:rPr>
                <w:color w:val="auto"/>
                <w:highlight w:val="none"/>
              </w:rPr>
            </w:pPr>
            <w:r>
              <w:rPr>
                <w:color w:val="auto"/>
                <w:highlight w:val="none"/>
              </w:rPr>
              <w:t>4</w:t>
            </w:r>
          </w:p>
        </w:tc>
        <w:tc>
          <w:tcPr>
            <w:tcW w:w="1224" w:type="dxa"/>
            <w:vAlign w:val="top"/>
          </w:tcPr>
          <w:p w14:paraId="2E34AA52">
            <w:pPr>
              <w:rPr>
                <w:rFonts w:ascii="Arial"/>
                <w:color w:val="auto"/>
                <w:sz w:val="21"/>
                <w:highlight w:val="none"/>
              </w:rPr>
            </w:pPr>
          </w:p>
        </w:tc>
        <w:tc>
          <w:tcPr>
            <w:tcW w:w="615" w:type="dxa"/>
            <w:vAlign w:val="top"/>
          </w:tcPr>
          <w:p w14:paraId="2AA00E9D">
            <w:pPr>
              <w:rPr>
                <w:rFonts w:ascii="Arial"/>
                <w:color w:val="auto"/>
                <w:sz w:val="21"/>
                <w:highlight w:val="none"/>
              </w:rPr>
            </w:pPr>
          </w:p>
        </w:tc>
        <w:tc>
          <w:tcPr>
            <w:tcW w:w="614" w:type="dxa"/>
            <w:vAlign w:val="top"/>
          </w:tcPr>
          <w:p w14:paraId="692A6B56">
            <w:pPr>
              <w:rPr>
                <w:rFonts w:ascii="Arial"/>
                <w:color w:val="auto"/>
                <w:sz w:val="21"/>
                <w:highlight w:val="none"/>
              </w:rPr>
            </w:pPr>
          </w:p>
        </w:tc>
        <w:tc>
          <w:tcPr>
            <w:tcW w:w="614" w:type="dxa"/>
            <w:vAlign w:val="top"/>
          </w:tcPr>
          <w:p w14:paraId="52693BE6">
            <w:pPr>
              <w:rPr>
                <w:rFonts w:ascii="Arial"/>
                <w:color w:val="auto"/>
                <w:sz w:val="21"/>
                <w:highlight w:val="none"/>
              </w:rPr>
            </w:pPr>
          </w:p>
        </w:tc>
        <w:tc>
          <w:tcPr>
            <w:tcW w:w="614" w:type="dxa"/>
            <w:vAlign w:val="top"/>
          </w:tcPr>
          <w:p w14:paraId="32A56AB7">
            <w:pPr>
              <w:rPr>
                <w:rFonts w:ascii="Arial"/>
                <w:color w:val="auto"/>
                <w:sz w:val="21"/>
                <w:highlight w:val="none"/>
              </w:rPr>
            </w:pPr>
          </w:p>
        </w:tc>
        <w:tc>
          <w:tcPr>
            <w:tcW w:w="614" w:type="dxa"/>
            <w:vAlign w:val="top"/>
          </w:tcPr>
          <w:p w14:paraId="59A4A9B3">
            <w:pPr>
              <w:rPr>
                <w:rFonts w:ascii="Arial"/>
                <w:color w:val="auto"/>
                <w:sz w:val="21"/>
                <w:highlight w:val="none"/>
              </w:rPr>
            </w:pPr>
          </w:p>
        </w:tc>
        <w:tc>
          <w:tcPr>
            <w:tcW w:w="614" w:type="dxa"/>
            <w:vAlign w:val="top"/>
          </w:tcPr>
          <w:p w14:paraId="5C4DA9D8">
            <w:pPr>
              <w:rPr>
                <w:rFonts w:ascii="Arial"/>
                <w:color w:val="auto"/>
                <w:sz w:val="21"/>
                <w:highlight w:val="none"/>
              </w:rPr>
            </w:pPr>
          </w:p>
        </w:tc>
        <w:tc>
          <w:tcPr>
            <w:tcW w:w="615" w:type="dxa"/>
            <w:vAlign w:val="top"/>
          </w:tcPr>
          <w:p w14:paraId="14C4D23E">
            <w:pPr>
              <w:rPr>
                <w:rFonts w:ascii="Arial"/>
                <w:color w:val="auto"/>
                <w:sz w:val="21"/>
                <w:highlight w:val="none"/>
              </w:rPr>
            </w:pPr>
          </w:p>
        </w:tc>
        <w:tc>
          <w:tcPr>
            <w:tcW w:w="619" w:type="dxa"/>
            <w:vAlign w:val="top"/>
          </w:tcPr>
          <w:p w14:paraId="081E2873">
            <w:pPr>
              <w:rPr>
                <w:rFonts w:ascii="Arial"/>
                <w:color w:val="auto"/>
                <w:sz w:val="21"/>
                <w:highlight w:val="none"/>
              </w:rPr>
            </w:pPr>
          </w:p>
        </w:tc>
        <w:tc>
          <w:tcPr>
            <w:tcW w:w="614" w:type="dxa"/>
            <w:vAlign w:val="top"/>
          </w:tcPr>
          <w:p w14:paraId="65E5FFCF">
            <w:pPr>
              <w:rPr>
                <w:rFonts w:ascii="Arial"/>
                <w:color w:val="auto"/>
                <w:sz w:val="21"/>
                <w:highlight w:val="none"/>
              </w:rPr>
            </w:pPr>
          </w:p>
        </w:tc>
        <w:tc>
          <w:tcPr>
            <w:tcW w:w="791" w:type="dxa"/>
            <w:vAlign w:val="top"/>
          </w:tcPr>
          <w:p w14:paraId="4ECCC1D9">
            <w:pPr>
              <w:rPr>
                <w:rFonts w:ascii="Arial"/>
                <w:color w:val="auto"/>
                <w:sz w:val="21"/>
                <w:highlight w:val="none"/>
              </w:rPr>
            </w:pPr>
          </w:p>
        </w:tc>
      </w:tr>
      <w:tr w14:paraId="7BF42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318EE938">
            <w:pPr>
              <w:pStyle w:val="11"/>
              <w:spacing w:before="212" w:line="181" w:lineRule="auto"/>
              <w:ind w:left="339"/>
              <w:rPr>
                <w:color w:val="auto"/>
                <w:highlight w:val="none"/>
              </w:rPr>
            </w:pPr>
            <w:r>
              <w:rPr>
                <w:color w:val="auto"/>
                <w:highlight w:val="none"/>
              </w:rPr>
              <w:t>5</w:t>
            </w:r>
          </w:p>
        </w:tc>
        <w:tc>
          <w:tcPr>
            <w:tcW w:w="1224" w:type="dxa"/>
            <w:vAlign w:val="top"/>
          </w:tcPr>
          <w:p w14:paraId="13D3235B">
            <w:pPr>
              <w:rPr>
                <w:rFonts w:ascii="Arial"/>
                <w:color w:val="auto"/>
                <w:sz w:val="21"/>
                <w:highlight w:val="none"/>
              </w:rPr>
            </w:pPr>
          </w:p>
        </w:tc>
        <w:tc>
          <w:tcPr>
            <w:tcW w:w="615" w:type="dxa"/>
            <w:vAlign w:val="top"/>
          </w:tcPr>
          <w:p w14:paraId="64B5F9FE">
            <w:pPr>
              <w:rPr>
                <w:rFonts w:ascii="Arial"/>
                <w:color w:val="auto"/>
                <w:sz w:val="21"/>
                <w:highlight w:val="none"/>
              </w:rPr>
            </w:pPr>
          </w:p>
        </w:tc>
        <w:tc>
          <w:tcPr>
            <w:tcW w:w="614" w:type="dxa"/>
            <w:vAlign w:val="top"/>
          </w:tcPr>
          <w:p w14:paraId="0FEEB93C">
            <w:pPr>
              <w:rPr>
                <w:rFonts w:ascii="Arial"/>
                <w:color w:val="auto"/>
                <w:sz w:val="21"/>
                <w:highlight w:val="none"/>
              </w:rPr>
            </w:pPr>
          </w:p>
        </w:tc>
        <w:tc>
          <w:tcPr>
            <w:tcW w:w="614" w:type="dxa"/>
            <w:vAlign w:val="top"/>
          </w:tcPr>
          <w:p w14:paraId="3626E243">
            <w:pPr>
              <w:rPr>
                <w:rFonts w:ascii="Arial"/>
                <w:color w:val="auto"/>
                <w:sz w:val="21"/>
                <w:highlight w:val="none"/>
              </w:rPr>
            </w:pPr>
          </w:p>
        </w:tc>
        <w:tc>
          <w:tcPr>
            <w:tcW w:w="614" w:type="dxa"/>
            <w:vAlign w:val="top"/>
          </w:tcPr>
          <w:p w14:paraId="5F02DED8">
            <w:pPr>
              <w:rPr>
                <w:rFonts w:ascii="Arial"/>
                <w:color w:val="auto"/>
                <w:sz w:val="21"/>
                <w:highlight w:val="none"/>
              </w:rPr>
            </w:pPr>
          </w:p>
        </w:tc>
        <w:tc>
          <w:tcPr>
            <w:tcW w:w="614" w:type="dxa"/>
            <w:vAlign w:val="top"/>
          </w:tcPr>
          <w:p w14:paraId="0177692A">
            <w:pPr>
              <w:rPr>
                <w:rFonts w:ascii="Arial"/>
                <w:color w:val="auto"/>
                <w:sz w:val="21"/>
                <w:highlight w:val="none"/>
              </w:rPr>
            </w:pPr>
          </w:p>
        </w:tc>
        <w:tc>
          <w:tcPr>
            <w:tcW w:w="614" w:type="dxa"/>
            <w:vAlign w:val="top"/>
          </w:tcPr>
          <w:p w14:paraId="6A3A5A44">
            <w:pPr>
              <w:rPr>
                <w:rFonts w:ascii="Arial"/>
                <w:color w:val="auto"/>
                <w:sz w:val="21"/>
                <w:highlight w:val="none"/>
              </w:rPr>
            </w:pPr>
          </w:p>
        </w:tc>
        <w:tc>
          <w:tcPr>
            <w:tcW w:w="615" w:type="dxa"/>
            <w:vAlign w:val="top"/>
          </w:tcPr>
          <w:p w14:paraId="23AEBC99">
            <w:pPr>
              <w:rPr>
                <w:rFonts w:ascii="Arial"/>
                <w:color w:val="auto"/>
                <w:sz w:val="21"/>
                <w:highlight w:val="none"/>
              </w:rPr>
            </w:pPr>
          </w:p>
        </w:tc>
        <w:tc>
          <w:tcPr>
            <w:tcW w:w="619" w:type="dxa"/>
            <w:vAlign w:val="top"/>
          </w:tcPr>
          <w:p w14:paraId="74CBB4DD">
            <w:pPr>
              <w:rPr>
                <w:rFonts w:ascii="Arial"/>
                <w:color w:val="auto"/>
                <w:sz w:val="21"/>
                <w:highlight w:val="none"/>
              </w:rPr>
            </w:pPr>
          </w:p>
        </w:tc>
        <w:tc>
          <w:tcPr>
            <w:tcW w:w="614" w:type="dxa"/>
            <w:vAlign w:val="top"/>
          </w:tcPr>
          <w:p w14:paraId="1E3B60A6">
            <w:pPr>
              <w:rPr>
                <w:rFonts w:ascii="Arial"/>
                <w:color w:val="auto"/>
                <w:sz w:val="21"/>
                <w:highlight w:val="none"/>
              </w:rPr>
            </w:pPr>
          </w:p>
        </w:tc>
        <w:tc>
          <w:tcPr>
            <w:tcW w:w="791" w:type="dxa"/>
            <w:vAlign w:val="top"/>
          </w:tcPr>
          <w:p w14:paraId="3179B03C">
            <w:pPr>
              <w:rPr>
                <w:rFonts w:ascii="Arial"/>
                <w:color w:val="auto"/>
                <w:sz w:val="21"/>
                <w:highlight w:val="none"/>
              </w:rPr>
            </w:pPr>
          </w:p>
        </w:tc>
      </w:tr>
      <w:tr w14:paraId="12A68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2F3094CE">
            <w:pPr>
              <w:pStyle w:val="11"/>
              <w:spacing w:before="211" w:line="182" w:lineRule="auto"/>
              <w:ind w:left="336"/>
              <w:rPr>
                <w:color w:val="auto"/>
                <w:highlight w:val="none"/>
              </w:rPr>
            </w:pPr>
            <w:r>
              <w:rPr>
                <w:color w:val="auto"/>
                <w:highlight w:val="none"/>
              </w:rPr>
              <w:t>6</w:t>
            </w:r>
          </w:p>
        </w:tc>
        <w:tc>
          <w:tcPr>
            <w:tcW w:w="1224" w:type="dxa"/>
            <w:vAlign w:val="top"/>
          </w:tcPr>
          <w:p w14:paraId="6529177A">
            <w:pPr>
              <w:rPr>
                <w:rFonts w:ascii="Arial"/>
                <w:color w:val="auto"/>
                <w:sz w:val="21"/>
                <w:highlight w:val="none"/>
              </w:rPr>
            </w:pPr>
          </w:p>
        </w:tc>
        <w:tc>
          <w:tcPr>
            <w:tcW w:w="615" w:type="dxa"/>
            <w:vAlign w:val="top"/>
          </w:tcPr>
          <w:p w14:paraId="3AFDE361">
            <w:pPr>
              <w:rPr>
                <w:rFonts w:ascii="Arial"/>
                <w:color w:val="auto"/>
                <w:sz w:val="21"/>
                <w:highlight w:val="none"/>
              </w:rPr>
            </w:pPr>
          </w:p>
        </w:tc>
        <w:tc>
          <w:tcPr>
            <w:tcW w:w="614" w:type="dxa"/>
            <w:vAlign w:val="top"/>
          </w:tcPr>
          <w:p w14:paraId="5F3AAA56">
            <w:pPr>
              <w:rPr>
                <w:rFonts w:ascii="Arial"/>
                <w:color w:val="auto"/>
                <w:sz w:val="21"/>
                <w:highlight w:val="none"/>
              </w:rPr>
            </w:pPr>
          </w:p>
        </w:tc>
        <w:tc>
          <w:tcPr>
            <w:tcW w:w="614" w:type="dxa"/>
            <w:vAlign w:val="top"/>
          </w:tcPr>
          <w:p w14:paraId="5A03706A">
            <w:pPr>
              <w:rPr>
                <w:rFonts w:ascii="Arial"/>
                <w:color w:val="auto"/>
                <w:sz w:val="21"/>
                <w:highlight w:val="none"/>
              </w:rPr>
            </w:pPr>
          </w:p>
        </w:tc>
        <w:tc>
          <w:tcPr>
            <w:tcW w:w="614" w:type="dxa"/>
            <w:vAlign w:val="top"/>
          </w:tcPr>
          <w:p w14:paraId="44117F7E">
            <w:pPr>
              <w:rPr>
                <w:rFonts w:ascii="Arial"/>
                <w:color w:val="auto"/>
                <w:sz w:val="21"/>
                <w:highlight w:val="none"/>
              </w:rPr>
            </w:pPr>
          </w:p>
        </w:tc>
        <w:tc>
          <w:tcPr>
            <w:tcW w:w="614" w:type="dxa"/>
            <w:vAlign w:val="top"/>
          </w:tcPr>
          <w:p w14:paraId="537D5EE6">
            <w:pPr>
              <w:rPr>
                <w:rFonts w:ascii="Arial"/>
                <w:color w:val="auto"/>
                <w:sz w:val="21"/>
                <w:highlight w:val="none"/>
              </w:rPr>
            </w:pPr>
          </w:p>
        </w:tc>
        <w:tc>
          <w:tcPr>
            <w:tcW w:w="614" w:type="dxa"/>
            <w:vAlign w:val="top"/>
          </w:tcPr>
          <w:p w14:paraId="091C8CEE">
            <w:pPr>
              <w:rPr>
                <w:rFonts w:ascii="Arial"/>
                <w:color w:val="auto"/>
                <w:sz w:val="21"/>
                <w:highlight w:val="none"/>
              </w:rPr>
            </w:pPr>
          </w:p>
        </w:tc>
        <w:tc>
          <w:tcPr>
            <w:tcW w:w="615" w:type="dxa"/>
            <w:vAlign w:val="top"/>
          </w:tcPr>
          <w:p w14:paraId="701F0A47">
            <w:pPr>
              <w:rPr>
                <w:rFonts w:ascii="Arial"/>
                <w:color w:val="auto"/>
                <w:sz w:val="21"/>
                <w:highlight w:val="none"/>
              </w:rPr>
            </w:pPr>
          </w:p>
        </w:tc>
        <w:tc>
          <w:tcPr>
            <w:tcW w:w="619" w:type="dxa"/>
            <w:vAlign w:val="top"/>
          </w:tcPr>
          <w:p w14:paraId="66A5EC7E">
            <w:pPr>
              <w:rPr>
                <w:rFonts w:ascii="Arial"/>
                <w:color w:val="auto"/>
                <w:sz w:val="21"/>
                <w:highlight w:val="none"/>
              </w:rPr>
            </w:pPr>
          </w:p>
        </w:tc>
        <w:tc>
          <w:tcPr>
            <w:tcW w:w="614" w:type="dxa"/>
            <w:vAlign w:val="top"/>
          </w:tcPr>
          <w:p w14:paraId="4566818D">
            <w:pPr>
              <w:rPr>
                <w:rFonts w:ascii="Arial"/>
                <w:color w:val="auto"/>
                <w:sz w:val="21"/>
                <w:highlight w:val="none"/>
              </w:rPr>
            </w:pPr>
          </w:p>
        </w:tc>
        <w:tc>
          <w:tcPr>
            <w:tcW w:w="791" w:type="dxa"/>
            <w:vAlign w:val="top"/>
          </w:tcPr>
          <w:p w14:paraId="684EAA57">
            <w:pPr>
              <w:rPr>
                <w:rFonts w:ascii="Arial"/>
                <w:color w:val="auto"/>
                <w:sz w:val="21"/>
                <w:highlight w:val="none"/>
              </w:rPr>
            </w:pPr>
          </w:p>
        </w:tc>
      </w:tr>
      <w:tr w14:paraId="3195C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07040539">
            <w:pPr>
              <w:pStyle w:val="11"/>
              <w:spacing w:before="181" w:line="332" w:lineRule="exact"/>
              <w:ind w:left="295"/>
              <w:rPr>
                <w:color w:val="auto"/>
                <w:highlight w:val="none"/>
              </w:rPr>
            </w:pPr>
            <w:r>
              <w:rPr>
                <w:color w:val="auto"/>
                <w:position w:val="2"/>
                <w:highlight w:val="none"/>
              </w:rPr>
              <w:t>…</w:t>
            </w:r>
          </w:p>
        </w:tc>
        <w:tc>
          <w:tcPr>
            <w:tcW w:w="1224" w:type="dxa"/>
            <w:vAlign w:val="top"/>
          </w:tcPr>
          <w:p w14:paraId="0705B02E">
            <w:pPr>
              <w:rPr>
                <w:rFonts w:ascii="Arial"/>
                <w:color w:val="auto"/>
                <w:sz w:val="21"/>
                <w:highlight w:val="none"/>
              </w:rPr>
            </w:pPr>
          </w:p>
        </w:tc>
        <w:tc>
          <w:tcPr>
            <w:tcW w:w="615" w:type="dxa"/>
            <w:vAlign w:val="top"/>
          </w:tcPr>
          <w:p w14:paraId="292FE3BA">
            <w:pPr>
              <w:rPr>
                <w:rFonts w:ascii="Arial"/>
                <w:color w:val="auto"/>
                <w:sz w:val="21"/>
                <w:highlight w:val="none"/>
              </w:rPr>
            </w:pPr>
          </w:p>
        </w:tc>
        <w:tc>
          <w:tcPr>
            <w:tcW w:w="614" w:type="dxa"/>
            <w:vAlign w:val="top"/>
          </w:tcPr>
          <w:p w14:paraId="027742F8">
            <w:pPr>
              <w:rPr>
                <w:rFonts w:ascii="Arial"/>
                <w:color w:val="auto"/>
                <w:sz w:val="21"/>
                <w:highlight w:val="none"/>
              </w:rPr>
            </w:pPr>
          </w:p>
        </w:tc>
        <w:tc>
          <w:tcPr>
            <w:tcW w:w="614" w:type="dxa"/>
            <w:vAlign w:val="top"/>
          </w:tcPr>
          <w:p w14:paraId="26B2078F">
            <w:pPr>
              <w:rPr>
                <w:rFonts w:ascii="Arial"/>
                <w:color w:val="auto"/>
                <w:sz w:val="21"/>
                <w:highlight w:val="none"/>
              </w:rPr>
            </w:pPr>
          </w:p>
        </w:tc>
        <w:tc>
          <w:tcPr>
            <w:tcW w:w="614" w:type="dxa"/>
            <w:vAlign w:val="top"/>
          </w:tcPr>
          <w:p w14:paraId="618AED8E">
            <w:pPr>
              <w:rPr>
                <w:rFonts w:ascii="Arial"/>
                <w:color w:val="auto"/>
                <w:sz w:val="21"/>
                <w:highlight w:val="none"/>
              </w:rPr>
            </w:pPr>
          </w:p>
        </w:tc>
        <w:tc>
          <w:tcPr>
            <w:tcW w:w="614" w:type="dxa"/>
            <w:vAlign w:val="top"/>
          </w:tcPr>
          <w:p w14:paraId="61177160">
            <w:pPr>
              <w:rPr>
                <w:rFonts w:ascii="Arial"/>
                <w:color w:val="auto"/>
                <w:sz w:val="21"/>
                <w:highlight w:val="none"/>
              </w:rPr>
            </w:pPr>
          </w:p>
        </w:tc>
        <w:tc>
          <w:tcPr>
            <w:tcW w:w="614" w:type="dxa"/>
            <w:vAlign w:val="top"/>
          </w:tcPr>
          <w:p w14:paraId="124D112E">
            <w:pPr>
              <w:rPr>
                <w:rFonts w:ascii="Arial"/>
                <w:color w:val="auto"/>
                <w:sz w:val="21"/>
                <w:highlight w:val="none"/>
              </w:rPr>
            </w:pPr>
          </w:p>
        </w:tc>
        <w:tc>
          <w:tcPr>
            <w:tcW w:w="615" w:type="dxa"/>
            <w:vAlign w:val="top"/>
          </w:tcPr>
          <w:p w14:paraId="34568DCF">
            <w:pPr>
              <w:rPr>
                <w:rFonts w:ascii="Arial"/>
                <w:color w:val="auto"/>
                <w:sz w:val="21"/>
                <w:highlight w:val="none"/>
              </w:rPr>
            </w:pPr>
          </w:p>
        </w:tc>
        <w:tc>
          <w:tcPr>
            <w:tcW w:w="619" w:type="dxa"/>
            <w:vAlign w:val="top"/>
          </w:tcPr>
          <w:p w14:paraId="66CB2941">
            <w:pPr>
              <w:rPr>
                <w:rFonts w:ascii="Arial"/>
                <w:color w:val="auto"/>
                <w:sz w:val="21"/>
                <w:highlight w:val="none"/>
              </w:rPr>
            </w:pPr>
          </w:p>
        </w:tc>
        <w:tc>
          <w:tcPr>
            <w:tcW w:w="614" w:type="dxa"/>
            <w:vAlign w:val="top"/>
          </w:tcPr>
          <w:p w14:paraId="73D56267">
            <w:pPr>
              <w:rPr>
                <w:rFonts w:ascii="Arial"/>
                <w:color w:val="auto"/>
                <w:sz w:val="21"/>
                <w:highlight w:val="none"/>
              </w:rPr>
            </w:pPr>
          </w:p>
        </w:tc>
        <w:tc>
          <w:tcPr>
            <w:tcW w:w="791" w:type="dxa"/>
            <w:vAlign w:val="top"/>
          </w:tcPr>
          <w:p w14:paraId="38849818">
            <w:pPr>
              <w:rPr>
                <w:rFonts w:ascii="Arial"/>
                <w:color w:val="auto"/>
                <w:sz w:val="21"/>
                <w:highlight w:val="none"/>
              </w:rPr>
            </w:pPr>
          </w:p>
        </w:tc>
      </w:tr>
      <w:tr w14:paraId="4CBBB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566874BE">
            <w:pPr>
              <w:pStyle w:val="11"/>
              <w:spacing w:before="32" w:line="220" w:lineRule="auto"/>
              <w:ind w:left="118"/>
              <w:rPr>
                <w:color w:val="auto"/>
                <w:highlight w:val="none"/>
              </w:rPr>
            </w:pPr>
            <w:r>
              <w:rPr>
                <w:color w:val="auto"/>
                <w:spacing w:val="-3"/>
                <w:highlight w:val="none"/>
              </w:rPr>
              <w:t>评标委员会全体成员签名：</w:t>
            </w:r>
          </w:p>
        </w:tc>
      </w:tr>
    </w:tbl>
    <w:p w14:paraId="73FA30DE">
      <w:pPr>
        <w:spacing w:before="29" w:line="221" w:lineRule="auto"/>
        <w:ind w:left="5730"/>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24"/>
          <w:sz w:val="21"/>
          <w:szCs w:val="21"/>
          <w:highlight w:val="none"/>
        </w:rPr>
        <w:t>日</w:t>
      </w:r>
    </w:p>
    <w:p w14:paraId="0DF2C174">
      <w:pPr>
        <w:spacing w:line="221" w:lineRule="auto"/>
        <w:rPr>
          <w:rFonts w:ascii="宋体" w:hAnsi="宋体" w:eastAsia="宋体" w:cs="宋体"/>
          <w:color w:val="auto"/>
          <w:sz w:val="21"/>
          <w:szCs w:val="21"/>
          <w:highlight w:val="none"/>
        </w:rPr>
        <w:sectPr>
          <w:footerReference r:id="rId85" w:type="default"/>
          <w:pgSz w:w="11905" w:h="16839"/>
          <w:pgMar w:top="1431" w:right="1785" w:bottom="996" w:left="1785" w:header="0" w:footer="791" w:gutter="0"/>
          <w:pgNumType w:fmt="decimal"/>
          <w:cols w:space="720" w:num="1"/>
        </w:sectPr>
      </w:pPr>
    </w:p>
    <w:p w14:paraId="2334D388">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49"/>
          <w:sz w:val="24"/>
          <w:szCs w:val="24"/>
          <w:highlight w:val="none"/>
        </w:rPr>
        <w:t xml:space="preserve"> </w:t>
      </w:r>
      <w:r>
        <w:rPr>
          <w:rFonts w:ascii="Times New Roman" w:hAnsi="Times New Roman" w:eastAsia="Times New Roman" w:cs="Times New Roman"/>
          <w:color w:val="auto"/>
          <w:spacing w:val="-3"/>
          <w:sz w:val="24"/>
          <w:szCs w:val="24"/>
          <w:highlight w:val="none"/>
        </w:rPr>
        <w:t>A-7</w:t>
      </w:r>
      <w:r>
        <w:rPr>
          <w:rFonts w:ascii="黑体" w:hAnsi="黑体" w:eastAsia="黑体" w:cs="黑体"/>
          <w:color w:val="auto"/>
          <w:spacing w:val="-3"/>
          <w:sz w:val="24"/>
          <w:szCs w:val="24"/>
          <w:highlight w:val="none"/>
        </w:rPr>
        <w:t>：技术标评审记录表（合格性）</w:t>
      </w:r>
    </w:p>
    <w:p w14:paraId="4462E749">
      <w:pPr>
        <w:pStyle w:val="3"/>
        <w:spacing w:line="317" w:lineRule="auto"/>
        <w:rPr>
          <w:color w:val="auto"/>
          <w:highlight w:val="none"/>
        </w:rPr>
      </w:pPr>
    </w:p>
    <w:p w14:paraId="4BBCD4D5">
      <w:pPr>
        <w:pStyle w:val="3"/>
        <w:spacing w:line="317" w:lineRule="auto"/>
        <w:rPr>
          <w:color w:val="auto"/>
          <w:highlight w:val="none"/>
        </w:rPr>
      </w:pPr>
    </w:p>
    <w:p w14:paraId="478223BF">
      <w:pPr>
        <w:spacing w:before="117" w:line="219" w:lineRule="auto"/>
        <w:ind w:left="2742"/>
        <w:rPr>
          <w:rFonts w:ascii="黑体" w:hAnsi="黑体" w:eastAsia="黑体" w:cs="黑体"/>
          <w:color w:val="auto"/>
          <w:sz w:val="36"/>
          <w:szCs w:val="36"/>
          <w:highlight w:val="none"/>
        </w:rPr>
      </w:pPr>
      <w:bookmarkStart w:id="195" w:name="bookmark223"/>
      <w:bookmarkEnd w:id="195"/>
      <w:r>
        <w:rPr>
          <w:rFonts w:ascii="黑体" w:hAnsi="黑体" w:eastAsia="黑体" w:cs="黑体"/>
          <w:color w:val="auto"/>
          <w:spacing w:val="-2"/>
          <w:sz w:val="36"/>
          <w:szCs w:val="36"/>
          <w:highlight w:val="none"/>
        </w:rPr>
        <w:t>技术标评审记录表</w:t>
      </w:r>
    </w:p>
    <w:p w14:paraId="4BFD0AA1">
      <w:pPr>
        <w:spacing w:before="217" w:line="213" w:lineRule="auto"/>
        <w:ind w:left="1503"/>
        <w:rPr>
          <w:rFonts w:ascii="黑体" w:hAnsi="黑体" w:eastAsia="黑体" w:cs="黑体"/>
          <w:color w:val="auto"/>
          <w:sz w:val="36"/>
          <w:szCs w:val="36"/>
          <w:highlight w:val="none"/>
        </w:rPr>
      </w:pPr>
      <w:r>
        <w:rPr>
          <w:rFonts w:ascii="黑体" w:hAnsi="黑体" w:eastAsia="黑体" w:cs="黑体"/>
          <w:color w:val="auto"/>
          <w:spacing w:val="-5"/>
          <w:sz w:val="36"/>
          <w:szCs w:val="36"/>
          <w:highlight w:val="none"/>
        </w:rPr>
        <w:t>（适用于经评审的最低投标价法）</w:t>
      </w:r>
    </w:p>
    <w:p w14:paraId="01351811">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73F11771">
      <w:pPr>
        <w:spacing w:before="22" w:line="214"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252"/>
        <w:gridCol w:w="605"/>
        <w:gridCol w:w="609"/>
        <w:gridCol w:w="609"/>
        <w:gridCol w:w="609"/>
        <w:gridCol w:w="610"/>
        <w:gridCol w:w="609"/>
        <w:gridCol w:w="605"/>
        <w:gridCol w:w="609"/>
        <w:gridCol w:w="610"/>
        <w:gridCol w:w="787"/>
      </w:tblGrid>
      <w:tr w14:paraId="0DFA6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97" w:type="dxa"/>
            <w:vMerge w:val="restart"/>
            <w:tcBorders>
              <w:bottom w:val="nil"/>
            </w:tcBorders>
            <w:vAlign w:val="top"/>
          </w:tcPr>
          <w:p w14:paraId="755A3FC2">
            <w:pPr>
              <w:spacing w:line="252" w:lineRule="auto"/>
              <w:rPr>
                <w:rFonts w:ascii="Arial"/>
                <w:color w:val="auto"/>
                <w:sz w:val="21"/>
                <w:highlight w:val="none"/>
              </w:rPr>
            </w:pPr>
          </w:p>
          <w:p w14:paraId="59E88A20">
            <w:pPr>
              <w:pStyle w:val="11"/>
              <w:spacing w:before="69" w:line="222" w:lineRule="auto"/>
              <w:ind w:left="194"/>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252" w:type="dxa"/>
            <w:vMerge w:val="restart"/>
            <w:tcBorders>
              <w:bottom w:val="nil"/>
            </w:tcBorders>
            <w:vAlign w:val="top"/>
          </w:tcPr>
          <w:p w14:paraId="716D0946">
            <w:pPr>
              <w:pStyle w:val="11"/>
              <w:spacing w:before="187" w:line="230" w:lineRule="auto"/>
              <w:ind w:left="525" w:right="200" w:hanging="313"/>
              <w:rPr>
                <w:color w:val="auto"/>
                <w:highlight w:val="none"/>
              </w:rPr>
            </w:pPr>
            <w:r>
              <w:rPr>
                <w:color w:val="auto"/>
                <w:spacing w:val="-2"/>
                <w:highlight w:val="none"/>
                <w14:textOutline w14:w="3831" w14:cap="flat" w14:cmpd="sng">
                  <w14:solidFill>
                    <w14:srgbClr w14:val="000000"/>
                  </w14:solidFill>
                  <w14:prstDash w14:val="solid"/>
                  <w14:miter w14:val="0"/>
                </w14:textOutline>
              </w:rPr>
              <w:t>投标人名</w:t>
            </w:r>
            <w:r>
              <w:rPr>
                <w:color w:val="auto"/>
                <w:spacing w:val="1"/>
                <w:highlight w:val="none"/>
              </w:rPr>
              <w:t xml:space="preserve"> </w:t>
            </w:r>
            <w:r>
              <w:rPr>
                <w:color w:val="auto"/>
                <w:highlight w:val="none"/>
                <w14:textOutline w14:w="3831" w14:cap="flat" w14:cmpd="sng">
                  <w14:solidFill>
                    <w14:srgbClr w14:val="000000"/>
                  </w14:solidFill>
                  <w14:prstDash w14:val="solid"/>
                  <w14:miter w14:val="0"/>
                </w14:textOutline>
              </w:rPr>
              <w:t>称</w:t>
            </w:r>
          </w:p>
        </w:tc>
        <w:tc>
          <w:tcPr>
            <w:tcW w:w="5475" w:type="dxa"/>
            <w:gridSpan w:val="9"/>
            <w:vAlign w:val="top"/>
          </w:tcPr>
          <w:p w14:paraId="4968703C">
            <w:pPr>
              <w:pStyle w:val="11"/>
              <w:spacing w:before="106" w:line="221" w:lineRule="auto"/>
              <w:ind w:left="1795"/>
              <w:rPr>
                <w:color w:val="auto"/>
                <w:highlight w:val="none"/>
              </w:rPr>
            </w:pPr>
            <w:r>
              <w:rPr>
                <w:color w:val="auto"/>
                <w:highlight w:val="none"/>
                <w14:textOutline w14:w="3831" w14:cap="flat" w14:cmpd="sng">
                  <w14:solidFill>
                    <w14:srgbClr w14:val="000000"/>
                  </w14:solidFill>
                  <w14:prstDash w14:val="solid"/>
                  <w14:miter w14:val="0"/>
                </w14:textOutline>
              </w:rPr>
              <w:t>评审标准及评审意见</w:t>
            </w:r>
          </w:p>
        </w:tc>
        <w:tc>
          <w:tcPr>
            <w:tcW w:w="787" w:type="dxa"/>
            <w:vMerge w:val="restart"/>
            <w:tcBorders>
              <w:bottom w:val="nil"/>
            </w:tcBorders>
            <w:vAlign w:val="top"/>
          </w:tcPr>
          <w:p w14:paraId="2F2FCF7A">
            <w:pPr>
              <w:pStyle w:val="11"/>
              <w:spacing w:before="188" w:line="236" w:lineRule="auto"/>
              <w:ind w:left="185"/>
              <w:rPr>
                <w:color w:val="auto"/>
                <w:highlight w:val="none"/>
              </w:rPr>
            </w:pPr>
            <w:r>
              <w:rPr>
                <w:color w:val="auto"/>
                <w:spacing w:val="-2"/>
                <w:highlight w:val="none"/>
                <w14:textOutline w14:w="3831" w14:cap="flat" w14:cmpd="sng">
                  <w14:solidFill>
                    <w14:srgbClr w14:val="000000"/>
                  </w14:solidFill>
                  <w14:prstDash w14:val="solid"/>
                  <w14:miter w14:val="0"/>
                </w14:textOutline>
              </w:rPr>
              <w:t>评审</w:t>
            </w:r>
          </w:p>
          <w:p w14:paraId="14F5753B">
            <w:pPr>
              <w:pStyle w:val="11"/>
              <w:spacing w:line="222" w:lineRule="auto"/>
              <w:ind w:left="191"/>
              <w:rPr>
                <w:color w:val="auto"/>
                <w:highlight w:val="none"/>
              </w:rPr>
            </w:pPr>
            <w:r>
              <w:rPr>
                <w:color w:val="auto"/>
                <w:spacing w:val="-3"/>
                <w:highlight w:val="none"/>
                <w14:textOutline w14:w="3831" w14:cap="flat" w14:cmpd="sng">
                  <w14:solidFill>
                    <w14:srgbClr w14:val="000000"/>
                  </w14:solidFill>
                  <w14:prstDash w14:val="solid"/>
                  <w14:miter w14:val="0"/>
                </w14:textOutline>
              </w:rPr>
              <w:t>结论</w:t>
            </w:r>
          </w:p>
        </w:tc>
      </w:tr>
      <w:tr w14:paraId="17DE8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7" w:type="dxa"/>
            <w:vMerge w:val="continue"/>
            <w:tcBorders>
              <w:top w:val="nil"/>
            </w:tcBorders>
            <w:vAlign w:val="top"/>
          </w:tcPr>
          <w:p w14:paraId="2779CFE1">
            <w:pPr>
              <w:rPr>
                <w:rFonts w:ascii="Arial"/>
                <w:color w:val="auto"/>
                <w:sz w:val="21"/>
                <w:highlight w:val="none"/>
              </w:rPr>
            </w:pPr>
          </w:p>
        </w:tc>
        <w:tc>
          <w:tcPr>
            <w:tcW w:w="1252" w:type="dxa"/>
            <w:vMerge w:val="continue"/>
            <w:tcBorders>
              <w:top w:val="nil"/>
            </w:tcBorders>
            <w:vAlign w:val="top"/>
          </w:tcPr>
          <w:p w14:paraId="2BCD38FA">
            <w:pPr>
              <w:rPr>
                <w:rFonts w:ascii="Arial"/>
                <w:color w:val="auto"/>
                <w:sz w:val="21"/>
                <w:highlight w:val="none"/>
              </w:rPr>
            </w:pPr>
          </w:p>
        </w:tc>
        <w:tc>
          <w:tcPr>
            <w:tcW w:w="605" w:type="dxa"/>
            <w:vAlign w:val="top"/>
          </w:tcPr>
          <w:p w14:paraId="288C23D1">
            <w:pPr>
              <w:rPr>
                <w:rFonts w:ascii="Arial"/>
                <w:color w:val="auto"/>
                <w:sz w:val="21"/>
                <w:highlight w:val="none"/>
              </w:rPr>
            </w:pPr>
          </w:p>
        </w:tc>
        <w:tc>
          <w:tcPr>
            <w:tcW w:w="609" w:type="dxa"/>
            <w:vAlign w:val="top"/>
          </w:tcPr>
          <w:p w14:paraId="0EEEBACE">
            <w:pPr>
              <w:rPr>
                <w:rFonts w:ascii="Arial"/>
                <w:color w:val="auto"/>
                <w:sz w:val="21"/>
                <w:highlight w:val="none"/>
              </w:rPr>
            </w:pPr>
          </w:p>
        </w:tc>
        <w:tc>
          <w:tcPr>
            <w:tcW w:w="609" w:type="dxa"/>
            <w:vAlign w:val="top"/>
          </w:tcPr>
          <w:p w14:paraId="5F7C3777">
            <w:pPr>
              <w:rPr>
                <w:rFonts w:ascii="Arial"/>
                <w:color w:val="auto"/>
                <w:sz w:val="21"/>
                <w:highlight w:val="none"/>
              </w:rPr>
            </w:pPr>
          </w:p>
        </w:tc>
        <w:tc>
          <w:tcPr>
            <w:tcW w:w="609" w:type="dxa"/>
            <w:vAlign w:val="top"/>
          </w:tcPr>
          <w:p w14:paraId="3FD13EA1">
            <w:pPr>
              <w:rPr>
                <w:rFonts w:ascii="Arial"/>
                <w:color w:val="auto"/>
                <w:sz w:val="21"/>
                <w:highlight w:val="none"/>
              </w:rPr>
            </w:pPr>
          </w:p>
        </w:tc>
        <w:tc>
          <w:tcPr>
            <w:tcW w:w="610" w:type="dxa"/>
            <w:vAlign w:val="top"/>
          </w:tcPr>
          <w:p w14:paraId="687B21E4">
            <w:pPr>
              <w:rPr>
                <w:rFonts w:ascii="Arial"/>
                <w:color w:val="auto"/>
                <w:sz w:val="21"/>
                <w:highlight w:val="none"/>
              </w:rPr>
            </w:pPr>
          </w:p>
        </w:tc>
        <w:tc>
          <w:tcPr>
            <w:tcW w:w="609" w:type="dxa"/>
            <w:vAlign w:val="top"/>
          </w:tcPr>
          <w:p w14:paraId="33570FF2">
            <w:pPr>
              <w:rPr>
                <w:rFonts w:ascii="Arial"/>
                <w:color w:val="auto"/>
                <w:sz w:val="21"/>
                <w:highlight w:val="none"/>
              </w:rPr>
            </w:pPr>
          </w:p>
        </w:tc>
        <w:tc>
          <w:tcPr>
            <w:tcW w:w="605" w:type="dxa"/>
            <w:vAlign w:val="top"/>
          </w:tcPr>
          <w:p w14:paraId="1FC63B8F">
            <w:pPr>
              <w:rPr>
                <w:rFonts w:ascii="Arial"/>
                <w:color w:val="auto"/>
                <w:sz w:val="21"/>
                <w:highlight w:val="none"/>
              </w:rPr>
            </w:pPr>
          </w:p>
        </w:tc>
        <w:tc>
          <w:tcPr>
            <w:tcW w:w="609" w:type="dxa"/>
            <w:vAlign w:val="top"/>
          </w:tcPr>
          <w:p w14:paraId="3DB0EE9E">
            <w:pPr>
              <w:rPr>
                <w:rFonts w:ascii="Arial"/>
                <w:color w:val="auto"/>
                <w:sz w:val="21"/>
                <w:highlight w:val="none"/>
              </w:rPr>
            </w:pPr>
          </w:p>
        </w:tc>
        <w:tc>
          <w:tcPr>
            <w:tcW w:w="610" w:type="dxa"/>
            <w:vAlign w:val="top"/>
          </w:tcPr>
          <w:p w14:paraId="4177EB7D">
            <w:pPr>
              <w:rPr>
                <w:rFonts w:ascii="Arial"/>
                <w:color w:val="auto"/>
                <w:sz w:val="21"/>
                <w:highlight w:val="none"/>
              </w:rPr>
            </w:pPr>
          </w:p>
        </w:tc>
        <w:tc>
          <w:tcPr>
            <w:tcW w:w="787" w:type="dxa"/>
            <w:vMerge w:val="continue"/>
            <w:tcBorders>
              <w:top w:val="nil"/>
            </w:tcBorders>
            <w:vAlign w:val="top"/>
          </w:tcPr>
          <w:p w14:paraId="0C9B2AFC">
            <w:pPr>
              <w:rPr>
                <w:rFonts w:ascii="Arial"/>
                <w:color w:val="auto"/>
                <w:sz w:val="21"/>
                <w:highlight w:val="none"/>
              </w:rPr>
            </w:pPr>
          </w:p>
        </w:tc>
      </w:tr>
      <w:tr w14:paraId="11FB9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038D0A71">
            <w:pPr>
              <w:pStyle w:val="11"/>
              <w:spacing w:before="212" w:line="183" w:lineRule="auto"/>
              <w:ind w:left="369"/>
              <w:rPr>
                <w:color w:val="auto"/>
                <w:highlight w:val="none"/>
              </w:rPr>
            </w:pPr>
            <w:r>
              <w:rPr>
                <w:color w:val="auto"/>
                <w:highlight w:val="none"/>
              </w:rPr>
              <w:t>1</w:t>
            </w:r>
          </w:p>
        </w:tc>
        <w:tc>
          <w:tcPr>
            <w:tcW w:w="1252" w:type="dxa"/>
            <w:vAlign w:val="top"/>
          </w:tcPr>
          <w:p w14:paraId="23833CB4">
            <w:pPr>
              <w:rPr>
                <w:rFonts w:ascii="Arial"/>
                <w:color w:val="auto"/>
                <w:sz w:val="21"/>
                <w:highlight w:val="none"/>
              </w:rPr>
            </w:pPr>
          </w:p>
        </w:tc>
        <w:tc>
          <w:tcPr>
            <w:tcW w:w="605" w:type="dxa"/>
            <w:vAlign w:val="top"/>
          </w:tcPr>
          <w:p w14:paraId="7B737160">
            <w:pPr>
              <w:rPr>
                <w:rFonts w:ascii="Arial"/>
                <w:color w:val="auto"/>
                <w:sz w:val="21"/>
                <w:highlight w:val="none"/>
              </w:rPr>
            </w:pPr>
          </w:p>
        </w:tc>
        <w:tc>
          <w:tcPr>
            <w:tcW w:w="609" w:type="dxa"/>
            <w:vAlign w:val="top"/>
          </w:tcPr>
          <w:p w14:paraId="0DE117FC">
            <w:pPr>
              <w:rPr>
                <w:rFonts w:ascii="Arial"/>
                <w:color w:val="auto"/>
                <w:sz w:val="21"/>
                <w:highlight w:val="none"/>
              </w:rPr>
            </w:pPr>
          </w:p>
        </w:tc>
        <w:tc>
          <w:tcPr>
            <w:tcW w:w="609" w:type="dxa"/>
            <w:vAlign w:val="top"/>
          </w:tcPr>
          <w:p w14:paraId="2B7FBFDA">
            <w:pPr>
              <w:rPr>
                <w:rFonts w:ascii="Arial"/>
                <w:color w:val="auto"/>
                <w:sz w:val="21"/>
                <w:highlight w:val="none"/>
              </w:rPr>
            </w:pPr>
          </w:p>
        </w:tc>
        <w:tc>
          <w:tcPr>
            <w:tcW w:w="609" w:type="dxa"/>
            <w:vAlign w:val="top"/>
          </w:tcPr>
          <w:p w14:paraId="609001F1">
            <w:pPr>
              <w:rPr>
                <w:rFonts w:ascii="Arial"/>
                <w:color w:val="auto"/>
                <w:sz w:val="21"/>
                <w:highlight w:val="none"/>
              </w:rPr>
            </w:pPr>
          </w:p>
        </w:tc>
        <w:tc>
          <w:tcPr>
            <w:tcW w:w="610" w:type="dxa"/>
            <w:vAlign w:val="top"/>
          </w:tcPr>
          <w:p w14:paraId="62EFAD79">
            <w:pPr>
              <w:rPr>
                <w:rFonts w:ascii="Arial"/>
                <w:color w:val="auto"/>
                <w:sz w:val="21"/>
                <w:highlight w:val="none"/>
              </w:rPr>
            </w:pPr>
          </w:p>
        </w:tc>
        <w:tc>
          <w:tcPr>
            <w:tcW w:w="609" w:type="dxa"/>
            <w:vAlign w:val="top"/>
          </w:tcPr>
          <w:p w14:paraId="6310F441">
            <w:pPr>
              <w:rPr>
                <w:rFonts w:ascii="Arial"/>
                <w:color w:val="auto"/>
                <w:sz w:val="21"/>
                <w:highlight w:val="none"/>
              </w:rPr>
            </w:pPr>
          </w:p>
        </w:tc>
        <w:tc>
          <w:tcPr>
            <w:tcW w:w="605" w:type="dxa"/>
            <w:vAlign w:val="top"/>
          </w:tcPr>
          <w:p w14:paraId="3DFC2579">
            <w:pPr>
              <w:rPr>
                <w:rFonts w:ascii="Arial"/>
                <w:color w:val="auto"/>
                <w:sz w:val="21"/>
                <w:highlight w:val="none"/>
              </w:rPr>
            </w:pPr>
          </w:p>
        </w:tc>
        <w:tc>
          <w:tcPr>
            <w:tcW w:w="609" w:type="dxa"/>
            <w:vAlign w:val="top"/>
          </w:tcPr>
          <w:p w14:paraId="4803DB1F">
            <w:pPr>
              <w:rPr>
                <w:rFonts w:ascii="Arial"/>
                <w:color w:val="auto"/>
                <w:sz w:val="21"/>
                <w:highlight w:val="none"/>
              </w:rPr>
            </w:pPr>
          </w:p>
        </w:tc>
        <w:tc>
          <w:tcPr>
            <w:tcW w:w="610" w:type="dxa"/>
            <w:vAlign w:val="top"/>
          </w:tcPr>
          <w:p w14:paraId="178FCA6B">
            <w:pPr>
              <w:rPr>
                <w:rFonts w:ascii="Arial"/>
                <w:color w:val="auto"/>
                <w:sz w:val="21"/>
                <w:highlight w:val="none"/>
              </w:rPr>
            </w:pPr>
          </w:p>
        </w:tc>
        <w:tc>
          <w:tcPr>
            <w:tcW w:w="787" w:type="dxa"/>
            <w:vAlign w:val="top"/>
          </w:tcPr>
          <w:p w14:paraId="0BFAB851">
            <w:pPr>
              <w:rPr>
                <w:rFonts w:ascii="Arial"/>
                <w:color w:val="auto"/>
                <w:sz w:val="21"/>
                <w:highlight w:val="none"/>
              </w:rPr>
            </w:pPr>
          </w:p>
        </w:tc>
      </w:tr>
      <w:tr w14:paraId="0FDDF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97" w:type="dxa"/>
            <w:vAlign w:val="top"/>
          </w:tcPr>
          <w:p w14:paraId="400AB80D">
            <w:pPr>
              <w:pStyle w:val="11"/>
              <w:spacing w:before="215" w:line="182" w:lineRule="auto"/>
              <w:ind w:left="356"/>
              <w:rPr>
                <w:color w:val="auto"/>
                <w:highlight w:val="none"/>
              </w:rPr>
            </w:pPr>
            <w:r>
              <w:rPr>
                <w:color w:val="auto"/>
                <w:highlight w:val="none"/>
              </w:rPr>
              <w:t>2</w:t>
            </w:r>
          </w:p>
        </w:tc>
        <w:tc>
          <w:tcPr>
            <w:tcW w:w="1252" w:type="dxa"/>
            <w:vAlign w:val="top"/>
          </w:tcPr>
          <w:p w14:paraId="32BDA8AF">
            <w:pPr>
              <w:rPr>
                <w:rFonts w:ascii="Arial"/>
                <w:color w:val="auto"/>
                <w:sz w:val="21"/>
                <w:highlight w:val="none"/>
              </w:rPr>
            </w:pPr>
          </w:p>
        </w:tc>
        <w:tc>
          <w:tcPr>
            <w:tcW w:w="605" w:type="dxa"/>
            <w:vAlign w:val="top"/>
          </w:tcPr>
          <w:p w14:paraId="66430051">
            <w:pPr>
              <w:rPr>
                <w:rFonts w:ascii="Arial"/>
                <w:color w:val="auto"/>
                <w:sz w:val="21"/>
                <w:highlight w:val="none"/>
              </w:rPr>
            </w:pPr>
          </w:p>
        </w:tc>
        <w:tc>
          <w:tcPr>
            <w:tcW w:w="609" w:type="dxa"/>
            <w:vAlign w:val="top"/>
          </w:tcPr>
          <w:p w14:paraId="600E1DF1">
            <w:pPr>
              <w:rPr>
                <w:rFonts w:ascii="Arial"/>
                <w:color w:val="auto"/>
                <w:sz w:val="21"/>
                <w:highlight w:val="none"/>
              </w:rPr>
            </w:pPr>
          </w:p>
        </w:tc>
        <w:tc>
          <w:tcPr>
            <w:tcW w:w="609" w:type="dxa"/>
            <w:vAlign w:val="top"/>
          </w:tcPr>
          <w:p w14:paraId="2F9D7340">
            <w:pPr>
              <w:rPr>
                <w:rFonts w:ascii="Arial"/>
                <w:color w:val="auto"/>
                <w:sz w:val="21"/>
                <w:highlight w:val="none"/>
              </w:rPr>
            </w:pPr>
          </w:p>
        </w:tc>
        <w:tc>
          <w:tcPr>
            <w:tcW w:w="609" w:type="dxa"/>
            <w:vAlign w:val="top"/>
          </w:tcPr>
          <w:p w14:paraId="67933CEC">
            <w:pPr>
              <w:rPr>
                <w:rFonts w:ascii="Arial"/>
                <w:color w:val="auto"/>
                <w:sz w:val="21"/>
                <w:highlight w:val="none"/>
              </w:rPr>
            </w:pPr>
          </w:p>
        </w:tc>
        <w:tc>
          <w:tcPr>
            <w:tcW w:w="610" w:type="dxa"/>
            <w:vAlign w:val="top"/>
          </w:tcPr>
          <w:p w14:paraId="4BCCD863">
            <w:pPr>
              <w:rPr>
                <w:rFonts w:ascii="Arial"/>
                <w:color w:val="auto"/>
                <w:sz w:val="21"/>
                <w:highlight w:val="none"/>
              </w:rPr>
            </w:pPr>
          </w:p>
        </w:tc>
        <w:tc>
          <w:tcPr>
            <w:tcW w:w="609" w:type="dxa"/>
            <w:vAlign w:val="top"/>
          </w:tcPr>
          <w:p w14:paraId="74F95CC9">
            <w:pPr>
              <w:rPr>
                <w:rFonts w:ascii="Arial"/>
                <w:color w:val="auto"/>
                <w:sz w:val="21"/>
                <w:highlight w:val="none"/>
              </w:rPr>
            </w:pPr>
          </w:p>
        </w:tc>
        <w:tc>
          <w:tcPr>
            <w:tcW w:w="605" w:type="dxa"/>
            <w:vAlign w:val="top"/>
          </w:tcPr>
          <w:p w14:paraId="36B6DD89">
            <w:pPr>
              <w:rPr>
                <w:rFonts w:ascii="Arial"/>
                <w:color w:val="auto"/>
                <w:sz w:val="21"/>
                <w:highlight w:val="none"/>
              </w:rPr>
            </w:pPr>
          </w:p>
        </w:tc>
        <w:tc>
          <w:tcPr>
            <w:tcW w:w="609" w:type="dxa"/>
            <w:vAlign w:val="top"/>
          </w:tcPr>
          <w:p w14:paraId="00AEC753">
            <w:pPr>
              <w:rPr>
                <w:rFonts w:ascii="Arial"/>
                <w:color w:val="auto"/>
                <w:sz w:val="21"/>
                <w:highlight w:val="none"/>
              </w:rPr>
            </w:pPr>
          </w:p>
        </w:tc>
        <w:tc>
          <w:tcPr>
            <w:tcW w:w="610" w:type="dxa"/>
            <w:vAlign w:val="top"/>
          </w:tcPr>
          <w:p w14:paraId="11441AB1">
            <w:pPr>
              <w:rPr>
                <w:rFonts w:ascii="Arial"/>
                <w:color w:val="auto"/>
                <w:sz w:val="21"/>
                <w:highlight w:val="none"/>
              </w:rPr>
            </w:pPr>
          </w:p>
        </w:tc>
        <w:tc>
          <w:tcPr>
            <w:tcW w:w="787" w:type="dxa"/>
            <w:vAlign w:val="top"/>
          </w:tcPr>
          <w:p w14:paraId="1E84C8E5">
            <w:pPr>
              <w:rPr>
                <w:rFonts w:ascii="Arial"/>
                <w:color w:val="auto"/>
                <w:sz w:val="21"/>
                <w:highlight w:val="none"/>
              </w:rPr>
            </w:pPr>
          </w:p>
        </w:tc>
      </w:tr>
      <w:tr w14:paraId="10A4B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201F4C7C">
            <w:pPr>
              <w:pStyle w:val="11"/>
              <w:spacing w:before="210" w:line="182" w:lineRule="auto"/>
              <w:ind w:left="358"/>
              <w:rPr>
                <w:color w:val="auto"/>
                <w:highlight w:val="none"/>
              </w:rPr>
            </w:pPr>
            <w:r>
              <w:rPr>
                <w:color w:val="auto"/>
                <w:highlight w:val="none"/>
              </w:rPr>
              <w:t>3</w:t>
            </w:r>
          </w:p>
        </w:tc>
        <w:tc>
          <w:tcPr>
            <w:tcW w:w="1252" w:type="dxa"/>
            <w:vAlign w:val="top"/>
          </w:tcPr>
          <w:p w14:paraId="1B715DBB">
            <w:pPr>
              <w:rPr>
                <w:rFonts w:ascii="Arial"/>
                <w:color w:val="auto"/>
                <w:sz w:val="21"/>
                <w:highlight w:val="none"/>
              </w:rPr>
            </w:pPr>
          </w:p>
        </w:tc>
        <w:tc>
          <w:tcPr>
            <w:tcW w:w="605" w:type="dxa"/>
            <w:vAlign w:val="top"/>
          </w:tcPr>
          <w:p w14:paraId="59582AAC">
            <w:pPr>
              <w:rPr>
                <w:rFonts w:ascii="Arial"/>
                <w:color w:val="auto"/>
                <w:sz w:val="21"/>
                <w:highlight w:val="none"/>
              </w:rPr>
            </w:pPr>
          </w:p>
        </w:tc>
        <w:tc>
          <w:tcPr>
            <w:tcW w:w="609" w:type="dxa"/>
            <w:vAlign w:val="top"/>
          </w:tcPr>
          <w:p w14:paraId="52B87DB6">
            <w:pPr>
              <w:rPr>
                <w:rFonts w:ascii="Arial"/>
                <w:color w:val="auto"/>
                <w:sz w:val="21"/>
                <w:highlight w:val="none"/>
              </w:rPr>
            </w:pPr>
          </w:p>
        </w:tc>
        <w:tc>
          <w:tcPr>
            <w:tcW w:w="609" w:type="dxa"/>
            <w:vAlign w:val="top"/>
          </w:tcPr>
          <w:p w14:paraId="04880264">
            <w:pPr>
              <w:rPr>
                <w:rFonts w:ascii="Arial"/>
                <w:color w:val="auto"/>
                <w:sz w:val="21"/>
                <w:highlight w:val="none"/>
              </w:rPr>
            </w:pPr>
          </w:p>
        </w:tc>
        <w:tc>
          <w:tcPr>
            <w:tcW w:w="609" w:type="dxa"/>
            <w:vAlign w:val="top"/>
          </w:tcPr>
          <w:p w14:paraId="7A31F695">
            <w:pPr>
              <w:rPr>
                <w:rFonts w:ascii="Arial"/>
                <w:color w:val="auto"/>
                <w:sz w:val="21"/>
                <w:highlight w:val="none"/>
              </w:rPr>
            </w:pPr>
          </w:p>
        </w:tc>
        <w:tc>
          <w:tcPr>
            <w:tcW w:w="610" w:type="dxa"/>
            <w:vAlign w:val="top"/>
          </w:tcPr>
          <w:p w14:paraId="7306FD1F">
            <w:pPr>
              <w:rPr>
                <w:rFonts w:ascii="Arial"/>
                <w:color w:val="auto"/>
                <w:sz w:val="21"/>
                <w:highlight w:val="none"/>
              </w:rPr>
            </w:pPr>
          </w:p>
        </w:tc>
        <w:tc>
          <w:tcPr>
            <w:tcW w:w="609" w:type="dxa"/>
            <w:vAlign w:val="top"/>
          </w:tcPr>
          <w:p w14:paraId="44474D47">
            <w:pPr>
              <w:rPr>
                <w:rFonts w:ascii="Arial"/>
                <w:color w:val="auto"/>
                <w:sz w:val="21"/>
                <w:highlight w:val="none"/>
              </w:rPr>
            </w:pPr>
          </w:p>
        </w:tc>
        <w:tc>
          <w:tcPr>
            <w:tcW w:w="605" w:type="dxa"/>
            <w:vAlign w:val="top"/>
          </w:tcPr>
          <w:p w14:paraId="341A00A8">
            <w:pPr>
              <w:rPr>
                <w:rFonts w:ascii="Arial"/>
                <w:color w:val="auto"/>
                <w:sz w:val="21"/>
                <w:highlight w:val="none"/>
              </w:rPr>
            </w:pPr>
          </w:p>
        </w:tc>
        <w:tc>
          <w:tcPr>
            <w:tcW w:w="609" w:type="dxa"/>
            <w:vAlign w:val="top"/>
          </w:tcPr>
          <w:p w14:paraId="3DD3F6A3">
            <w:pPr>
              <w:rPr>
                <w:rFonts w:ascii="Arial"/>
                <w:color w:val="auto"/>
                <w:sz w:val="21"/>
                <w:highlight w:val="none"/>
              </w:rPr>
            </w:pPr>
          </w:p>
        </w:tc>
        <w:tc>
          <w:tcPr>
            <w:tcW w:w="610" w:type="dxa"/>
            <w:vAlign w:val="top"/>
          </w:tcPr>
          <w:p w14:paraId="7820DBEB">
            <w:pPr>
              <w:rPr>
                <w:rFonts w:ascii="Arial"/>
                <w:color w:val="auto"/>
                <w:sz w:val="21"/>
                <w:highlight w:val="none"/>
              </w:rPr>
            </w:pPr>
          </w:p>
        </w:tc>
        <w:tc>
          <w:tcPr>
            <w:tcW w:w="787" w:type="dxa"/>
            <w:vAlign w:val="top"/>
          </w:tcPr>
          <w:p w14:paraId="6CF9367D">
            <w:pPr>
              <w:rPr>
                <w:rFonts w:ascii="Arial"/>
                <w:color w:val="auto"/>
                <w:sz w:val="21"/>
                <w:highlight w:val="none"/>
              </w:rPr>
            </w:pPr>
          </w:p>
        </w:tc>
      </w:tr>
      <w:tr w14:paraId="66D47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6B9C8AFD">
            <w:pPr>
              <w:pStyle w:val="11"/>
              <w:spacing w:before="210" w:line="182" w:lineRule="auto"/>
              <w:ind w:left="353"/>
              <w:rPr>
                <w:color w:val="auto"/>
                <w:highlight w:val="none"/>
              </w:rPr>
            </w:pPr>
            <w:r>
              <w:rPr>
                <w:color w:val="auto"/>
                <w:highlight w:val="none"/>
              </w:rPr>
              <w:t>4</w:t>
            </w:r>
          </w:p>
        </w:tc>
        <w:tc>
          <w:tcPr>
            <w:tcW w:w="1252" w:type="dxa"/>
            <w:vAlign w:val="top"/>
          </w:tcPr>
          <w:p w14:paraId="0C502688">
            <w:pPr>
              <w:rPr>
                <w:rFonts w:ascii="Arial"/>
                <w:color w:val="auto"/>
                <w:sz w:val="21"/>
                <w:highlight w:val="none"/>
              </w:rPr>
            </w:pPr>
          </w:p>
        </w:tc>
        <w:tc>
          <w:tcPr>
            <w:tcW w:w="605" w:type="dxa"/>
            <w:vAlign w:val="top"/>
          </w:tcPr>
          <w:p w14:paraId="0B6551DE">
            <w:pPr>
              <w:rPr>
                <w:rFonts w:ascii="Arial"/>
                <w:color w:val="auto"/>
                <w:sz w:val="21"/>
                <w:highlight w:val="none"/>
              </w:rPr>
            </w:pPr>
          </w:p>
        </w:tc>
        <w:tc>
          <w:tcPr>
            <w:tcW w:w="609" w:type="dxa"/>
            <w:vAlign w:val="top"/>
          </w:tcPr>
          <w:p w14:paraId="15AA9E91">
            <w:pPr>
              <w:rPr>
                <w:rFonts w:ascii="Arial"/>
                <w:color w:val="auto"/>
                <w:sz w:val="21"/>
                <w:highlight w:val="none"/>
              </w:rPr>
            </w:pPr>
          </w:p>
        </w:tc>
        <w:tc>
          <w:tcPr>
            <w:tcW w:w="609" w:type="dxa"/>
            <w:vAlign w:val="top"/>
          </w:tcPr>
          <w:p w14:paraId="5E19AA47">
            <w:pPr>
              <w:rPr>
                <w:rFonts w:ascii="Arial"/>
                <w:color w:val="auto"/>
                <w:sz w:val="21"/>
                <w:highlight w:val="none"/>
              </w:rPr>
            </w:pPr>
          </w:p>
        </w:tc>
        <w:tc>
          <w:tcPr>
            <w:tcW w:w="609" w:type="dxa"/>
            <w:vAlign w:val="top"/>
          </w:tcPr>
          <w:p w14:paraId="7D60AE0B">
            <w:pPr>
              <w:rPr>
                <w:rFonts w:ascii="Arial"/>
                <w:color w:val="auto"/>
                <w:sz w:val="21"/>
                <w:highlight w:val="none"/>
              </w:rPr>
            </w:pPr>
          </w:p>
        </w:tc>
        <w:tc>
          <w:tcPr>
            <w:tcW w:w="610" w:type="dxa"/>
            <w:vAlign w:val="top"/>
          </w:tcPr>
          <w:p w14:paraId="12FC977B">
            <w:pPr>
              <w:rPr>
                <w:rFonts w:ascii="Arial"/>
                <w:color w:val="auto"/>
                <w:sz w:val="21"/>
                <w:highlight w:val="none"/>
              </w:rPr>
            </w:pPr>
          </w:p>
        </w:tc>
        <w:tc>
          <w:tcPr>
            <w:tcW w:w="609" w:type="dxa"/>
            <w:vAlign w:val="top"/>
          </w:tcPr>
          <w:p w14:paraId="3EF1992F">
            <w:pPr>
              <w:rPr>
                <w:rFonts w:ascii="Arial"/>
                <w:color w:val="auto"/>
                <w:sz w:val="21"/>
                <w:highlight w:val="none"/>
              </w:rPr>
            </w:pPr>
          </w:p>
        </w:tc>
        <w:tc>
          <w:tcPr>
            <w:tcW w:w="605" w:type="dxa"/>
            <w:vAlign w:val="top"/>
          </w:tcPr>
          <w:p w14:paraId="2F7DF622">
            <w:pPr>
              <w:rPr>
                <w:rFonts w:ascii="Arial"/>
                <w:color w:val="auto"/>
                <w:sz w:val="21"/>
                <w:highlight w:val="none"/>
              </w:rPr>
            </w:pPr>
          </w:p>
        </w:tc>
        <w:tc>
          <w:tcPr>
            <w:tcW w:w="609" w:type="dxa"/>
            <w:vAlign w:val="top"/>
          </w:tcPr>
          <w:p w14:paraId="767E01B9">
            <w:pPr>
              <w:rPr>
                <w:rFonts w:ascii="Arial"/>
                <w:color w:val="auto"/>
                <w:sz w:val="21"/>
                <w:highlight w:val="none"/>
              </w:rPr>
            </w:pPr>
          </w:p>
        </w:tc>
        <w:tc>
          <w:tcPr>
            <w:tcW w:w="610" w:type="dxa"/>
            <w:vAlign w:val="top"/>
          </w:tcPr>
          <w:p w14:paraId="5CE61271">
            <w:pPr>
              <w:rPr>
                <w:rFonts w:ascii="Arial"/>
                <w:color w:val="auto"/>
                <w:sz w:val="21"/>
                <w:highlight w:val="none"/>
              </w:rPr>
            </w:pPr>
          </w:p>
        </w:tc>
        <w:tc>
          <w:tcPr>
            <w:tcW w:w="787" w:type="dxa"/>
            <w:vAlign w:val="top"/>
          </w:tcPr>
          <w:p w14:paraId="3727D7EF">
            <w:pPr>
              <w:rPr>
                <w:rFonts w:ascii="Arial"/>
                <w:color w:val="auto"/>
                <w:sz w:val="21"/>
                <w:highlight w:val="none"/>
              </w:rPr>
            </w:pPr>
          </w:p>
        </w:tc>
      </w:tr>
      <w:tr w14:paraId="74AE7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418444B1">
            <w:pPr>
              <w:pStyle w:val="11"/>
              <w:spacing w:before="217" w:line="181" w:lineRule="auto"/>
              <w:ind w:left="358"/>
              <w:rPr>
                <w:color w:val="auto"/>
                <w:highlight w:val="none"/>
              </w:rPr>
            </w:pPr>
            <w:r>
              <w:rPr>
                <w:color w:val="auto"/>
                <w:highlight w:val="none"/>
              </w:rPr>
              <w:t>5</w:t>
            </w:r>
          </w:p>
        </w:tc>
        <w:tc>
          <w:tcPr>
            <w:tcW w:w="1252" w:type="dxa"/>
            <w:vAlign w:val="top"/>
          </w:tcPr>
          <w:p w14:paraId="7EEB0C7D">
            <w:pPr>
              <w:rPr>
                <w:rFonts w:ascii="Arial"/>
                <w:color w:val="auto"/>
                <w:sz w:val="21"/>
                <w:highlight w:val="none"/>
              </w:rPr>
            </w:pPr>
          </w:p>
        </w:tc>
        <w:tc>
          <w:tcPr>
            <w:tcW w:w="605" w:type="dxa"/>
            <w:vAlign w:val="top"/>
          </w:tcPr>
          <w:p w14:paraId="52C9575C">
            <w:pPr>
              <w:rPr>
                <w:rFonts w:ascii="Arial"/>
                <w:color w:val="auto"/>
                <w:sz w:val="21"/>
                <w:highlight w:val="none"/>
              </w:rPr>
            </w:pPr>
          </w:p>
        </w:tc>
        <w:tc>
          <w:tcPr>
            <w:tcW w:w="609" w:type="dxa"/>
            <w:vAlign w:val="top"/>
          </w:tcPr>
          <w:p w14:paraId="46FBC77A">
            <w:pPr>
              <w:rPr>
                <w:rFonts w:ascii="Arial"/>
                <w:color w:val="auto"/>
                <w:sz w:val="21"/>
                <w:highlight w:val="none"/>
              </w:rPr>
            </w:pPr>
          </w:p>
        </w:tc>
        <w:tc>
          <w:tcPr>
            <w:tcW w:w="609" w:type="dxa"/>
            <w:vAlign w:val="top"/>
          </w:tcPr>
          <w:p w14:paraId="25044B78">
            <w:pPr>
              <w:rPr>
                <w:rFonts w:ascii="Arial"/>
                <w:color w:val="auto"/>
                <w:sz w:val="21"/>
                <w:highlight w:val="none"/>
              </w:rPr>
            </w:pPr>
          </w:p>
        </w:tc>
        <w:tc>
          <w:tcPr>
            <w:tcW w:w="609" w:type="dxa"/>
            <w:vAlign w:val="top"/>
          </w:tcPr>
          <w:p w14:paraId="239FF128">
            <w:pPr>
              <w:rPr>
                <w:rFonts w:ascii="Arial"/>
                <w:color w:val="auto"/>
                <w:sz w:val="21"/>
                <w:highlight w:val="none"/>
              </w:rPr>
            </w:pPr>
          </w:p>
        </w:tc>
        <w:tc>
          <w:tcPr>
            <w:tcW w:w="610" w:type="dxa"/>
            <w:vAlign w:val="top"/>
          </w:tcPr>
          <w:p w14:paraId="1C871629">
            <w:pPr>
              <w:rPr>
                <w:rFonts w:ascii="Arial"/>
                <w:color w:val="auto"/>
                <w:sz w:val="21"/>
                <w:highlight w:val="none"/>
              </w:rPr>
            </w:pPr>
          </w:p>
        </w:tc>
        <w:tc>
          <w:tcPr>
            <w:tcW w:w="609" w:type="dxa"/>
            <w:vAlign w:val="top"/>
          </w:tcPr>
          <w:p w14:paraId="28AD8199">
            <w:pPr>
              <w:rPr>
                <w:rFonts w:ascii="Arial"/>
                <w:color w:val="auto"/>
                <w:sz w:val="21"/>
                <w:highlight w:val="none"/>
              </w:rPr>
            </w:pPr>
          </w:p>
        </w:tc>
        <w:tc>
          <w:tcPr>
            <w:tcW w:w="605" w:type="dxa"/>
            <w:vAlign w:val="top"/>
          </w:tcPr>
          <w:p w14:paraId="2F9366D7">
            <w:pPr>
              <w:rPr>
                <w:rFonts w:ascii="Arial"/>
                <w:color w:val="auto"/>
                <w:sz w:val="21"/>
                <w:highlight w:val="none"/>
              </w:rPr>
            </w:pPr>
          </w:p>
        </w:tc>
        <w:tc>
          <w:tcPr>
            <w:tcW w:w="609" w:type="dxa"/>
            <w:vAlign w:val="top"/>
          </w:tcPr>
          <w:p w14:paraId="14771EA7">
            <w:pPr>
              <w:rPr>
                <w:rFonts w:ascii="Arial"/>
                <w:color w:val="auto"/>
                <w:sz w:val="21"/>
                <w:highlight w:val="none"/>
              </w:rPr>
            </w:pPr>
          </w:p>
        </w:tc>
        <w:tc>
          <w:tcPr>
            <w:tcW w:w="610" w:type="dxa"/>
            <w:vAlign w:val="top"/>
          </w:tcPr>
          <w:p w14:paraId="650F69E4">
            <w:pPr>
              <w:rPr>
                <w:rFonts w:ascii="Arial"/>
                <w:color w:val="auto"/>
                <w:sz w:val="21"/>
                <w:highlight w:val="none"/>
              </w:rPr>
            </w:pPr>
          </w:p>
        </w:tc>
        <w:tc>
          <w:tcPr>
            <w:tcW w:w="787" w:type="dxa"/>
            <w:vAlign w:val="top"/>
          </w:tcPr>
          <w:p w14:paraId="39F6C118">
            <w:pPr>
              <w:rPr>
                <w:rFonts w:ascii="Arial"/>
                <w:color w:val="auto"/>
                <w:sz w:val="21"/>
                <w:highlight w:val="none"/>
              </w:rPr>
            </w:pPr>
          </w:p>
        </w:tc>
      </w:tr>
      <w:tr w14:paraId="6DC1F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279B1826">
            <w:pPr>
              <w:pStyle w:val="11"/>
              <w:spacing w:before="216" w:line="182" w:lineRule="auto"/>
              <w:ind w:left="355"/>
              <w:rPr>
                <w:color w:val="auto"/>
                <w:highlight w:val="none"/>
              </w:rPr>
            </w:pPr>
            <w:r>
              <w:rPr>
                <w:color w:val="auto"/>
                <w:highlight w:val="none"/>
              </w:rPr>
              <w:t>6</w:t>
            </w:r>
          </w:p>
        </w:tc>
        <w:tc>
          <w:tcPr>
            <w:tcW w:w="1252" w:type="dxa"/>
            <w:vAlign w:val="top"/>
          </w:tcPr>
          <w:p w14:paraId="0ED4C48A">
            <w:pPr>
              <w:rPr>
                <w:rFonts w:ascii="Arial"/>
                <w:color w:val="auto"/>
                <w:sz w:val="21"/>
                <w:highlight w:val="none"/>
              </w:rPr>
            </w:pPr>
          </w:p>
        </w:tc>
        <w:tc>
          <w:tcPr>
            <w:tcW w:w="605" w:type="dxa"/>
            <w:vAlign w:val="top"/>
          </w:tcPr>
          <w:p w14:paraId="3DFAF7B4">
            <w:pPr>
              <w:rPr>
                <w:rFonts w:ascii="Arial"/>
                <w:color w:val="auto"/>
                <w:sz w:val="21"/>
                <w:highlight w:val="none"/>
              </w:rPr>
            </w:pPr>
          </w:p>
        </w:tc>
        <w:tc>
          <w:tcPr>
            <w:tcW w:w="609" w:type="dxa"/>
            <w:vAlign w:val="top"/>
          </w:tcPr>
          <w:p w14:paraId="49A95427">
            <w:pPr>
              <w:rPr>
                <w:rFonts w:ascii="Arial"/>
                <w:color w:val="auto"/>
                <w:sz w:val="21"/>
                <w:highlight w:val="none"/>
              </w:rPr>
            </w:pPr>
          </w:p>
        </w:tc>
        <w:tc>
          <w:tcPr>
            <w:tcW w:w="609" w:type="dxa"/>
            <w:vAlign w:val="top"/>
          </w:tcPr>
          <w:p w14:paraId="2F2B134F">
            <w:pPr>
              <w:rPr>
                <w:rFonts w:ascii="Arial"/>
                <w:color w:val="auto"/>
                <w:sz w:val="21"/>
                <w:highlight w:val="none"/>
              </w:rPr>
            </w:pPr>
          </w:p>
        </w:tc>
        <w:tc>
          <w:tcPr>
            <w:tcW w:w="609" w:type="dxa"/>
            <w:vAlign w:val="top"/>
          </w:tcPr>
          <w:p w14:paraId="37EFE9CA">
            <w:pPr>
              <w:rPr>
                <w:rFonts w:ascii="Arial"/>
                <w:color w:val="auto"/>
                <w:sz w:val="21"/>
                <w:highlight w:val="none"/>
              </w:rPr>
            </w:pPr>
          </w:p>
        </w:tc>
        <w:tc>
          <w:tcPr>
            <w:tcW w:w="610" w:type="dxa"/>
            <w:vAlign w:val="top"/>
          </w:tcPr>
          <w:p w14:paraId="794EEFFF">
            <w:pPr>
              <w:rPr>
                <w:rFonts w:ascii="Arial"/>
                <w:color w:val="auto"/>
                <w:sz w:val="21"/>
                <w:highlight w:val="none"/>
              </w:rPr>
            </w:pPr>
          </w:p>
        </w:tc>
        <w:tc>
          <w:tcPr>
            <w:tcW w:w="609" w:type="dxa"/>
            <w:vAlign w:val="top"/>
          </w:tcPr>
          <w:p w14:paraId="7E0AFBB3">
            <w:pPr>
              <w:rPr>
                <w:rFonts w:ascii="Arial"/>
                <w:color w:val="auto"/>
                <w:sz w:val="21"/>
                <w:highlight w:val="none"/>
              </w:rPr>
            </w:pPr>
          </w:p>
        </w:tc>
        <w:tc>
          <w:tcPr>
            <w:tcW w:w="605" w:type="dxa"/>
            <w:vAlign w:val="top"/>
          </w:tcPr>
          <w:p w14:paraId="7691AA54">
            <w:pPr>
              <w:rPr>
                <w:rFonts w:ascii="Arial"/>
                <w:color w:val="auto"/>
                <w:sz w:val="21"/>
                <w:highlight w:val="none"/>
              </w:rPr>
            </w:pPr>
          </w:p>
        </w:tc>
        <w:tc>
          <w:tcPr>
            <w:tcW w:w="609" w:type="dxa"/>
            <w:vAlign w:val="top"/>
          </w:tcPr>
          <w:p w14:paraId="0DADD343">
            <w:pPr>
              <w:rPr>
                <w:rFonts w:ascii="Arial"/>
                <w:color w:val="auto"/>
                <w:sz w:val="21"/>
                <w:highlight w:val="none"/>
              </w:rPr>
            </w:pPr>
          </w:p>
        </w:tc>
        <w:tc>
          <w:tcPr>
            <w:tcW w:w="610" w:type="dxa"/>
            <w:vAlign w:val="top"/>
          </w:tcPr>
          <w:p w14:paraId="74EEE6B1">
            <w:pPr>
              <w:rPr>
                <w:rFonts w:ascii="Arial"/>
                <w:color w:val="auto"/>
                <w:sz w:val="21"/>
                <w:highlight w:val="none"/>
              </w:rPr>
            </w:pPr>
          </w:p>
        </w:tc>
        <w:tc>
          <w:tcPr>
            <w:tcW w:w="787" w:type="dxa"/>
            <w:vAlign w:val="top"/>
          </w:tcPr>
          <w:p w14:paraId="330682D9">
            <w:pPr>
              <w:rPr>
                <w:rFonts w:ascii="Arial"/>
                <w:color w:val="auto"/>
                <w:sz w:val="21"/>
                <w:highlight w:val="none"/>
              </w:rPr>
            </w:pPr>
          </w:p>
        </w:tc>
      </w:tr>
      <w:tr w14:paraId="0DF64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7" w:type="dxa"/>
            <w:vAlign w:val="top"/>
          </w:tcPr>
          <w:p w14:paraId="4F04789B">
            <w:pPr>
              <w:pStyle w:val="11"/>
              <w:spacing w:before="181" w:line="332" w:lineRule="exact"/>
              <w:ind w:left="314"/>
              <w:rPr>
                <w:color w:val="auto"/>
                <w:highlight w:val="none"/>
              </w:rPr>
            </w:pPr>
            <w:r>
              <w:rPr>
                <w:color w:val="auto"/>
                <w:position w:val="2"/>
                <w:highlight w:val="none"/>
              </w:rPr>
              <w:t>…</w:t>
            </w:r>
          </w:p>
        </w:tc>
        <w:tc>
          <w:tcPr>
            <w:tcW w:w="1252" w:type="dxa"/>
            <w:vAlign w:val="top"/>
          </w:tcPr>
          <w:p w14:paraId="7F845F9D">
            <w:pPr>
              <w:rPr>
                <w:rFonts w:ascii="Arial"/>
                <w:color w:val="auto"/>
                <w:sz w:val="21"/>
                <w:highlight w:val="none"/>
              </w:rPr>
            </w:pPr>
          </w:p>
        </w:tc>
        <w:tc>
          <w:tcPr>
            <w:tcW w:w="605" w:type="dxa"/>
            <w:vAlign w:val="top"/>
          </w:tcPr>
          <w:p w14:paraId="7C2A6D09">
            <w:pPr>
              <w:rPr>
                <w:rFonts w:ascii="Arial"/>
                <w:color w:val="auto"/>
                <w:sz w:val="21"/>
                <w:highlight w:val="none"/>
              </w:rPr>
            </w:pPr>
          </w:p>
        </w:tc>
        <w:tc>
          <w:tcPr>
            <w:tcW w:w="609" w:type="dxa"/>
            <w:vAlign w:val="top"/>
          </w:tcPr>
          <w:p w14:paraId="33C89A66">
            <w:pPr>
              <w:rPr>
                <w:rFonts w:ascii="Arial"/>
                <w:color w:val="auto"/>
                <w:sz w:val="21"/>
                <w:highlight w:val="none"/>
              </w:rPr>
            </w:pPr>
          </w:p>
        </w:tc>
        <w:tc>
          <w:tcPr>
            <w:tcW w:w="609" w:type="dxa"/>
            <w:vAlign w:val="top"/>
          </w:tcPr>
          <w:p w14:paraId="369914F1">
            <w:pPr>
              <w:rPr>
                <w:rFonts w:ascii="Arial"/>
                <w:color w:val="auto"/>
                <w:sz w:val="21"/>
                <w:highlight w:val="none"/>
              </w:rPr>
            </w:pPr>
          </w:p>
        </w:tc>
        <w:tc>
          <w:tcPr>
            <w:tcW w:w="609" w:type="dxa"/>
            <w:vAlign w:val="top"/>
          </w:tcPr>
          <w:p w14:paraId="053604CA">
            <w:pPr>
              <w:rPr>
                <w:rFonts w:ascii="Arial"/>
                <w:color w:val="auto"/>
                <w:sz w:val="21"/>
                <w:highlight w:val="none"/>
              </w:rPr>
            </w:pPr>
          </w:p>
        </w:tc>
        <w:tc>
          <w:tcPr>
            <w:tcW w:w="610" w:type="dxa"/>
            <w:vAlign w:val="top"/>
          </w:tcPr>
          <w:p w14:paraId="1CBA3D34">
            <w:pPr>
              <w:rPr>
                <w:rFonts w:ascii="Arial"/>
                <w:color w:val="auto"/>
                <w:sz w:val="21"/>
                <w:highlight w:val="none"/>
              </w:rPr>
            </w:pPr>
          </w:p>
        </w:tc>
        <w:tc>
          <w:tcPr>
            <w:tcW w:w="609" w:type="dxa"/>
            <w:vAlign w:val="top"/>
          </w:tcPr>
          <w:p w14:paraId="14993828">
            <w:pPr>
              <w:rPr>
                <w:rFonts w:ascii="Arial"/>
                <w:color w:val="auto"/>
                <w:sz w:val="21"/>
                <w:highlight w:val="none"/>
              </w:rPr>
            </w:pPr>
          </w:p>
        </w:tc>
        <w:tc>
          <w:tcPr>
            <w:tcW w:w="605" w:type="dxa"/>
            <w:vAlign w:val="top"/>
          </w:tcPr>
          <w:p w14:paraId="03C4CF01">
            <w:pPr>
              <w:rPr>
                <w:rFonts w:ascii="Arial"/>
                <w:color w:val="auto"/>
                <w:sz w:val="21"/>
                <w:highlight w:val="none"/>
              </w:rPr>
            </w:pPr>
          </w:p>
        </w:tc>
        <w:tc>
          <w:tcPr>
            <w:tcW w:w="609" w:type="dxa"/>
            <w:vAlign w:val="top"/>
          </w:tcPr>
          <w:p w14:paraId="57263D38">
            <w:pPr>
              <w:rPr>
                <w:rFonts w:ascii="Arial"/>
                <w:color w:val="auto"/>
                <w:sz w:val="21"/>
                <w:highlight w:val="none"/>
              </w:rPr>
            </w:pPr>
          </w:p>
        </w:tc>
        <w:tc>
          <w:tcPr>
            <w:tcW w:w="610" w:type="dxa"/>
            <w:vAlign w:val="top"/>
          </w:tcPr>
          <w:p w14:paraId="52AE832B">
            <w:pPr>
              <w:rPr>
                <w:rFonts w:ascii="Arial"/>
                <w:color w:val="auto"/>
                <w:sz w:val="21"/>
                <w:highlight w:val="none"/>
              </w:rPr>
            </w:pPr>
          </w:p>
        </w:tc>
        <w:tc>
          <w:tcPr>
            <w:tcW w:w="787" w:type="dxa"/>
            <w:vAlign w:val="top"/>
          </w:tcPr>
          <w:p w14:paraId="3A016D20">
            <w:pPr>
              <w:rPr>
                <w:rFonts w:ascii="Arial"/>
                <w:color w:val="auto"/>
                <w:sz w:val="21"/>
                <w:highlight w:val="none"/>
              </w:rPr>
            </w:pPr>
          </w:p>
        </w:tc>
      </w:tr>
      <w:tr w14:paraId="739A9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6A853CAA">
            <w:pPr>
              <w:pStyle w:val="11"/>
              <w:spacing w:before="33" w:line="220" w:lineRule="auto"/>
              <w:ind w:left="118"/>
              <w:rPr>
                <w:color w:val="auto"/>
                <w:highlight w:val="none"/>
              </w:rPr>
            </w:pPr>
            <w:r>
              <w:rPr>
                <w:color w:val="auto"/>
                <w:spacing w:val="-3"/>
                <w:highlight w:val="none"/>
              </w:rPr>
              <w:t>评标委员会全体成员签名：</w:t>
            </w:r>
          </w:p>
        </w:tc>
      </w:tr>
    </w:tbl>
    <w:p w14:paraId="550AE6AF">
      <w:pPr>
        <w:spacing w:before="140" w:line="221" w:lineRule="auto"/>
        <w:ind w:left="5624"/>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日期：</w:t>
      </w:r>
      <w:r>
        <w:rPr>
          <w:rFonts w:ascii="宋体" w:hAnsi="宋体" w:eastAsia="宋体" w:cs="宋体"/>
          <w:color w:val="auto"/>
          <w:spacing w:val="24"/>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9"/>
          <w:sz w:val="21"/>
          <w:szCs w:val="21"/>
          <w:highlight w:val="none"/>
        </w:rPr>
        <w:t>月     日</w:t>
      </w:r>
    </w:p>
    <w:p w14:paraId="7BA1B333">
      <w:pPr>
        <w:spacing w:line="221" w:lineRule="auto"/>
        <w:rPr>
          <w:rFonts w:ascii="宋体" w:hAnsi="宋体" w:eastAsia="宋体" w:cs="宋体"/>
          <w:color w:val="auto"/>
          <w:sz w:val="21"/>
          <w:szCs w:val="21"/>
          <w:highlight w:val="none"/>
        </w:rPr>
        <w:sectPr>
          <w:footerReference r:id="rId86" w:type="default"/>
          <w:pgSz w:w="11905" w:h="16839"/>
          <w:pgMar w:top="1431" w:right="1785" w:bottom="996" w:left="1785" w:header="0" w:footer="791" w:gutter="0"/>
          <w:pgNumType w:fmt="decimal"/>
          <w:cols w:space="720" w:num="1"/>
        </w:sectPr>
      </w:pPr>
    </w:p>
    <w:p w14:paraId="78B0388B">
      <w:pPr>
        <w:spacing w:before="124" w:line="219" w:lineRule="auto"/>
        <w:ind w:left="13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48"/>
          <w:sz w:val="24"/>
          <w:szCs w:val="24"/>
          <w:highlight w:val="none"/>
        </w:rPr>
        <w:t xml:space="preserve"> </w:t>
      </w:r>
      <w:r>
        <w:rPr>
          <w:rFonts w:ascii="Times New Roman" w:hAnsi="Times New Roman" w:eastAsia="Times New Roman" w:cs="Times New Roman"/>
          <w:color w:val="auto"/>
          <w:spacing w:val="-3"/>
          <w:sz w:val="24"/>
          <w:szCs w:val="24"/>
          <w:highlight w:val="none"/>
        </w:rPr>
        <w:t>A-8</w:t>
      </w:r>
      <w:r>
        <w:rPr>
          <w:rFonts w:ascii="黑体" w:hAnsi="黑体" w:eastAsia="黑体" w:cs="黑体"/>
          <w:color w:val="auto"/>
          <w:spacing w:val="-3"/>
          <w:sz w:val="24"/>
          <w:szCs w:val="24"/>
          <w:highlight w:val="none"/>
        </w:rPr>
        <w:t>：初步评审汇总记录表</w:t>
      </w:r>
    </w:p>
    <w:p w14:paraId="68E212B7">
      <w:pPr>
        <w:pStyle w:val="3"/>
        <w:spacing w:line="317" w:lineRule="auto"/>
        <w:rPr>
          <w:color w:val="auto"/>
          <w:highlight w:val="none"/>
        </w:rPr>
      </w:pPr>
    </w:p>
    <w:p w14:paraId="27ECC8FE">
      <w:pPr>
        <w:pStyle w:val="3"/>
        <w:spacing w:line="317" w:lineRule="auto"/>
        <w:rPr>
          <w:color w:val="auto"/>
          <w:highlight w:val="none"/>
        </w:rPr>
      </w:pPr>
    </w:p>
    <w:p w14:paraId="4DD00542">
      <w:pPr>
        <w:spacing w:before="117" w:line="219" w:lineRule="auto"/>
        <w:ind w:left="2662"/>
        <w:rPr>
          <w:rFonts w:ascii="黑体" w:hAnsi="黑体" w:eastAsia="黑体" w:cs="黑体"/>
          <w:color w:val="auto"/>
          <w:sz w:val="36"/>
          <w:szCs w:val="36"/>
          <w:highlight w:val="none"/>
        </w:rPr>
      </w:pPr>
      <w:bookmarkStart w:id="196" w:name="bookmark224"/>
      <w:bookmarkEnd w:id="196"/>
      <w:r>
        <w:rPr>
          <w:rFonts w:ascii="黑体" w:hAnsi="黑体" w:eastAsia="黑体" w:cs="黑体"/>
          <w:color w:val="auto"/>
          <w:spacing w:val="-2"/>
          <w:sz w:val="36"/>
          <w:szCs w:val="36"/>
          <w:highlight w:val="none"/>
        </w:rPr>
        <w:t>初步评审汇总记录表</w:t>
      </w:r>
    </w:p>
    <w:p w14:paraId="1A1494F2">
      <w:pPr>
        <w:spacing w:line="191" w:lineRule="exact"/>
        <w:rPr>
          <w:color w:val="auto"/>
          <w:highlight w:val="none"/>
        </w:rPr>
      </w:pPr>
    </w:p>
    <w:p w14:paraId="5187F6E5">
      <w:pPr>
        <w:spacing w:line="191" w:lineRule="exact"/>
        <w:rPr>
          <w:color w:val="auto"/>
          <w:highlight w:val="none"/>
        </w:rPr>
        <w:sectPr>
          <w:footerReference r:id="rId87" w:type="default"/>
          <w:pgSz w:w="11905" w:h="16839"/>
          <w:pgMar w:top="1431" w:right="1785" w:bottom="996" w:left="1680" w:header="0" w:footer="791" w:gutter="0"/>
          <w:pgNumType w:fmt="decimal"/>
          <w:cols w:equalWidth="0" w:num="1">
            <w:col w:w="8438"/>
          </w:cols>
        </w:sectPr>
      </w:pPr>
    </w:p>
    <w:p w14:paraId="30C0B1E9">
      <w:pPr>
        <w:spacing w:before="42" w:line="221" w:lineRule="auto"/>
        <w:ind w:left="124"/>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2B88B5DA">
      <w:pPr>
        <w:spacing w:before="21" w:line="186" w:lineRule="auto"/>
        <w:ind w:left="12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p w14:paraId="649148F8">
      <w:pPr>
        <w:pStyle w:val="3"/>
        <w:spacing w:line="14" w:lineRule="auto"/>
        <w:rPr>
          <w:color w:val="auto"/>
          <w:sz w:val="2"/>
          <w:highlight w:val="none"/>
        </w:rPr>
      </w:pPr>
      <w:r>
        <w:rPr>
          <w:color w:val="auto"/>
          <w:sz w:val="2"/>
          <w:szCs w:val="2"/>
          <w:highlight w:val="none"/>
        </w:rPr>
        <w:br w:type="column"/>
      </w:r>
    </w:p>
    <w:p w14:paraId="0B97AF5A">
      <w:pPr>
        <w:pStyle w:val="3"/>
        <w:spacing w:line="244" w:lineRule="auto"/>
        <w:rPr>
          <w:color w:val="auto"/>
          <w:highlight w:val="none"/>
        </w:rPr>
      </w:pPr>
    </w:p>
    <w:p w14:paraId="4518C3D0">
      <w:pPr>
        <w:spacing w:before="68" w:line="186" w:lineRule="auto"/>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单位： 人民币元</w:t>
      </w:r>
    </w:p>
    <w:p w14:paraId="5D88AF4F">
      <w:pPr>
        <w:spacing w:line="186" w:lineRule="auto"/>
        <w:rPr>
          <w:rFonts w:ascii="宋体" w:hAnsi="宋体" w:eastAsia="宋体" w:cs="宋体"/>
          <w:color w:val="auto"/>
          <w:sz w:val="21"/>
          <w:szCs w:val="21"/>
          <w:highlight w:val="none"/>
        </w:rPr>
        <w:sectPr>
          <w:type w:val="continuous"/>
          <w:pgSz w:w="11905" w:h="16839"/>
          <w:pgMar w:top="1431" w:right="1785" w:bottom="996" w:left="1680" w:header="0" w:footer="791" w:gutter="0"/>
          <w:pgNumType w:fmt="decimal"/>
          <w:cols w:equalWidth="0" w:num="2">
            <w:col w:w="6119" w:space="100"/>
            <w:col w:w="2220"/>
          </w:cols>
        </w:sectPr>
      </w:pPr>
    </w:p>
    <w:p w14:paraId="2053F895">
      <w:pPr>
        <w:spacing w:line="32" w:lineRule="exact"/>
        <w:rPr>
          <w:color w:val="auto"/>
          <w:highlight w:val="none"/>
        </w:rPr>
      </w:pPr>
    </w:p>
    <w:tbl>
      <w:tblPr>
        <w:tblStyle w:val="10"/>
        <w:tblW w:w="8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98"/>
        <w:gridCol w:w="994"/>
        <w:gridCol w:w="998"/>
        <w:gridCol w:w="1080"/>
        <w:gridCol w:w="1992"/>
        <w:gridCol w:w="873"/>
        <w:gridCol w:w="863"/>
      </w:tblGrid>
      <w:tr w14:paraId="5C581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29" w:type="dxa"/>
            <w:textDirection w:val="tbRlV"/>
            <w:vAlign w:val="top"/>
          </w:tcPr>
          <w:p w14:paraId="45B44683">
            <w:pPr>
              <w:pStyle w:val="11"/>
              <w:spacing w:before="206" w:line="211" w:lineRule="auto"/>
              <w:ind w:left="34"/>
              <w:rPr>
                <w:color w:val="auto"/>
                <w:highlight w:val="none"/>
              </w:rPr>
            </w:pPr>
            <w:r>
              <w:rPr>
                <w:color w:val="auto"/>
                <w:spacing w:val="30"/>
                <w:highlight w:val="none"/>
                <w14:textOutline w14:w="3831" w14:cap="flat" w14:cmpd="sng">
                  <w14:solidFill>
                    <w14:srgbClr w14:val="000000"/>
                  </w14:solidFill>
                  <w14:prstDash w14:val="solid"/>
                  <w14:miter w14:val="0"/>
                </w14:textOutline>
              </w:rPr>
              <w:t>序号</w:t>
            </w:r>
          </w:p>
        </w:tc>
        <w:tc>
          <w:tcPr>
            <w:tcW w:w="998" w:type="dxa"/>
            <w:vAlign w:val="top"/>
          </w:tcPr>
          <w:p w14:paraId="0CAB8EFA">
            <w:pPr>
              <w:pStyle w:val="11"/>
              <w:spacing w:before="33" w:line="223" w:lineRule="auto"/>
              <w:ind w:left="293" w:right="181" w:hanging="105"/>
              <w:rPr>
                <w:color w:val="auto"/>
                <w:highlight w:val="none"/>
              </w:rPr>
            </w:pPr>
            <w:r>
              <w:rPr>
                <w:color w:val="auto"/>
                <w:spacing w:val="-3"/>
                <w:highlight w:val="none"/>
                <w14:textOutline w14:w="3831" w14:cap="flat" w14:cmpd="sng">
                  <w14:solidFill>
                    <w14:srgbClr w14:val="000000"/>
                  </w14:solidFill>
                  <w14:prstDash w14:val="solid"/>
                  <w14:miter w14:val="0"/>
                </w14:textOutline>
              </w:rPr>
              <w:t>投标人</w:t>
            </w:r>
            <w:r>
              <w:rPr>
                <w:color w:val="auto"/>
                <w:highlight w:val="none"/>
              </w:rPr>
              <w:t xml:space="preserve"> </w:t>
            </w:r>
            <w:r>
              <w:rPr>
                <w:color w:val="auto"/>
                <w:spacing w:val="-3"/>
                <w:highlight w:val="none"/>
                <w14:textOutline w14:w="3831" w14:cap="flat" w14:cmpd="sng">
                  <w14:solidFill>
                    <w14:srgbClr w14:val="000000"/>
                  </w14:solidFill>
                  <w14:prstDash w14:val="solid"/>
                  <w14:miter w14:val="0"/>
                </w14:textOutline>
              </w:rPr>
              <w:t>名称</w:t>
            </w:r>
          </w:p>
        </w:tc>
        <w:tc>
          <w:tcPr>
            <w:tcW w:w="994" w:type="dxa"/>
            <w:vAlign w:val="top"/>
          </w:tcPr>
          <w:p w14:paraId="17498176">
            <w:pPr>
              <w:pStyle w:val="11"/>
              <w:spacing w:before="33" w:line="223" w:lineRule="auto"/>
              <w:ind w:left="192" w:right="181" w:hanging="8"/>
              <w:rPr>
                <w:color w:val="auto"/>
                <w:highlight w:val="none"/>
              </w:rPr>
            </w:pPr>
            <w:r>
              <w:rPr>
                <w:color w:val="auto"/>
                <w:spacing w:val="-3"/>
                <w:highlight w:val="none"/>
                <w14:textOutline w14:w="3831" w14:cap="flat" w14:cmpd="sng">
                  <w14:solidFill>
                    <w14:srgbClr w14:val="000000"/>
                  </w14:solidFill>
                  <w14:prstDash w14:val="solid"/>
                  <w14:miter w14:val="0"/>
                </w14:textOutline>
              </w:rPr>
              <w:t>形式评</w:t>
            </w:r>
            <w:r>
              <w:rPr>
                <w:color w:val="auto"/>
                <w:highlight w:val="none"/>
              </w:rPr>
              <w:t xml:space="preserve"> </w:t>
            </w:r>
            <w:r>
              <w:rPr>
                <w:color w:val="auto"/>
                <w:spacing w:val="-6"/>
                <w:highlight w:val="none"/>
                <w14:textOutline w14:w="3831" w14:cap="flat" w14:cmpd="sng">
                  <w14:solidFill>
                    <w14:srgbClr w14:val="000000"/>
                  </w14:solidFill>
                  <w14:prstDash w14:val="solid"/>
                  <w14:miter w14:val="0"/>
                </w14:textOutline>
              </w:rPr>
              <w:t>审结果</w:t>
            </w:r>
          </w:p>
        </w:tc>
        <w:tc>
          <w:tcPr>
            <w:tcW w:w="998" w:type="dxa"/>
            <w:vAlign w:val="top"/>
          </w:tcPr>
          <w:p w14:paraId="48F3DDEF">
            <w:pPr>
              <w:pStyle w:val="11"/>
              <w:spacing w:before="33" w:line="223" w:lineRule="auto"/>
              <w:ind w:left="197" w:right="180" w:hanging="1"/>
              <w:rPr>
                <w:color w:val="auto"/>
                <w:highlight w:val="none"/>
              </w:rPr>
            </w:pPr>
            <w:r>
              <w:rPr>
                <w:color w:val="auto"/>
                <w:spacing w:val="-5"/>
                <w:highlight w:val="none"/>
                <w14:textOutline w14:w="3831" w14:cap="flat" w14:cmpd="sng">
                  <w14:solidFill>
                    <w14:srgbClr w14:val="000000"/>
                  </w14:solidFill>
                  <w14:prstDash w14:val="solid"/>
                  <w14:miter w14:val="0"/>
                </w14:textOutline>
              </w:rPr>
              <w:t>资格评</w:t>
            </w:r>
            <w:r>
              <w:rPr>
                <w:color w:val="auto"/>
                <w:highlight w:val="none"/>
              </w:rPr>
              <w:t xml:space="preserve"> </w:t>
            </w:r>
            <w:r>
              <w:rPr>
                <w:color w:val="auto"/>
                <w:spacing w:val="-6"/>
                <w:highlight w:val="none"/>
                <w14:textOutline w14:w="3831" w14:cap="flat" w14:cmpd="sng">
                  <w14:solidFill>
                    <w14:srgbClr w14:val="000000"/>
                  </w14:solidFill>
                  <w14:prstDash w14:val="solid"/>
                  <w14:miter w14:val="0"/>
                </w14:textOutline>
              </w:rPr>
              <w:t>审结果</w:t>
            </w:r>
          </w:p>
        </w:tc>
        <w:tc>
          <w:tcPr>
            <w:tcW w:w="1080" w:type="dxa"/>
            <w:vAlign w:val="top"/>
          </w:tcPr>
          <w:p w14:paraId="5108E2F7">
            <w:pPr>
              <w:pStyle w:val="11"/>
              <w:spacing w:before="34" w:line="221" w:lineRule="auto"/>
              <w:ind w:left="135"/>
              <w:rPr>
                <w:color w:val="auto"/>
                <w:highlight w:val="none"/>
              </w:rPr>
            </w:pPr>
            <w:r>
              <w:rPr>
                <w:color w:val="auto"/>
                <w:spacing w:val="-3"/>
                <w:highlight w:val="none"/>
                <w14:textOutline w14:w="3831" w14:cap="flat" w14:cmpd="sng">
                  <w14:solidFill>
                    <w14:srgbClr w14:val="000000"/>
                  </w14:solidFill>
                  <w14:prstDash w14:val="solid"/>
                  <w14:miter w14:val="0"/>
                </w14:textOutline>
              </w:rPr>
              <w:t>响应性评</w:t>
            </w:r>
          </w:p>
          <w:p w14:paraId="650F75F6">
            <w:pPr>
              <w:pStyle w:val="11"/>
              <w:spacing w:before="17" w:line="209" w:lineRule="auto"/>
              <w:ind w:left="241"/>
              <w:rPr>
                <w:color w:val="auto"/>
                <w:highlight w:val="none"/>
              </w:rPr>
            </w:pPr>
            <w:r>
              <w:rPr>
                <w:color w:val="auto"/>
                <w:spacing w:val="-4"/>
                <w:highlight w:val="none"/>
                <w14:textOutline w14:w="3831" w14:cap="flat" w14:cmpd="sng">
                  <w14:solidFill>
                    <w14:srgbClr w14:val="000000"/>
                  </w14:solidFill>
                  <w14:prstDash w14:val="solid"/>
                  <w14:miter w14:val="0"/>
                </w14:textOutline>
              </w:rPr>
              <w:t>审结果</w:t>
            </w:r>
          </w:p>
        </w:tc>
        <w:tc>
          <w:tcPr>
            <w:tcW w:w="1992" w:type="dxa"/>
            <w:vAlign w:val="top"/>
          </w:tcPr>
          <w:p w14:paraId="3CDBD4BB">
            <w:pPr>
              <w:pStyle w:val="11"/>
              <w:spacing w:before="33" w:line="221" w:lineRule="auto"/>
              <w:ind w:left="265"/>
              <w:rPr>
                <w:color w:val="auto"/>
                <w:highlight w:val="none"/>
              </w:rPr>
            </w:pPr>
            <w:r>
              <w:rPr>
                <w:color w:val="auto"/>
                <w:spacing w:val="-1"/>
                <w:highlight w:val="none"/>
                <w14:textOutline w14:w="3831" w14:cap="flat" w14:cmpd="sng">
                  <w14:solidFill>
                    <w14:srgbClr w14:val="000000"/>
                  </w14:solidFill>
                  <w14:prstDash w14:val="solid"/>
                  <w14:miter w14:val="0"/>
                </w14:textOutline>
              </w:rPr>
              <w:t>技术标评审结果</w:t>
            </w:r>
          </w:p>
          <w:p w14:paraId="476369AA">
            <w:pPr>
              <w:pStyle w:val="11"/>
              <w:spacing w:before="17" w:line="209" w:lineRule="auto"/>
              <w:ind w:left="588"/>
              <w:rPr>
                <w:color w:val="auto"/>
                <w:highlight w:val="none"/>
              </w:rPr>
            </w:pPr>
            <w:r>
              <w:rPr>
                <w:color w:val="auto"/>
                <w:spacing w:val="-5"/>
                <w:highlight w:val="none"/>
                <w14:textOutline w14:w="3831" w14:cap="flat" w14:cmpd="sng">
                  <w14:solidFill>
                    <w14:srgbClr w14:val="000000"/>
                  </w14:solidFill>
                  <w14:prstDash w14:val="solid"/>
                  <w14:miter w14:val="0"/>
                </w14:textOutline>
              </w:rPr>
              <w:t>（如有）</w:t>
            </w:r>
          </w:p>
        </w:tc>
        <w:tc>
          <w:tcPr>
            <w:tcW w:w="873" w:type="dxa"/>
            <w:vAlign w:val="top"/>
          </w:tcPr>
          <w:p w14:paraId="4DAF782F">
            <w:pPr>
              <w:pStyle w:val="11"/>
              <w:spacing w:before="33" w:line="223" w:lineRule="auto"/>
              <w:ind w:left="390" w:right="63" w:hanging="209"/>
              <w:rPr>
                <w:color w:val="auto"/>
                <w:highlight w:val="none"/>
              </w:rPr>
            </w:pPr>
            <w:r>
              <w:rPr>
                <w:color w:val="auto"/>
                <w:spacing w:val="-3"/>
                <w:highlight w:val="none"/>
                <w14:textOutline w14:w="3831" w14:cap="flat" w14:cmpd="sng">
                  <w14:solidFill>
                    <w14:srgbClr w14:val="000000"/>
                  </w14:solidFill>
                  <w14:prstDash w14:val="solid"/>
                  <w14:miter w14:val="0"/>
                </w14:textOutline>
              </w:rPr>
              <w:t>投标报</w:t>
            </w:r>
            <w:r>
              <w:rPr>
                <w:color w:val="auto"/>
                <w:highlight w:val="none"/>
              </w:rPr>
              <w:t xml:space="preserve"> </w:t>
            </w:r>
            <w:r>
              <w:rPr>
                <w:color w:val="auto"/>
                <w:highlight w:val="none"/>
                <w14:textOutline w14:w="3831" w14:cap="flat" w14:cmpd="sng">
                  <w14:solidFill>
                    <w14:srgbClr w14:val="000000"/>
                  </w14:solidFill>
                  <w14:prstDash w14:val="solid"/>
                  <w14:miter w14:val="0"/>
                </w14:textOutline>
              </w:rPr>
              <w:t>价</w:t>
            </w:r>
          </w:p>
        </w:tc>
        <w:tc>
          <w:tcPr>
            <w:tcW w:w="863" w:type="dxa"/>
            <w:vAlign w:val="top"/>
          </w:tcPr>
          <w:p w14:paraId="0701E756">
            <w:pPr>
              <w:pStyle w:val="11"/>
              <w:spacing w:before="33" w:line="223" w:lineRule="auto"/>
              <w:ind w:left="387" w:right="57" w:hanging="213"/>
              <w:rPr>
                <w:color w:val="auto"/>
                <w:highlight w:val="none"/>
              </w:rPr>
            </w:pPr>
            <w:r>
              <w:rPr>
                <w:color w:val="auto"/>
                <w:spacing w:val="-2"/>
                <w:highlight w:val="none"/>
                <w14:textOutline w14:w="3831" w14:cap="flat" w14:cmpd="sng">
                  <w14:solidFill>
                    <w14:srgbClr w14:val="000000"/>
                  </w14:solidFill>
                  <w14:prstDash w14:val="solid"/>
                  <w14:miter w14:val="0"/>
                </w14:textOutline>
              </w:rPr>
              <w:t>评审结</w:t>
            </w:r>
            <w:r>
              <w:rPr>
                <w:color w:val="auto"/>
                <w:spacing w:val="1"/>
                <w:highlight w:val="none"/>
              </w:rPr>
              <w:t xml:space="preserve"> </w:t>
            </w:r>
            <w:r>
              <w:rPr>
                <w:color w:val="auto"/>
                <w:highlight w:val="none"/>
                <w14:textOutline w14:w="3831" w14:cap="flat" w14:cmpd="sng">
                  <w14:solidFill>
                    <w14:srgbClr w14:val="000000"/>
                  </w14:solidFill>
                  <w14:prstDash w14:val="solid"/>
                  <w14:miter w14:val="0"/>
                </w14:textOutline>
              </w:rPr>
              <w:t>论</w:t>
            </w:r>
          </w:p>
        </w:tc>
      </w:tr>
      <w:tr w14:paraId="3EC3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64ACE580">
            <w:pPr>
              <w:spacing w:before="165" w:line="183" w:lineRule="auto"/>
              <w:ind w:left="278"/>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98" w:type="dxa"/>
            <w:vAlign w:val="top"/>
          </w:tcPr>
          <w:p w14:paraId="6897CB0C">
            <w:pPr>
              <w:rPr>
                <w:rFonts w:ascii="Arial"/>
                <w:color w:val="auto"/>
                <w:sz w:val="21"/>
                <w:highlight w:val="none"/>
              </w:rPr>
            </w:pPr>
          </w:p>
        </w:tc>
        <w:tc>
          <w:tcPr>
            <w:tcW w:w="994" w:type="dxa"/>
            <w:vAlign w:val="top"/>
          </w:tcPr>
          <w:p w14:paraId="370E617E">
            <w:pPr>
              <w:rPr>
                <w:rFonts w:ascii="Arial"/>
                <w:color w:val="auto"/>
                <w:sz w:val="21"/>
                <w:highlight w:val="none"/>
              </w:rPr>
            </w:pPr>
          </w:p>
        </w:tc>
        <w:tc>
          <w:tcPr>
            <w:tcW w:w="998" w:type="dxa"/>
            <w:vAlign w:val="top"/>
          </w:tcPr>
          <w:p w14:paraId="2DD60BE7">
            <w:pPr>
              <w:rPr>
                <w:rFonts w:ascii="Arial"/>
                <w:color w:val="auto"/>
                <w:sz w:val="21"/>
                <w:highlight w:val="none"/>
              </w:rPr>
            </w:pPr>
          </w:p>
        </w:tc>
        <w:tc>
          <w:tcPr>
            <w:tcW w:w="1080" w:type="dxa"/>
            <w:vAlign w:val="top"/>
          </w:tcPr>
          <w:p w14:paraId="65205A29">
            <w:pPr>
              <w:rPr>
                <w:rFonts w:ascii="Arial"/>
                <w:color w:val="auto"/>
                <w:sz w:val="21"/>
                <w:highlight w:val="none"/>
              </w:rPr>
            </w:pPr>
          </w:p>
        </w:tc>
        <w:tc>
          <w:tcPr>
            <w:tcW w:w="1992" w:type="dxa"/>
            <w:vAlign w:val="top"/>
          </w:tcPr>
          <w:p w14:paraId="584D736A">
            <w:pPr>
              <w:rPr>
                <w:rFonts w:ascii="Arial"/>
                <w:color w:val="auto"/>
                <w:sz w:val="21"/>
                <w:highlight w:val="none"/>
              </w:rPr>
            </w:pPr>
          </w:p>
        </w:tc>
        <w:tc>
          <w:tcPr>
            <w:tcW w:w="873" w:type="dxa"/>
            <w:vAlign w:val="top"/>
          </w:tcPr>
          <w:p w14:paraId="3AB6A223">
            <w:pPr>
              <w:rPr>
                <w:rFonts w:ascii="Arial"/>
                <w:color w:val="auto"/>
                <w:sz w:val="21"/>
                <w:highlight w:val="none"/>
              </w:rPr>
            </w:pPr>
          </w:p>
        </w:tc>
        <w:tc>
          <w:tcPr>
            <w:tcW w:w="863" w:type="dxa"/>
            <w:vAlign w:val="top"/>
          </w:tcPr>
          <w:p w14:paraId="6CAA5A54">
            <w:pPr>
              <w:rPr>
                <w:rFonts w:ascii="Arial"/>
                <w:color w:val="auto"/>
                <w:sz w:val="21"/>
                <w:highlight w:val="none"/>
              </w:rPr>
            </w:pPr>
          </w:p>
        </w:tc>
      </w:tr>
      <w:tr w14:paraId="305C1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6CEDC192">
            <w:pPr>
              <w:spacing w:before="164" w:line="184" w:lineRule="auto"/>
              <w:ind w:left="266"/>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98" w:type="dxa"/>
            <w:vAlign w:val="top"/>
          </w:tcPr>
          <w:p w14:paraId="16857D3D">
            <w:pPr>
              <w:rPr>
                <w:rFonts w:ascii="Arial"/>
                <w:color w:val="auto"/>
                <w:sz w:val="21"/>
                <w:highlight w:val="none"/>
              </w:rPr>
            </w:pPr>
          </w:p>
        </w:tc>
        <w:tc>
          <w:tcPr>
            <w:tcW w:w="994" w:type="dxa"/>
            <w:vAlign w:val="top"/>
          </w:tcPr>
          <w:p w14:paraId="2FDBC3D9">
            <w:pPr>
              <w:rPr>
                <w:rFonts w:ascii="Arial"/>
                <w:color w:val="auto"/>
                <w:sz w:val="21"/>
                <w:highlight w:val="none"/>
              </w:rPr>
            </w:pPr>
          </w:p>
        </w:tc>
        <w:tc>
          <w:tcPr>
            <w:tcW w:w="998" w:type="dxa"/>
            <w:vAlign w:val="top"/>
          </w:tcPr>
          <w:p w14:paraId="160DC1BD">
            <w:pPr>
              <w:rPr>
                <w:rFonts w:ascii="Arial"/>
                <w:color w:val="auto"/>
                <w:sz w:val="21"/>
                <w:highlight w:val="none"/>
              </w:rPr>
            </w:pPr>
          </w:p>
        </w:tc>
        <w:tc>
          <w:tcPr>
            <w:tcW w:w="1080" w:type="dxa"/>
            <w:vAlign w:val="top"/>
          </w:tcPr>
          <w:p w14:paraId="25C14018">
            <w:pPr>
              <w:rPr>
                <w:rFonts w:ascii="Arial"/>
                <w:color w:val="auto"/>
                <w:sz w:val="21"/>
                <w:highlight w:val="none"/>
              </w:rPr>
            </w:pPr>
          </w:p>
        </w:tc>
        <w:tc>
          <w:tcPr>
            <w:tcW w:w="1992" w:type="dxa"/>
            <w:vAlign w:val="top"/>
          </w:tcPr>
          <w:p w14:paraId="55C6A015">
            <w:pPr>
              <w:rPr>
                <w:rFonts w:ascii="Arial"/>
                <w:color w:val="auto"/>
                <w:sz w:val="21"/>
                <w:highlight w:val="none"/>
              </w:rPr>
            </w:pPr>
          </w:p>
        </w:tc>
        <w:tc>
          <w:tcPr>
            <w:tcW w:w="873" w:type="dxa"/>
            <w:vAlign w:val="top"/>
          </w:tcPr>
          <w:p w14:paraId="5FB69275">
            <w:pPr>
              <w:rPr>
                <w:rFonts w:ascii="Arial"/>
                <w:color w:val="auto"/>
                <w:sz w:val="21"/>
                <w:highlight w:val="none"/>
              </w:rPr>
            </w:pPr>
          </w:p>
        </w:tc>
        <w:tc>
          <w:tcPr>
            <w:tcW w:w="863" w:type="dxa"/>
            <w:vAlign w:val="top"/>
          </w:tcPr>
          <w:p w14:paraId="72000353">
            <w:pPr>
              <w:rPr>
                <w:rFonts w:ascii="Arial"/>
                <w:color w:val="auto"/>
                <w:sz w:val="21"/>
                <w:highlight w:val="none"/>
              </w:rPr>
            </w:pPr>
          </w:p>
        </w:tc>
      </w:tr>
      <w:tr w14:paraId="60882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19A1F0D7">
            <w:pPr>
              <w:spacing w:before="165" w:line="184" w:lineRule="auto"/>
              <w:ind w:left="267"/>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98" w:type="dxa"/>
            <w:vAlign w:val="top"/>
          </w:tcPr>
          <w:p w14:paraId="501D8FBA">
            <w:pPr>
              <w:rPr>
                <w:rFonts w:ascii="Arial"/>
                <w:color w:val="auto"/>
                <w:sz w:val="21"/>
                <w:highlight w:val="none"/>
              </w:rPr>
            </w:pPr>
          </w:p>
        </w:tc>
        <w:tc>
          <w:tcPr>
            <w:tcW w:w="994" w:type="dxa"/>
            <w:vAlign w:val="top"/>
          </w:tcPr>
          <w:p w14:paraId="76182E56">
            <w:pPr>
              <w:rPr>
                <w:rFonts w:ascii="Arial"/>
                <w:color w:val="auto"/>
                <w:sz w:val="21"/>
                <w:highlight w:val="none"/>
              </w:rPr>
            </w:pPr>
          </w:p>
        </w:tc>
        <w:tc>
          <w:tcPr>
            <w:tcW w:w="998" w:type="dxa"/>
            <w:vAlign w:val="top"/>
          </w:tcPr>
          <w:p w14:paraId="13348C68">
            <w:pPr>
              <w:rPr>
                <w:rFonts w:ascii="Arial"/>
                <w:color w:val="auto"/>
                <w:sz w:val="21"/>
                <w:highlight w:val="none"/>
              </w:rPr>
            </w:pPr>
          </w:p>
        </w:tc>
        <w:tc>
          <w:tcPr>
            <w:tcW w:w="1080" w:type="dxa"/>
            <w:vAlign w:val="top"/>
          </w:tcPr>
          <w:p w14:paraId="78C1CA7D">
            <w:pPr>
              <w:rPr>
                <w:rFonts w:ascii="Arial"/>
                <w:color w:val="auto"/>
                <w:sz w:val="21"/>
                <w:highlight w:val="none"/>
              </w:rPr>
            </w:pPr>
          </w:p>
        </w:tc>
        <w:tc>
          <w:tcPr>
            <w:tcW w:w="1992" w:type="dxa"/>
            <w:vAlign w:val="top"/>
          </w:tcPr>
          <w:p w14:paraId="73EC58F5">
            <w:pPr>
              <w:rPr>
                <w:rFonts w:ascii="Arial"/>
                <w:color w:val="auto"/>
                <w:sz w:val="21"/>
                <w:highlight w:val="none"/>
              </w:rPr>
            </w:pPr>
          </w:p>
        </w:tc>
        <w:tc>
          <w:tcPr>
            <w:tcW w:w="873" w:type="dxa"/>
            <w:vAlign w:val="top"/>
          </w:tcPr>
          <w:p w14:paraId="4F2A6E7E">
            <w:pPr>
              <w:rPr>
                <w:rFonts w:ascii="Arial"/>
                <w:color w:val="auto"/>
                <w:sz w:val="21"/>
                <w:highlight w:val="none"/>
              </w:rPr>
            </w:pPr>
          </w:p>
        </w:tc>
        <w:tc>
          <w:tcPr>
            <w:tcW w:w="863" w:type="dxa"/>
            <w:vAlign w:val="top"/>
          </w:tcPr>
          <w:p w14:paraId="551234E4">
            <w:pPr>
              <w:rPr>
                <w:rFonts w:ascii="Arial"/>
                <w:color w:val="auto"/>
                <w:sz w:val="21"/>
                <w:highlight w:val="none"/>
              </w:rPr>
            </w:pPr>
          </w:p>
        </w:tc>
      </w:tr>
      <w:tr w14:paraId="4C48F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5601638A">
            <w:pPr>
              <w:spacing w:before="167" w:line="183" w:lineRule="auto"/>
              <w:ind w:left="262"/>
              <w:rPr>
                <w:rFonts w:ascii="黑体" w:hAnsi="黑体" w:eastAsia="黑体" w:cs="黑体"/>
                <w:color w:val="auto"/>
                <w:sz w:val="21"/>
                <w:szCs w:val="21"/>
                <w:highlight w:val="none"/>
              </w:rPr>
            </w:pPr>
            <w:r>
              <w:rPr>
                <w:rFonts w:ascii="黑体" w:hAnsi="黑体" w:eastAsia="黑体" w:cs="黑体"/>
                <w:color w:val="auto"/>
                <w:sz w:val="21"/>
                <w:szCs w:val="21"/>
                <w:highlight w:val="none"/>
              </w:rPr>
              <w:t>4</w:t>
            </w:r>
          </w:p>
        </w:tc>
        <w:tc>
          <w:tcPr>
            <w:tcW w:w="998" w:type="dxa"/>
            <w:vAlign w:val="top"/>
          </w:tcPr>
          <w:p w14:paraId="5DAE3E82">
            <w:pPr>
              <w:rPr>
                <w:rFonts w:ascii="Arial"/>
                <w:color w:val="auto"/>
                <w:sz w:val="21"/>
                <w:highlight w:val="none"/>
              </w:rPr>
            </w:pPr>
          </w:p>
        </w:tc>
        <w:tc>
          <w:tcPr>
            <w:tcW w:w="994" w:type="dxa"/>
            <w:vAlign w:val="top"/>
          </w:tcPr>
          <w:p w14:paraId="74D22452">
            <w:pPr>
              <w:rPr>
                <w:rFonts w:ascii="Arial"/>
                <w:color w:val="auto"/>
                <w:sz w:val="21"/>
                <w:highlight w:val="none"/>
              </w:rPr>
            </w:pPr>
          </w:p>
        </w:tc>
        <w:tc>
          <w:tcPr>
            <w:tcW w:w="998" w:type="dxa"/>
            <w:vAlign w:val="top"/>
          </w:tcPr>
          <w:p w14:paraId="29536D89">
            <w:pPr>
              <w:rPr>
                <w:rFonts w:ascii="Arial"/>
                <w:color w:val="auto"/>
                <w:sz w:val="21"/>
                <w:highlight w:val="none"/>
              </w:rPr>
            </w:pPr>
          </w:p>
        </w:tc>
        <w:tc>
          <w:tcPr>
            <w:tcW w:w="1080" w:type="dxa"/>
            <w:vAlign w:val="top"/>
          </w:tcPr>
          <w:p w14:paraId="451D3819">
            <w:pPr>
              <w:rPr>
                <w:rFonts w:ascii="Arial"/>
                <w:color w:val="auto"/>
                <w:sz w:val="21"/>
                <w:highlight w:val="none"/>
              </w:rPr>
            </w:pPr>
          </w:p>
        </w:tc>
        <w:tc>
          <w:tcPr>
            <w:tcW w:w="1992" w:type="dxa"/>
            <w:vAlign w:val="top"/>
          </w:tcPr>
          <w:p w14:paraId="6C6014E0">
            <w:pPr>
              <w:rPr>
                <w:rFonts w:ascii="Arial"/>
                <w:color w:val="auto"/>
                <w:sz w:val="21"/>
                <w:highlight w:val="none"/>
              </w:rPr>
            </w:pPr>
          </w:p>
        </w:tc>
        <w:tc>
          <w:tcPr>
            <w:tcW w:w="873" w:type="dxa"/>
            <w:vAlign w:val="top"/>
          </w:tcPr>
          <w:p w14:paraId="735EA08B">
            <w:pPr>
              <w:rPr>
                <w:rFonts w:ascii="Arial"/>
                <w:color w:val="auto"/>
                <w:sz w:val="21"/>
                <w:highlight w:val="none"/>
              </w:rPr>
            </w:pPr>
          </w:p>
        </w:tc>
        <w:tc>
          <w:tcPr>
            <w:tcW w:w="863" w:type="dxa"/>
            <w:vAlign w:val="top"/>
          </w:tcPr>
          <w:p w14:paraId="6B2D9E37">
            <w:pPr>
              <w:rPr>
                <w:rFonts w:ascii="Arial"/>
                <w:color w:val="auto"/>
                <w:sz w:val="21"/>
                <w:highlight w:val="none"/>
              </w:rPr>
            </w:pPr>
          </w:p>
        </w:tc>
      </w:tr>
      <w:tr w14:paraId="5F3A7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29" w:type="dxa"/>
            <w:vAlign w:val="top"/>
          </w:tcPr>
          <w:p w14:paraId="3AA31E4E">
            <w:pPr>
              <w:spacing w:before="169" w:line="181" w:lineRule="auto"/>
              <w:ind w:left="262"/>
              <w:rPr>
                <w:rFonts w:ascii="黑体" w:hAnsi="黑体" w:eastAsia="黑体" w:cs="黑体"/>
                <w:color w:val="auto"/>
                <w:sz w:val="21"/>
                <w:szCs w:val="21"/>
                <w:highlight w:val="none"/>
              </w:rPr>
            </w:pPr>
            <w:r>
              <w:rPr>
                <w:rFonts w:ascii="黑体" w:hAnsi="黑体" w:eastAsia="黑体" w:cs="黑体"/>
                <w:color w:val="auto"/>
                <w:sz w:val="21"/>
                <w:szCs w:val="21"/>
                <w:highlight w:val="none"/>
              </w:rPr>
              <w:t>5</w:t>
            </w:r>
          </w:p>
        </w:tc>
        <w:tc>
          <w:tcPr>
            <w:tcW w:w="998" w:type="dxa"/>
            <w:vAlign w:val="top"/>
          </w:tcPr>
          <w:p w14:paraId="0773306D">
            <w:pPr>
              <w:rPr>
                <w:rFonts w:ascii="Arial"/>
                <w:color w:val="auto"/>
                <w:sz w:val="21"/>
                <w:highlight w:val="none"/>
              </w:rPr>
            </w:pPr>
          </w:p>
        </w:tc>
        <w:tc>
          <w:tcPr>
            <w:tcW w:w="994" w:type="dxa"/>
            <w:vAlign w:val="top"/>
          </w:tcPr>
          <w:p w14:paraId="1FDFC26A">
            <w:pPr>
              <w:rPr>
                <w:rFonts w:ascii="Arial"/>
                <w:color w:val="auto"/>
                <w:sz w:val="21"/>
                <w:highlight w:val="none"/>
              </w:rPr>
            </w:pPr>
          </w:p>
        </w:tc>
        <w:tc>
          <w:tcPr>
            <w:tcW w:w="998" w:type="dxa"/>
            <w:vAlign w:val="top"/>
          </w:tcPr>
          <w:p w14:paraId="7FC305F9">
            <w:pPr>
              <w:rPr>
                <w:rFonts w:ascii="Arial"/>
                <w:color w:val="auto"/>
                <w:sz w:val="21"/>
                <w:highlight w:val="none"/>
              </w:rPr>
            </w:pPr>
          </w:p>
        </w:tc>
        <w:tc>
          <w:tcPr>
            <w:tcW w:w="1080" w:type="dxa"/>
            <w:vAlign w:val="top"/>
          </w:tcPr>
          <w:p w14:paraId="2E7BC428">
            <w:pPr>
              <w:rPr>
                <w:rFonts w:ascii="Arial"/>
                <w:color w:val="auto"/>
                <w:sz w:val="21"/>
                <w:highlight w:val="none"/>
              </w:rPr>
            </w:pPr>
          </w:p>
        </w:tc>
        <w:tc>
          <w:tcPr>
            <w:tcW w:w="1992" w:type="dxa"/>
            <w:vAlign w:val="top"/>
          </w:tcPr>
          <w:p w14:paraId="3BE67FAF">
            <w:pPr>
              <w:rPr>
                <w:rFonts w:ascii="Arial"/>
                <w:color w:val="auto"/>
                <w:sz w:val="21"/>
                <w:highlight w:val="none"/>
              </w:rPr>
            </w:pPr>
          </w:p>
        </w:tc>
        <w:tc>
          <w:tcPr>
            <w:tcW w:w="873" w:type="dxa"/>
            <w:vAlign w:val="top"/>
          </w:tcPr>
          <w:p w14:paraId="3B646EF8">
            <w:pPr>
              <w:rPr>
                <w:rFonts w:ascii="Arial"/>
                <w:color w:val="auto"/>
                <w:sz w:val="21"/>
                <w:highlight w:val="none"/>
              </w:rPr>
            </w:pPr>
          </w:p>
        </w:tc>
        <w:tc>
          <w:tcPr>
            <w:tcW w:w="863" w:type="dxa"/>
            <w:vAlign w:val="top"/>
          </w:tcPr>
          <w:p w14:paraId="5CD7B501">
            <w:pPr>
              <w:rPr>
                <w:rFonts w:ascii="Arial"/>
                <w:color w:val="auto"/>
                <w:sz w:val="21"/>
                <w:highlight w:val="none"/>
              </w:rPr>
            </w:pPr>
          </w:p>
        </w:tc>
      </w:tr>
      <w:tr w14:paraId="316B6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3E79B1DF">
            <w:pPr>
              <w:spacing w:before="129" w:line="332" w:lineRule="exact"/>
              <w:ind w:left="226"/>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998" w:type="dxa"/>
            <w:vAlign w:val="top"/>
          </w:tcPr>
          <w:p w14:paraId="310F4A79">
            <w:pPr>
              <w:rPr>
                <w:rFonts w:ascii="Arial"/>
                <w:color w:val="auto"/>
                <w:sz w:val="21"/>
                <w:highlight w:val="none"/>
              </w:rPr>
            </w:pPr>
          </w:p>
        </w:tc>
        <w:tc>
          <w:tcPr>
            <w:tcW w:w="994" w:type="dxa"/>
            <w:vAlign w:val="top"/>
          </w:tcPr>
          <w:p w14:paraId="06D03579">
            <w:pPr>
              <w:rPr>
                <w:rFonts w:ascii="Arial"/>
                <w:color w:val="auto"/>
                <w:sz w:val="21"/>
                <w:highlight w:val="none"/>
              </w:rPr>
            </w:pPr>
          </w:p>
        </w:tc>
        <w:tc>
          <w:tcPr>
            <w:tcW w:w="998" w:type="dxa"/>
            <w:vAlign w:val="top"/>
          </w:tcPr>
          <w:p w14:paraId="20BEE719">
            <w:pPr>
              <w:rPr>
                <w:rFonts w:ascii="Arial"/>
                <w:color w:val="auto"/>
                <w:sz w:val="21"/>
                <w:highlight w:val="none"/>
              </w:rPr>
            </w:pPr>
          </w:p>
        </w:tc>
        <w:tc>
          <w:tcPr>
            <w:tcW w:w="1080" w:type="dxa"/>
            <w:vAlign w:val="top"/>
          </w:tcPr>
          <w:p w14:paraId="4EAA9AC0">
            <w:pPr>
              <w:rPr>
                <w:rFonts w:ascii="Arial"/>
                <w:color w:val="auto"/>
                <w:sz w:val="21"/>
                <w:highlight w:val="none"/>
              </w:rPr>
            </w:pPr>
          </w:p>
        </w:tc>
        <w:tc>
          <w:tcPr>
            <w:tcW w:w="1992" w:type="dxa"/>
            <w:vAlign w:val="top"/>
          </w:tcPr>
          <w:p w14:paraId="4C08399C">
            <w:pPr>
              <w:rPr>
                <w:rFonts w:ascii="Arial"/>
                <w:color w:val="auto"/>
                <w:sz w:val="21"/>
                <w:highlight w:val="none"/>
              </w:rPr>
            </w:pPr>
          </w:p>
        </w:tc>
        <w:tc>
          <w:tcPr>
            <w:tcW w:w="873" w:type="dxa"/>
            <w:vAlign w:val="top"/>
          </w:tcPr>
          <w:p w14:paraId="226F608B">
            <w:pPr>
              <w:rPr>
                <w:rFonts w:ascii="Arial"/>
                <w:color w:val="auto"/>
                <w:sz w:val="21"/>
                <w:highlight w:val="none"/>
              </w:rPr>
            </w:pPr>
          </w:p>
        </w:tc>
        <w:tc>
          <w:tcPr>
            <w:tcW w:w="863" w:type="dxa"/>
            <w:vAlign w:val="top"/>
          </w:tcPr>
          <w:p w14:paraId="170C6FDD">
            <w:pPr>
              <w:rPr>
                <w:rFonts w:ascii="Arial"/>
                <w:color w:val="auto"/>
                <w:sz w:val="21"/>
                <w:highlight w:val="none"/>
              </w:rPr>
            </w:pPr>
          </w:p>
        </w:tc>
      </w:tr>
      <w:tr w14:paraId="42DE3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7" w:type="dxa"/>
            <w:gridSpan w:val="8"/>
            <w:vAlign w:val="top"/>
          </w:tcPr>
          <w:p w14:paraId="2E00D4D1">
            <w:pPr>
              <w:pStyle w:val="11"/>
              <w:spacing w:before="28" w:line="220" w:lineRule="auto"/>
              <w:ind w:left="117"/>
              <w:rPr>
                <w:color w:val="auto"/>
                <w:highlight w:val="none"/>
              </w:rPr>
            </w:pPr>
            <w:r>
              <w:rPr>
                <w:color w:val="auto"/>
                <w:spacing w:val="-3"/>
                <w:highlight w:val="none"/>
              </w:rPr>
              <w:t>评标委员会全体成员签名：</w:t>
            </w:r>
          </w:p>
        </w:tc>
      </w:tr>
    </w:tbl>
    <w:p w14:paraId="2321C976">
      <w:pPr>
        <w:spacing w:before="299" w:line="186" w:lineRule="auto"/>
        <w:ind w:left="5624"/>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日期：</w:t>
      </w:r>
      <w:r>
        <w:rPr>
          <w:rFonts w:ascii="宋体" w:hAnsi="宋体" w:eastAsia="宋体" w:cs="宋体"/>
          <w:color w:val="auto"/>
          <w:spacing w:val="25"/>
          <w:sz w:val="21"/>
          <w:szCs w:val="21"/>
          <w:highlight w:val="none"/>
        </w:rPr>
        <w:t xml:space="preserve">    </w:t>
      </w:r>
      <w:r>
        <w:rPr>
          <w:rFonts w:ascii="宋体" w:hAnsi="宋体" w:eastAsia="宋体" w:cs="宋体"/>
          <w:color w:val="auto"/>
          <w:spacing w:val="-20"/>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0"/>
          <w:sz w:val="21"/>
          <w:szCs w:val="21"/>
          <w:highlight w:val="none"/>
        </w:rPr>
        <w:t>月     日</w:t>
      </w:r>
    </w:p>
    <w:p w14:paraId="261ECBA4">
      <w:pPr>
        <w:spacing w:line="186" w:lineRule="auto"/>
        <w:rPr>
          <w:rFonts w:ascii="宋体" w:hAnsi="宋体" w:eastAsia="宋体" w:cs="宋体"/>
          <w:color w:val="auto"/>
          <w:sz w:val="21"/>
          <w:szCs w:val="21"/>
          <w:highlight w:val="none"/>
        </w:rPr>
        <w:sectPr>
          <w:type w:val="continuous"/>
          <w:pgSz w:w="11905" w:h="16839"/>
          <w:pgMar w:top="1431" w:right="1785" w:bottom="996" w:left="1680" w:header="0" w:footer="791" w:gutter="0"/>
          <w:pgNumType w:fmt="decimal"/>
          <w:cols w:equalWidth="0" w:num="1">
            <w:col w:w="8438"/>
          </w:cols>
        </w:sectPr>
      </w:pPr>
    </w:p>
    <w:p w14:paraId="7A80C5A6">
      <w:pPr>
        <w:spacing w:before="124" w:line="218" w:lineRule="auto"/>
        <w:ind w:left="238"/>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60"/>
          <w:sz w:val="24"/>
          <w:szCs w:val="24"/>
          <w:highlight w:val="none"/>
        </w:rPr>
        <w:t xml:space="preserve"> </w:t>
      </w:r>
      <w:r>
        <w:rPr>
          <w:rFonts w:ascii="Times New Roman" w:hAnsi="Times New Roman" w:eastAsia="Times New Roman" w:cs="Times New Roman"/>
          <w:color w:val="auto"/>
          <w:spacing w:val="-3"/>
          <w:sz w:val="24"/>
          <w:szCs w:val="24"/>
          <w:highlight w:val="none"/>
        </w:rPr>
        <w:t>A-9</w:t>
      </w:r>
      <w:r>
        <w:rPr>
          <w:rFonts w:ascii="黑体" w:hAnsi="黑体" w:eastAsia="黑体" w:cs="黑体"/>
          <w:color w:val="auto"/>
          <w:spacing w:val="-3"/>
          <w:sz w:val="24"/>
          <w:szCs w:val="24"/>
          <w:highlight w:val="none"/>
        </w:rPr>
        <w:t>：否决投标的情况说明</w:t>
      </w:r>
    </w:p>
    <w:p w14:paraId="3E4B1825">
      <w:pPr>
        <w:pStyle w:val="3"/>
        <w:spacing w:line="317" w:lineRule="auto"/>
        <w:rPr>
          <w:color w:val="auto"/>
          <w:highlight w:val="none"/>
        </w:rPr>
      </w:pPr>
    </w:p>
    <w:p w14:paraId="179CBED6">
      <w:pPr>
        <w:pStyle w:val="3"/>
        <w:spacing w:line="318" w:lineRule="auto"/>
        <w:rPr>
          <w:color w:val="auto"/>
          <w:highlight w:val="none"/>
        </w:rPr>
      </w:pPr>
    </w:p>
    <w:p w14:paraId="6A473AE5">
      <w:pPr>
        <w:spacing w:before="117" w:line="218" w:lineRule="auto"/>
        <w:ind w:left="2765"/>
        <w:rPr>
          <w:rFonts w:ascii="黑体" w:hAnsi="黑体" w:eastAsia="黑体" w:cs="黑体"/>
          <w:color w:val="auto"/>
          <w:sz w:val="36"/>
          <w:szCs w:val="36"/>
          <w:highlight w:val="none"/>
        </w:rPr>
      </w:pPr>
      <w:bookmarkStart w:id="197" w:name="bookmark225"/>
      <w:bookmarkEnd w:id="197"/>
      <w:r>
        <w:rPr>
          <w:rFonts w:ascii="黑体" w:hAnsi="黑体" w:eastAsia="黑体" w:cs="黑体"/>
          <w:color w:val="auto"/>
          <w:spacing w:val="-2"/>
          <w:sz w:val="36"/>
          <w:szCs w:val="36"/>
          <w:highlight w:val="none"/>
        </w:rPr>
        <w:t>否决投标的情况说明</w:t>
      </w:r>
    </w:p>
    <w:p w14:paraId="716BB81F">
      <w:pPr>
        <w:spacing w:before="235" w:line="221" w:lineRule="auto"/>
        <w:ind w:left="22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2957AAF3">
      <w:pPr>
        <w:spacing w:before="22" w:line="214" w:lineRule="auto"/>
        <w:ind w:left="22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5"/>
        <w:gridCol w:w="1781"/>
        <w:gridCol w:w="4731"/>
      </w:tblGrid>
      <w:tr w14:paraId="6B2E5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14:paraId="71A0E356">
            <w:pPr>
              <w:pStyle w:val="11"/>
              <w:spacing w:before="135" w:line="222" w:lineRule="auto"/>
              <w:ind w:left="136"/>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545" w:type="dxa"/>
            <w:vAlign w:val="top"/>
          </w:tcPr>
          <w:p w14:paraId="68634C04">
            <w:pPr>
              <w:pStyle w:val="11"/>
              <w:spacing w:before="135" w:line="221" w:lineRule="auto"/>
              <w:ind w:left="251"/>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1781" w:type="dxa"/>
            <w:vAlign w:val="top"/>
          </w:tcPr>
          <w:p w14:paraId="09A04DE2">
            <w:pPr>
              <w:pStyle w:val="11"/>
              <w:spacing w:before="135" w:line="220" w:lineRule="auto"/>
              <w:ind w:left="160"/>
              <w:rPr>
                <w:color w:val="auto"/>
                <w:highlight w:val="none"/>
              </w:rPr>
            </w:pPr>
            <w:r>
              <w:rPr>
                <w:color w:val="auto"/>
                <w:spacing w:val="-1"/>
                <w:highlight w:val="none"/>
                <w14:textOutline w14:w="3831" w14:cap="flat" w14:cmpd="sng">
                  <w14:solidFill>
                    <w14:srgbClr w14:val="000000"/>
                  </w14:solidFill>
                  <w14:prstDash w14:val="solid"/>
                  <w14:miter w14:val="0"/>
                </w14:textOutline>
              </w:rPr>
              <w:t>否决投标的依据</w:t>
            </w:r>
          </w:p>
        </w:tc>
        <w:tc>
          <w:tcPr>
            <w:tcW w:w="4731" w:type="dxa"/>
            <w:vAlign w:val="top"/>
          </w:tcPr>
          <w:p w14:paraId="29F19F2B">
            <w:pPr>
              <w:pStyle w:val="11"/>
              <w:spacing w:before="134" w:line="221" w:lineRule="auto"/>
              <w:ind w:left="997"/>
              <w:rPr>
                <w:color w:val="auto"/>
                <w:highlight w:val="none"/>
              </w:rPr>
            </w:pPr>
            <w:r>
              <w:rPr>
                <w:color w:val="auto"/>
                <w:highlight w:val="none"/>
                <w14:textOutline w14:w="3831" w14:cap="flat" w14:cmpd="sng">
                  <w14:solidFill>
                    <w14:srgbClr w14:val="000000"/>
                  </w14:solidFill>
                  <w14:prstDash w14:val="solid"/>
                  <w14:miter w14:val="0"/>
                </w14:textOutline>
              </w:rPr>
              <w:t>投标文件存在的具体问题描述</w:t>
            </w:r>
          </w:p>
        </w:tc>
      </w:tr>
      <w:tr w14:paraId="630B4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4F1A4836">
            <w:pPr>
              <w:pStyle w:val="11"/>
              <w:spacing w:before="160" w:line="182" w:lineRule="auto"/>
              <w:ind w:left="305"/>
              <w:rPr>
                <w:color w:val="auto"/>
                <w:sz w:val="24"/>
                <w:szCs w:val="24"/>
                <w:highlight w:val="none"/>
              </w:rPr>
            </w:pPr>
            <w:r>
              <w:rPr>
                <w:color w:val="auto"/>
                <w:sz w:val="24"/>
                <w:szCs w:val="24"/>
                <w:highlight w:val="none"/>
              </w:rPr>
              <w:t>1</w:t>
            </w:r>
          </w:p>
        </w:tc>
        <w:tc>
          <w:tcPr>
            <w:tcW w:w="1545" w:type="dxa"/>
            <w:vAlign w:val="top"/>
          </w:tcPr>
          <w:p w14:paraId="1EEB1FC9">
            <w:pPr>
              <w:rPr>
                <w:rFonts w:ascii="Arial"/>
                <w:color w:val="auto"/>
                <w:sz w:val="21"/>
                <w:highlight w:val="none"/>
              </w:rPr>
            </w:pPr>
          </w:p>
        </w:tc>
        <w:tc>
          <w:tcPr>
            <w:tcW w:w="1781" w:type="dxa"/>
            <w:vAlign w:val="top"/>
          </w:tcPr>
          <w:p w14:paraId="01DE218E">
            <w:pPr>
              <w:rPr>
                <w:rFonts w:ascii="Arial"/>
                <w:color w:val="auto"/>
                <w:sz w:val="21"/>
                <w:highlight w:val="none"/>
              </w:rPr>
            </w:pPr>
          </w:p>
        </w:tc>
        <w:tc>
          <w:tcPr>
            <w:tcW w:w="4731" w:type="dxa"/>
            <w:vAlign w:val="top"/>
          </w:tcPr>
          <w:p w14:paraId="7F1F959A">
            <w:pPr>
              <w:rPr>
                <w:rFonts w:ascii="Arial"/>
                <w:color w:val="auto"/>
                <w:sz w:val="21"/>
                <w:highlight w:val="none"/>
              </w:rPr>
            </w:pPr>
          </w:p>
        </w:tc>
      </w:tr>
      <w:tr w14:paraId="56122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58C8BCB6">
            <w:pPr>
              <w:pStyle w:val="11"/>
              <w:spacing w:before="160" w:line="181" w:lineRule="auto"/>
              <w:ind w:left="290"/>
              <w:rPr>
                <w:color w:val="auto"/>
                <w:sz w:val="24"/>
                <w:szCs w:val="24"/>
                <w:highlight w:val="none"/>
              </w:rPr>
            </w:pPr>
            <w:r>
              <w:rPr>
                <w:color w:val="auto"/>
                <w:sz w:val="24"/>
                <w:szCs w:val="24"/>
                <w:highlight w:val="none"/>
              </w:rPr>
              <w:t>2</w:t>
            </w:r>
          </w:p>
        </w:tc>
        <w:tc>
          <w:tcPr>
            <w:tcW w:w="1545" w:type="dxa"/>
            <w:vAlign w:val="top"/>
          </w:tcPr>
          <w:p w14:paraId="04CDD7EC">
            <w:pPr>
              <w:rPr>
                <w:rFonts w:ascii="Arial"/>
                <w:color w:val="auto"/>
                <w:sz w:val="21"/>
                <w:highlight w:val="none"/>
              </w:rPr>
            </w:pPr>
          </w:p>
        </w:tc>
        <w:tc>
          <w:tcPr>
            <w:tcW w:w="1781" w:type="dxa"/>
            <w:vAlign w:val="top"/>
          </w:tcPr>
          <w:p w14:paraId="64C4AE1F">
            <w:pPr>
              <w:rPr>
                <w:rFonts w:ascii="Arial"/>
                <w:color w:val="auto"/>
                <w:sz w:val="21"/>
                <w:highlight w:val="none"/>
              </w:rPr>
            </w:pPr>
          </w:p>
        </w:tc>
        <w:tc>
          <w:tcPr>
            <w:tcW w:w="4731" w:type="dxa"/>
            <w:vAlign w:val="top"/>
          </w:tcPr>
          <w:p w14:paraId="6302EB4E">
            <w:pPr>
              <w:rPr>
                <w:rFonts w:ascii="Arial"/>
                <w:color w:val="auto"/>
                <w:sz w:val="21"/>
                <w:highlight w:val="none"/>
              </w:rPr>
            </w:pPr>
          </w:p>
        </w:tc>
      </w:tr>
      <w:tr w14:paraId="243F9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vAlign w:val="top"/>
          </w:tcPr>
          <w:p w14:paraId="63D0A763">
            <w:pPr>
              <w:pStyle w:val="11"/>
              <w:spacing w:before="233" w:line="181" w:lineRule="auto"/>
              <w:ind w:left="292"/>
              <w:rPr>
                <w:color w:val="auto"/>
                <w:sz w:val="24"/>
                <w:szCs w:val="24"/>
                <w:highlight w:val="none"/>
              </w:rPr>
            </w:pPr>
            <w:r>
              <w:rPr>
                <w:color w:val="auto"/>
                <w:sz w:val="24"/>
                <w:szCs w:val="24"/>
                <w:highlight w:val="none"/>
              </w:rPr>
              <w:t>3</w:t>
            </w:r>
          </w:p>
        </w:tc>
        <w:tc>
          <w:tcPr>
            <w:tcW w:w="1545" w:type="dxa"/>
            <w:vAlign w:val="top"/>
          </w:tcPr>
          <w:p w14:paraId="649286E7">
            <w:pPr>
              <w:rPr>
                <w:rFonts w:ascii="Arial"/>
                <w:color w:val="auto"/>
                <w:sz w:val="21"/>
                <w:highlight w:val="none"/>
              </w:rPr>
            </w:pPr>
          </w:p>
        </w:tc>
        <w:tc>
          <w:tcPr>
            <w:tcW w:w="1781" w:type="dxa"/>
            <w:vAlign w:val="top"/>
          </w:tcPr>
          <w:p w14:paraId="13B6B1DB">
            <w:pPr>
              <w:rPr>
                <w:rFonts w:ascii="Arial"/>
                <w:color w:val="auto"/>
                <w:sz w:val="21"/>
                <w:highlight w:val="none"/>
              </w:rPr>
            </w:pPr>
          </w:p>
        </w:tc>
        <w:tc>
          <w:tcPr>
            <w:tcW w:w="4731" w:type="dxa"/>
            <w:vAlign w:val="top"/>
          </w:tcPr>
          <w:p w14:paraId="315C514C">
            <w:pPr>
              <w:rPr>
                <w:rFonts w:ascii="Arial"/>
                <w:color w:val="auto"/>
                <w:sz w:val="21"/>
                <w:highlight w:val="none"/>
              </w:rPr>
            </w:pPr>
          </w:p>
        </w:tc>
      </w:tr>
      <w:tr w14:paraId="12419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1D53E16E">
            <w:pPr>
              <w:pStyle w:val="11"/>
              <w:spacing w:before="162" w:line="181" w:lineRule="auto"/>
              <w:ind w:left="287"/>
              <w:rPr>
                <w:color w:val="auto"/>
                <w:sz w:val="24"/>
                <w:szCs w:val="24"/>
                <w:highlight w:val="none"/>
              </w:rPr>
            </w:pPr>
            <w:r>
              <w:rPr>
                <w:color w:val="auto"/>
                <w:sz w:val="24"/>
                <w:szCs w:val="24"/>
                <w:highlight w:val="none"/>
              </w:rPr>
              <w:t>4</w:t>
            </w:r>
          </w:p>
        </w:tc>
        <w:tc>
          <w:tcPr>
            <w:tcW w:w="1545" w:type="dxa"/>
            <w:vAlign w:val="top"/>
          </w:tcPr>
          <w:p w14:paraId="5A7DEB17">
            <w:pPr>
              <w:rPr>
                <w:rFonts w:ascii="Arial"/>
                <w:color w:val="auto"/>
                <w:sz w:val="21"/>
                <w:highlight w:val="none"/>
              </w:rPr>
            </w:pPr>
          </w:p>
        </w:tc>
        <w:tc>
          <w:tcPr>
            <w:tcW w:w="1781" w:type="dxa"/>
            <w:vAlign w:val="top"/>
          </w:tcPr>
          <w:p w14:paraId="583103D7">
            <w:pPr>
              <w:rPr>
                <w:rFonts w:ascii="Arial"/>
                <w:color w:val="auto"/>
                <w:sz w:val="21"/>
                <w:highlight w:val="none"/>
              </w:rPr>
            </w:pPr>
          </w:p>
        </w:tc>
        <w:tc>
          <w:tcPr>
            <w:tcW w:w="4731" w:type="dxa"/>
            <w:vAlign w:val="top"/>
          </w:tcPr>
          <w:p w14:paraId="559A75D5">
            <w:pPr>
              <w:rPr>
                <w:rFonts w:ascii="Arial"/>
                <w:color w:val="auto"/>
                <w:sz w:val="21"/>
                <w:highlight w:val="none"/>
              </w:rPr>
            </w:pPr>
          </w:p>
        </w:tc>
      </w:tr>
      <w:tr w14:paraId="13B6B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555BA5B5">
            <w:pPr>
              <w:pStyle w:val="11"/>
              <w:spacing w:before="163" w:line="180" w:lineRule="auto"/>
              <w:ind w:left="292"/>
              <w:rPr>
                <w:color w:val="auto"/>
                <w:sz w:val="24"/>
                <w:szCs w:val="24"/>
                <w:highlight w:val="none"/>
              </w:rPr>
            </w:pPr>
            <w:r>
              <w:rPr>
                <w:color w:val="auto"/>
                <w:sz w:val="24"/>
                <w:szCs w:val="24"/>
                <w:highlight w:val="none"/>
              </w:rPr>
              <w:t>5</w:t>
            </w:r>
          </w:p>
        </w:tc>
        <w:tc>
          <w:tcPr>
            <w:tcW w:w="1545" w:type="dxa"/>
            <w:vAlign w:val="top"/>
          </w:tcPr>
          <w:p w14:paraId="60F6BB4A">
            <w:pPr>
              <w:rPr>
                <w:rFonts w:ascii="Arial"/>
                <w:color w:val="auto"/>
                <w:sz w:val="21"/>
                <w:highlight w:val="none"/>
              </w:rPr>
            </w:pPr>
          </w:p>
        </w:tc>
        <w:tc>
          <w:tcPr>
            <w:tcW w:w="1781" w:type="dxa"/>
            <w:vAlign w:val="top"/>
          </w:tcPr>
          <w:p w14:paraId="18AB68D0">
            <w:pPr>
              <w:rPr>
                <w:rFonts w:ascii="Arial"/>
                <w:color w:val="auto"/>
                <w:sz w:val="21"/>
                <w:highlight w:val="none"/>
              </w:rPr>
            </w:pPr>
          </w:p>
        </w:tc>
        <w:tc>
          <w:tcPr>
            <w:tcW w:w="4731" w:type="dxa"/>
            <w:vAlign w:val="top"/>
          </w:tcPr>
          <w:p w14:paraId="50D8352D">
            <w:pPr>
              <w:rPr>
                <w:rFonts w:ascii="Arial"/>
                <w:color w:val="auto"/>
                <w:sz w:val="21"/>
                <w:highlight w:val="none"/>
              </w:rPr>
            </w:pPr>
          </w:p>
        </w:tc>
      </w:tr>
      <w:tr w14:paraId="38BB3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7030C6F0">
            <w:pPr>
              <w:pStyle w:val="11"/>
              <w:spacing w:before="163" w:line="181" w:lineRule="auto"/>
              <w:ind w:left="289"/>
              <w:rPr>
                <w:color w:val="auto"/>
                <w:sz w:val="24"/>
                <w:szCs w:val="24"/>
                <w:highlight w:val="none"/>
              </w:rPr>
            </w:pPr>
            <w:r>
              <w:rPr>
                <w:color w:val="auto"/>
                <w:sz w:val="24"/>
                <w:szCs w:val="24"/>
                <w:highlight w:val="none"/>
              </w:rPr>
              <w:t>6</w:t>
            </w:r>
          </w:p>
        </w:tc>
        <w:tc>
          <w:tcPr>
            <w:tcW w:w="1545" w:type="dxa"/>
            <w:vAlign w:val="top"/>
          </w:tcPr>
          <w:p w14:paraId="525A4BE3">
            <w:pPr>
              <w:rPr>
                <w:rFonts w:ascii="Arial"/>
                <w:color w:val="auto"/>
                <w:sz w:val="21"/>
                <w:highlight w:val="none"/>
              </w:rPr>
            </w:pPr>
          </w:p>
        </w:tc>
        <w:tc>
          <w:tcPr>
            <w:tcW w:w="1781" w:type="dxa"/>
            <w:vAlign w:val="top"/>
          </w:tcPr>
          <w:p w14:paraId="31BBB8D4">
            <w:pPr>
              <w:rPr>
                <w:rFonts w:ascii="Arial"/>
                <w:color w:val="auto"/>
                <w:sz w:val="21"/>
                <w:highlight w:val="none"/>
              </w:rPr>
            </w:pPr>
          </w:p>
        </w:tc>
        <w:tc>
          <w:tcPr>
            <w:tcW w:w="4731" w:type="dxa"/>
            <w:vAlign w:val="top"/>
          </w:tcPr>
          <w:p w14:paraId="4E8E1DC2">
            <w:pPr>
              <w:rPr>
                <w:rFonts w:ascii="Arial"/>
                <w:color w:val="auto"/>
                <w:sz w:val="21"/>
                <w:highlight w:val="none"/>
              </w:rPr>
            </w:pPr>
          </w:p>
        </w:tc>
      </w:tr>
      <w:tr w14:paraId="3B3C9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46B9C8AB">
            <w:pPr>
              <w:pStyle w:val="11"/>
              <w:spacing w:before="169" w:line="180" w:lineRule="auto"/>
              <w:ind w:left="293"/>
              <w:rPr>
                <w:color w:val="auto"/>
                <w:sz w:val="24"/>
                <w:szCs w:val="24"/>
                <w:highlight w:val="none"/>
              </w:rPr>
            </w:pPr>
            <w:r>
              <w:rPr>
                <w:color w:val="auto"/>
                <w:sz w:val="24"/>
                <w:szCs w:val="24"/>
                <w:highlight w:val="none"/>
              </w:rPr>
              <w:t>7</w:t>
            </w:r>
          </w:p>
        </w:tc>
        <w:tc>
          <w:tcPr>
            <w:tcW w:w="1545" w:type="dxa"/>
            <w:vAlign w:val="top"/>
          </w:tcPr>
          <w:p w14:paraId="356EAF1D">
            <w:pPr>
              <w:rPr>
                <w:rFonts w:ascii="Arial"/>
                <w:color w:val="auto"/>
                <w:sz w:val="21"/>
                <w:highlight w:val="none"/>
              </w:rPr>
            </w:pPr>
          </w:p>
        </w:tc>
        <w:tc>
          <w:tcPr>
            <w:tcW w:w="1781" w:type="dxa"/>
            <w:vAlign w:val="top"/>
          </w:tcPr>
          <w:p w14:paraId="59B7BFCF">
            <w:pPr>
              <w:rPr>
                <w:rFonts w:ascii="Arial"/>
                <w:color w:val="auto"/>
                <w:sz w:val="21"/>
                <w:highlight w:val="none"/>
              </w:rPr>
            </w:pPr>
          </w:p>
        </w:tc>
        <w:tc>
          <w:tcPr>
            <w:tcW w:w="4731" w:type="dxa"/>
            <w:vAlign w:val="top"/>
          </w:tcPr>
          <w:p w14:paraId="7ECF2226">
            <w:pPr>
              <w:rPr>
                <w:rFonts w:ascii="Arial"/>
                <w:color w:val="auto"/>
                <w:sz w:val="21"/>
                <w:highlight w:val="none"/>
              </w:rPr>
            </w:pPr>
          </w:p>
        </w:tc>
      </w:tr>
      <w:tr w14:paraId="201B7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7D44A5CB">
            <w:pPr>
              <w:pStyle w:val="11"/>
              <w:spacing w:before="169" w:line="181" w:lineRule="auto"/>
              <w:ind w:left="288"/>
              <w:rPr>
                <w:color w:val="auto"/>
                <w:sz w:val="24"/>
                <w:szCs w:val="24"/>
                <w:highlight w:val="none"/>
              </w:rPr>
            </w:pPr>
            <w:r>
              <w:rPr>
                <w:color w:val="auto"/>
                <w:sz w:val="24"/>
                <w:szCs w:val="24"/>
                <w:highlight w:val="none"/>
              </w:rPr>
              <w:t>8</w:t>
            </w:r>
          </w:p>
        </w:tc>
        <w:tc>
          <w:tcPr>
            <w:tcW w:w="1545" w:type="dxa"/>
            <w:vAlign w:val="top"/>
          </w:tcPr>
          <w:p w14:paraId="304CED5D">
            <w:pPr>
              <w:rPr>
                <w:rFonts w:ascii="Arial"/>
                <w:color w:val="auto"/>
                <w:sz w:val="21"/>
                <w:highlight w:val="none"/>
              </w:rPr>
            </w:pPr>
          </w:p>
        </w:tc>
        <w:tc>
          <w:tcPr>
            <w:tcW w:w="1781" w:type="dxa"/>
            <w:vAlign w:val="top"/>
          </w:tcPr>
          <w:p w14:paraId="2F6C10C5">
            <w:pPr>
              <w:rPr>
                <w:rFonts w:ascii="Arial"/>
                <w:color w:val="auto"/>
                <w:sz w:val="21"/>
                <w:highlight w:val="none"/>
              </w:rPr>
            </w:pPr>
          </w:p>
        </w:tc>
        <w:tc>
          <w:tcPr>
            <w:tcW w:w="4731" w:type="dxa"/>
            <w:vAlign w:val="top"/>
          </w:tcPr>
          <w:p w14:paraId="229F5D8E">
            <w:pPr>
              <w:rPr>
                <w:rFonts w:ascii="Arial"/>
                <w:color w:val="auto"/>
                <w:sz w:val="21"/>
                <w:highlight w:val="none"/>
              </w:rPr>
            </w:pPr>
          </w:p>
        </w:tc>
      </w:tr>
      <w:tr w14:paraId="5E4CC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5FEC0C91">
            <w:pPr>
              <w:pStyle w:val="11"/>
              <w:spacing w:before="138" w:line="333" w:lineRule="exact"/>
              <w:ind w:left="257"/>
              <w:rPr>
                <w:color w:val="auto"/>
                <w:highlight w:val="none"/>
              </w:rPr>
            </w:pPr>
            <w:r>
              <w:rPr>
                <w:color w:val="auto"/>
                <w:position w:val="2"/>
                <w:highlight w:val="none"/>
              </w:rPr>
              <w:t>…</w:t>
            </w:r>
          </w:p>
        </w:tc>
        <w:tc>
          <w:tcPr>
            <w:tcW w:w="1545" w:type="dxa"/>
            <w:vAlign w:val="top"/>
          </w:tcPr>
          <w:p w14:paraId="76E101EF">
            <w:pPr>
              <w:rPr>
                <w:rFonts w:ascii="Arial"/>
                <w:color w:val="auto"/>
                <w:sz w:val="21"/>
                <w:highlight w:val="none"/>
              </w:rPr>
            </w:pPr>
          </w:p>
        </w:tc>
        <w:tc>
          <w:tcPr>
            <w:tcW w:w="1781" w:type="dxa"/>
            <w:vAlign w:val="top"/>
          </w:tcPr>
          <w:p w14:paraId="515F8840">
            <w:pPr>
              <w:rPr>
                <w:rFonts w:ascii="Arial"/>
                <w:color w:val="auto"/>
                <w:sz w:val="21"/>
                <w:highlight w:val="none"/>
              </w:rPr>
            </w:pPr>
          </w:p>
        </w:tc>
        <w:tc>
          <w:tcPr>
            <w:tcW w:w="4731" w:type="dxa"/>
            <w:vAlign w:val="top"/>
          </w:tcPr>
          <w:p w14:paraId="7BAAFB60">
            <w:pPr>
              <w:rPr>
                <w:rFonts w:ascii="Arial"/>
                <w:color w:val="auto"/>
                <w:sz w:val="21"/>
                <w:highlight w:val="none"/>
              </w:rPr>
            </w:pPr>
          </w:p>
        </w:tc>
      </w:tr>
      <w:tr w14:paraId="4E28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748" w:type="dxa"/>
            <w:gridSpan w:val="4"/>
            <w:vAlign w:val="top"/>
          </w:tcPr>
          <w:p w14:paraId="455CF4C3">
            <w:pPr>
              <w:pStyle w:val="11"/>
              <w:spacing w:before="33" w:line="220" w:lineRule="auto"/>
              <w:ind w:left="112"/>
              <w:rPr>
                <w:color w:val="auto"/>
                <w:highlight w:val="none"/>
              </w:rPr>
            </w:pPr>
            <w:r>
              <w:rPr>
                <w:color w:val="auto"/>
                <w:spacing w:val="-3"/>
                <w:highlight w:val="none"/>
              </w:rPr>
              <w:t>评标委员会全体成员签名：</w:t>
            </w:r>
          </w:p>
        </w:tc>
      </w:tr>
    </w:tbl>
    <w:p w14:paraId="11386691">
      <w:pPr>
        <w:spacing w:before="29" w:line="221" w:lineRule="auto"/>
        <w:ind w:left="5936"/>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24"/>
          <w:sz w:val="21"/>
          <w:szCs w:val="21"/>
          <w:highlight w:val="none"/>
        </w:rPr>
        <w:t>日</w:t>
      </w:r>
    </w:p>
    <w:p w14:paraId="66F5373E">
      <w:pPr>
        <w:spacing w:line="221" w:lineRule="auto"/>
        <w:rPr>
          <w:rFonts w:ascii="宋体" w:hAnsi="宋体" w:eastAsia="宋体" w:cs="宋体"/>
          <w:color w:val="auto"/>
          <w:sz w:val="21"/>
          <w:szCs w:val="21"/>
          <w:highlight w:val="none"/>
        </w:rPr>
        <w:sectPr>
          <w:footerReference r:id="rId88" w:type="default"/>
          <w:pgSz w:w="11905" w:h="16839"/>
          <w:pgMar w:top="1431" w:right="1570" w:bottom="996" w:left="1579" w:header="0" w:footer="791" w:gutter="0"/>
          <w:pgNumType w:fmt="decimal"/>
          <w:cols w:space="720" w:num="1"/>
        </w:sectPr>
      </w:pPr>
    </w:p>
    <w:p w14:paraId="6DBEFAA0">
      <w:pPr>
        <w:spacing w:before="124" w:line="219" w:lineRule="auto"/>
        <w:ind w:left="118"/>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48"/>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10</w:t>
      </w:r>
      <w:r>
        <w:rPr>
          <w:rFonts w:ascii="黑体" w:hAnsi="黑体" w:eastAsia="黑体" w:cs="黑体"/>
          <w:color w:val="auto"/>
          <w:spacing w:val="-5"/>
          <w:sz w:val="24"/>
          <w:szCs w:val="24"/>
          <w:highlight w:val="none"/>
        </w:rPr>
        <w:t>：经济标评分记录表</w:t>
      </w:r>
    </w:p>
    <w:p w14:paraId="423E42A8">
      <w:pPr>
        <w:spacing w:before="100"/>
        <w:rPr>
          <w:color w:val="auto"/>
          <w:highlight w:val="none"/>
        </w:rPr>
      </w:pPr>
    </w:p>
    <w:p w14:paraId="443D4B88">
      <w:pPr>
        <w:spacing w:before="100"/>
        <w:rPr>
          <w:color w:val="auto"/>
          <w:highlight w:val="none"/>
        </w:rPr>
      </w:pPr>
    </w:p>
    <w:p w14:paraId="66C04242">
      <w:pPr>
        <w:rPr>
          <w:color w:val="auto"/>
          <w:highlight w:val="none"/>
        </w:rPr>
        <w:sectPr>
          <w:footerReference r:id="rId89" w:type="default"/>
          <w:pgSz w:w="11905" w:h="16839"/>
          <w:pgMar w:top="1431" w:right="1690" w:bottom="996" w:left="1699" w:header="0" w:footer="791" w:gutter="0"/>
          <w:pgNumType w:fmt="decimal"/>
          <w:cols w:equalWidth="0" w:num="1">
            <w:col w:w="8514"/>
          </w:cols>
        </w:sectPr>
      </w:pPr>
    </w:p>
    <w:p w14:paraId="3D9CD56D">
      <w:pPr>
        <w:spacing w:before="71" w:line="219" w:lineRule="auto"/>
        <w:ind w:left="2832"/>
        <w:rPr>
          <w:rFonts w:ascii="黑体" w:hAnsi="黑体" w:eastAsia="黑体" w:cs="黑体"/>
          <w:color w:val="auto"/>
          <w:sz w:val="36"/>
          <w:szCs w:val="36"/>
          <w:highlight w:val="none"/>
        </w:rPr>
      </w:pPr>
      <w:r>
        <w:rPr>
          <w:rFonts w:ascii="黑体" w:hAnsi="黑体" w:eastAsia="黑体" w:cs="黑体"/>
          <w:color w:val="auto"/>
          <w:spacing w:val="-3"/>
          <w:sz w:val="36"/>
          <w:szCs w:val="36"/>
          <w:highlight w:val="none"/>
        </w:rPr>
        <w:t>经济标评分记录表</w:t>
      </w:r>
    </w:p>
    <w:p w14:paraId="05FB8BBF">
      <w:pPr>
        <w:spacing w:before="234" w:line="221" w:lineRule="auto"/>
        <w:ind w:left="10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21EF15D1">
      <w:pPr>
        <w:spacing w:before="21" w:line="186" w:lineRule="auto"/>
        <w:ind w:left="10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p w14:paraId="220648DB">
      <w:pPr>
        <w:pStyle w:val="3"/>
        <w:spacing w:line="14" w:lineRule="auto"/>
        <w:rPr>
          <w:color w:val="auto"/>
          <w:sz w:val="2"/>
          <w:highlight w:val="none"/>
        </w:rPr>
      </w:pPr>
      <w:r>
        <w:rPr>
          <w:color w:val="auto"/>
          <w:sz w:val="2"/>
          <w:szCs w:val="2"/>
          <w:highlight w:val="none"/>
        </w:rPr>
        <w:br w:type="column"/>
      </w:r>
    </w:p>
    <w:p w14:paraId="6454E998">
      <w:pPr>
        <w:pStyle w:val="3"/>
        <w:spacing w:line="310" w:lineRule="auto"/>
        <w:rPr>
          <w:color w:val="auto"/>
          <w:highlight w:val="none"/>
        </w:rPr>
      </w:pPr>
    </w:p>
    <w:p w14:paraId="1EC3F39F">
      <w:pPr>
        <w:pStyle w:val="3"/>
        <w:spacing w:line="310" w:lineRule="auto"/>
        <w:rPr>
          <w:color w:val="auto"/>
          <w:highlight w:val="none"/>
        </w:rPr>
      </w:pPr>
    </w:p>
    <w:p w14:paraId="392F8807">
      <w:pPr>
        <w:pStyle w:val="3"/>
        <w:spacing w:line="310" w:lineRule="auto"/>
        <w:rPr>
          <w:color w:val="auto"/>
          <w:highlight w:val="none"/>
        </w:rPr>
      </w:pPr>
    </w:p>
    <w:p w14:paraId="29990DFA">
      <w:pPr>
        <w:spacing w:before="68" w:line="186"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单位：人民币元</w:t>
      </w:r>
    </w:p>
    <w:p w14:paraId="0038A5A8">
      <w:pPr>
        <w:spacing w:line="186" w:lineRule="auto"/>
        <w:rPr>
          <w:rFonts w:ascii="宋体" w:hAnsi="宋体" w:eastAsia="宋体" w:cs="宋体"/>
          <w:color w:val="auto"/>
          <w:sz w:val="21"/>
          <w:szCs w:val="21"/>
          <w:highlight w:val="none"/>
        </w:rPr>
        <w:sectPr>
          <w:type w:val="continuous"/>
          <w:pgSz w:w="11905" w:h="16839"/>
          <w:pgMar w:top="1431" w:right="1690" w:bottom="996" w:left="1699" w:header="0" w:footer="791" w:gutter="0"/>
          <w:pgNumType w:fmt="decimal"/>
          <w:cols w:equalWidth="0" w:num="2">
            <w:col w:w="6312" w:space="100"/>
            <w:col w:w="2103"/>
          </w:cols>
        </w:sectPr>
      </w:pPr>
    </w:p>
    <w:p w14:paraId="3C13DC82">
      <w:pPr>
        <w:spacing w:line="32" w:lineRule="exact"/>
        <w:rPr>
          <w:color w:val="auto"/>
          <w:highlight w:val="none"/>
        </w:rPr>
      </w:pPr>
    </w:p>
    <w:tbl>
      <w:tblPr>
        <w:tblStyle w:val="10"/>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334"/>
        <w:gridCol w:w="701"/>
        <w:gridCol w:w="993"/>
        <w:gridCol w:w="739"/>
        <w:gridCol w:w="945"/>
        <w:gridCol w:w="839"/>
        <w:gridCol w:w="845"/>
        <w:gridCol w:w="1531"/>
      </w:tblGrid>
      <w:tr w14:paraId="6EB38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1" w:type="dxa"/>
            <w:vMerge w:val="restart"/>
            <w:tcBorders>
              <w:bottom w:val="nil"/>
            </w:tcBorders>
            <w:textDirection w:val="tbRlV"/>
            <w:vAlign w:val="top"/>
          </w:tcPr>
          <w:p w14:paraId="1C7DEC50">
            <w:pPr>
              <w:pStyle w:val="11"/>
              <w:spacing w:before="186" w:line="211" w:lineRule="auto"/>
              <w:ind w:left="557"/>
              <w:rPr>
                <w:color w:val="auto"/>
                <w:highlight w:val="none"/>
              </w:rPr>
            </w:pPr>
            <w:r>
              <w:rPr>
                <w:color w:val="auto"/>
                <w:spacing w:val="1"/>
                <w:highlight w:val="none"/>
                <w14:textOutline w14:w="3831" w14:cap="flat" w14:cmpd="sng">
                  <w14:solidFill>
                    <w14:srgbClr w14:val="000000"/>
                  </w14:solidFill>
                  <w14:prstDash w14:val="solid"/>
                  <w14:miter w14:val="0"/>
                </w14:textOutline>
              </w:rPr>
              <w:t>序</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1334" w:type="dxa"/>
            <w:vMerge w:val="restart"/>
            <w:tcBorders>
              <w:bottom w:val="nil"/>
            </w:tcBorders>
            <w:vAlign w:val="top"/>
          </w:tcPr>
          <w:p w14:paraId="5942395E">
            <w:pPr>
              <w:spacing w:line="312" w:lineRule="auto"/>
              <w:rPr>
                <w:rFonts w:ascii="Arial"/>
                <w:color w:val="auto"/>
                <w:sz w:val="21"/>
                <w:highlight w:val="none"/>
              </w:rPr>
            </w:pPr>
          </w:p>
          <w:p w14:paraId="06E28852">
            <w:pPr>
              <w:spacing w:line="313" w:lineRule="auto"/>
              <w:rPr>
                <w:rFonts w:ascii="Arial"/>
                <w:color w:val="auto"/>
                <w:sz w:val="21"/>
                <w:highlight w:val="none"/>
              </w:rPr>
            </w:pPr>
          </w:p>
          <w:p w14:paraId="218309AD">
            <w:pPr>
              <w:pStyle w:val="11"/>
              <w:spacing w:before="68" w:line="221" w:lineRule="auto"/>
              <w:ind w:left="145"/>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6593" w:type="dxa"/>
            <w:gridSpan w:val="7"/>
            <w:vAlign w:val="top"/>
          </w:tcPr>
          <w:p w14:paraId="4D6EEF05">
            <w:pPr>
              <w:pStyle w:val="11"/>
              <w:spacing w:before="145" w:line="221" w:lineRule="auto"/>
              <w:ind w:left="2874"/>
              <w:rPr>
                <w:color w:val="auto"/>
                <w:highlight w:val="none"/>
              </w:rPr>
            </w:pPr>
            <w:r>
              <w:rPr>
                <w:color w:val="auto"/>
                <w:spacing w:val="-1"/>
                <w:highlight w:val="none"/>
                <w14:textOutline w14:w="3831" w14:cap="flat" w14:cmpd="sng">
                  <w14:solidFill>
                    <w14:srgbClr w14:val="000000"/>
                  </w14:solidFill>
                  <w14:prstDash w14:val="solid"/>
                  <w14:miter w14:val="0"/>
                </w14:textOutline>
              </w:rPr>
              <w:t>评审项目</w:t>
            </w:r>
          </w:p>
        </w:tc>
      </w:tr>
      <w:tr w14:paraId="2DA04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1" w:type="dxa"/>
            <w:vMerge w:val="continue"/>
            <w:tcBorders>
              <w:top w:val="nil"/>
            </w:tcBorders>
            <w:textDirection w:val="tbRlV"/>
            <w:vAlign w:val="top"/>
          </w:tcPr>
          <w:p w14:paraId="0C6C5549">
            <w:pPr>
              <w:rPr>
                <w:rFonts w:ascii="Arial"/>
                <w:color w:val="auto"/>
                <w:sz w:val="21"/>
                <w:highlight w:val="none"/>
              </w:rPr>
            </w:pPr>
          </w:p>
        </w:tc>
        <w:tc>
          <w:tcPr>
            <w:tcW w:w="1334" w:type="dxa"/>
            <w:vMerge w:val="continue"/>
            <w:tcBorders>
              <w:top w:val="nil"/>
            </w:tcBorders>
            <w:vAlign w:val="top"/>
          </w:tcPr>
          <w:p w14:paraId="285DD18A">
            <w:pPr>
              <w:rPr>
                <w:rFonts w:ascii="Arial"/>
                <w:color w:val="auto"/>
                <w:sz w:val="21"/>
                <w:highlight w:val="none"/>
              </w:rPr>
            </w:pPr>
          </w:p>
        </w:tc>
        <w:tc>
          <w:tcPr>
            <w:tcW w:w="701" w:type="dxa"/>
            <w:vAlign w:val="top"/>
          </w:tcPr>
          <w:p w14:paraId="0653FF96">
            <w:pPr>
              <w:pStyle w:val="11"/>
              <w:spacing w:before="304" w:line="236" w:lineRule="auto"/>
              <w:ind w:left="141"/>
              <w:rPr>
                <w:color w:val="auto"/>
                <w:highlight w:val="none"/>
              </w:rPr>
            </w:pPr>
            <w:r>
              <w:rPr>
                <w:color w:val="auto"/>
                <w:spacing w:val="-3"/>
                <w:highlight w:val="none"/>
                <w14:textOutline w14:w="3831" w14:cap="flat" w14:cmpd="sng">
                  <w14:solidFill>
                    <w14:srgbClr w14:val="000000"/>
                  </w14:solidFill>
                  <w14:prstDash w14:val="solid"/>
                  <w14:miter w14:val="0"/>
                </w14:textOutline>
              </w:rPr>
              <w:t>投标</w:t>
            </w:r>
          </w:p>
          <w:p w14:paraId="12150974">
            <w:pPr>
              <w:pStyle w:val="11"/>
              <w:spacing w:line="219" w:lineRule="auto"/>
              <w:ind w:left="137"/>
              <w:rPr>
                <w:color w:val="auto"/>
                <w:highlight w:val="none"/>
              </w:rPr>
            </w:pPr>
            <w:r>
              <w:rPr>
                <w:color w:val="auto"/>
                <w:spacing w:val="-2"/>
                <w:highlight w:val="none"/>
                <w14:textOutline w14:w="3831" w14:cap="flat" w14:cmpd="sng">
                  <w14:solidFill>
                    <w14:srgbClr w14:val="000000"/>
                  </w14:solidFill>
                  <w14:prstDash w14:val="solid"/>
                  <w14:miter w14:val="0"/>
                </w14:textOutline>
              </w:rPr>
              <w:t>报价</w:t>
            </w:r>
          </w:p>
        </w:tc>
        <w:tc>
          <w:tcPr>
            <w:tcW w:w="993" w:type="dxa"/>
            <w:vAlign w:val="top"/>
          </w:tcPr>
          <w:p w14:paraId="22DE1D49">
            <w:pPr>
              <w:pStyle w:val="11"/>
              <w:spacing w:before="30" w:line="232" w:lineRule="auto"/>
              <w:ind w:left="182" w:right="180"/>
              <w:jc w:val="both"/>
              <w:rPr>
                <w:color w:val="auto"/>
                <w:highlight w:val="none"/>
              </w:rPr>
            </w:pPr>
            <w:r>
              <w:rPr>
                <w:color w:val="auto"/>
                <w:spacing w:val="-2"/>
                <w:highlight w:val="none"/>
                <w14:textOutline w14:w="3831" w14:cap="flat" w14:cmpd="sng">
                  <w14:solidFill>
                    <w14:srgbClr w14:val="000000"/>
                  </w14:solidFill>
                  <w14:prstDash w14:val="solid"/>
                  <w14:miter w14:val="0"/>
                </w14:textOutline>
              </w:rPr>
              <w:t>修正后</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投标报</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价（如</w:t>
            </w:r>
          </w:p>
          <w:p w14:paraId="47524F75">
            <w:pPr>
              <w:pStyle w:val="11"/>
              <w:spacing w:before="24" w:line="209" w:lineRule="auto"/>
              <w:ind w:left="288"/>
              <w:rPr>
                <w:color w:val="auto"/>
                <w:highlight w:val="none"/>
              </w:rPr>
            </w:pPr>
            <w:r>
              <w:rPr>
                <w:color w:val="auto"/>
                <w:spacing w:val="-6"/>
                <w:highlight w:val="none"/>
                <w14:textOutline w14:w="3831" w14:cap="flat" w14:cmpd="sng">
                  <w14:solidFill>
                    <w14:srgbClr w14:val="000000"/>
                  </w14:solidFill>
                  <w14:prstDash w14:val="solid"/>
                  <w14:miter w14:val="0"/>
                </w14:textOutline>
              </w:rPr>
              <w:t>有）</w:t>
            </w:r>
          </w:p>
        </w:tc>
        <w:tc>
          <w:tcPr>
            <w:tcW w:w="739" w:type="dxa"/>
            <w:vAlign w:val="top"/>
          </w:tcPr>
          <w:p w14:paraId="6D7BF923">
            <w:pPr>
              <w:pStyle w:val="11"/>
              <w:spacing w:before="304" w:line="221" w:lineRule="auto"/>
              <w:ind w:left="162"/>
              <w:rPr>
                <w:color w:val="auto"/>
                <w:highlight w:val="none"/>
              </w:rPr>
            </w:pPr>
            <w:r>
              <w:rPr>
                <w:color w:val="auto"/>
                <w:spacing w:val="-2"/>
                <w:highlight w:val="none"/>
                <w14:textOutline w14:w="3831" w14:cap="flat" w14:cmpd="sng">
                  <w14:solidFill>
                    <w14:srgbClr w14:val="000000"/>
                  </w14:solidFill>
                  <w14:prstDash w14:val="solid"/>
                  <w14:miter w14:val="0"/>
                </w14:textOutline>
              </w:rPr>
              <w:t>评标</w:t>
            </w:r>
          </w:p>
          <w:p w14:paraId="641F6169">
            <w:pPr>
              <w:pStyle w:val="11"/>
              <w:spacing w:before="17" w:line="219" w:lineRule="auto"/>
              <w:ind w:left="270"/>
              <w:rPr>
                <w:color w:val="auto"/>
                <w:highlight w:val="none"/>
              </w:rPr>
            </w:pPr>
            <w:r>
              <w:rPr>
                <w:color w:val="auto"/>
                <w:highlight w:val="none"/>
                <w14:textOutline w14:w="3831" w14:cap="flat" w14:cmpd="sng">
                  <w14:solidFill>
                    <w14:srgbClr w14:val="000000"/>
                  </w14:solidFill>
                  <w14:prstDash w14:val="solid"/>
                  <w14:miter w14:val="0"/>
                </w14:textOutline>
              </w:rPr>
              <w:t>价</w:t>
            </w:r>
          </w:p>
        </w:tc>
        <w:tc>
          <w:tcPr>
            <w:tcW w:w="945" w:type="dxa"/>
            <w:vAlign w:val="top"/>
          </w:tcPr>
          <w:p w14:paraId="2079DADF">
            <w:pPr>
              <w:pStyle w:val="11"/>
              <w:spacing w:before="304" w:line="221" w:lineRule="auto"/>
              <w:ind w:left="158"/>
              <w:rPr>
                <w:color w:val="auto"/>
                <w:highlight w:val="none"/>
              </w:rPr>
            </w:pPr>
            <w:r>
              <w:rPr>
                <w:color w:val="auto"/>
                <w:spacing w:val="-1"/>
                <w:highlight w:val="none"/>
                <w14:textOutline w14:w="3831" w14:cap="flat" w14:cmpd="sng">
                  <w14:solidFill>
                    <w14:srgbClr w14:val="000000"/>
                  </w14:solidFill>
                  <w14:prstDash w14:val="solid"/>
                  <w14:miter w14:val="0"/>
                </w14:textOutline>
              </w:rPr>
              <w:t>评标基</w:t>
            </w:r>
          </w:p>
          <w:p w14:paraId="30C38C7B">
            <w:pPr>
              <w:pStyle w:val="11"/>
              <w:spacing w:before="17" w:line="219" w:lineRule="auto"/>
              <w:ind w:left="266"/>
              <w:rPr>
                <w:color w:val="auto"/>
                <w:highlight w:val="none"/>
              </w:rPr>
            </w:pPr>
            <w:r>
              <w:rPr>
                <w:color w:val="auto"/>
                <w:spacing w:val="-2"/>
                <w:highlight w:val="none"/>
                <w14:textOutline w14:w="3831" w14:cap="flat" w14:cmpd="sng">
                  <w14:solidFill>
                    <w14:srgbClr w14:val="000000"/>
                  </w14:solidFill>
                  <w14:prstDash w14:val="solid"/>
                  <w14:miter w14:val="0"/>
                </w14:textOutline>
              </w:rPr>
              <w:t>准价</w:t>
            </w:r>
          </w:p>
        </w:tc>
        <w:tc>
          <w:tcPr>
            <w:tcW w:w="839" w:type="dxa"/>
            <w:vAlign w:val="top"/>
          </w:tcPr>
          <w:p w14:paraId="6BECE10D">
            <w:pPr>
              <w:pStyle w:val="11"/>
              <w:spacing w:before="303" w:line="221" w:lineRule="auto"/>
              <w:ind w:left="213"/>
              <w:rPr>
                <w:color w:val="auto"/>
                <w:highlight w:val="none"/>
              </w:rPr>
            </w:pPr>
            <w:r>
              <w:rPr>
                <w:color w:val="auto"/>
                <w:spacing w:val="-2"/>
                <w:highlight w:val="none"/>
                <w14:textOutline w14:w="3831" w14:cap="flat" w14:cmpd="sng">
                  <w14:solidFill>
                    <w14:srgbClr w14:val="000000"/>
                  </w14:solidFill>
                  <w14:prstDash w14:val="solid"/>
                  <w14:miter w14:val="0"/>
                </w14:textOutline>
              </w:rPr>
              <w:t>偏差</w:t>
            </w:r>
          </w:p>
          <w:p w14:paraId="5E1D0B8F">
            <w:pPr>
              <w:pStyle w:val="11"/>
              <w:spacing w:before="17" w:line="221" w:lineRule="auto"/>
              <w:ind w:left="320"/>
              <w:rPr>
                <w:color w:val="auto"/>
                <w:highlight w:val="none"/>
              </w:rPr>
            </w:pPr>
            <w:r>
              <w:rPr>
                <w:color w:val="auto"/>
                <w:highlight w:val="none"/>
                <w14:textOutline w14:w="3831" w14:cap="flat" w14:cmpd="sng">
                  <w14:solidFill>
                    <w14:srgbClr w14:val="000000"/>
                  </w14:solidFill>
                  <w14:prstDash w14:val="solid"/>
                  <w14:miter w14:val="0"/>
                </w14:textOutline>
              </w:rPr>
              <w:t>率</w:t>
            </w:r>
          </w:p>
        </w:tc>
        <w:tc>
          <w:tcPr>
            <w:tcW w:w="845" w:type="dxa"/>
            <w:vAlign w:val="top"/>
          </w:tcPr>
          <w:p w14:paraId="259B6D42">
            <w:pPr>
              <w:pStyle w:val="11"/>
              <w:spacing w:before="30" w:line="241" w:lineRule="auto"/>
              <w:ind w:left="219"/>
              <w:rPr>
                <w:color w:val="auto"/>
                <w:highlight w:val="none"/>
              </w:rPr>
            </w:pPr>
            <w:r>
              <w:rPr>
                <w:color w:val="auto"/>
                <w:spacing w:val="-2"/>
                <w:highlight w:val="none"/>
                <w14:textOutline w14:w="3831" w14:cap="flat" w14:cmpd="sng">
                  <w14:solidFill>
                    <w14:srgbClr w14:val="000000"/>
                  </w14:solidFill>
                  <w14:prstDash w14:val="solid"/>
                  <w14:miter w14:val="0"/>
                </w14:textOutline>
              </w:rPr>
              <w:t>计算</w:t>
            </w:r>
          </w:p>
          <w:p w14:paraId="783E2755">
            <w:pPr>
              <w:pStyle w:val="11"/>
              <w:spacing w:line="221" w:lineRule="auto"/>
              <w:ind w:left="222"/>
              <w:rPr>
                <w:color w:val="auto"/>
                <w:highlight w:val="none"/>
              </w:rPr>
            </w:pPr>
            <w:r>
              <w:rPr>
                <w:color w:val="auto"/>
                <w:spacing w:val="-3"/>
                <w:highlight w:val="none"/>
                <w14:textOutline w14:w="3831" w14:cap="flat" w14:cmpd="sng">
                  <w14:solidFill>
                    <w14:srgbClr w14:val="000000"/>
                  </w14:solidFill>
                  <w14:prstDash w14:val="solid"/>
                  <w14:miter w14:val="0"/>
                </w14:textOutline>
              </w:rPr>
              <w:t>投标</w:t>
            </w:r>
          </w:p>
          <w:p w14:paraId="19E6E75C">
            <w:pPr>
              <w:pStyle w:val="11"/>
              <w:spacing w:before="17" w:line="219" w:lineRule="auto"/>
              <w:ind w:left="218"/>
              <w:rPr>
                <w:color w:val="auto"/>
                <w:highlight w:val="none"/>
              </w:rPr>
            </w:pPr>
            <w:r>
              <w:rPr>
                <w:color w:val="auto"/>
                <w:spacing w:val="-2"/>
                <w:highlight w:val="none"/>
                <w14:textOutline w14:w="3831" w14:cap="flat" w14:cmpd="sng">
                  <w14:solidFill>
                    <w14:srgbClr w14:val="000000"/>
                  </w14:solidFill>
                  <w14:prstDash w14:val="solid"/>
                  <w14:miter w14:val="0"/>
                </w14:textOutline>
              </w:rPr>
              <w:t>报价</w:t>
            </w:r>
          </w:p>
          <w:p w14:paraId="090F0779">
            <w:pPr>
              <w:pStyle w:val="11"/>
              <w:spacing w:before="24" w:line="209" w:lineRule="auto"/>
              <w:ind w:left="220"/>
              <w:rPr>
                <w:color w:val="auto"/>
                <w:highlight w:val="none"/>
              </w:rPr>
            </w:pPr>
            <w:r>
              <w:rPr>
                <w:color w:val="auto"/>
                <w:spacing w:val="-2"/>
                <w:highlight w:val="none"/>
                <w14:textOutline w14:w="3831" w14:cap="flat" w14:cmpd="sng">
                  <w14:solidFill>
                    <w14:srgbClr w14:val="000000"/>
                  </w14:solidFill>
                  <w14:prstDash w14:val="solid"/>
                  <w14:miter w14:val="0"/>
                </w14:textOutline>
              </w:rPr>
              <w:t>得分</w:t>
            </w:r>
          </w:p>
        </w:tc>
        <w:tc>
          <w:tcPr>
            <w:tcW w:w="1531" w:type="dxa"/>
            <w:vAlign w:val="top"/>
          </w:tcPr>
          <w:p w14:paraId="0DDDAA2E">
            <w:pPr>
              <w:pStyle w:val="11"/>
              <w:spacing w:before="163" w:line="231" w:lineRule="auto"/>
              <w:ind w:left="555" w:right="129" w:hanging="415"/>
              <w:rPr>
                <w:color w:val="auto"/>
                <w:highlight w:val="none"/>
              </w:rPr>
            </w:pPr>
            <w:r>
              <w:rPr>
                <w:color w:val="auto"/>
                <w:spacing w:val="-1"/>
                <w:highlight w:val="none"/>
                <w14:textOutline w14:w="3831" w14:cap="flat" w14:cmpd="sng">
                  <w14:solidFill>
                    <w14:srgbClr w14:val="000000"/>
                  </w14:solidFill>
                  <w14:prstDash w14:val="solid"/>
                  <w14:miter w14:val="0"/>
                </w14:textOutline>
              </w:rPr>
              <w:t>投标报价最终</w:t>
            </w:r>
            <w:r>
              <w:rPr>
                <w:color w:val="auto"/>
                <w:spacing w:val="1"/>
                <w:highlight w:val="none"/>
              </w:rPr>
              <w:t xml:space="preserve"> </w:t>
            </w:r>
            <w:r>
              <w:rPr>
                <w:color w:val="auto"/>
                <w:spacing w:val="-2"/>
                <w:highlight w:val="none"/>
                <w14:textOutline w14:w="3831" w14:cap="flat" w14:cmpd="sng">
                  <w14:solidFill>
                    <w14:srgbClr w14:val="000000"/>
                  </w14:solidFill>
                  <w14:prstDash w14:val="solid"/>
                  <w14:miter w14:val="0"/>
                </w14:textOutline>
              </w:rPr>
              <w:t>得分</w:t>
            </w:r>
          </w:p>
          <w:p w14:paraId="3135B76E">
            <w:pPr>
              <w:pStyle w:val="11"/>
              <w:spacing w:before="22" w:line="221" w:lineRule="auto"/>
              <w:ind w:left="139"/>
              <w:rPr>
                <w:color w:val="auto"/>
                <w:highlight w:val="none"/>
              </w:rPr>
            </w:pPr>
            <w:r>
              <w:rPr>
                <w:color w:val="auto"/>
                <w:spacing w:val="-6"/>
                <w:highlight w:val="none"/>
                <w14:textOutline w14:w="3831" w14:cap="flat" w14:cmpd="sng">
                  <w14:solidFill>
                    <w14:srgbClr w14:val="000000"/>
                  </w14:solidFill>
                  <w14:prstDash w14:val="solid"/>
                  <w14:miter w14:val="0"/>
                </w14:textOutline>
              </w:rPr>
              <w:t>（满分</w:t>
            </w:r>
            <w:r>
              <w:rPr>
                <w:color w:val="auto"/>
                <w:spacing w:val="10"/>
                <w:highlight w:val="none"/>
              </w:rPr>
              <w:t xml:space="preserve">  </w:t>
            </w:r>
            <w:r>
              <w:rPr>
                <w:color w:val="auto"/>
                <w:spacing w:val="-6"/>
                <w:highlight w:val="none"/>
                <w14:textOutline w14:w="3831" w14:cap="flat" w14:cmpd="sng">
                  <w14:solidFill>
                    <w14:srgbClr w14:val="000000"/>
                  </w14:solidFill>
                  <w14:prstDash w14:val="solid"/>
                  <w14:miter w14:val="0"/>
                </w14:textOutline>
              </w:rPr>
              <w:t>分）</w:t>
            </w:r>
          </w:p>
        </w:tc>
      </w:tr>
      <w:tr w14:paraId="25635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1" w:type="dxa"/>
            <w:vAlign w:val="top"/>
          </w:tcPr>
          <w:p w14:paraId="6A61E281">
            <w:pPr>
              <w:spacing w:before="158" w:line="189" w:lineRule="auto"/>
              <w:ind w:left="25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334" w:type="dxa"/>
            <w:vAlign w:val="top"/>
          </w:tcPr>
          <w:p w14:paraId="52604B2D">
            <w:pPr>
              <w:rPr>
                <w:rFonts w:ascii="Arial"/>
                <w:color w:val="auto"/>
                <w:sz w:val="21"/>
                <w:highlight w:val="none"/>
              </w:rPr>
            </w:pPr>
          </w:p>
        </w:tc>
        <w:tc>
          <w:tcPr>
            <w:tcW w:w="701" w:type="dxa"/>
            <w:vAlign w:val="top"/>
          </w:tcPr>
          <w:p w14:paraId="72C459E2">
            <w:pPr>
              <w:rPr>
                <w:rFonts w:ascii="Arial"/>
                <w:color w:val="auto"/>
                <w:sz w:val="21"/>
                <w:highlight w:val="none"/>
              </w:rPr>
            </w:pPr>
          </w:p>
        </w:tc>
        <w:tc>
          <w:tcPr>
            <w:tcW w:w="993" w:type="dxa"/>
            <w:vAlign w:val="top"/>
          </w:tcPr>
          <w:p w14:paraId="74537934">
            <w:pPr>
              <w:rPr>
                <w:rFonts w:ascii="Arial"/>
                <w:color w:val="auto"/>
                <w:sz w:val="21"/>
                <w:highlight w:val="none"/>
              </w:rPr>
            </w:pPr>
          </w:p>
        </w:tc>
        <w:tc>
          <w:tcPr>
            <w:tcW w:w="739" w:type="dxa"/>
            <w:vAlign w:val="top"/>
          </w:tcPr>
          <w:p w14:paraId="1D22C218">
            <w:pPr>
              <w:rPr>
                <w:rFonts w:ascii="Arial"/>
                <w:color w:val="auto"/>
                <w:sz w:val="21"/>
                <w:highlight w:val="none"/>
              </w:rPr>
            </w:pPr>
          </w:p>
        </w:tc>
        <w:tc>
          <w:tcPr>
            <w:tcW w:w="945" w:type="dxa"/>
            <w:vMerge w:val="restart"/>
            <w:tcBorders>
              <w:bottom w:val="nil"/>
            </w:tcBorders>
            <w:vAlign w:val="top"/>
          </w:tcPr>
          <w:p w14:paraId="2643DB3F">
            <w:pPr>
              <w:rPr>
                <w:rFonts w:ascii="Arial"/>
                <w:color w:val="auto"/>
                <w:sz w:val="21"/>
                <w:highlight w:val="none"/>
              </w:rPr>
            </w:pPr>
          </w:p>
        </w:tc>
        <w:tc>
          <w:tcPr>
            <w:tcW w:w="839" w:type="dxa"/>
            <w:vAlign w:val="top"/>
          </w:tcPr>
          <w:p w14:paraId="614CA519">
            <w:pPr>
              <w:rPr>
                <w:rFonts w:ascii="Arial"/>
                <w:color w:val="auto"/>
                <w:sz w:val="21"/>
                <w:highlight w:val="none"/>
              </w:rPr>
            </w:pPr>
          </w:p>
        </w:tc>
        <w:tc>
          <w:tcPr>
            <w:tcW w:w="845" w:type="dxa"/>
            <w:vAlign w:val="top"/>
          </w:tcPr>
          <w:p w14:paraId="15A4E632">
            <w:pPr>
              <w:rPr>
                <w:rFonts w:ascii="Arial"/>
                <w:color w:val="auto"/>
                <w:sz w:val="21"/>
                <w:highlight w:val="none"/>
              </w:rPr>
            </w:pPr>
          </w:p>
        </w:tc>
        <w:tc>
          <w:tcPr>
            <w:tcW w:w="1531" w:type="dxa"/>
            <w:vAlign w:val="top"/>
          </w:tcPr>
          <w:p w14:paraId="4D5BDD5D">
            <w:pPr>
              <w:rPr>
                <w:rFonts w:ascii="Arial"/>
                <w:color w:val="auto"/>
                <w:sz w:val="21"/>
                <w:highlight w:val="none"/>
              </w:rPr>
            </w:pPr>
          </w:p>
        </w:tc>
      </w:tr>
      <w:tr w14:paraId="7BF02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1" w:type="dxa"/>
            <w:vAlign w:val="top"/>
          </w:tcPr>
          <w:p w14:paraId="07E02AAB">
            <w:pPr>
              <w:pStyle w:val="11"/>
              <w:spacing w:before="95" w:line="182" w:lineRule="auto"/>
              <w:ind w:left="241"/>
              <w:rPr>
                <w:color w:val="auto"/>
                <w:highlight w:val="none"/>
              </w:rPr>
            </w:pPr>
            <w:r>
              <w:rPr>
                <w:color w:val="auto"/>
                <w:highlight w:val="none"/>
              </w:rPr>
              <w:t>2</w:t>
            </w:r>
          </w:p>
        </w:tc>
        <w:tc>
          <w:tcPr>
            <w:tcW w:w="1334" w:type="dxa"/>
            <w:vAlign w:val="top"/>
          </w:tcPr>
          <w:p w14:paraId="605AA00E">
            <w:pPr>
              <w:rPr>
                <w:rFonts w:ascii="Arial"/>
                <w:color w:val="auto"/>
                <w:sz w:val="21"/>
                <w:highlight w:val="none"/>
              </w:rPr>
            </w:pPr>
          </w:p>
        </w:tc>
        <w:tc>
          <w:tcPr>
            <w:tcW w:w="701" w:type="dxa"/>
            <w:vAlign w:val="top"/>
          </w:tcPr>
          <w:p w14:paraId="006C2A7B">
            <w:pPr>
              <w:rPr>
                <w:rFonts w:ascii="Arial"/>
                <w:color w:val="auto"/>
                <w:sz w:val="21"/>
                <w:highlight w:val="none"/>
              </w:rPr>
            </w:pPr>
          </w:p>
        </w:tc>
        <w:tc>
          <w:tcPr>
            <w:tcW w:w="993" w:type="dxa"/>
            <w:vAlign w:val="top"/>
          </w:tcPr>
          <w:p w14:paraId="46D1C887">
            <w:pPr>
              <w:rPr>
                <w:rFonts w:ascii="Arial"/>
                <w:color w:val="auto"/>
                <w:sz w:val="21"/>
                <w:highlight w:val="none"/>
              </w:rPr>
            </w:pPr>
          </w:p>
        </w:tc>
        <w:tc>
          <w:tcPr>
            <w:tcW w:w="739" w:type="dxa"/>
            <w:vAlign w:val="top"/>
          </w:tcPr>
          <w:p w14:paraId="3FDB10FE">
            <w:pPr>
              <w:rPr>
                <w:rFonts w:ascii="Arial"/>
                <w:color w:val="auto"/>
                <w:sz w:val="21"/>
                <w:highlight w:val="none"/>
              </w:rPr>
            </w:pPr>
          </w:p>
        </w:tc>
        <w:tc>
          <w:tcPr>
            <w:tcW w:w="945" w:type="dxa"/>
            <w:vMerge w:val="continue"/>
            <w:tcBorders>
              <w:top w:val="nil"/>
              <w:bottom w:val="nil"/>
            </w:tcBorders>
            <w:vAlign w:val="top"/>
          </w:tcPr>
          <w:p w14:paraId="2EDAD957">
            <w:pPr>
              <w:rPr>
                <w:rFonts w:ascii="Arial"/>
                <w:color w:val="auto"/>
                <w:sz w:val="21"/>
                <w:highlight w:val="none"/>
              </w:rPr>
            </w:pPr>
          </w:p>
        </w:tc>
        <w:tc>
          <w:tcPr>
            <w:tcW w:w="839" w:type="dxa"/>
            <w:vAlign w:val="top"/>
          </w:tcPr>
          <w:p w14:paraId="03C05E6B">
            <w:pPr>
              <w:rPr>
                <w:rFonts w:ascii="Arial"/>
                <w:color w:val="auto"/>
                <w:sz w:val="21"/>
                <w:highlight w:val="none"/>
              </w:rPr>
            </w:pPr>
          </w:p>
        </w:tc>
        <w:tc>
          <w:tcPr>
            <w:tcW w:w="845" w:type="dxa"/>
            <w:vAlign w:val="top"/>
          </w:tcPr>
          <w:p w14:paraId="2A96FE90">
            <w:pPr>
              <w:rPr>
                <w:rFonts w:ascii="Arial"/>
                <w:color w:val="auto"/>
                <w:sz w:val="21"/>
                <w:highlight w:val="none"/>
              </w:rPr>
            </w:pPr>
          </w:p>
        </w:tc>
        <w:tc>
          <w:tcPr>
            <w:tcW w:w="1531" w:type="dxa"/>
            <w:vAlign w:val="top"/>
          </w:tcPr>
          <w:p w14:paraId="781EC667">
            <w:pPr>
              <w:rPr>
                <w:rFonts w:ascii="Arial"/>
                <w:color w:val="auto"/>
                <w:sz w:val="21"/>
                <w:highlight w:val="none"/>
              </w:rPr>
            </w:pPr>
          </w:p>
        </w:tc>
      </w:tr>
      <w:tr w14:paraId="4D1A7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43D822C9">
            <w:pPr>
              <w:spacing w:before="169" w:line="189" w:lineRule="auto"/>
              <w:ind w:left="23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334" w:type="dxa"/>
            <w:vAlign w:val="top"/>
          </w:tcPr>
          <w:p w14:paraId="575DD9FB">
            <w:pPr>
              <w:rPr>
                <w:rFonts w:ascii="Arial"/>
                <w:color w:val="auto"/>
                <w:sz w:val="21"/>
                <w:highlight w:val="none"/>
              </w:rPr>
            </w:pPr>
          </w:p>
        </w:tc>
        <w:tc>
          <w:tcPr>
            <w:tcW w:w="701" w:type="dxa"/>
            <w:vAlign w:val="top"/>
          </w:tcPr>
          <w:p w14:paraId="53EF2C98">
            <w:pPr>
              <w:rPr>
                <w:rFonts w:ascii="Arial"/>
                <w:color w:val="auto"/>
                <w:sz w:val="21"/>
                <w:highlight w:val="none"/>
              </w:rPr>
            </w:pPr>
          </w:p>
        </w:tc>
        <w:tc>
          <w:tcPr>
            <w:tcW w:w="993" w:type="dxa"/>
            <w:vAlign w:val="top"/>
          </w:tcPr>
          <w:p w14:paraId="3A3A01BD">
            <w:pPr>
              <w:rPr>
                <w:rFonts w:ascii="Arial"/>
                <w:color w:val="auto"/>
                <w:sz w:val="21"/>
                <w:highlight w:val="none"/>
              </w:rPr>
            </w:pPr>
          </w:p>
        </w:tc>
        <w:tc>
          <w:tcPr>
            <w:tcW w:w="739" w:type="dxa"/>
            <w:vAlign w:val="top"/>
          </w:tcPr>
          <w:p w14:paraId="1BD21CAC">
            <w:pPr>
              <w:rPr>
                <w:rFonts w:ascii="Arial"/>
                <w:color w:val="auto"/>
                <w:sz w:val="21"/>
                <w:highlight w:val="none"/>
              </w:rPr>
            </w:pPr>
          </w:p>
        </w:tc>
        <w:tc>
          <w:tcPr>
            <w:tcW w:w="945" w:type="dxa"/>
            <w:vMerge w:val="continue"/>
            <w:tcBorders>
              <w:top w:val="nil"/>
              <w:bottom w:val="nil"/>
            </w:tcBorders>
            <w:vAlign w:val="top"/>
          </w:tcPr>
          <w:p w14:paraId="46AED258">
            <w:pPr>
              <w:rPr>
                <w:rFonts w:ascii="Arial"/>
                <w:color w:val="auto"/>
                <w:sz w:val="21"/>
                <w:highlight w:val="none"/>
              </w:rPr>
            </w:pPr>
          </w:p>
        </w:tc>
        <w:tc>
          <w:tcPr>
            <w:tcW w:w="839" w:type="dxa"/>
            <w:vAlign w:val="top"/>
          </w:tcPr>
          <w:p w14:paraId="75DFDF63">
            <w:pPr>
              <w:rPr>
                <w:rFonts w:ascii="Arial"/>
                <w:color w:val="auto"/>
                <w:sz w:val="21"/>
                <w:highlight w:val="none"/>
              </w:rPr>
            </w:pPr>
          </w:p>
        </w:tc>
        <w:tc>
          <w:tcPr>
            <w:tcW w:w="845" w:type="dxa"/>
            <w:vAlign w:val="top"/>
          </w:tcPr>
          <w:p w14:paraId="30DE202A">
            <w:pPr>
              <w:rPr>
                <w:rFonts w:ascii="Arial"/>
                <w:color w:val="auto"/>
                <w:sz w:val="21"/>
                <w:highlight w:val="none"/>
              </w:rPr>
            </w:pPr>
          </w:p>
        </w:tc>
        <w:tc>
          <w:tcPr>
            <w:tcW w:w="1531" w:type="dxa"/>
            <w:vAlign w:val="top"/>
          </w:tcPr>
          <w:p w14:paraId="76C6A475">
            <w:pPr>
              <w:rPr>
                <w:rFonts w:ascii="Arial"/>
                <w:color w:val="auto"/>
                <w:sz w:val="21"/>
                <w:highlight w:val="none"/>
              </w:rPr>
            </w:pPr>
          </w:p>
        </w:tc>
      </w:tr>
      <w:tr w14:paraId="5CA3F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0CADAE65">
            <w:pPr>
              <w:pStyle w:val="11"/>
              <w:spacing w:before="168" w:line="182" w:lineRule="auto"/>
              <w:ind w:left="238"/>
              <w:rPr>
                <w:color w:val="auto"/>
                <w:highlight w:val="none"/>
              </w:rPr>
            </w:pPr>
            <w:r>
              <w:rPr>
                <w:color w:val="auto"/>
                <w:highlight w:val="none"/>
              </w:rPr>
              <w:t>4</w:t>
            </w:r>
          </w:p>
        </w:tc>
        <w:tc>
          <w:tcPr>
            <w:tcW w:w="1334" w:type="dxa"/>
            <w:vAlign w:val="top"/>
          </w:tcPr>
          <w:p w14:paraId="0598482B">
            <w:pPr>
              <w:rPr>
                <w:rFonts w:ascii="Arial"/>
                <w:color w:val="auto"/>
                <w:sz w:val="21"/>
                <w:highlight w:val="none"/>
              </w:rPr>
            </w:pPr>
          </w:p>
        </w:tc>
        <w:tc>
          <w:tcPr>
            <w:tcW w:w="701" w:type="dxa"/>
            <w:vAlign w:val="top"/>
          </w:tcPr>
          <w:p w14:paraId="0B410235">
            <w:pPr>
              <w:rPr>
                <w:rFonts w:ascii="Arial"/>
                <w:color w:val="auto"/>
                <w:sz w:val="21"/>
                <w:highlight w:val="none"/>
              </w:rPr>
            </w:pPr>
          </w:p>
        </w:tc>
        <w:tc>
          <w:tcPr>
            <w:tcW w:w="993" w:type="dxa"/>
            <w:vAlign w:val="top"/>
          </w:tcPr>
          <w:p w14:paraId="2362C1B3">
            <w:pPr>
              <w:rPr>
                <w:rFonts w:ascii="Arial"/>
                <w:color w:val="auto"/>
                <w:sz w:val="21"/>
                <w:highlight w:val="none"/>
              </w:rPr>
            </w:pPr>
          </w:p>
        </w:tc>
        <w:tc>
          <w:tcPr>
            <w:tcW w:w="739" w:type="dxa"/>
            <w:vAlign w:val="top"/>
          </w:tcPr>
          <w:p w14:paraId="0292822E">
            <w:pPr>
              <w:rPr>
                <w:rFonts w:ascii="Arial"/>
                <w:color w:val="auto"/>
                <w:sz w:val="21"/>
                <w:highlight w:val="none"/>
              </w:rPr>
            </w:pPr>
          </w:p>
        </w:tc>
        <w:tc>
          <w:tcPr>
            <w:tcW w:w="945" w:type="dxa"/>
            <w:vMerge w:val="continue"/>
            <w:tcBorders>
              <w:top w:val="nil"/>
              <w:bottom w:val="nil"/>
            </w:tcBorders>
            <w:vAlign w:val="top"/>
          </w:tcPr>
          <w:p w14:paraId="5413F949">
            <w:pPr>
              <w:rPr>
                <w:rFonts w:ascii="Arial"/>
                <w:color w:val="auto"/>
                <w:sz w:val="21"/>
                <w:highlight w:val="none"/>
              </w:rPr>
            </w:pPr>
          </w:p>
        </w:tc>
        <w:tc>
          <w:tcPr>
            <w:tcW w:w="839" w:type="dxa"/>
            <w:vAlign w:val="top"/>
          </w:tcPr>
          <w:p w14:paraId="183F72F8">
            <w:pPr>
              <w:rPr>
                <w:rFonts w:ascii="Arial"/>
                <w:color w:val="auto"/>
                <w:sz w:val="21"/>
                <w:highlight w:val="none"/>
              </w:rPr>
            </w:pPr>
          </w:p>
        </w:tc>
        <w:tc>
          <w:tcPr>
            <w:tcW w:w="845" w:type="dxa"/>
            <w:vAlign w:val="top"/>
          </w:tcPr>
          <w:p w14:paraId="03B54CEE">
            <w:pPr>
              <w:rPr>
                <w:rFonts w:ascii="Arial"/>
                <w:color w:val="auto"/>
                <w:sz w:val="21"/>
                <w:highlight w:val="none"/>
              </w:rPr>
            </w:pPr>
          </w:p>
        </w:tc>
        <w:tc>
          <w:tcPr>
            <w:tcW w:w="1531" w:type="dxa"/>
            <w:vAlign w:val="top"/>
          </w:tcPr>
          <w:p w14:paraId="7F3743FC">
            <w:pPr>
              <w:rPr>
                <w:rFonts w:ascii="Arial"/>
                <w:color w:val="auto"/>
                <w:sz w:val="21"/>
                <w:highlight w:val="none"/>
              </w:rPr>
            </w:pPr>
          </w:p>
        </w:tc>
      </w:tr>
      <w:tr w14:paraId="04B68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1" w:type="dxa"/>
            <w:vAlign w:val="top"/>
          </w:tcPr>
          <w:p w14:paraId="59ACFD93">
            <w:pPr>
              <w:spacing w:before="167" w:line="186" w:lineRule="auto"/>
              <w:ind w:left="24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334" w:type="dxa"/>
            <w:vAlign w:val="top"/>
          </w:tcPr>
          <w:p w14:paraId="12791315">
            <w:pPr>
              <w:rPr>
                <w:rFonts w:ascii="Arial"/>
                <w:color w:val="auto"/>
                <w:sz w:val="21"/>
                <w:highlight w:val="none"/>
              </w:rPr>
            </w:pPr>
          </w:p>
        </w:tc>
        <w:tc>
          <w:tcPr>
            <w:tcW w:w="701" w:type="dxa"/>
            <w:vAlign w:val="top"/>
          </w:tcPr>
          <w:p w14:paraId="6F2023C9">
            <w:pPr>
              <w:rPr>
                <w:rFonts w:ascii="Arial"/>
                <w:color w:val="auto"/>
                <w:sz w:val="21"/>
                <w:highlight w:val="none"/>
              </w:rPr>
            </w:pPr>
          </w:p>
        </w:tc>
        <w:tc>
          <w:tcPr>
            <w:tcW w:w="993" w:type="dxa"/>
            <w:vAlign w:val="top"/>
          </w:tcPr>
          <w:p w14:paraId="2B1C2620">
            <w:pPr>
              <w:rPr>
                <w:rFonts w:ascii="Arial"/>
                <w:color w:val="auto"/>
                <w:sz w:val="21"/>
                <w:highlight w:val="none"/>
              </w:rPr>
            </w:pPr>
          </w:p>
        </w:tc>
        <w:tc>
          <w:tcPr>
            <w:tcW w:w="739" w:type="dxa"/>
            <w:vAlign w:val="top"/>
          </w:tcPr>
          <w:p w14:paraId="270EA9B3">
            <w:pPr>
              <w:rPr>
                <w:rFonts w:ascii="Arial"/>
                <w:color w:val="auto"/>
                <w:sz w:val="21"/>
                <w:highlight w:val="none"/>
              </w:rPr>
            </w:pPr>
          </w:p>
        </w:tc>
        <w:tc>
          <w:tcPr>
            <w:tcW w:w="945" w:type="dxa"/>
            <w:vMerge w:val="continue"/>
            <w:tcBorders>
              <w:top w:val="nil"/>
              <w:bottom w:val="nil"/>
            </w:tcBorders>
            <w:vAlign w:val="top"/>
          </w:tcPr>
          <w:p w14:paraId="4FA54861">
            <w:pPr>
              <w:rPr>
                <w:rFonts w:ascii="Arial"/>
                <w:color w:val="auto"/>
                <w:sz w:val="21"/>
                <w:highlight w:val="none"/>
              </w:rPr>
            </w:pPr>
          </w:p>
        </w:tc>
        <w:tc>
          <w:tcPr>
            <w:tcW w:w="839" w:type="dxa"/>
            <w:vAlign w:val="top"/>
          </w:tcPr>
          <w:p w14:paraId="59B0460F">
            <w:pPr>
              <w:rPr>
                <w:rFonts w:ascii="Arial"/>
                <w:color w:val="auto"/>
                <w:sz w:val="21"/>
                <w:highlight w:val="none"/>
              </w:rPr>
            </w:pPr>
          </w:p>
        </w:tc>
        <w:tc>
          <w:tcPr>
            <w:tcW w:w="845" w:type="dxa"/>
            <w:vAlign w:val="top"/>
          </w:tcPr>
          <w:p w14:paraId="1C4ED4B6">
            <w:pPr>
              <w:rPr>
                <w:rFonts w:ascii="Arial"/>
                <w:color w:val="auto"/>
                <w:sz w:val="21"/>
                <w:highlight w:val="none"/>
              </w:rPr>
            </w:pPr>
          </w:p>
        </w:tc>
        <w:tc>
          <w:tcPr>
            <w:tcW w:w="1531" w:type="dxa"/>
            <w:vAlign w:val="top"/>
          </w:tcPr>
          <w:p w14:paraId="2C82C09A">
            <w:pPr>
              <w:rPr>
                <w:rFonts w:ascii="Arial"/>
                <w:color w:val="auto"/>
                <w:sz w:val="21"/>
                <w:highlight w:val="none"/>
              </w:rPr>
            </w:pPr>
          </w:p>
        </w:tc>
      </w:tr>
      <w:tr w14:paraId="313BA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4B10B644">
            <w:pPr>
              <w:spacing w:before="165" w:line="189" w:lineRule="auto"/>
              <w:ind w:left="23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1334" w:type="dxa"/>
            <w:vAlign w:val="top"/>
          </w:tcPr>
          <w:p w14:paraId="4891DABC">
            <w:pPr>
              <w:rPr>
                <w:rFonts w:ascii="Arial"/>
                <w:color w:val="auto"/>
                <w:sz w:val="21"/>
                <w:highlight w:val="none"/>
              </w:rPr>
            </w:pPr>
          </w:p>
        </w:tc>
        <w:tc>
          <w:tcPr>
            <w:tcW w:w="701" w:type="dxa"/>
            <w:vAlign w:val="top"/>
          </w:tcPr>
          <w:p w14:paraId="27D5DB92">
            <w:pPr>
              <w:rPr>
                <w:rFonts w:ascii="Arial"/>
                <w:color w:val="auto"/>
                <w:sz w:val="21"/>
                <w:highlight w:val="none"/>
              </w:rPr>
            </w:pPr>
          </w:p>
        </w:tc>
        <w:tc>
          <w:tcPr>
            <w:tcW w:w="993" w:type="dxa"/>
            <w:vAlign w:val="top"/>
          </w:tcPr>
          <w:p w14:paraId="59D31D17">
            <w:pPr>
              <w:rPr>
                <w:rFonts w:ascii="Arial"/>
                <w:color w:val="auto"/>
                <w:sz w:val="21"/>
                <w:highlight w:val="none"/>
              </w:rPr>
            </w:pPr>
          </w:p>
        </w:tc>
        <w:tc>
          <w:tcPr>
            <w:tcW w:w="739" w:type="dxa"/>
            <w:vAlign w:val="top"/>
          </w:tcPr>
          <w:p w14:paraId="7DA31E27">
            <w:pPr>
              <w:rPr>
                <w:rFonts w:ascii="Arial"/>
                <w:color w:val="auto"/>
                <w:sz w:val="21"/>
                <w:highlight w:val="none"/>
              </w:rPr>
            </w:pPr>
          </w:p>
        </w:tc>
        <w:tc>
          <w:tcPr>
            <w:tcW w:w="945" w:type="dxa"/>
            <w:vMerge w:val="continue"/>
            <w:tcBorders>
              <w:top w:val="nil"/>
              <w:bottom w:val="nil"/>
            </w:tcBorders>
            <w:vAlign w:val="top"/>
          </w:tcPr>
          <w:p w14:paraId="0A67894F">
            <w:pPr>
              <w:rPr>
                <w:rFonts w:ascii="Arial"/>
                <w:color w:val="auto"/>
                <w:sz w:val="21"/>
                <w:highlight w:val="none"/>
              </w:rPr>
            </w:pPr>
          </w:p>
        </w:tc>
        <w:tc>
          <w:tcPr>
            <w:tcW w:w="839" w:type="dxa"/>
            <w:vAlign w:val="top"/>
          </w:tcPr>
          <w:p w14:paraId="520DC90A">
            <w:pPr>
              <w:rPr>
                <w:rFonts w:ascii="Arial"/>
                <w:color w:val="auto"/>
                <w:sz w:val="21"/>
                <w:highlight w:val="none"/>
              </w:rPr>
            </w:pPr>
          </w:p>
        </w:tc>
        <w:tc>
          <w:tcPr>
            <w:tcW w:w="845" w:type="dxa"/>
            <w:vAlign w:val="top"/>
          </w:tcPr>
          <w:p w14:paraId="51A5BAF4">
            <w:pPr>
              <w:rPr>
                <w:rFonts w:ascii="Arial"/>
                <w:color w:val="auto"/>
                <w:sz w:val="21"/>
                <w:highlight w:val="none"/>
              </w:rPr>
            </w:pPr>
          </w:p>
        </w:tc>
        <w:tc>
          <w:tcPr>
            <w:tcW w:w="1531" w:type="dxa"/>
            <w:vAlign w:val="top"/>
          </w:tcPr>
          <w:p w14:paraId="0057B9D6">
            <w:pPr>
              <w:rPr>
                <w:rFonts w:ascii="Arial"/>
                <w:color w:val="auto"/>
                <w:sz w:val="21"/>
                <w:highlight w:val="none"/>
              </w:rPr>
            </w:pPr>
          </w:p>
        </w:tc>
      </w:tr>
      <w:tr w14:paraId="4EB76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2EF4CD74">
            <w:pPr>
              <w:pStyle w:val="11"/>
              <w:spacing w:before="129" w:line="332" w:lineRule="exact"/>
              <w:ind w:left="199"/>
              <w:rPr>
                <w:color w:val="auto"/>
                <w:highlight w:val="none"/>
              </w:rPr>
            </w:pPr>
            <w:r>
              <w:rPr>
                <w:color w:val="auto"/>
                <w:position w:val="2"/>
                <w:highlight w:val="none"/>
              </w:rPr>
              <w:t>…</w:t>
            </w:r>
          </w:p>
        </w:tc>
        <w:tc>
          <w:tcPr>
            <w:tcW w:w="1334" w:type="dxa"/>
            <w:vAlign w:val="top"/>
          </w:tcPr>
          <w:p w14:paraId="11CF6BFB">
            <w:pPr>
              <w:rPr>
                <w:rFonts w:ascii="Arial"/>
                <w:color w:val="auto"/>
                <w:sz w:val="21"/>
                <w:highlight w:val="none"/>
              </w:rPr>
            </w:pPr>
          </w:p>
        </w:tc>
        <w:tc>
          <w:tcPr>
            <w:tcW w:w="701" w:type="dxa"/>
            <w:vAlign w:val="top"/>
          </w:tcPr>
          <w:p w14:paraId="27C79A12">
            <w:pPr>
              <w:rPr>
                <w:rFonts w:ascii="Arial"/>
                <w:color w:val="auto"/>
                <w:sz w:val="21"/>
                <w:highlight w:val="none"/>
              </w:rPr>
            </w:pPr>
          </w:p>
        </w:tc>
        <w:tc>
          <w:tcPr>
            <w:tcW w:w="993" w:type="dxa"/>
            <w:vAlign w:val="top"/>
          </w:tcPr>
          <w:p w14:paraId="0E6A856F">
            <w:pPr>
              <w:rPr>
                <w:rFonts w:ascii="Arial"/>
                <w:color w:val="auto"/>
                <w:sz w:val="21"/>
                <w:highlight w:val="none"/>
              </w:rPr>
            </w:pPr>
          </w:p>
        </w:tc>
        <w:tc>
          <w:tcPr>
            <w:tcW w:w="739" w:type="dxa"/>
            <w:vAlign w:val="top"/>
          </w:tcPr>
          <w:p w14:paraId="3B2D958C">
            <w:pPr>
              <w:rPr>
                <w:rFonts w:ascii="Arial"/>
                <w:color w:val="auto"/>
                <w:sz w:val="21"/>
                <w:highlight w:val="none"/>
              </w:rPr>
            </w:pPr>
          </w:p>
        </w:tc>
        <w:tc>
          <w:tcPr>
            <w:tcW w:w="945" w:type="dxa"/>
            <w:vMerge w:val="continue"/>
            <w:tcBorders>
              <w:top w:val="nil"/>
            </w:tcBorders>
            <w:vAlign w:val="top"/>
          </w:tcPr>
          <w:p w14:paraId="224D8927">
            <w:pPr>
              <w:rPr>
                <w:rFonts w:ascii="Arial"/>
                <w:color w:val="auto"/>
                <w:sz w:val="21"/>
                <w:highlight w:val="none"/>
              </w:rPr>
            </w:pPr>
          </w:p>
        </w:tc>
        <w:tc>
          <w:tcPr>
            <w:tcW w:w="839" w:type="dxa"/>
            <w:vAlign w:val="top"/>
          </w:tcPr>
          <w:p w14:paraId="33F56E2E">
            <w:pPr>
              <w:rPr>
                <w:rFonts w:ascii="Arial"/>
                <w:color w:val="auto"/>
                <w:sz w:val="21"/>
                <w:highlight w:val="none"/>
              </w:rPr>
            </w:pPr>
          </w:p>
        </w:tc>
        <w:tc>
          <w:tcPr>
            <w:tcW w:w="845" w:type="dxa"/>
            <w:vAlign w:val="top"/>
          </w:tcPr>
          <w:p w14:paraId="748D0353">
            <w:pPr>
              <w:rPr>
                <w:rFonts w:ascii="Arial"/>
                <w:color w:val="auto"/>
                <w:sz w:val="21"/>
                <w:highlight w:val="none"/>
              </w:rPr>
            </w:pPr>
          </w:p>
        </w:tc>
        <w:tc>
          <w:tcPr>
            <w:tcW w:w="1531" w:type="dxa"/>
            <w:vAlign w:val="top"/>
          </w:tcPr>
          <w:p w14:paraId="3B0FA185">
            <w:pPr>
              <w:rPr>
                <w:rFonts w:ascii="Arial"/>
                <w:color w:val="auto"/>
                <w:sz w:val="21"/>
                <w:highlight w:val="none"/>
              </w:rPr>
            </w:pPr>
          </w:p>
        </w:tc>
      </w:tr>
      <w:tr w14:paraId="51FF1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8508" w:type="dxa"/>
            <w:gridSpan w:val="9"/>
            <w:vAlign w:val="top"/>
          </w:tcPr>
          <w:p w14:paraId="5673936D">
            <w:pPr>
              <w:pStyle w:val="11"/>
              <w:spacing w:before="273" w:line="221" w:lineRule="auto"/>
              <w:ind w:left="115"/>
              <w:rPr>
                <w:color w:val="auto"/>
                <w:highlight w:val="none"/>
              </w:rPr>
            </w:pPr>
            <w:r>
              <w:rPr>
                <w:color w:val="auto"/>
                <w:spacing w:val="-5"/>
                <w:highlight w:val="none"/>
              </w:rPr>
              <w:t>经济标评委签名：</w:t>
            </w:r>
          </w:p>
        </w:tc>
      </w:tr>
    </w:tbl>
    <w:p w14:paraId="21A08605">
      <w:pPr>
        <w:spacing w:before="29" w:line="186" w:lineRule="auto"/>
        <w:ind w:left="5394"/>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日期：</w:t>
      </w:r>
      <w:r>
        <w:rPr>
          <w:rFonts w:ascii="宋体" w:hAnsi="宋体" w:eastAsia="宋体" w:cs="宋体"/>
          <w:color w:val="auto"/>
          <w:spacing w:val="25"/>
          <w:sz w:val="21"/>
          <w:szCs w:val="21"/>
          <w:highlight w:val="none"/>
        </w:rPr>
        <w:t xml:space="preserve">    </w:t>
      </w:r>
      <w:r>
        <w:rPr>
          <w:rFonts w:ascii="宋体" w:hAnsi="宋体" w:eastAsia="宋体" w:cs="宋体"/>
          <w:color w:val="auto"/>
          <w:spacing w:val="-20"/>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0"/>
          <w:sz w:val="21"/>
          <w:szCs w:val="21"/>
          <w:highlight w:val="none"/>
        </w:rPr>
        <w:t>月     日</w:t>
      </w:r>
    </w:p>
    <w:p w14:paraId="5C0D380C">
      <w:pPr>
        <w:spacing w:line="186" w:lineRule="auto"/>
        <w:rPr>
          <w:rFonts w:ascii="宋体" w:hAnsi="宋体" w:eastAsia="宋体" w:cs="宋体"/>
          <w:color w:val="auto"/>
          <w:sz w:val="21"/>
          <w:szCs w:val="21"/>
          <w:highlight w:val="none"/>
        </w:rPr>
        <w:sectPr>
          <w:type w:val="continuous"/>
          <w:pgSz w:w="11905" w:h="16839"/>
          <w:pgMar w:top="1431" w:right="1690" w:bottom="996" w:left="1699" w:header="0" w:footer="791" w:gutter="0"/>
          <w:pgNumType w:fmt="decimal"/>
          <w:cols w:equalWidth="0" w:num="1">
            <w:col w:w="8514"/>
          </w:cols>
        </w:sectPr>
      </w:pPr>
    </w:p>
    <w:p w14:paraId="4E66E0F0">
      <w:pPr>
        <w:pStyle w:val="3"/>
        <w:spacing w:line="272" w:lineRule="auto"/>
        <w:rPr>
          <w:color w:val="auto"/>
          <w:highlight w:val="none"/>
        </w:rPr>
      </w:pPr>
    </w:p>
    <w:p w14:paraId="1C509C0C">
      <w:pPr>
        <w:pStyle w:val="3"/>
        <w:spacing w:line="272" w:lineRule="auto"/>
        <w:rPr>
          <w:color w:val="auto"/>
          <w:highlight w:val="none"/>
        </w:rPr>
      </w:pPr>
    </w:p>
    <w:p w14:paraId="515D5E57">
      <w:pPr>
        <w:pStyle w:val="3"/>
        <w:spacing w:line="272" w:lineRule="auto"/>
        <w:rPr>
          <w:color w:val="auto"/>
          <w:highlight w:val="none"/>
        </w:rPr>
      </w:pPr>
    </w:p>
    <w:p w14:paraId="0107F970">
      <w:pPr>
        <w:spacing w:before="78" w:line="219" w:lineRule="auto"/>
        <w:ind w:left="13"/>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2"/>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5"/>
          <w:sz w:val="24"/>
          <w:szCs w:val="24"/>
          <w:highlight w:val="none"/>
        </w:rPr>
        <w:t>11</w:t>
      </w:r>
      <w:r>
        <w:rPr>
          <w:rFonts w:ascii="黑体" w:hAnsi="黑体" w:eastAsia="黑体" w:cs="黑体"/>
          <w:color w:val="auto"/>
          <w:spacing w:val="-5"/>
          <w:sz w:val="24"/>
          <w:szCs w:val="24"/>
          <w:highlight w:val="none"/>
        </w:rPr>
        <w:t>：技术标评审记录表（评分）</w:t>
      </w:r>
    </w:p>
    <w:p w14:paraId="6455D667">
      <w:pPr>
        <w:spacing w:before="288" w:line="219" w:lineRule="auto"/>
        <w:ind w:left="5545"/>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技术标评审记录表</w:t>
      </w:r>
    </w:p>
    <w:p w14:paraId="50CBE547">
      <w:pPr>
        <w:spacing w:before="234" w:line="221" w:lineRule="auto"/>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57A57918">
      <w:pPr>
        <w:spacing w:before="22" w:line="214"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376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790"/>
        <w:gridCol w:w="1339"/>
        <w:gridCol w:w="1339"/>
        <w:gridCol w:w="1344"/>
        <w:gridCol w:w="1339"/>
        <w:gridCol w:w="1344"/>
        <w:gridCol w:w="1344"/>
        <w:gridCol w:w="1349"/>
        <w:gridCol w:w="1781"/>
      </w:tblGrid>
      <w:tr w14:paraId="10B68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1" w:type="dxa"/>
            <w:vMerge w:val="restart"/>
            <w:tcBorders>
              <w:bottom w:val="nil"/>
            </w:tcBorders>
            <w:vAlign w:val="top"/>
          </w:tcPr>
          <w:p w14:paraId="3DC72D51">
            <w:pPr>
              <w:spacing w:line="243" w:lineRule="auto"/>
              <w:rPr>
                <w:rFonts w:ascii="Arial"/>
                <w:color w:val="auto"/>
                <w:sz w:val="21"/>
                <w:highlight w:val="none"/>
              </w:rPr>
            </w:pPr>
          </w:p>
          <w:p w14:paraId="55A05387">
            <w:pPr>
              <w:pStyle w:val="11"/>
              <w:spacing w:before="68" w:line="222" w:lineRule="auto"/>
              <w:ind w:left="184"/>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790" w:type="dxa"/>
            <w:vMerge w:val="restart"/>
            <w:tcBorders>
              <w:bottom w:val="nil"/>
            </w:tcBorders>
            <w:vAlign w:val="top"/>
          </w:tcPr>
          <w:p w14:paraId="752D34EA">
            <w:pPr>
              <w:spacing w:line="243" w:lineRule="auto"/>
              <w:rPr>
                <w:rFonts w:ascii="Arial"/>
                <w:color w:val="auto"/>
                <w:sz w:val="21"/>
                <w:highlight w:val="none"/>
              </w:rPr>
            </w:pPr>
          </w:p>
          <w:p w14:paraId="4F063AF5">
            <w:pPr>
              <w:pStyle w:val="11"/>
              <w:spacing w:before="68" w:line="221" w:lineRule="auto"/>
              <w:ind w:left="372"/>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9398" w:type="dxa"/>
            <w:gridSpan w:val="7"/>
            <w:vAlign w:val="top"/>
          </w:tcPr>
          <w:p w14:paraId="22DC2C5C">
            <w:pPr>
              <w:pStyle w:val="11"/>
              <w:spacing w:before="101" w:line="221" w:lineRule="auto"/>
              <w:ind w:left="3965"/>
              <w:rPr>
                <w:color w:val="auto"/>
                <w:highlight w:val="none"/>
              </w:rPr>
            </w:pPr>
            <w:r>
              <w:rPr>
                <w:color w:val="auto"/>
                <w:highlight w:val="none"/>
                <w14:textOutline w14:w="3831" w14:cap="flat" w14:cmpd="sng">
                  <w14:solidFill>
                    <w14:srgbClr w14:val="000000"/>
                  </w14:solidFill>
                  <w14:prstDash w14:val="solid"/>
                  <w14:miter w14:val="0"/>
                </w14:textOutline>
              </w:rPr>
              <w:t>评委姓名及得分</w:t>
            </w:r>
          </w:p>
        </w:tc>
        <w:tc>
          <w:tcPr>
            <w:tcW w:w="1781" w:type="dxa"/>
            <w:vMerge w:val="restart"/>
            <w:tcBorders>
              <w:bottom w:val="nil"/>
            </w:tcBorders>
            <w:vAlign w:val="top"/>
          </w:tcPr>
          <w:p w14:paraId="75AC3FA0">
            <w:pPr>
              <w:pStyle w:val="11"/>
              <w:spacing w:before="177" w:line="229" w:lineRule="auto"/>
              <w:ind w:left="211" w:right="148" w:hanging="53"/>
              <w:rPr>
                <w:color w:val="auto"/>
                <w:highlight w:val="none"/>
              </w:rPr>
            </w:pPr>
            <w:r>
              <w:rPr>
                <w:color w:val="auto"/>
                <w:spacing w:val="-1"/>
                <w:highlight w:val="none"/>
                <w14:textOutline w14:w="3831" w14:cap="flat" w14:cmpd="sng">
                  <w14:solidFill>
                    <w14:srgbClr w14:val="000000"/>
                  </w14:solidFill>
                  <w14:prstDash w14:val="solid"/>
                  <w14:miter w14:val="0"/>
                </w14:textOutline>
              </w:rPr>
              <w:t>技术标最终得分</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（满分</w:t>
            </w:r>
            <w:r>
              <w:rPr>
                <w:color w:val="auto"/>
                <w:spacing w:val="8"/>
                <w:highlight w:val="none"/>
              </w:rPr>
              <w:t xml:space="preserve">   </w:t>
            </w:r>
            <w:r>
              <w:rPr>
                <w:color w:val="auto"/>
                <w:spacing w:val="-7"/>
                <w:highlight w:val="none"/>
                <w14:textOutline w14:w="3831" w14:cap="flat" w14:cmpd="sng">
                  <w14:solidFill>
                    <w14:srgbClr w14:val="000000"/>
                  </w14:solidFill>
                  <w14:prstDash w14:val="solid"/>
                  <w14:miter w14:val="0"/>
                </w14:textOutline>
              </w:rPr>
              <w:t>分）</w:t>
            </w:r>
          </w:p>
        </w:tc>
      </w:tr>
      <w:tr w14:paraId="0F9A9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91" w:type="dxa"/>
            <w:vMerge w:val="continue"/>
            <w:tcBorders>
              <w:top w:val="nil"/>
            </w:tcBorders>
            <w:vAlign w:val="top"/>
          </w:tcPr>
          <w:p w14:paraId="75CCFD38">
            <w:pPr>
              <w:rPr>
                <w:rFonts w:ascii="Arial"/>
                <w:color w:val="auto"/>
                <w:sz w:val="21"/>
                <w:highlight w:val="none"/>
              </w:rPr>
            </w:pPr>
          </w:p>
        </w:tc>
        <w:tc>
          <w:tcPr>
            <w:tcW w:w="1790" w:type="dxa"/>
            <w:vMerge w:val="continue"/>
            <w:tcBorders>
              <w:top w:val="nil"/>
            </w:tcBorders>
            <w:vAlign w:val="top"/>
          </w:tcPr>
          <w:p w14:paraId="3914A29E">
            <w:pPr>
              <w:rPr>
                <w:rFonts w:ascii="Arial"/>
                <w:color w:val="auto"/>
                <w:sz w:val="21"/>
                <w:highlight w:val="none"/>
              </w:rPr>
            </w:pPr>
          </w:p>
        </w:tc>
        <w:tc>
          <w:tcPr>
            <w:tcW w:w="1339" w:type="dxa"/>
            <w:vAlign w:val="top"/>
          </w:tcPr>
          <w:p w14:paraId="4D8CCED7">
            <w:pPr>
              <w:pStyle w:val="11"/>
              <w:spacing w:before="97" w:line="221" w:lineRule="auto"/>
              <w:ind w:left="379"/>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29"/>
                <w:highlight w:val="none"/>
              </w:rPr>
              <w:t xml:space="preserve"> </w:t>
            </w:r>
            <w:r>
              <w:rPr>
                <w:color w:val="auto"/>
                <w:spacing w:val="-2"/>
                <w:highlight w:val="none"/>
                <w14:textOutline w14:w="3831" w14:cap="flat" w14:cmpd="sng">
                  <w14:solidFill>
                    <w14:srgbClr w14:val="000000"/>
                  </w14:solidFill>
                  <w14:prstDash w14:val="solid"/>
                  <w14:miter w14:val="0"/>
                </w14:textOutline>
              </w:rPr>
              <w:t>1</w:t>
            </w:r>
          </w:p>
        </w:tc>
        <w:tc>
          <w:tcPr>
            <w:tcW w:w="1339" w:type="dxa"/>
            <w:vAlign w:val="top"/>
          </w:tcPr>
          <w:p w14:paraId="38845240">
            <w:pPr>
              <w:pStyle w:val="11"/>
              <w:spacing w:before="97" w:line="221" w:lineRule="auto"/>
              <w:ind w:left="384"/>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41"/>
                <w:highlight w:val="none"/>
              </w:rPr>
              <w:t xml:space="preserve"> </w:t>
            </w:r>
            <w:r>
              <w:rPr>
                <w:color w:val="auto"/>
                <w:spacing w:val="-2"/>
                <w:highlight w:val="none"/>
                <w14:textOutline w14:w="3831" w14:cap="flat" w14:cmpd="sng">
                  <w14:solidFill>
                    <w14:srgbClr w14:val="000000"/>
                  </w14:solidFill>
                  <w14:prstDash w14:val="solid"/>
                  <w14:miter w14:val="0"/>
                </w14:textOutline>
              </w:rPr>
              <w:t>2</w:t>
            </w:r>
          </w:p>
        </w:tc>
        <w:tc>
          <w:tcPr>
            <w:tcW w:w="1344" w:type="dxa"/>
            <w:vAlign w:val="top"/>
          </w:tcPr>
          <w:p w14:paraId="37DB1BA4">
            <w:pPr>
              <w:pStyle w:val="11"/>
              <w:spacing w:before="97" w:line="305" w:lineRule="exact"/>
              <w:ind w:left="480"/>
              <w:rPr>
                <w:color w:val="auto"/>
                <w:highlight w:val="none"/>
              </w:rPr>
            </w:pPr>
            <w:r>
              <w:rPr>
                <w:color w:val="auto"/>
                <w:spacing w:val="-5"/>
                <w:position w:val="2"/>
                <w:highlight w:val="none"/>
                <w14:textOutline w14:w="3831" w14:cap="flat" w14:cmpd="sng">
                  <w14:solidFill>
                    <w14:srgbClr w14:val="000000"/>
                  </w14:solidFill>
                  <w14:prstDash w14:val="solid"/>
                  <w14:miter w14:val="0"/>
                </w14:textOutline>
              </w:rPr>
              <w:t>……</w:t>
            </w:r>
          </w:p>
        </w:tc>
        <w:tc>
          <w:tcPr>
            <w:tcW w:w="1339" w:type="dxa"/>
            <w:vAlign w:val="top"/>
          </w:tcPr>
          <w:p w14:paraId="57EAD3A4">
            <w:pPr>
              <w:rPr>
                <w:rFonts w:ascii="Arial"/>
                <w:color w:val="auto"/>
                <w:sz w:val="21"/>
                <w:highlight w:val="none"/>
              </w:rPr>
            </w:pPr>
          </w:p>
        </w:tc>
        <w:tc>
          <w:tcPr>
            <w:tcW w:w="1344" w:type="dxa"/>
            <w:vAlign w:val="top"/>
          </w:tcPr>
          <w:p w14:paraId="51608028">
            <w:pPr>
              <w:rPr>
                <w:rFonts w:ascii="Arial"/>
                <w:color w:val="auto"/>
                <w:sz w:val="21"/>
                <w:highlight w:val="none"/>
              </w:rPr>
            </w:pPr>
          </w:p>
        </w:tc>
        <w:tc>
          <w:tcPr>
            <w:tcW w:w="1344" w:type="dxa"/>
            <w:vAlign w:val="top"/>
          </w:tcPr>
          <w:p w14:paraId="60683D57">
            <w:pPr>
              <w:rPr>
                <w:rFonts w:ascii="Arial"/>
                <w:color w:val="auto"/>
                <w:sz w:val="21"/>
                <w:highlight w:val="none"/>
              </w:rPr>
            </w:pPr>
          </w:p>
        </w:tc>
        <w:tc>
          <w:tcPr>
            <w:tcW w:w="1349" w:type="dxa"/>
            <w:vAlign w:val="top"/>
          </w:tcPr>
          <w:p w14:paraId="5499EBF9">
            <w:pPr>
              <w:rPr>
                <w:rFonts w:ascii="Arial"/>
                <w:color w:val="auto"/>
                <w:sz w:val="21"/>
                <w:highlight w:val="none"/>
              </w:rPr>
            </w:pPr>
          </w:p>
        </w:tc>
        <w:tc>
          <w:tcPr>
            <w:tcW w:w="1781" w:type="dxa"/>
            <w:vMerge w:val="continue"/>
            <w:tcBorders>
              <w:top w:val="nil"/>
            </w:tcBorders>
            <w:vAlign w:val="top"/>
          </w:tcPr>
          <w:p w14:paraId="29E964C1">
            <w:pPr>
              <w:rPr>
                <w:rFonts w:ascii="Arial"/>
                <w:color w:val="auto"/>
                <w:sz w:val="21"/>
                <w:highlight w:val="none"/>
              </w:rPr>
            </w:pPr>
          </w:p>
        </w:tc>
      </w:tr>
      <w:tr w14:paraId="54CCA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71EE3683">
            <w:pPr>
              <w:pStyle w:val="11"/>
              <w:spacing w:before="208" w:line="183" w:lineRule="auto"/>
              <w:ind w:left="359"/>
              <w:rPr>
                <w:color w:val="auto"/>
                <w:highlight w:val="none"/>
              </w:rPr>
            </w:pPr>
            <w:r>
              <w:rPr>
                <w:color w:val="auto"/>
                <w:highlight w:val="none"/>
              </w:rPr>
              <w:t>1</w:t>
            </w:r>
          </w:p>
        </w:tc>
        <w:tc>
          <w:tcPr>
            <w:tcW w:w="1790" w:type="dxa"/>
            <w:vAlign w:val="top"/>
          </w:tcPr>
          <w:p w14:paraId="506EF54B">
            <w:pPr>
              <w:rPr>
                <w:rFonts w:ascii="Arial"/>
                <w:color w:val="auto"/>
                <w:sz w:val="21"/>
                <w:highlight w:val="none"/>
              </w:rPr>
            </w:pPr>
          </w:p>
        </w:tc>
        <w:tc>
          <w:tcPr>
            <w:tcW w:w="1339" w:type="dxa"/>
            <w:vAlign w:val="top"/>
          </w:tcPr>
          <w:p w14:paraId="1B58960F">
            <w:pPr>
              <w:rPr>
                <w:rFonts w:ascii="Arial"/>
                <w:color w:val="auto"/>
                <w:sz w:val="21"/>
                <w:highlight w:val="none"/>
              </w:rPr>
            </w:pPr>
          </w:p>
        </w:tc>
        <w:tc>
          <w:tcPr>
            <w:tcW w:w="1339" w:type="dxa"/>
            <w:vAlign w:val="top"/>
          </w:tcPr>
          <w:p w14:paraId="4AD982B3">
            <w:pPr>
              <w:rPr>
                <w:rFonts w:ascii="Arial"/>
                <w:color w:val="auto"/>
                <w:sz w:val="21"/>
                <w:highlight w:val="none"/>
              </w:rPr>
            </w:pPr>
          </w:p>
        </w:tc>
        <w:tc>
          <w:tcPr>
            <w:tcW w:w="1344" w:type="dxa"/>
            <w:vAlign w:val="top"/>
          </w:tcPr>
          <w:p w14:paraId="74FAB931">
            <w:pPr>
              <w:rPr>
                <w:rFonts w:ascii="Arial"/>
                <w:color w:val="auto"/>
                <w:sz w:val="21"/>
                <w:highlight w:val="none"/>
              </w:rPr>
            </w:pPr>
          </w:p>
        </w:tc>
        <w:tc>
          <w:tcPr>
            <w:tcW w:w="1339" w:type="dxa"/>
            <w:vAlign w:val="top"/>
          </w:tcPr>
          <w:p w14:paraId="6B83CC91">
            <w:pPr>
              <w:rPr>
                <w:rFonts w:ascii="Arial"/>
                <w:color w:val="auto"/>
                <w:sz w:val="21"/>
                <w:highlight w:val="none"/>
              </w:rPr>
            </w:pPr>
          </w:p>
        </w:tc>
        <w:tc>
          <w:tcPr>
            <w:tcW w:w="1344" w:type="dxa"/>
            <w:vAlign w:val="top"/>
          </w:tcPr>
          <w:p w14:paraId="295D13BB">
            <w:pPr>
              <w:rPr>
                <w:rFonts w:ascii="Arial"/>
                <w:color w:val="auto"/>
                <w:sz w:val="21"/>
                <w:highlight w:val="none"/>
              </w:rPr>
            </w:pPr>
          </w:p>
        </w:tc>
        <w:tc>
          <w:tcPr>
            <w:tcW w:w="1344" w:type="dxa"/>
            <w:vAlign w:val="top"/>
          </w:tcPr>
          <w:p w14:paraId="5A6AC64A">
            <w:pPr>
              <w:rPr>
                <w:rFonts w:ascii="Arial"/>
                <w:color w:val="auto"/>
                <w:sz w:val="21"/>
                <w:highlight w:val="none"/>
              </w:rPr>
            </w:pPr>
          </w:p>
        </w:tc>
        <w:tc>
          <w:tcPr>
            <w:tcW w:w="1349" w:type="dxa"/>
            <w:vAlign w:val="top"/>
          </w:tcPr>
          <w:p w14:paraId="2AC43715">
            <w:pPr>
              <w:rPr>
                <w:rFonts w:ascii="Arial"/>
                <w:color w:val="auto"/>
                <w:sz w:val="21"/>
                <w:highlight w:val="none"/>
              </w:rPr>
            </w:pPr>
          </w:p>
        </w:tc>
        <w:tc>
          <w:tcPr>
            <w:tcW w:w="1781" w:type="dxa"/>
            <w:vAlign w:val="top"/>
          </w:tcPr>
          <w:p w14:paraId="2C7FAB47">
            <w:pPr>
              <w:rPr>
                <w:rFonts w:ascii="Arial"/>
                <w:color w:val="auto"/>
                <w:sz w:val="21"/>
                <w:highlight w:val="none"/>
              </w:rPr>
            </w:pPr>
          </w:p>
        </w:tc>
      </w:tr>
      <w:tr w14:paraId="33CCF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1EE07698">
            <w:pPr>
              <w:pStyle w:val="11"/>
              <w:spacing w:before="209" w:line="182" w:lineRule="auto"/>
              <w:ind w:left="346"/>
              <w:rPr>
                <w:color w:val="auto"/>
                <w:highlight w:val="none"/>
              </w:rPr>
            </w:pPr>
            <w:r>
              <w:rPr>
                <w:color w:val="auto"/>
                <w:highlight w:val="none"/>
              </w:rPr>
              <w:t>2</w:t>
            </w:r>
          </w:p>
        </w:tc>
        <w:tc>
          <w:tcPr>
            <w:tcW w:w="1790" w:type="dxa"/>
            <w:vAlign w:val="top"/>
          </w:tcPr>
          <w:p w14:paraId="77A7B59E">
            <w:pPr>
              <w:rPr>
                <w:rFonts w:ascii="Arial"/>
                <w:color w:val="auto"/>
                <w:sz w:val="21"/>
                <w:highlight w:val="none"/>
              </w:rPr>
            </w:pPr>
          </w:p>
        </w:tc>
        <w:tc>
          <w:tcPr>
            <w:tcW w:w="1339" w:type="dxa"/>
            <w:vAlign w:val="top"/>
          </w:tcPr>
          <w:p w14:paraId="07E7E738">
            <w:pPr>
              <w:rPr>
                <w:rFonts w:ascii="Arial"/>
                <w:color w:val="auto"/>
                <w:sz w:val="21"/>
                <w:highlight w:val="none"/>
              </w:rPr>
            </w:pPr>
          </w:p>
        </w:tc>
        <w:tc>
          <w:tcPr>
            <w:tcW w:w="1339" w:type="dxa"/>
            <w:vAlign w:val="top"/>
          </w:tcPr>
          <w:p w14:paraId="53A11B98">
            <w:pPr>
              <w:rPr>
                <w:rFonts w:ascii="Arial"/>
                <w:color w:val="auto"/>
                <w:sz w:val="21"/>
                <w:highlight w:val="none"/>
              </w:rPr>
            </w:pPr>
          </w:p>
        </w:tc>
        <w:tc>
          <w:tcPr>
            <w:tcW w:w="1344" w:type="dxa"/>
            <w:vAlign w:val="top"/>
          </w:tcPr>
          <w:p w14:paraId="2DD40FEB">
            <w:pPr>
              <w:rPr>
                <w:rFonts w:ascii="Arial"/>
                <w:color w:val="auto"/>
                <w:sz w:val="21"/>
                <w:highlight w:val="none"/>
              </w:rPr>
            </w:pPr>
          </w:p>
        </w:tc>
        <w:tc>
          <w:tcPr>
            <w:tcW w:w="1339" w:type="dxa"/>
            <w:vAlign w:val="top"/>
          </w:tcPr>
          <w:p w14:paraId="1EBC9DB3">
            <w:pPr>
              <w:rPr>
                <w:rFonts w:ascii="Arial"/>
                <w:color w:val="auto"/>
                <w:sz w:val="21"/>
                <w:highlight w:val="none"/>
              </w:rPr>
            </w:pPr>
          </w:p>
        </w:tc>
        <w:tc>
          <w:tcPr>
            <w:tcW w:w="1344" w:type="dxa"/>
            <w:vAlign w:val="top"/>
          </w:tcPr>
          <w:p w14:paraId="726E2E17">
            <w:pPr>
              <w:rPr>
                <w:rFonts w:ascii="Arial"/>
                <w:color w:val="auto"/>
                <w:sz w:val="21"/>
                <w:highlight w:val="none"/>
              </w:rPr>
            </w:pPr>
          </w:p>
        </w:tc>
        <w:tc>
          <w:tcPr>
            <w:tcW w:w="1344" w:type="dxa"/>
            <w:vAlign w:val="top"/>
          </w:tcPr>
          <w:p w14:paraId="6EC32724">
            <w:pPr>
              <w:rPr>
                <w:rFonts w:ascii="Arial"/>
                <w:color w:val="auto"/>
                <w:sz w:val="21"/>
                <w:highlight w:val="none"/>
              </w:rPr>
            </w:pPr>
          </w:p>
        </w:tc>
        <w:tc>
          <w:tcPr>
            <w:tcW w:w="1349" w:type="dxa"/>
            <w:vAlign w:val="top"/>
          </w:tcPr>
          <w:p w14:paraId="192C651A">
            <w:pPr>
              <w:rPr>
                <w:rFonts w:ascii="Arial"/>
                <w:color w:val="auto"/>
                <w:sz w:val="21"/>
                <w:highlight w:val="none"/>
              </w:rPr>
            </w:pPr>
          </w:p>
        </w:tc>
        <w:tc>
          <w:tcPr>
            <w:tcW w:w="1781" w:type="dxa"/>
            <w:vAlign w:val="top"/>
          </w:tcPr>
          <w:p w14:paraId="723C2B60">
            <w:pPr>
              <w:rPr>
                <w:rFonts w:ascii="Arial"/>
                <w:color w:val="auto"/>
                <w:sz w:val="21"/>
                <w:highlight w:val="none"/>
              </w:rPr>
            </w:pPr>
          </w:p>
        </w:tc>
      </w:tr>
      <w:tr w14:paraId="6F44D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395DC8CD">
            <w:pPr>
              <w:pStyle w:val="11"/>
              <w:spacing w:before="205" w:line="182" w:lineRule="auto"/>
              <w:ind w:left="348"/>
              <w:rPr>
                <w:color w:val="auto"/>
                <w:highlight w:val="none"/>
              </w:rPr>
            </w:pPr>
            <w:r>
              <w:rPr>
                <w:color w:val="auto"/>
                <w:highlight w:val="none"/>
              </w:rPr>
              <w:t>3</w:t>
            </w:r>
          </w:p>
        </w:tc>
        <w:tc>
          <w:tcPr>
            <w:tcW w:w="1790" w:type="dxa"/>
            <w:vAlign w:val="top"/>
          </w:tcPr>
          <w:p w14:paraId="34C020DE">
            <w:pPr>
              <w:rPr>
                <w:rFonts w:ascii="Arial"/>
                <w:color w:val="auto"/>
                <w:sz w:val="21"/>
                <w:highlight w:val="none"/>
              </w:rPr>
            </w:pPr>
          </w:p>
        </w:tc>
        <w:tc>
          <w:tcPr>
            <w:tcW w:w="1339" w:type="dxa"/>
            <w:vAlign w:val="top"/>
          </w:tcPr>
          <w:p w14:paraId="32FEB94A">
            <w:pPr>
              <w:rPr>
                <w:rFonts w:ascii="Arial"/>
                <w:color w:val="auto"/>
                <w:sz w:val="21"/>
                <w:highlight w:val="none"/>
              </w:rPr>
            </w:pPr>
          </w:p>
        </w:tc>
        <w:tc>
          <w:tcPr>
            <w:tcW w:w="1339" w:type="dxa"/>
            <w:vAlign w:val="top"/>
          </w:tcPr>
          <w:p w14:paraId="21437EBB">
            <w:pPr>
              <w:rPr>
                <w:rFonts w:ascii="Arial"/>
                <w:color w:val="auto"/>
                <w:sz w:val="21"/>
                <w:highlight w:val="none"/>
              </w:rPr>
            </w:pPr>
          </w:p>
        </w:tc>
        <w:tc>
          <w:tcPr>
            <w:tcW w:w="1344" w:type="dxa"/>
            <w:vAlign w:val="top"/>
          </w:tcPr>
          <w:p w14:paraId="22F19BF5">
            <w:pPr>
              <w:rPr>
                <w:rFonts w:ascii="Arial"/>
                <w:color w:val="auto"/>
                <w:sz w:val="21"/>
                <w:highlight w:val="none"/>
              </w:rPr>
            </w:pPr>
          </w:p>
        </w:tc>
        <w:tc>
          <w:tcPr>
            <w:tcW w:w="1339" w:type="dxa"/>
            <w:vAlign w:val="top"/>
          </w:tcPr>
          <w:p w14:paraId="1791FC89">
            <w:pPr>
              <w:rPr>
                <w:rFonts w:ascii="Arial"/>
                <w:color w:val="auto"/>
                <w:sz w:val="21"/>
                <w:highlight w:val="none"/>
              </w:rPr>
            </w:pPr>
          </w:p>
        </w:tc>
        <w:tc>
          <w:tcPr>
            <w:tcW w:w="1344" w:type="dxa"/>
            <w:vAlign w:val="top"/>
          </w:tcPr>
          <w:p w14:paraId="4F70FAE4">
            <w:pPr>
              <w:rPr>
                <w:rFonts w:ascii="Arial"/>
                <w:color w:val="auto"/>
                <w:sz w:val="21"/>
                <w:highlight w:val="none"/>
              </w:rPr>
            </w:pPr>
          </w:p>
        </w:tc>
        <w:tc>
          <w:tcPr>
            <w:tcW w:w="1344" w:type="dxa"/>
            <w:vAlign w:val="top"/>
          </w:tcPr>
          <w:p w14:paraId="1CAE1632">
            <w:pPr>
              <w:rPr>
                <w:rFonts w:ascii="Arial"/>
                <w:color w:val="auto"/>
                <w:sz w:val="21"/>
                <w:highlight w:val="none"/>
              </w:rPr>
            </w:pPr>
          </w:p>
        </w:tc>
        <w:tc>
          <w:tcPr>
            <w:tcW w:w="1349" w:type="dxa"/>
            <w:vAlign w:val="top"/>
          </w:tcPr>
          <w:p w14:paraId="60A13D61">
            <w:pPr>
              <w:rPr>
                <w:rFonts w:ascii="Arial"/>
                <w:color w:val="auto"/>
                <w:sz w:val="21"/>
                <w:highlight w:val="none"/>
              </w:rPr>
            </w:pPr>
          </w:p>
        </w:tc>
        <w:tc>
          <w:tcPr>
            <w:tcW w:w="1781" w:type="dxa"/>
            <w:vAlign w:val="top"/>
          </w:tcPr>
          <w:p w14:paraId="11B55849">
            <w:pPr>
              <w:rPr>
                <w:rFonts w:ascii="Arial"/>
                <w:color w:val="auto"/>
                <w:sz w:val="21"/>
                <w:highlight w:val="none"/>
              </w:rPr>
            </w:pPr>
          </w:p>
        </w:tc>
      </w:tr>
      <w:tr w14:paraId="3F0B8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660D8E25">
            <w:pPr>
              <w:pStyle w:val="11"/>
              <w:spacing w:before="206" w:line="182" w:lineRule="auto"/>
              <w:ind w:left="343"/>
              <w:rPr>
                <w:color w:val="auto"/>
                <w:highlight w:val="none"/>
              </w:rPr>
            </w:pPr>
            <w:r>
              <w:rPr>
                <w:color w:val="auto"/>
                <w:highlight w:val="none"/>
              </w:rPr>
              <w:t>4</w:t>
            </w:r>
          </w:p>
        </w:tc>
        <w:tc>
          <w:tcPr>
            <w:tcW w:w="1790" w:type="dxa"/>
            <w:vAlign w:val="top"/>
          </w:tcPr>
          <w:p w14:paraId="07650DB0">
            <w:pPr>
              <w:rPr>
                <w:rFonts w:ascii="Arial"/>
                <w:color w:val="auto"/>
                <w:sz w:val="21"/>
                <w:highlight w:val="none"/>
              </w:rPr>
            </w:pPr>
          </w:p>
        </w:tc>
        <w:tc>
          <w:tcPr>
            <w:tcW w:w="1339" w:type="dxa"/>
            <w:vAlign w:val="top"/>
          </w:tcPr>
          <w:p w14:paraId="66CBB654">
            <w:pPr>
              <w:rPr>
                <w:rFonts w:ascii="Arial"/>
                <w:color w:val="auto"/>
                <w:sz w:val="21"/>
                <w:highlight w:val="none"/>
              </w:rPr>
            </w:pPr>
          </w:p>
        </w:tc>
        <w:tc>
          <w:tcPr>
            <w:tcW w:w="1339" w:type="dxa"/>
            <w:vAlign w:val="top"/>
          </w:tcPr>
          <w:p w14:paraId="14460AD4">
            <w:pPr>
              <w:rPr>
                <w:rFonts w:ascii="Arial"/>
                <w:color w:val="auto"/>
                <w:sz w:val="21"/>
                <w:highlight w:val="none"/>
              </w:rPr>
            </w:pPr>
          </w:p>
        </w:tc>
        <w:tc>
          <w:tcPr>
            <w:tcW w:w="1344" w:type="dxa"/>
            <w:vAlign w:val="top"/>
          </w:tcPr>
          <w:p w14:paraId="25344188">
            <w:pPr>
              <w:rPr>
                <w:rFonts w:ascii="Arial"/>
                <w:color w:val="auto"/>
                <w:sz w:val="21"/>
                <w:highlight w:val="none"/>
              </w:rPr>
            </w:pPr>
          </w:p>
        </w:tc>
        <w:tc>
          <w:tcPr>
            <w:tcW w:w="1339" w:type="dxa"/>
            <w:vAlign w:val="top"/>
          </w:tcPr>
          <w:p w14:paraId="097F13C8">
            <w:pPr>
              <w:rPr>
                <w:rFonts w:ascii="Arial"/>
                <w:color w:val="auto"/>
                <w:sz w:val="21"/>
                <w:highlight w:val="none"/>
              </w:rPr>
            </w:pPr>
          </w:p>
        </w:tc>
        <w:tc>
          <w:tcPr>
            <w:tcW w:w="1344" w:type="dxa"/>
            <w:vAlign w:val="top"/>
          </w:tcPr>
          <w:p w14:paraId="3DB78073">
            <w:pPr>
              <w:rPr>
                <w:rFonts w:ascii="Arial"/>
                <w:color w:val="auto"/>
                <w:sz w:val="21"/>
                <w:highlight w:val="none"/>
              </w:rPr>
            </w:pPr>
          </w:p>
        </w:tc>
        <w:tc>
          <w:tcPr>
            <w:tcW w:w="1344" w:type="dxa"/>
            <w:vAlign w:val="top"/>
          </w:tcPr>
          <w:p w14:paraId="7B84CD3B">
            <w:pPr>
              <w:rPr>
                <w:rFonts w:ascii="Arial"/>
                <w:color w:val="auto"/>
                <w:sz w:val="21"/>
                <w:highlight w:val="none"/>
              </w:rPr>
            </w:pPr>
          </w:p>
        </w:tc>
        <w:tc>
          <w:tcPr>
            <w:tcW w:w="1349" w:type="dxa"/>
            <w:vAlign w:val="top"/>
          </w:tcPr>
          <w:p w14:paraId="30F2ECDC">
            <w:pPr>
              <w:rPr>
                <w:rFonts w:ascii="Arial"/>
                <w:color w:val="auto"/>
                <w:sz w:val="21"/>
                <w:highlight w:val="none"/>
              </w:rPr>
            </w:pPr>
          </w:p>
        </w:tc>
        <w:tc>
          <w:tcPr>
            <w:tcW w:w="1781" w:type="dxa"/>
            <w:vAlign w:val="top"/>
          </w:tcPr>
          <w:p w14:paraId="2E537C86">
            <w:pPr>
              <w:rPr>
                <w:rFonts w:ascii="Arial"/>
                <w:color w:val="auto"/>
                <w:sz w:val="21"/>
                <w:highlight w:val="none"/>
              </w:rPr>
            </w:pPr>
          </w:p>
        </w:tc>
      </w:tr>
      <w:tr w14:paraId="0BF4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0B60173F">
            <w:pPr>
              <w:pStyle w:val="11"/>
              <w:spacing w:before="208" w:line="181" w:lineRule="auto"/>
              <w:ind w:left="348"/>
              <w:rPr>
                <w:color w:val="auto"/>
                <w:highlight w:val="none"/>
              </w:rPr>
            </w:pPr>
            <w:r>
              <w:rPr>
                <w:color w:val="auto"/>
                <w:highlight w:val="none"/>
              </w:rPr>
              <w:t>5</w:t>
            </w:r>
          </w:p>
        </w:tc>
        <w:tc>
          <w:tcPr>
            <w:tcW w:w="1790" w:type="dxa"/>
            <w:vAlign w:val="top"/>
          </w:tcPr>
          <w:p w14:paraId="7DF805E8">
            <w:pPr>
              <w:rPr>
                <w:rFonts w:ascii="Arial"/>
                <w:color w:val="auto"/>
                <w:sz w:val="21"/>
                <w:highlight w:val="none"/>
              </w:rPr>
            </w:pPr>
          </w:p>
        </w:tc>
        <w:tc>
          <w:tcPr>
            <w:tcW w:w="1339" w:type="dxa"/>
            <w:vAlign w:val="top"/>
          </w:tcPr>
          <w:p w14:paraId="3DBE0506">
            <w:pPr>
              <w:rPr>
                <w:rFonts w:ascii="Arial"/>
                <w:color w:val="auto"/>
                <w:sz w:val="21"/>
                <w:highlight w:val="none"/>
              </w:rPr>
            </w:pPr>
          </w:p>
        </w:tc>
        <w:tc>
          <w:tcPr>
            <w:tcW w:w="1339" w:type="dxa"/>
            <w:vAlign w:val="top"/>
          </w:tcPr>
          <w:p w14:paraId="1AFE4CC2">
            <w:pPr>
              <w:rPr>
                <w:rFonts w:ascii="Arial"/>
                <w:color w:val="auto"/>
                <w:sz w:val="21"/>
                <w:highlight w:val="none"/>
              </w:rPr>
            </w:pPr>
          </w:p>
        </w:tc>
        <w:tc>
          <w:tcPr>
            <w:tcW w:w="1344" w:type="dxa"/>
            <w:vAlign w:val="top"/>
          </w:tcPr>
          <w:p w14:paraId="728221AE">
            <w:pPr>
              <w:rPr>
                <w:rFonts w:ascii="Arial"/>
                <w:color w:val="auto"/>
                <w:sz w:val="21"/>
                <w:highlight w:val="none"/>
              </w:rPr>
            </w:pPr>
          </w:p>
        </w:tc>
        <w:tc>
          <w:tcPr>
            <w:tcW w:w="1339" w:type="dxa"/>
            <w:vAlign w:val="top"/>
          </w:tcPr>
          <w:p w14:paraId="34057F80">
            <w:pPr>
              <w:rPr>
                <w:rFonts w:ascii="Arial"/>
                <w:color w:val="auto"/>
                <w:sz w:val="21"/>
                <w:highlight w:val="none"/>
              </w:rPr>
            </w:pPr>
          </w:p>
        </w:tc>
        <w:tc>
          <w:tcPr>
            <w:tcW w:w="1344" w:type="dxa"/>
            <w:vAlign w:val="top"/>
          </w:tcPr>
          <w:p w14:paraId="4FF65ED0">
            <w:pPr>
              <w:rPr>
                <w:rFonts w:ascii="Arial"/>
                <w:color w:val="auto"/>
                <w:sz w:val="21"/>
                <w:highlight w:val="none"/>
              </w:rPr>
            </w:pPr>
          </w:p>
        </w:tc>
        <w:tc>
          <w:tcPr>
            <w:tcW w:w="1344" w:type="dxa"/>
            <w:vAlign w:val="top"/>
          </w:tcPr>
          <w:p w14:paraId="3AE0EAF5">
            <w:pPr>
              <w:rPr>
                <w:rFonts w:ascii="Arial"/>
                <w:color w:val="auto"/>
                <w:sz w:val="21"/>
                <w:highlight w:val="none"/>
              </w:rPr>
            </w:pPr>
          </w:p>
        </w:tc>
        <w:tc>
          <w:tcPr>
            <w:tcW w:w="1349" w:type="dxa"/>
            <w:vAlign w:val="top"/>
          </w:tcPr>
          <w:p w14:paraId="632489B7">
            <w:pPr>
              <w:rPr>
                <w:rFonts w:ascii="Arial"/>
                <w:color w:val="auto"/>
                <w:sz w:val="21"/>
                <w:highlight w:val="none"/>
              </w:rPr>
            </w:pPr>
          </w:p>
        </w:tc>
        <w:tc>
          <w:tcPr>
            <w:tcW w:w="1781" w:type="dxa"/>
            <w:vAlign w:val="top"/>
          </w:tcPr>
          <w:p w14:paraId="7A3D5823">
            <w:pPr>
              <w:rPr>
                <w:rFonts w:ascii="Arial"/>
                <w:color w:val="auto"/>
                <w:sz w:val="21"/>
                <w:highlight w:val="none"/>
              </w:rPr>
            </w:pPr>
          </w:p>
        </w:tc>
      </w:tr>
      <w:tr w14:paraId="09A24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4A50096A">
            <w:pPr>
              <w:pStyle w:val="11"/>
              <w:spacing w:before="207" w:line="182" w:lineRule="auto"/>
              <w:ind w:left="345"/>
              <w:rPr>
                <w:color w:val="auto"/>
                <w:highlight w:val="none"/>
              </w:rPr>
            </w:pPr>
            <w:r>
              <w:rPr>
                <w:color w:val="auto"/>
                <w:highlight w:val="none"/>
              </w:rPr>
              <w:t>6</w:t>
            </w:r>
          </w:p>
        </w:tc>
        <w:tc>
          <w:tcPr>
            <w:tcW w:w="1790" w:type="dxa"/>
            <w:vAlign w:val="top"/>
          </w:tcPr>
          <w:p w14:paraId="361D3C14">
            <w:pPr>
              <w:rPr>
                <w:rFonts w:ascii="Arial"/>
                <w:color w:val="auto"/>
                <w:sz w:val="21"/>
                <w:highlight w:val="none"/>
              </w:rPr>
            </w:pPr>
          </w:p>
        </w:tc>
        <w:tc>
          <w:tcPr>
            <w:tcW w:w="1339" w:type="dxa"/>
            <w:vAlign w:val="top"/>
          </w:tcPr>
          <w:p w14:paraId="3521E4BB">
            <w:pPr>
              <w:rPr>
                <w:rFonts w:ascii="Arial"/>
                <w:color w:val="auto"/>
                <w:sz w:val="21"/>
                <w:highlight w:val="none"/>
              </w:rPr>
            </w:pPr>
          </w:p>
        </w:tc>
        <w:tc>
          <w:tcPr>
            <w:tcW w:w="1339" w:type="dxa"/>
            <w:vAlign w:val="top"/>
          </w:tcPr>
          <w:p w14:paraId="37AB7453">
            <w:pPr>
              <w:rPr>
                <w:rFonts w:ascii="Arial"/>
                <w:color w:val="auto"/>
                <w:sz w:val="21"/>
                <w:highlight w:val="none"/>
              </w:rPr>
            </w:pPr>
          </w:p>
        </w:tc>
        <w:tc>
          <w:tcPr>
            <w:tcW w:w="1344" w:type="dxa"/>
            <w:vAlign w:val="top"/>
          </w:tcPr>
          <w:p w14:paraId="2A54B7FC">
            <w:pPr>
              <w:rPr>
                <w:rFonts w:ascii="Arial"/>
                <w:color w:val="auto"/>
                <w:sz w:val="21"/>
                <w:highlight w:val="none"/>
              </w:rPr>
            </w:pPr>
          </w:p>
        </w:tc>
        <w:tc>
          <w:tcPr>
            <w:tcW w:w="1339" w:type="dxa"/>
            <w:vAlign w:val="top"/>
          </w:tcPr>
          <w:p w14:paraId="6105517A">
            <w:pPr>
              <w:rPr>
                <w:rFonts w:ascii="Arial"/>
                <w:color w:val="auto"/>
                <w:sz w:val="21"/>
                <w:highlight w:val="none"/>
              </w:rPr>
            </w:pPr>
          </w:p>
        </w:tc>
        <w:tc>
          <w:tcPr>
            <w:tcW w:w="1344" w:type="dxa"/>
            <w:vAlign w:val="top"/>
          </w:tcPr>
          <w:p w14:paraId="690F846A">
            <w:pPr>
              <w:rPr>
                <w:rFonts w:ascii="Arial"/>
                <w:color w:val="auto"/>
                <w:sz w:val="21"/>
                <w:highlight w:val="none"/>
              </w:rPr>
            </w:pPr>
          </w:p>
        </w:tc>
        <w:tc>
          <w:tcPr>
            <w:tcW w:w="1344" w:type="dxa"/>
            <w:vAlign w:val="top"/>
          </w:tcPr>
          <w:p w14:paraId="7EAA14E4">
            <w:pPr>
              <w:rPr>
                <w:rFonts w:ascii="Arial"/>
                <w:color w:val="auto"/>
                <w:sz w:val="21"/>
                <w:highlight w:val="none"/>
              </w:rPr>
            </w:pPr>
          </w:p>
        </w:tc>
        <w:tc>
          <w:tcPr>
            <w:tcW w:w="1349" w:type="dxa"/>
            <w:vAlign w:val="top"/>
          </w:tcPr>
          <w:p w14:paraId="084BE553">
            <w:pPr>
              <w:rPr>
                <w:rFonts w:ascii="Arial"/>
                <w:color w:val="auto"/>
                <w:sz w:val="21"/>
                <w:highlight w:val="none"/>
              </w:rPr>
            </w:pPr>
          </w:p>
        </w:tc>
        <w:tc>
          <w:tcPr>
            <w:tcW w:w="1781" w:type="dxa"/>
            <w:vAlign w:val="top"/>
          </w:tcPr>
          <w:p w14:paraId="65D0DDE9">
            <w:pPr>
              <w:rPr>
                <w:rFonts w:ascii="Arial"/>
                <w:color w:val="auto"/>
                <w:sz w:val="21"/>
                <w:highlight w:val="none"/>
              </w:rPr>
            </w:pPr>
          </w:p>
        </w:tc>
      </w:tr>
      <w:tr w14:paraId="451DF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91" w:type="dxa"/>
            <w:vAlign w:val="top"/>
          </w:tcPr>
          <w:p w14:paraId="02E19A76">
            <w:pPr>
              <w:pStyle w:val="11"/>
              <w:spacing w:before="172" w:line="333" w:lineRule="exact"/>
              <w:ind w:left="203"/>
              <w:rPr>
                <w:color w:val="auto"/>
                <w:highlight w:val="none"/>
              </w:rPr>
            </w:pPr>
            <w:r>
              <w:rPr>
                <w:color w:val="auto"/>
                <w:spacing w:val="-10"/>
                <w:position w:val="2"/>
                <w:highlight w:val="none"/>
              </w:rPr>
              <w:t>……</w:t>
            </w:r>
          </w:p>
        </w:tc>
        <w:tc>
          <w:tcPr>
            <w:tcW w:w="1790" w:type="dxa"/>
            <w:vAlign w:val="top"/>
          </w:tcPr>
          <w:p w14:paraId="2876B7CA">
            <w:pPr>
              <w:rPr>
                <w:rFonts w:ascii="Arial"/>
                <w:color w:val="auto"/>
                <w:sz w:val="21"/>
                <w:highlight w:val="none"/>
              </w:rPr>
            </w:pPr>
          </w:p>
        </w:tc>
        <w:tc>
          <w:tcPr>
            <w:tcW w:w="1339" w:type="dxa"/>
            <w:vAlign w:val="top"/>
          </w:tcPr>
          <w:p w14:paraId="2E02A72B">
            <w:pPr>
              <w:rPr>
                <w:rFonts w:ascii="Arial"/>
                <w:color w:val="auto"/>
                <w:sz w:val="21"/>
                <w:highlight w:val="none"/>
              </w:rPr>
            </w:pPr>
          </w:p>
        </w:tc>
        <w:tc>
          <w:tcPr>
            <w:tcW w:w="1339" w:type="dxa"/>
            <w:vAlign w:val="top"/>
          </w:tcPr>
          <w:p w14:paraId="5FC3CEFC">
            <w:pPr>
              <w:rPr>
                <w:rFonts w:ascii="Arial"/>
                <w:color w:val="auto"/>
                <w:sz w:val="21"/>
                <w:highlight w:val="none"/>
              </w:rPr>
            </w:pPr>
          </w:p>
        </w:tc>
        <w:tc>
          <w:tcPr>
            <w:tcW w:w="1344" w:type="dxa"/>
            <w:vAlign w:val="top"/>
          </w:tcPr>
          <w:p w14:paraId="0A0DCC6F">
            <w:pPr>
              <w:rPr>
                <w:rFonts w:ascii="Arial"/>
                <w:color w:val="auto"/>
                <w:sz w:val="21"/>
                <w:highlight w:val="none"/>
              </w:rPr>
            </w:pPr>
          </w:p>
        </w:tc>
        <w:tc>
          <w:tcPr>
            <w:tcW w:w="1339" w:type="dxa"/>
            <w:vAlign w:val="top"/>
          </w:tcPr>
          <w:p w14:paraId="796C1260">
            <w:pPr>
              <w:rPr>
                <w:rFonts w:ascii="Arial"/>
                <w:color w:val="auto"/>
                <w:sz w:val="21"/>
                <w:highlight w:val="none"/>
              </w:rPr>
            </w:pPr>
          </w:p>
        </w:tc>
        <w:tc>
          <w:tcPr>
            <w:tcW w:w="1344" w:type="dxa"/>
            <w:vAlign w:val="top"/>
          </w:tcPr>
          <w:p w14:paraId="75D400F8">
            <w:pPr>
              <w:rPr>
                <w:rFonts w:ascii="Arial"/>
                <w:color w:val="auto"/>
                <w:sz w:val="21"/>
                <w:highlight w:val="none"/>
              </w:rPr>
            </w:pPr>
          </w:p>
        </w:tc>
        <w:tc>
          <w:tcPr>
            <w:tcW w:w="1344" w:type="dxa"/>
            <w:vAlign w:val="top"/>
          </w:tcPr>
          <w:p w14:paraId="738F747D">
            <w:pPr>
              <w:rPr>
                <w:rFonts w:ascii="Arial"/>
                <w:color w:val="auto"/>
                <w:sz w:val="21"/>
                <w:highlight w:val="none"/>
              </w:rPr>
            </w:pPr>
          </w:p>
        </w:tc>
        <w:tc>
          <w:tcPr>
            <w:tcW w:w="1349" w:type="dxa"/>
            <w:vAlign w:val="top"/>
          </w:tcPr>
          <w:p w14:paraId="2B9A362B">
            <w:pPr>
              <w:rPr>
                <w:rFonts w:ascii="Arial"/>
                <w:color w:val="auto"/>
                <w:sz w:val="21"/>
                <w:highlight w:val="none"/>
              </w:rPr>
            </w:pPr>
          </w:p>
        </w:tc>
        <w:tc>
          <w:tcPr>
            <w:tcW w:w="1781" w:type="dxa"/>
            <w:vAlign w:val="top"/>
          </w:tcPr>
          <w:p w14:paraId="76D66D3B">
            <w:pPr>
              <w:rPr>
                <w:rFonts w:ascii="Arial"/>
                <w:color w:val="auto"/>
                <w:sz w:val="21"/>
                <w:highlight w:val="none"/>
              </w:rPr>
            </w:pPr>
          </w:p>
        </w:tc>
      </w:tr>
      <w:tr w14:paraId="58A44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760" w:type="dxa"/>
            <w:gridSpan w:val="10"/>
            <w:vAlign w:val="top"/>
          </w:tcPr>
          <w:p w14:paraId="6F9243CD">
            <w:pPr>
              <w:pStyle w:val="11"/>
              <w:spacing w:before="32" w:line="221" w:lineRule="auto"/>
              <w:ind w:left="114"/>
              <w:rPr>
                <w:color w:val="auto"/>
                <w:highlight w:val="none"/>
              </w:rPr>
            </w:pPr>
            <w:r>
              <w:rPr>
                <w:color w:val="auto"/>
                <w:spacing w:val="-5"/>
                <w:highlight w:val="none"/>
              </w:rPr>
              <w:t>技术标评委签名：</w:t>
            </w:r>
          </w:p>
        </w:tc>
      </w:tr>
    </w:tbl>
    <w:p w14:paraId="4B5FB4DE">
      <w:pPr>
        <w:spacing w:before="29" w:line="221" w:lineRule="auto"/>
        <w:ind w:left="11630"/>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日期：</w:t>
      </w:r>
      <w:r>
        <w:rPr>
          <w:rFonts w:ascii="宋体" w:hAnsi="宋体" w:eastAsia="宋体" w:cs="宋体"/>
          <w:color w:val="auto"/>
          <w:spacing w:val="52"/>
          <w:sz w:val="21"/>
          <w:szCs w:val="21"/>
          <w:highlight w:val="none"/>
        </w:rPr>
        <w:t xml:space="preserve">  </w:t>
      </w:r>
      <w:r>
        <w:rPr>
          <w:rFonts w:ascii="宋体" w:hAnsi="宋体" w:eastAsia="宋体" w:cs="宋体"/>
          <w:color w:val="auto"/>
          <w:spacing w:val="-26"/>
          <w:sz w:val="21"/>
          <w:szCs w:val="21"/>
          <w:highlight w:val="none"/>
        </w:rPr>
        <w:t>年</w:t>
      </w:r>
      <w:r>
        <w:rPr>
          <w:rFonts w:ascii="宋体" w:hAnsi="宋体" w:eastAsia="宋体" w:cs="宋体"/>
          <w:color w:val="auto"/>
          <w:spacing w:val="31"/>
          <w:sz w:val="21"/>
          <w:szCs w:val="21"/>
          <w:highlight w:val="none"/>
        </w:rPr>
        <w:t xml:space="preserve">  </w:t>
      </w:r>
      <w:r>
        <w:rPr>
          <w:rFonts w:ascii="宋体" w:hAnsi="宋体" w:eastAsia="宋体" w:cs="宋体"/>
          <w:color w:val="auto"/>
          <w:spacing w:val="-26"/>
          <w:sz w:val="21"/>
          <w:szCs w:val="21"/>
          <w:highlight w:val="none"/>
        </w:rPr>
        <w:t>月</w:t>
      </w:r>
      <w:r>
        <w:rPr>
          <w:rFonts w:ascii="宋体" w:hAnsi="宋体" w:eastAsia="宋体" w:cs="宋体"/>
          <w:color w:val="auto"/>
          <w:spacing w:val="23"/>
          <w:sz w:val="21"/>
          <w:szCs w:val="21"/>
          <w:highlight w:val="none"/>
        </w:rPr>
        <w:t xml:space="preserve">  </w:t>
      </w:r>
      <w:r>
        <w:rPr>
          <w:rFonts w:ascii="宋体" w:hAnsi="宋体" w:eastAsia="宋体" w:cs="宋体"/>
          <w:color w:val="auto"/>
          <w:spacing w:val="-26"/>
          <w:sz w:val="21"/>
          <w:szCs w:val="21"/>
          <w:highlight w:val="none"/>
        </w:rPr>
        <w:t>日</w:t>
      </w:r>
    </w:p>
    <w:p w14:paraId="0D9D3BAB">
      <w:pPr>
        <w:spacing w:line="221" w:lineRule="auto"/>
        <w:rPr>
          <w:rFonts w:ascii="宋体" w:hAnsi="宋体" w:eastAsia="宋体" w:cs="宋体"/>
          <w:color w:val="auto"/>
          <w:sz w:val="21"/>
          <w:szCs w:val="21"/>
          <w:highlight w:val="none"/>
        </w:rPr>
        <w:sectPr>
          <w:footerReference r:id="rId90" w:type="default"/>
          <w:pgSz w:w="16839" w:h="11905"/>
          <w:pgMar w:top="1011" w:right="1531" w:bottom="991" w:left="1449" w:header="0" w:footer="786" w:gutter="0"/>
          <w:pgNumType w:fmt="decimal"/>
          <w:cols w:space="720" w:num="1"/>
        </w:sectPr>
      </w:pPr>
    </w:p>
    <w:p w14:paraId="38F76118">
      <w:pPr>
        <w:pStyle w:val="3"/>
        <w:spacing w:line="272" w:lineRule="auto"/>
        <w:rPr>
          <w:color w:val="auto"/>
          <w:highlight w:val="none"/>
        </w:rPr>
      </w:pPr>
    </w:p>
    <w:p w14:paraId="427BAFA9">
      <w:pPr>
        <w:pStyle w:val="3"/>
        <w:spacing w:line="272" w:lineRule="auto"/>
        <w:rPr>
          <w:color w:val="auto"/>
          <w:highlight w:val="none"/>
        </w:rPr>
      </w:pPr>
    </w:p>
    <w:p w14:paraId="40306703">
      <w:pPr>
        <w:pStyle w:val="3"/>
        <w:spacing w:line="272" w:lineRule="auto"/>
        <w:rPr>
          <w:color w:val="auto"/>
          <w:highlight w:val="none"/>
        </w:rPr>
      </w:pPr>
    </w:p>
    <w:p w14:paraId="2CA515F0">
      <w:pPr>
        <w:spacing w:before="78" w:line="219" w:lineRule="auto"/>
        <w:ind w:left="27"/>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61"/>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4"/>
          <w:sz w:val="24"/>
          <w:szCs w:val="24"/>
          <w:highlight w:val="none"/>
        </w:rPr>
        <w:t>12</w:t>
      </w:r>
      <w:r>
        <w:rPr>
          <w:rFonts w:ascii="黑体" w:hAnsi="黑体" w:eastAsia="黑体" w:cs="黑体"/>
          <w:color w:val="auto"/>
          <w:spacing w:val="-4"/>
          <w:sz w:val="24"/>
          <w:szCs w:val="24"/>
          <w:highlight w:val="none"/>
        </w:rPr>
        <w:t>：技术标评审记录表（个人）</w:t>
      </w:r>
    </w:p>
    <w:p w14:paraId="668A04DD">
      <w:pPr>
        <w:spacing w:before="288" w:line="219" w:lineRule="auto"/>
        <w:ind w:left="4839"/>
        <w:rPr>
          <w:rFonts w:ascii="黑体" w:hAnsi="黑体" w:eastAsia="黑体" w:cs="黑体"/>
          <w:color w:val="auto"/>
          <w:sz w:val="36"/>
          <w:szCs w:val="36"/>
          <w:highlight w:val="none"/>
        </w:rPr>
      </w:pPr>
      <w:r>
        <w:rPr>
          <w:rFonts w:ascii="黑体" w:hAnsi="黑体" w:eastAsia="黑体" w:cs="黑体"/>
          <w:color w:val="auto"/>
          <w:spacing w:val="-4"/>
          <w:sz w:val="36"/>
          <w:szCs w:val="36"/>
          <w:highlight w:val="none"/>
        </w:rPr>
        <w:t>技术标评审记录表（个人）</w:t>
      </w:r>
    </w:p>
    <w:p w14:paraId="20535F05">
      <w:pPr>
        <w:spacing w:before="234" w:line="221" w:lineRule="auto"/>
        <w:ind w:left="13"/>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48A3230D">
      <w:pPr>
        <w:spacing w:before="22" w:line="214" w:lineRule="auto"/>
        <w:ind w:left="1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3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203"/>
        <w:gridCol w:w="557"/>
        <w:gridCol w:w="556"/>
        <w:gridCol w:w="552"/>
        <w:gridCol w:w="557"/>
        <w:gridCol w:w="557"/>
        <w:gridCol w:w="556"/>
        <w:gridCol w:w="557"/>
        <w:gridCol w:w="557"/>
        <w:gridCol w:w="552"/>
        <w:gridCol w:w="557"/>
        <w:gridCol w:w="557"/>
        <w:gridCol w:w="557"/>
        <w:gridCol w:w="557"/>
        <w:gridCol w:w="552"/>
        <w:gridCol w:w="556"/>
        <w:gridCol w:w="557"/>
        <w:gridCol w:w="557"/>
        <w:gridCol w:w="470"/>
        <w:gridCol w:w="1200"/>
      </w:tblGrid>
      <w:tr w14:paraId="5E25F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Merge w:val="restart"/>
            <w:tcBorders>
              <w:bottom w:val="nil"/>
            </w:tcBorders>
            <w:textDirection w:val="tbRlV"/>
            <w:vAlign w:val="top"/>
          </w:tcPr>
          <w:p w14:paraId="7413E474">
            <w:pPr>
              <w:pStyle w:val="11"/>
              <w:spacing w:before="210" w:line="211" w:lineRule="auto"/>
              <w:ind w:left="663"/>
              <w:rPr>
                <w:color w:val="auto"/>
                <w:highlight w:val="none"/>
              </w:rPr>
            </w:pPr>
            <w:bookmarkStart w:id="198" w:name="bookmark226"/>
            <w:bookmarkEnd w:id="198"/>
            <w:r>
              <w:rPr>
                <w:color w:val="auto"/>
                <w:spacing w:val="1"/>
                <w:highlight w:val="none"/>
                <w14:textOutline w14:w="3831" w14:cap="flat" w14:cmpd="sng">
                  <w14:solidFill>
                    <w14:srgbClr w14:val="000000"/>
                  </w14:solidFill>
                  <w14:prstDash w14:val="solid"/>
                  <w14:miter w14:val="0"/>
                </w14:textOutline>
              </w:rPr>
              <w:t>序</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2203" w:type="dxa"/>
            <w:vMerge w:val="restart"/>
            <w:tcBorders>
              <w:bottom w:val="nil"/>
            </w:tcBorders>
            <w:vAlign w:val="top"/>
          </w:tcPr>
          <w:p w14:paraId="5A5126A9">
            <w:pPr>
              <w:spacing w:line="241" w:lineRule="auto"/>
              <w:rPr>
                <w:rFonts w:ascii="Arial"/>
                <w:color w:val="auto"/>
                <w:sz w:val="21"/>
                <w:highlight w:val="none"/>
              </w:rPr>
            </w:pPr>
          </w:p>
          <w:p w14:paraId="6C075211">
            <w:pPr>
              <w:spacing w:line="242" w:lineRule="auto"/>
              <w:rPr>
                <w:rFonts w:ascii="Arial"/>
                <w:color w:val="auto"/>
                <w:sz w:val="21"/>
                <w:highlight w:val="none"/>
              </w:rPr>
            </w:pPr>
          </w:p>
          <w:p w14:paraId="02AC9A94">
            <w:pPr>
              <w:spacing w:line="242" w:lineRule="auto"/>
              <w:rPr>
                <w:rFonts w:ascii="Arial"/>
                <w:color w:val="auto"/>
                <w:sz w:val="21"/>
                <w:highlight w:val="none"/>
              </w:rPr>
            </w:pPr>
          </w:p>
          <w:p w14:paraId="35F2634C">
            <w:pPr>
              <w:pStyle w:val="11"/>
              <w:spacing w:before="69" w:line="221" w:lineRule="auto"/>
              <w:ind w:left="582"/>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9921" w:type="dxa"/>
            <w:gridSpan w:val="18"/>
            <w:vAlign w:val="top"/>
          </w:tcPr>
          <w:p w14:paraId="6A3CECB7">
            <w:pPr>
              <w:pStyle w:val="11"/>
              <w:spacing w:before="33" w:line="221" w:lineRule="auto"/>
              <w:ind w:left="4017"/>
              <w:rPr>
                <w:color w:val="auto"/>
                <w:highlight w:val="none"/>
              </w:rPr>
            </w:pPr>
            <w:r>
              <w:rPr>
                <w:color w:val="auto"/>
                <w:highlight w:val="none"/>
                <w14:textOutline w14:w="3831" w14:cap="flat" w14:cmpd="sng">
                  <w14:solidFill>
                    <w14:srgbClr w14:val="000000"/>
                  </w14:solidFill>
                  <w14:prstDash w14:val="solid"/>
                  <w14:miter w14:val="0"/>
                </w14:textOutline>
              </w:rPr>
              <w:t>评审因素及评审得分</w:t>
            </w:r>
          </w:p>
        </w:tc>
        <w:tc>
          <w:tcPr>
            <w:tcW w:w="1200" w:type="dxa"/>
            <w:vMerge w:val="restart"/>
            <w:tcBorders>
              <w:bottom w:val="nil"/>
            </w:tcBorders>
            <w:vAlign w:val="top"/>
          </w:tcPr>
          <w:p w14:paraId="5A365595">
            <w:pPr>
              <w:spacing w:line="241" w:lineRule="auto"/>
              <w:rPr>
                <w:rFonts w:ascii="Arial"/>
                <w:color w:val="auto"/>
                <w:sz w:val="21"/>
                <w:highlight w:val="none"/>
              </w:rPr>
            </w:pPr>
          </w:p>
          <w:p w14:paraId="7EE85E7F">
            <w:pPr>
              <w:spacing w:line="241" w:lineRule="auto"/>
              <w:rPr>
                <w:rFonts w:ascii="Arial"/>
                <w:color w:val="auto"/>
                <w:sz w:val="21"/>
                <w:highlight w:val="none"/>
              </w:rPr>
            </w:pPr>
          </w:p>
          <w:p w14:paraId="768702D9">
            <w:pPr>
              <w:spacing w:line="242" w:lineRule="auto"/>
              <w:rPr>
                <w:rFonts w:ascii="Arial"/>
                <w:color w:val="auto"/>
                <w:sz w:val="21"/>
                <w:highlight w:val="none"/>
              </w:rPr>
            </w:pPr>
          </w:p>
          <w:p w14:paraId="05910FF6">
            <w:pPr>
              <w:pStyle w:val="11"/>
              <w:spacing w:before="69" w:line="221" w:lineRule="auto"/>
              <w:ind w:left="397"/>
              <w:rPr>
                <w:color w:val="auto"/>
                <w:highlight w:val="none"/>
              </w:rPr>
            </w:pPr>
            <w:r>
              <w:rPr>
                <w:color w:val="auto"/>
                <w:spacing w:val="-2"/>
                <w:highlight w:val="none"/>
                <w14:textOutline w14:w="3831" w14:cap="flat" w14:cmpd="sng">
                  <w14:solidFill>
                    <w14:srgbClr w14:val="000000"/>
                  </w14:solidFill>
                  <w14:prstDash w14:val="solid"/>
                  <w14:miter w14:val="0"/>
                </w14:textOutline>
              </w:rPr>
              <w:t>得分</w:t>
            </w:r>
          </w:p>
        </w:tc>
      </w:tr>
      <w:tr w14:paraId="05D3A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38" w:type="dxa"/>
            <w:vMerge w:val="continue"/>
            <w:tcBorders>
              <w:top w:val="nil"/>
              <w:bottom w:val="nil"/>
            </w:tcBorders>
            <w:textDirection w:val="tbRlV"/>
            <w:vAlign w:val="top"/>
          </w:tcPr>
          <w:p w14:paraId="13F4B1D4">
            <w:pPr>
              <w:rPr>
                <w:rFonts w:ascii="Arial"/>
                <w:color w:val="auto"/>
                <w:sz w:val="21"/>
                <w:highlight w:val="none"/>
              </w:rPr>
            </w:pPr>
          </w:p>
        </w:tc>
        <w:tc>
          <w:tcPr>
            <w:tcW w:w="2203" w:type="dxa"/>
            <w:vMerge w:val="continue"/>
            <w:tcBorders>
              <w:top w:val="nil"/>
              <w:bottom w:val="nil"/>
            </w:tcBorders>
            <w:vAlign w:val="top"/>
          </w:tcPr>
          <w:p w14:paraId="2F4DE05B">
            <w:pPr>
              <w:rPr>
                <w:rFonts w:ascii="Arial"/>
                <w:color w:val="auto"/>
                <w:sz w:val="21"/>
                <w:highlight w:val="none"/>
              </w:rPr>
            </w:pPr>
          </w:p>
        </w:tc>
        <w:tc>
          <w:tcPr>
            <w:tcW w:w="1113" w:type="dxa"/>
            <w:gridSpan w:val="2"/>
            <w:vAlign w:val="top"/>
          </w:tcPr>
          <w:p w14:paraId="5145ABA2">
            <w:pPr>
              <w:rPr>
                <w:rFonts w:ascii="Arial"/>
                <w:color w:val="auto"/>
                <w:sz w:val="21"/>
                <w:highlight w:val="none"/>
              </w:rPr>
            </w:pPr>
          </w:p>
        </w:tc>
        <w:tc>
          <w:tcPr>
            <w:tcW w:w="1109" w:type="dxa"/>
            <w:gridSpan w:val="2"/>
            <w:vAlign w:val="top"/>
          </w:tcPr>
          <w:p w14:paraId="57D896E6">
            <w:pPr>
              <w:rPr>
                <w:rFonts w:ascii="Arial"/>
                <w:color w:val="auto"/>
                <w:sz w:val="21"/>
                <w:highlight w:val="none"/>
              </w:rPr>
            </w:pPr>
          </w:p>
        </w:tc>
        <w:tc>
          <w:tcPr>
            <w:tcW w:w="1113" w:type="dxa"/>
            <w:gridSpan w:val="2"/>
            <w:vAlign w:val="top"/>
          </w:tcPr>
          <w:p w14:paraId="05033DA8">
            <w:pPr>
              <w:rPr>
                <w:rFonts w:ascii="Arial"/>
                <w:color w:val="auto"/>
                <w:sz w:val="21"/>
                <w:highlight w:val="none"/>
              </w:rPr>
            </w:pPr>
          </w:p>
        </w:tc>
        <w:tc>
          <w:tcPr>
            <w:tcW w:w="1114" w:type="dxa"/>
            <w:gridSpan w:val="2"/>
            <w:vAlign w:val="top"/>
          </w:tcPr>
          <w:p w14:paraId="028F69F3">
            <w:pPr>
              <w:rPr>
                <w:rFonts w:ascii="Arial"/>
                <w:color w:val="auto"/>
                <w:sz w:val="21"/>
                <w:highlight w:val="none"/>
              </w:rPr>
            </w:pPr>
          </w:p>
        </w:tc>
        <w:tc>
          <w:tcPr>
            <w:tcW w:w="1109" w:type="dxa"/>
            <w:gridSpan w:val="2"/>
            <w:vAlign w:val="top"/>
          </w:tcPr>
          <w:p w14:paraId="383FF6F1">
            <w:pPr>
              <w:rPr>
                <w:rFonts w:ascii="Arial"/>
                <w:color w:val="auto"/>
                <w:sz w:val="21"/>
                <w:highlight w:val="none"/>
              </w:rPr>
            </w:pPr>
          </w:p>
        </w:tc>
        <w:tc>
          <w:tcPr>
            <w:tcW w:w="1114" w:type="dxa"/>
            <w:gridSpan w:val="2"/>
            <w:vAlign w:val="top"/>
          </w:tcPr>
          <w:p w14:paraId="1093587B">
            <w:pPr>
              <w:rPr>
                <w:rFonts w:ascii="Arial"/>
                <w:color w:val="auto"/>
                <w:sz w:val="21"/>
                <w:highlight w:val="none"/>
              </w:rPr>
            </w:pPr>
          </w:p>
        </w:tc>
        <w:tc>
          <w:tcPr>
            <w:tcW w:w="1109" w:type="dxa"/>
            <w:gridSpan w:val="2"/>
            <w:vAlign w:val="top"/>
          </w:tcPr>
          <w:p w14:paraId="7E90F5DF">
            <w:pPr>
              <w:rPr>
                <w:rFonts w:ascii="Arial"/>
                <w:color w:val="auto"/>
                <w:sz w:val="21"/>
                <w:highlight w:val="none"/>
              </w:rPr>
            </w:pPr>
          </w:p>
        </w:tc>
        <w:tc>
          <w:tcPr>
            <w:tcW w:w="1113" w:type="dxa"/>
            <w:gridSpan w:val="2"/>
            <w:vAlign w:val="top"/>
          </w:tcPr>
          <w:p w14:paraId="5B902A7E">
            <w:pPr>
              <w:rPr>
                <w:rFonts w:ascii="Arial"/>
                <w:color w:val="auto"/>
                <w:sz w:val="21"/>
                <w:highlight w:val="none"/>
              </w:rPr>
            </w:pPr>
          </w:p>
        </w:tc>
        <w:tc>
          <w:tcPr>
            <w:tcW w:w="1027" w:type="dxa"/>
            <w:gridSpan w:val="2"/>
            <w:vAlign w:val="top"/>
          </w:tcPr>
          <w:p w14:paraId="68DA6AF3">
            <w:pPr>
              <w:rPr>
                <w:rFonts w:ascii="Arial"/>
                <w:color w:val="auto"/>
                <w:sz w:val="21"/>
                <w:highlight w:val="none"/>
              </w:rPr>
            </w:pPr>
          </w:p>
        </w:tc>
        <w:tc>
          <w:tcPr>
            <w:tcW w:w="1200" w:type="dxa"/>
            <w:vMerge w:val="continue"/>
            <w:tcBorders>
              <w:top w:val="nil"/>
              <w:bottom w:val="nil"/>
            </w:tcBorders>
            <w:vAlign w:val="top"/>
          </w:tcPr>
          <w:p w14:paraId="253E66CF">
            <w:pPr>
              <w:rPr>
                <w:rFonts w:ascii="Arial"/>
                <w:color w:val="auto"/>
                <w:sz w:val="21"/>
                <w:highlight w:val="none"/>
              </w:rPr>
            </w:pPr>
          </w:p>
        </w:tc>
      </w:tr>
      <w:tr w14:paraId="4B2DA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8" w:type="dxa"/>
            <w:vMerge w:val="continue"/>
            <w:tcBorders>
              <w:top w:val="nil"/>
            </w:tcBorders>
            <w:textDirection w:val="tbRlV"/>
            <w:vAlign w:val="top"/>
          </w:tcPr>
          <w:p w14:paraId="4598E1CE">
            <w:pPr>
              <w:rPr>
                <w:rFonts w:ascii="Arial"/>
                <w:color w:val="auto"/>
                <w:sz w:val="21"/>
                <w:highlight w:val="none"/>
              </w:rPr>
            </w:pPr>
          </w:p>
        </w:tc>
        <w:tc>
          <w:tcPr>
            <w:tcW w:w="2203" w:type="dxa"/>
            <w:vMerge w:val="continue"/>
            <w:tcBorders>
              <w:top w:val="nil"/>
            </w:tcBorders>
            <w:vAlign w:val="top"/>
          </w:tcPr>
          <w:p w14:paraId="697C7DD1">
            <w:pPr>
              <w:rPr>
                <w:rFonts w:ascii="Arial"/>
                <w:color w:val="auto"/>
                <w:sz w:val="21"/>
                <w:highlight w:val="none"/>
              </w:rPr>
            </w:pPr>
          </w:p>
        </w:tc>
        <w:tc>
          <w:tcPr>
            <w:tcW w:w="557" w:type="dxa"/>
            <w:textDirection w:val="tbRlV"/>
            <w:vAlign w:val="top"/>
          </w:tcPr>
          <w:p w14:paraId="24959827">
            <w:pPr>
              <w:pStyle w:val="11"/>
              <w:spacing w:before="171"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14:paraId="08179AB5">
            <w:pPr>
              <w:pStyle w:val="11"/>
              <w:spacing w:before="175"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14:paraId="15069A52">
            <w:pPr>
              <w:pStyle w:val="11"/>
              <w:spacing w:before="170"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766AD632">
            <w:pPr>
              <w:pStyle w:val="11"/>
              <w:spacing w:before="170"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2D3D6ACC">
            <w:pPr>
              <w:pStyle w:val="11"/>
              <w:spacing w:before="170"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14:paraId="2FE06E98">
            <w:pPr>
              <w:pStyle w:val="11"/>
              <w:spacing w:before="169"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65D51310">
            <w:pPr>
              <w:pStyle w:val="11"/>
              <w:spacing w:before="169"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55AD5FA8">
            <w:pPr>
              <w:pStyle w:val="11"/>
              <w:spacing w:before="174"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14:paraId="342A64EB">
            <w:pPr>
              <w:pStyle w:val="11"/>
              <w:spacing w:before="169"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4EAB6725">
            <w:pPr>
              <w:pStyle w:val="11"/>
              <w:spacing w:before="169"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5FA1BB78">
            <w:pPr>
              <w:pStyle w:val="11"/>
              <w:spacing w:before="169"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1890953F">
            <w:pPr>
              <w:pStyle w:val="11"/>
              <w:spacing w:before="169"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152306B9">
            <w:pPr>
              <w:pStyle w:val="11"/>
              <w:spacing w:before="174"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2" w:type="dxa"/>
            <w:textDirection w:val="tbRlV"/>
            <w:vAlign w:val="top"/>
          </w:tcPr>
          <w:p w14:paraId="33335988">
            <w:pPr>
              <w:pStyle w:val="11"/>
              <w:spacing w:before="169"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6" w:type="dxa"/>
            <w:textDirection w:val="tbRlV"/>
            <w:vAlign w:val="top"/>
          </w:tcPr>
          <w:p w14:paraId="2CE67361">
            <w:pPr>
              <w:pStyle w:val="11"/>
              <w:spacing w:before="168"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450DBBDD">
            <w:pPr>
              <w:pStyle w:val="11"/>
              <w:spacing w:before="168"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6E33BC05">
            <w:pPr>
              <w:pStyle w:val="11"/>
              <w:spacing w:before="168"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470" w:type="dxa"/>
            <w:textDirection w:val="tbRlV"/>
            <w:vAlign w:val="top"/>
          </w:tcPr>
          <w:p w14:paraId="4E896CA1">
            <w:pPr>
              <w:pStyle w:val="11"/>
              <w:spacing w:before="125"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1200" w:type="dxa"/>
            <w:vMerge w:val="continue"/>
            <w:tcBorders>
              <w:top w:val="nil"/>
            </w:tcBorders>
            <w:vAlign w:val="top"/>
          </w:tcPr>
          <w:p w14:paraId="660ECA7F">
            <w:pPr>
              <w:rPr>
                <w:rFonts w:ascii="Arial"/>
                <w:color w:val="auto"/>
                <w:sz w:val="21"/>
                <w:highlight w:val="none"/>
              </w:rPr>
            </w:pPr>
          </w:p>
        </w:tc>
      </w:tr>
      <w:tr w14:paraId="5373F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6C170D2D">
            <w:pPr>
              <w:pStyle w:val="11"/>
              <w:spacing w:before="209" w:line="183" w:lineRule="auto"/>
              <w:ind w:left="287"/>
              <w:rPr>
                <w:color w:val="auto"/>
                <w:highlight w:val="none"/>
              </w:rPr>
            </w:pPr>
            <w:r>
              <w:rPr>
                <w:color w:val="auto"/>
                <w:highlight w:val="none"/>
              </w:rPr>
              <w:t>1</w:t>
            </w:r>
          </w:p>
        </w:tc>
        <w:tc>
          <w:tcPr>
            <w:tcW w:w="2203" w:type="dxa"/>
            <w:vAlign w:val="top"/>
          </w:tcPr>
          <w:p w14:paraId="77A602CD">
            <w:pPr>
              <w:rPr>
                <w:rFonts w:ascii="Arial"/>
                <w:color w:val="auto"/>
                <w:sz w:val="21"/>
                <w:highlight w:val="none"/>
              </w:rPr>
            </w:pPr>
          </w:p>
        </w:tc>
        <w:tc>
          <w:tcPr>
            <w:tcW w:w="557" w:type="dxa"/>
            <w:vAlign w:val="top"/>
          </w:tcPr>
          <w:p w14:paraId="74F08078">
            <w:pPr>
              <w:rPr>
                <w:rFonts w:ascii="Arial"/>
                <w:color w:val="auto"/>
                <w:sz w:val="21"/>
                <w:highlight w:val="none"/>
              </w:rPr>
            </w:pPr>
          </w:p>
        </w:tc>
        <w:tc>
          <w:tcPr>
            <w:tcW w:w="556" w:type="dxa"/>
            <w:vAlign w:val="top"/>
          </w:tcPr>
          <w:p w14:paraId="6E27F159">
            <w:pPr>
              <w:rPr>
                <w:rFonts w:ascii="Arial"/>
                <w:color w:val="auto"/>
                <w:sz w:val="21"/>
                <w:highlight w:val="none"/>
              </w:rPr>
            </w:pPr>
          </w:p>
        </w:tc>
        <w:tc>
          <w:tcPr>
            <w:tcW w:w="552" w:type="dxa"/>
            <w:vAlign w:val="top"/>
          </w:tcPr>
          <w:p w14:paraId="3CDA7539">
            <w:pPr>
              <w:rPr>
                <w:rFonts w:ascii="Arial"/>
                <w:color w:val="auto"/>
                <w:sz w:val="21"/>
                <w:highlight w:val="none"/>
              </w:rPr>
            </w:pPr>
          </w:p>
        </w:tc>
        <w:tc>
          <w:tcPr>
            <w:tcW w:w="557" w:type="dxa"/>
            <w:vAlign w:val="top"/>
          </w:tcPr>
          <w:p w14:paraId="19C9BE12">
            <w:pPr>
              <w:rPr>
                <w:rFonts w:ascii="Arial"/>
                <w:color w:val="auto"/>
                <w:sz w:val="21"/>
                <w:highlight w:val="none"/>
              </w:rPr>
            </w:pPr>
          </w:p>
        </w:tc>
        <w:tc>
          <w:tcPr>
            <w:tcW w:w="557" w:type="dxa"/>
            <w:vAlign w:val="top"/>
          </w:tcPr>
          <w:p w14:paraId="568980C6">
            <w:pPr>
              <w:rPr>
                <w:rFonts w:ascii="Arial"/>
                <w:color w:val="auto"/>
                <w:sz w:val="21"/>
                <w:highlight w:val="none"/>
              </w:rPr>
            </w:pPr>
          </w:p>
        </w:tc>
        <w:tc>
          <w:tcPr>
            <w:tcW w:w="556" w:type="dxa"/>
            <w:vAlign w:val="top"/>
          </w:tcPr>
          <w:p w14:paraId="321A7490">
            <w:pPr>
              <w:rPr>
                <w:rFonts w:ascii="Arial"/>
                <w:color w:val="auto"/>
                <w:sz w:val="21"/>
                <w:highlight w:val="none"/>
              </w:rPr>
            </w:pPr>
          </w:p>
        </w:tc>
        <w:tc>
          <w:tcPr>
            <w:tcW w:w="557" w:type="dxa"/>
            <w:vAlign w:val="top"/>
          </w:tcPr>
          <w:p w14:paraId="27FA8F7C">
            <w:pPr>
              <w:rPr>
                <w:rFonts w:ascii="Arial"/>
                <w:color w:val="auto"/>
                <w:sz w:val="21"/>
                <w:highlight w:val="none"/>
              </w:rPr>
            </w:pPr>
          </w:p>
        </w:tc>
        <w:tc>
          <w:tcPr>
            <w:tcW w:w="557" w:type="dxa"/>
            <w:vAlign w:val="top"/>
          </w:tcPr>
          <w:p w14:paraId="56CE6618">
            <w:pPr>
              <w:rPr>
                <w:rFonts w:ascii="Arial"/>
                <w:color w:val="auto"/>
                <w:sz w:val="21"/>
                <w:highlight w:val="none"/>
              </w:rPr>
            </w:pPr>
          </w:p>
        </w:tc>
        <w:tc>
          <w:tcPr>
            <w:tcW w:w="552" w:type="dxa"/>
            <w:vAlign w:val="top"/>
          </w:tcPr>
          <w:p w14:paraId="1BA58EFD">
            <w:pPr>
              <w:rPr>
                <w:rFonts w:ascii="Arial"/>
                <w:color w:val="auto"/>
                <w:sz w:val="21"/>
                <w:highlight w:val="none"/>
              </w:rPr>
            </w:pPr>
          </w:p>
        </w:tc>
        <w:tc>
          <w:tcPr>
            <w:tcW w:w="557" w:type="dxa"/>
            <w:vAlign w:val="top"/>
          </w:tcPr>
          <w:p w14:paraId="70D7E317">
            <w:pPr>
              <w:rPr>
                <w:rFonts w:ascii="Arial"/>
                <w:color w:val="auto"/>
                <w:sz w:val="21"/>
                <w:highlight w:val="none"/>
              </w:rPr>
            </w:pPr>
          </w:p>
        </w:tc>
        <w:tc>
          <w:tcPr>
            <w:tcW w:w="557" w:type="dxa"/>
            <w:vAlign w:val="top"/>
          </w:tcPr>
          <w:p w14:paraId="323A52C1">
            <w:pPr>
              <w:rPr>
                <w:rFonts w:ascii="Arial"/>
                <w:color w:val="auto"/>
                <w:sz w:val="21"/>
                <w:highlight w:val="none"/>
              </w:rPr>
            </w:pPr>
          </w:p>
        </w:tc>
        <w:tc>
          <w:tcPr>
            <w:tcW w:w="557" w:type="dxa"/>
            <w:vAlign w:val="top"/>
          </w:tcPr>
          <w:p w14:paraId="34C67953">
            <w:pPr>
              <w:rPr>
                <w:rFonts w:ascii="Arial"/>
                <w:color w:val="auto"/>
                <w:sz w:val="21"/>
                <w:highlight w:val="none"/>
              </w:rPr>
            </w:pPr>
          </w:p>
        </w:tc>
        <w:tc>
          <w:tcPr>
            <w:tcW w:w="557" w:type="dxa"/>
            <w:vAlign w:val="top"/>
          </w:tcPr>
          <w:p w14:paraId="79138835">
            <w:pPr>
              <w:rPr>
                <w:rFonts w:ascii="Arial"/>
                <w:color w:val="auto"/>
                <w:sz w:val="21"/>
                <w:highlight w:val="none"/>
              </w:rPr>
            </w:pPr>
          </w:p>
        </w:tc>
        <w:tc>
          <w:tcPr>
            <w:tcW w:w="552" w:type="dxa"/>
            <w:vAlign w:val="top"/>
          </w:tcPr>
          <w:p w14:paraId="3E7B8DC4">
            <w:pPr>
              <w:rPr>
                <w:rFonts w:ascii="Arial"/>
                <w:color w:val="auto"/>
                <w:sz w:val="21"/>
                <w:highlight w:val="none"/>
              </w:rPr>
            </w:pPr>
          </w:p>
        </w:tc>
        <w:tc>
          <w:tcPr>
            <w:tcW w:w="556" w:type="dxa"/>
            <w:vAlign w:val="top"/>
          </w:tcPr>
          <w:p w14:paraId="4333F673">
            <w:pPr>
              <w:rPr>
                <w:rFonts w:ascii="Arial"/>
                <w:color w:val="auto"/>
                <w:sz w:val="21"/>
                <w:highlight w:val="none"/>
              </w:rPr>
            </w:pPr>
          </w:p>
        </w:tc>
        <w:tc>
          <w:tcPr>
            <w:tcW w:w="557" w:type="dxa"/>
            <w:vAlign w:val="top"/>
          </w:tcPr>
          <w:p w14:paraId="17BD2156">
            <w:pPr>
              <w:rPr>
                <w:rFonts w:ascii="Arial"/>
                <w:color w:val="auto"/>
                <w:sz w:val="21"/>
                <w:highlight w:val="none"/>
              </w:rPr>
            </w:pPr>
          </w:p>
        </w:tc>
        <w:tc>
          <w:tcPr>
            <w:tcW w:w="557" w:type="dxa"/>
            <w:vAlign w:val="top"/>
          </w:tcPr>
          <w:p w14:paraId="50106899">
            <w:pPr>
              <w:rPr>
                <w:rFonts w:ascii="Arial"/>
                <w:color w:val="auto"/>
                <w:sz w:val="21"/>
                <w:highlight w:val="none"/>
              </w:rPr>
            </w:pPr>
          </w:p>
        </w:tc>
        <w:tc>
          <w:tcPr>
            <w:tcW w:w="470" w:type="dxa"/>
            <w:vAlign w:val="top"/>
          </w:tcPr>
          <w:p w14:paraId="28305125">
            <w:pPr>
              <w:rPr>
                <w:rFonts w:ascii="Arial"/>
                <w:color w:val="auto"/>
                <w:sz w:val="21"/>
                <w:highlight w:val="none"/>
              </w:rPr>
            </w:pPr>
          </w:p>
        </w:tc>
        <w:tc>
          <w:tcPr>
            <w:tcW w:w="1200" w:type="dxa"/>
            <w:vAlign w:val="top"/>
          </w:tcPr>
          <w:p w14:paraId="10C54E2A">
            <w:pPr>
              <w:rPr>
                <w:rFonts w:ascii="Arial"/>
                <w:color w:val="auto"/>
                <w:sz w:val="21"/>
                <w:highlight w:val="none"/>
              </w:rPr>
            </w:pPr>
          </w:p>
        </w:tc>
      </w:tr>
      <w:tr w14:paraId="27B97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8" w:type="dxa"/>
            <w:vAlign w:val="top"/>
          </w:tcPr>
          <w:p w14:paraId="4D1542D7">
            <w:pPr>
              <w:pStyle w:val="11"/>
              <w:spacing w:before="215" w:line="182" w:lineRule="auto"/>
              <w:ind w:left="274"/>
              <w:rPr>
                <w:color w:val="auto"/>
                <w:highlight w:val="none"/>
              </w:rPr>
            </w:pPr>
            <w:r>
              <w:rPr>
                <w:color w:val="auto"/>
                <w:highlight w:val="none"/>
              </w:rPr>
              <w:t>2</w:t>
            </w:r>
          </w:p>
        </w:tc>
        <w:tc>
          <w:tcPr>
            <w:tcW w:w="2203" w:type="dxa"/>
            <w:vAlign w:val="top"/>
          </w:tcPr>
          <w:p w14:paraId="0AA26B91">
            <w:pPr>
              <w:rPr>
                <w:rFonts w:ascii="Arial"/>
                <w:color w:val="auto"/>
                <w:sz w:val="21"/>
                <w:highlight w:val="none"/>
              </w:rPr>
            </w:pPr>
          </w:p>
        </w:tc>
        <w:tc>
          <w:tcPr>
            <w:tcW w:w="557" w:type="dxa"/>
            <w:vAlign w:val="top"/>
          </w:tcPr>
          <w:p w14:paraId="7E40AEFF">
            <w:pPr>
              <w:rPr>
                <w:rFonts w:ascii="Arial"/>
                <w:color w:val="auto"/>
                <w:sz w:val="21"/>
                <w:highlight w:val="none"/>
              </w:rPr>
            </w:pPr>
          </w:p>
        </w:tc>
        <w:tc>
          <w:tcPr>
            <w:tcW w:w="556" w:type="dxa"/>
            <w:vAlign w:val="top"/>
          </w:tcPr>
          <w:p w14:paraId="6B067159">
            <w:pPr>
              <w:rPr>
                <w:rFonts w:ascii="Arial"/>
                <w:color w:val="auto"/>
                <w:sz w:val="21"/>
                <w:highlight w:val="none"/>
              </w:rPr>
            </w:pPr>
          </w:p>
        </w:tc>
        <w:tc>
          <w:tcPr>
            <w:tcW w:w="552" w:type="dxa"/>
            <w:vAlign w:val="top"/>
          </w:tcPr>
          <w:p w14:paraId="55E6B320">
            <w:pPr>
              <w:rPr>
                <w:rFonts w:ascii="Arial"/>
                <w:color w:val="auto"/>
                <w:sz w:val="21"/>
                <w:highlight w:val="none"/>
              </w:rPr>
            </w:pPr>
          </w:p>
        </w:tc>
        <w:tc>
          <w:tcPr>
            <w:tcW w:w="557" w:type="dxa"/>
            <w:vAlign w:val="top"/>
          </w:tcPr>
          <w:p w14:paraId="1D9D25F9">
            <w:pPr>
              <w:rPr>
                <w:rFonts w:ascii="Arial"/>
                <w:color w:val="auto"/>
                <w:sz w:val="21"/>
                <w:highlight w:val="none"/>
              </w:rPr>
            </w:pPr>
          </w:p>
        </w:tc>
        <w:tc>
          <w:tcPr>
            <w:tcW w:w="557" w:type="dxa"/>
            <w:vAlign w:val="top"/>
          </w:tcPr>
          <w:p w14:paraId="395CB61D">
            <w:pPr>
              <w:rPr>
                <w:rFonts w:ascii="Arial"/>
                <w:color w:val="auto"/>
                <w:sz w:val="21"/>
                <w:highlight w:val="none"/>
              </w:rPr>
            </w:pPr>
          </w:p>
        </w:tc>
        <w:tc>
          <w:tcPr>
            <w:tcW w:w="556" w:type="dxa"/>
            <w:vAlign w:val="top"/>
          </w:tcPr>
          <w:p w14:paraId="780984B4">
            <w:pPr>
              <w:rPr>
                <w:rFonts w:ascii="Arial"/>
                <w:color w:val="auto"/>
                <w:sz w:val="21"/>
                <w:highlight w:val="none"/>
              </w:rPr>
            </w:pPr>
          </w:p>
        </w:tc>
        <w:tc>
          <w:tcPr>
            <w:tcW w:w="557" w:type="dxa"/>
            <w:vAlign w:val="top"/>
          </w:tcPr>
          <w:p w14:paraId="1EF6BB92">
            <w:pPr>
              <w:rPr>
                <w:rFonts w:ascii="Arial"/>
                <w:color w:val="auto"/>
                <w:sz w:val="21"/>
                <w:highlight w:val="none"/>
              </w:rPr>
            </w:pPr>
          </w:p>
        </w:tc>
        <w:tc>
          <w:tcPr>
            <w:tcW w:w="557" w:type="dxa"/>
            <w:vAlign w:val="top"/>
          </w:tcPr>
          <w:p w14:paraId="64C21410">
            <w:pPr>
              <w:rPr>
                <w:rFonts w:ascii="Arial"/>
                <w:color w:val="auto"/>
                <w:sz w:val="21"/>
                <w:highlight w:val="none"/>
              </w:rPr>
            </w:pPr>
          </w:p>
        </w:tc>
        <w:tc>
          <w:tcPr>
            <w:tcW w:w="552" w:type="dxa"/>
            <w:vAlign w:val="top"/>
          </w:tcPr>
          <w:p w14:paraId="2BC2AC1C">
            <w:pPr>
              <w:rPr>
                <w:rFonts w:ascii="Arial"/>
                <w:color w:val="auto"/>
                <w:sz w:val="21"/>
                <w:highlight w:val="none"/>
              </w:rPr>
            </w:pPr>
          </w:p>
        </w:tc>
        <w:tc>
          <w:tcPr>
            <w:tcW w:w="557" w:type="dxa"/>
            <w:vAlign w:val="top"/>
          </w:tcPr>
          <w:p w14:paraId="7E144D6F">
            <w:pPr>
              <w:rPr>
                <w:rFonts w:ascii="Arial"/>
                <w:color w:val="auto"/>
                <w:sz w:val="21"/>
                <w:highlight w:val="none"/>
              </w:rPr>
            </w:pPr>
          </w:p>
        </w:tc>
        <w:tc>
          <w:tcPr>
            <w:tcW w:w="557" w:type="dxa"/>
            <w:vAlign w:val="top"/>
          </w:tcPr>
          <w:p w14:paraId="54EF8003">
            <w:pPr>
              <w:rPr>
                <w:rFonts w:ascii="Arial"/>
                <w:color w:val="auto"/>
                <w:sz w:val="21"/>
                <w:highlight w:val="none"/>
              </w:rPr>
            </w:pPr>
          </w:p>
        </w:tc>
        <w:tc>
          <w:tcPr>
            <w:tcW w:w="557" w:type="dxa"/>
            <w:vAlign w:val="top"/>
          </w:tcPr>
          <w:p w14:paraId="7D7C80F1">
            <w:pPr>
              <w:rPr>
                <w:rFonts w:ascii="Arial"/>
                <w:color w:val="auto"/>
                <w:sz w:val="21"/>
                <w:highlight w:val="none"/>
              </w:rPr>
            </w:pPr>
          </w:p>
        </w:tc>
        <w:tc>
          <w:tcPr>
            <w:tcW w:w="557" w:type="dxa"/>
            <w:vAlign w:val="top"/>
          </w:tcPr>
          <w:p w14:paraId="26849E07">
            <w:pPr>
              <w:rPr>
                <w:rFonts w:ascii="Arial"/>
                <w:color w:val="auto"/>
                <w:sz w:val="21"/>
                <w:highlight w:val="none"/>
              </w:rPr>
            </w:pPr>
          </w:p>
        </w:tc>
        <w:tc>
          <w:tcPr>
            <w:tcW w:w="552" w:type="dxa"/>
            <w:vAlign w:val="top"/>
          </w:tcPr>
          <w:p w14:paraId="161856A7">
            <w:pPr>
              <w:rPr>
                <w:rFonts w:ascii="Arial"/>
                <w:color w:val="auto"/>
                <w:sz w:val="21"/>
                <w:highlight w:val="none"/>
              </w:rPr>
            </w:pPr>
          </w:p>
        </w:tc>
        <w:tc>
          <w:tcPr>
            <w:tcW w:w="556" w:type="dxa"/>
            <w:vAlign w:val="top"/>
          </w:tcPr>
          <w:p w14:paraId="39B4F539">
            <w:pPr>
              <w:rPr>
                <w:rFonts w:ascii="Arial"/>
                <w:color w:val="auto"/>
                <w:sz w:val="21"/>
                <w:highlight w:val="none"/>
              </w:rPr>
            </w:pPr>
          </w:p>
        </w:tc>
        <w:tc>
          <w:tcPr>
            <w:tcW w:w="557" w:type="dxa"/>
            <w:vAlign w:val="top"/>
          </w:tcPr>
          <w:p w14:paraId="5BDCAB57">
            <w:pPr>
              <w:rPr>
                <w:rFonts w:ascii="Arial"/>
                <w:color w:val="auto"/>
                <w:sz w:val="21"/>
                <w:highlight w:val="none"/>
              </w:rPr>
            </w:pPr>
          </w:p>
        </w:tc>
        <w:tc>
          <w:tcPr>
            <w:tcW w:w="557" w:type="dxa"/>
            <w:vAlign w:val="top"/>
          </w:tcPr>
          <w:p w14:paraId="3C8D707F">
            <w:pPr>
              <w:rPr>
                <w:rFonts w:ascii="Arial"/>
                <w:color w:val="auto"/>
                <w:sz w:val="21"/>
                <w:highlight w:val="none"/>
              </w:rPr>
            </w:pPr>
          </w:p>
        </w:tc>
        <w:tc>
          <w:tcPr>
            <w:tcW w:w="470" w:type="dxa"/>
            <w:vAlign w:val="top"/>
          </w:tcPr>
          <w:p w14:paraId="0D4E4C86">
            <w:pPr>
              <w:rPr>
                <w:rFonts w:ascii="Arial"/>
                <w:color w:val="auto"/>
                <w:sz w:val="21"/>
                <w:highlight w:val="none"/>
              </w:rPr>
            </w:pPr>
          </w:p>
        </w:tc>
        <w:tc>
          <w:tcPr>
            <w:tcW w:w="1200" w:type="dxa"/>
            <w:vAlign w:val="top"/>
          </w:tcPr>
          <w:p w14:paraId="0CCDDF0B">
            <w:pPr>
              <w:rPr>
                <w:rFonts w:ascii="Arial"/>
                <w:color w:val="auto"/>
                <w:sz w:val="21"/>
                <w:highlight w:val="none"/>
              </w:rPr>
            </w:pPr>
          </w:p>
        </w:tc>
      </w:tr>
      <w:tr w14:paraId="01FB2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6DC0F5E0">
            <w:pPr>
              <w:pStyle w:val="11"/>
              <w:spacing w:before="217" w:line="182" w:lineRule="auto"/>
              <w:ind w:left="276"/>
              <w:rPr>
                <w:color w:val="auto"/>
                <w:highlight w:val="none"/>
              </w:rPr>
            </w:pPr>
            <w:r>
              <w:rPr>
                <w:color w:val="auto"/>
                <w:highlight w:val="none"/>
              </w:rPr>
              <w:t>3</w:t>
            </w:r>
          </w:p>
        </w:tc>
        <w:tc>
          <w:tcPr>
            <w:tcW w:w="2203" w:type="dxa"/>
            <w:vAlign w:val="top"/>
          </w:tcPr>
          <w:p w14:paraId="201B65C4">
            <w:pPr>
              <w:rPr>
                <w:rFonts w:ascii="Arial"/>
                <w:color w:val="auto"/>
                <w:sz w:val="21"/>
                <w:highlight w:val="none"/>
              </w:rPr>
            </w:pPr>
          </w:p>
        </w:tc>
        <w:tc>
          <w:tcPr>
            <w:tcW w:w="557" w:type="dxa"/>
            <w:vAlign w:val="top"/>
          </w:tcPr>
          <w:p w14:paraId="4393E523">
            <w:pPr>
              <w:rPr>
                <w:rFonts w:ascii="Arial"/>
                <w:color w:val="auto"/>
                <w:sz w:val="21"/>
                <w:highlight w:val="none"/>
              </w:rPr>
            </w:pPr>
          </w:p>
        </w:tc>
        <w:tc>
          <w:tcPr>
            <w:tcW w:w="556" w:type="dxa"/>
            <w:vAlign w:val="top"/>
          </w:tcPr>
          <w:p w14:paraId="5897DEF9">
            <w:pPr>
              <w:rPr>
                <w:rFonts w:ascii="Arial"/>
                <w:color w:val="auto"/>
                <w:sz w:val="21"/>
                <w:highlight w:val="none"/>
              </w:rPr>
            </w:pPr>
          </w:p>
        </w:tc>
        <w:tc>
          <w:tcPr>
            <w:tcW w:w="552" w:type="dxa"/>
            <w:vAlign w:val="top"/>
          </w:tcPr>
          <w:p w14:paraId="52ADB8D5">
            <w:pPr>
              <w:rPr>
                <w:rFonts w:ascii="Arial"/>
                <w:color w:val="auto"/>
                <w:sz w:val="21"/>
                <w:highlight w:val="none"/>
              </w:rPr>
            </w:pPr>
          </w:p>
        </w:tc>
        <w:tc>
          <w:tcPr>
            <w:tcW w:w="557" w:type="dxa"/>
            <w:vAlign w:val="top"/>
          </w:tcPr>
          <w:p w14:paraId="5B9614F1">
            <w:pPr>
              <w:rPr>
                <w:rFonts w:ascii="Arial"/>
                <w:color w:val="auto"/>
                <w:sz w:val="21"/>
                <w:highlight w:val="none"/>
              </w:rPr>
            </w:pPr>
          </w:p>
        </w:tc>
        <w:tc>
          <w:tcPr>
            <w:tcW w:w="557" w:type="dxa"/>
            <w:vAlign w:val="top"/>
          </w:tcPr>
          <w:p w14:paraId="1EAAFC57">
            <w:pPr>
              <w:rPr>
                <w:rFonts w:ascii="Arial"/>
                <w:color w:val="auto"/>
                <w:sz w:val="21"/>
                <w:highlight w:val="none"/>
              </w:rPr>
            </w:pPr>
          </w:p>
        </w:tc>
        <w:tc>
          <w:tcPr>
            <w:tcW w:w="556" w:type="dxa"/>
            <w:vAlign w:val="top"/>
          </w:tcPr>
          <w:p w14:paraId="4E1F0C57">
            <w:pPr>
              <w:rPr>
                <w:rFonts w:ascii="Arial"/>
                <w:color w:val="auto"/>
                <w:sz w:val="21"/>
                <w:highlight w:val="none"/>
              </w:rPr>
            </w:pPr>
          </w:p>
        </w:tc>
        <w:tc>
          <w:tcPr>
            <w:tcW w:w="557" w:type="dxa"/>
            <w:vAlign w:val="top"/>
          </w:tcPr>
          <w:p w14:paraId="2AAB0CCB">
            <w:pPr>
              <w:rPr>
                <w:rFonts w:ascii="Arial"/>
                <w:color w:val="auto"/>
                <w:sz w:val="21"/>
                <w:highlight w:val="none"/>
              </w:rPr>
            </w:pPr>
          </w:p>
        </w:tc>
        <w:tc>
          <w:tcPr>
            <w:tcW w:w="557" w:type="dxa"/>
            <w:vAlign w:val="top"/>
          </w:tcPr>
          <w:p w14:paraId="7CC88462">
            <w:pPr>
              <w:rPr>
                <w:rFonts w:ascii="Arial"/>
                <w:color w:val="auto"/>
                <w:sz w:val="21"/>
                <w:highlight w:val="none"/>
              </w:rPr>
            </w:pPr>
          </w:p>
        </w:tc>
        <w:tc>
          <w:tcPr>
            <w:tcW w:w="552" w:type="dxa"/>
            <w:vAlign w:val="top"/>
          </w:tcPr>
          <w:p w14:paraId="3583746C">
            <w:pPr>
              <w:rPr>
                <w:rFonts w:ascii="Arial"/>
                <w:color w:val="auto"/>
                <w:sz w:val="21"/>
                <w:highlight w:val="none"/>
              </w:rPr>
            </w:pPr>
          </w:p>
        </w:tc>
        <w:tc>
          <w:tcPr>
            <w:tcW w:w="557" w:type="dxa"/>
            <w:vAlign w:val="top"/>
          </w:tcPr>
          <w:p w14:paraId="50438FA8">
            <w:pPr>
              <w:rPr>
                <w:rFonts w:ascii="Arial"/>
                <w:color w:val="auto"/>
                <w:sz w:val="21"/>
                <w:highlight w:val="none"/>
              </w:rPr>
            </w:pPr>
          </w:p>
        </w:tc>
        <w:tc>
          <w:tcPr>
            <w:tcW w:w="557" w:type="dxa"/>
            <w:vAlign w:val="top"/>
          </w:tcPr>
          <w:p w14:paraId="4FE528C2">
            <w:pPr>
              <w:rPr>
                <w:rFonts w:ascii="Arial"/>
                <w:color w:val="auto"/>
                <w:sz w:val="21"/>
                <w:highlight w:val="none"/>
              </w:rPr>
            </w:pPr>
          </w:p>
        </w:tc>
        <w:tc>
          <w:tcPr>
            <w:tcW w:w="557" w:type="dxa"/>
            <w:vAlign w:val="top"/>
          </w:tcPr>
          <w:p w14:paraId="65D69AAD">
            <w:pPr>
              <w:rPr>
                <w:rFonts w:ascii="Arial"/>
                <w:color w:val="auto"/>
                <w:sz w:val="21"/>
                <w:highlight w:val="none"/>
              </w:rPr>
            </w:pPr>
          </w:p>
        </w:tc>
        <w:tc>
          <w:tcPr>
            <w:tcW w:w="557" w:type="dxa"/>
            <w:vAlign w:val="top"/>
          </w:tcPr>
          <w:p w14:paraId="65406908">
            <w:pPr>
              <w:rPr>
                <w:rFonts w:ascii="Arial"/>
                <w:color w:val="auto"/>
                <w:sz w:val="21"/>
                <w:highlight w:val="none"/>
              </w:rPr>
            </w:pPr>
          </w:p>
        </w:tc>
        <w:tc>
          <w:tcPr>
            <w:tcW w:w="552" w:type="dxa"/>
            <w:vAlign w:val="top"/>
          </w:tcPr>
          <w:p w14:paraId="15BCA2C1">
            <w:pPr>
              <w:rPr>
                <w:rFonts w:ascii="Arial"/>
                <w:color w:val="auto"/>
                <w:sz w:val="21"/>
                <w:highlight w:val="none"/>
              </w:rPr>
            </w:pPr>
          </w:p>
        </w:tc>
        <w:tc>
          <w:tcPr>
            <w:tcW w:w="556" w:type="dxa"/>
            <w:vAlign w:val="top"/>
          </w:tcPr>
          <w:p w14:paraId="5F0988E6">
            <w:pPr>
              <w:rPr>
                <w:rFonts w:ascii="Arial"/>
                <w:color w:val="auto"/>
                <w:sz w:val="21"/>
                <w:highlight w:val="none"/>
              </w:rPr>
            </w:pPr>
          </w:p>
        </w:tc>
        <w:tc>
          <w:tcPr>
            <w:tcW w:w="557" w:type="dxa"/>
            <w:vAlign w:val="top"/>
          </w:tcPr>
          <w:p w14:paraId="3BA0A54C">
            <w:pPr>
              <w:rPr>
                <w:rFonts w:ascii="Arial"/>
                <w:color w:val="auto"/>
                <w:sz w:val="21"/>
                <w:highlight w:val="none"/>
              </w:rPr>
            </w:pPr>
          </w:p>
        </w:tc>
        <w:tc>
          <w:tcPr>
            <w:tcW w:w="557" w:type="dxa"/>
            <w:vAlign w:val="top"/>
          </w:tcPr>
          <w:p w14:paraId="2F263C13">
            <w:pPr>
              <w:rPr>
                <w:rFonts w:ascii="Arial"/>
                <w:color w:val="auto"/>
                <w:sz w:val="21"/>
                <w:highlight w:val="none"/>
              </w:rPr>
            </w:pPr>
          </w:p>
        </w:tc>
        <w:tc>
          <w:tcPr>
            <w:tcW w:w="470" w:type="dxa"/>
            <w:vAlign w:val="top"/>
          </w:tcPr>
          <w:p w14:paraId="6290802B">
            <w:pPr>
              <w:rPr>
                <w:rFonts w:ascii="Arial"/>
                <w:color w:val="auto"/>
                <w:sz w:val="21"/>
                <w:highlight w:val="none"/>
              </w:rPr>
            </w:pPr>
          </w:p>
        </w:tc>
        <w:tc>
          <w:tcPr>
            <w:tcW w:w="1200" w:type="dxa"/>
            <w:vAlign w:val="top"/>
          </w:tcPr>
          <w:p w14:paraId="6038D1EF">
            <w:pPr>
              <w:rPr>
                <w:rFonts w:ascii="Arial"/>
                <w:color w:val="auto"/>
                <w:sz w:val="21"/>
                <w:highlight w:val="none"/>
              </w:rPr>
            </w:pPr>
          </w:p>
        </w:tc>
      </w:tr>
      <w:tr w14:paraId="7617A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4D02F025">
            <w:pPr>
              <w:pStyle w:val="11"/>
              <w:spacing w:before="217" w:line="182" w:lineRule="auto"/>
              <w:ind w:left="271"/>
              <w:rPr>
                <w:color w:val="auto"/>
                <w:highlight w:val="none"/>
              </w:rPr>
            </w:pPr>
            <w:r>
              <w:rPr>
                <w:color w:val="auto"/>
                <w:highlight w:val="none"/>
              </w:rPr>
              <w:t>4</w:t>
            </w:r>
          </w:p>
        </w:tc>
        <w:tc>
          <w:tcPr>
            <w:tcW w:w="2203" w:type="dxa"/>
            <w:vAlign w:val="top"/>
          </w:tcPr>
          <w:p w14:paraId="4053E4D6">
            <w:pPr>
              <w:rPr>
                <w:rFonts w:ascii="Arial"/>
                <w:color w:val="auto"/>
                <w:sz w:val="21"/>
                <w:highlight w:val="none"/>
              </w:rPr>
            </w:pPr>
          </w:p>
        </w:tc>
        <w:tc>
          <w:tcPr>
            <w:tcW w:w="557" w:type="dxa"/>
            <w:vAlign w:val="top"/>
          </w:tcPr>
          <w:p w14:paraId="509617C3">
            <w:pPr>
              <w:rPr>
                <w:rFonts w:ascii="Arial"/>
                <w:color w:val="auto"/>
                <w:sz w:val="21"/>
                <w:highlight w:val="none"/>
              </w:rPr>
            </w:pPr>
          </w:p>
        </w:tc>
        <w:tc>
          <w:tcPr>
            <w:tcW w:w="556" w:type="dxa"/>
            <w:vAlign w:val="top"/>
          </w:tcPr>
          <w:p w14:paraId="2C920769">
            <w:pPr>
              <w:rPr>
                <w:rFonts w:ascii="Arial"/>
                <w:color w:val="auto"/>
                <w:sz w:val="21"/>
                <w:highlight w:val="none"/>
              </w:rPr>
            </w:pPr>
          </w:p>
        </w:tc>
        <w:tc>
          <w:tcPr>
            <w:tcW w:w="552" w:type="dxa"/>
            <w:vAlign w:val="top"/>
          </w:tcPr>
          <w:p w14:paraId="5E208A00">
            <w:pPr>
              <w:rPr>
                <w:rFonts w:ascii="Arial"/>
                <w:color w:val="auto"/>
                <w:sz w:val="21"/>
                <w:highlight w:val="none"/>
              </w:rPr>
            </w:pPr>
          </w:p>
        </w:tc>
        <w:tc>
          <w:tcPr>
            <w:tcW w:w="557" w:type="dxa"/>
            <w:vAlign w:val="top"/>
          </w:tcPr>
          <w:p w14:paraId="3DBBB164">
            <w:pPr>
              <w:rPr>
                <w:rFonts w:ascii="Arial"/>
                <w:color w:val="auto"/>
                <w:sz w:val="21"/>
                <w:highlight w:val="none"/>
              </w:rPr>
            </w:pPr>
          </w:p>
        </w:tc>
        <w:tc>
          <w:tcPr>
            <w:tcW w:w="557" w:type="dxa"/>
            <w:vAlign w:val="top"/>
          </w:tcPr>
          <w:p w14:paraId="59CDA294">
            <w:pPr>
              <w:rPr>
                <w:rFonts w:ascii="Arial"/>
                <w:color w:val="auto"/>
                <w:sz w:val="21"/>
                <w:highlight w:val="none"/>
              </w:rPr>
            </w:pPr>
          </w:p>
        </w:tc>
        <w:tc>
          <w:tcPr>
            <w:tcW w:w="556" w:type="dxa"/>
            <w:vAlign w:val="top"/>
          </w:tcPr>
          <w:p w14:paraId="09B9A042">
            <w:pPr>
              <w:rPr>
                <w:rFonts w:ascii="Arial"/>
                <w:color w:val="auto"/>
                <w:sz w:val="21"/>
                <w:highlight w:val="none"/>
              </w:rPr>
            </w:pPr>
          </w:p>
        </w:tc>
        <w:tc>
          <w:tcPr>
            <w:tcW w:w="557" w:type="dxa"/>
            <w:vAlign w:val="top"/>
          </w:tcPr>
          <w:p w14:paraId="3ACFF0F3">
            <w:pPr>
              <w:rPr>
                <w:rFonts w:ascii="Arial"/>
                <w:color w:val="auto"/>
                <w:sz w:val="21"/>
                <w:highlight w:val="none"/>
              </w:rPr>
            </w:pPr>
          </w:p>
        </w:tc>
        <w:tc>
          <w:tcPr>
            <w:tcW w:w="557" w:type="dxa"/>
            <w:vAlign w:val="top"/>
          </w:tcPr>
          <w:p w14:paraId="13680834">
            <w:pPr>
              <w:rPr>
                <w:rFonts w:ascii="Arial"/>
                <w:color w:val="auto"/>
                <w:sz w:val="21"/>
                <w:highlight w:val="none"/>
              </w:rPr>
            </w:pPr>
          </w:p>
        </w:tc>
        <w:tc>
          <w:tcPr>
            <w:tcW w:w="552" w:type="dxa"/>
            <w:vAlign w:val="top"/>
          </w:tcPr>
          <w:p w14:paraId="7211B191">
            <w:pPr>
              <w:rPr>
                <w:rFonts w:ascii="Arial"/>
                <w:color w:val="auto"/>
                <w:sz w:val="21"/>
                <w:highlight w:val="none"/>
              </w:rPr>
            </w:pPr>
          </w:p>
        </w:tc>
        <w:tc>
          <w:tcPr>
            <w:tcW w:w="557" w:type="dxa"/>
            <w:vAlign w:val="top"/>
          </w:tcPr>
          <w:p w14:paraId="0E0D381B">
            <w:pPr>
              <w:rPr>
                <w:rFonts w:ascii="Arial"/>
                <w:color w:val="auto"/>
                <w:sz w:val="21"/>
                <w:highlight w:val="none"/>
              </w:rPr>
            </w:pPr>
          </w:p>
        </w:tc>
        <w:tc>
          <w:tcPr>
            <w:tcW w:w="557" w:type="dxa"/>
            <w:vAlign w:val="top"/>
          </w:tcPr>
          <w:p w14:paraId="4E9A2CAB">
            <w:pPr>
              <w:rPr>
                <w:rFonts w:ascii="Arial"/>
                <w:color w:val="auto"/>
                <w:sz w:val="21"/>
                <w:highlight w:val="none"/>
              </w:rPr>
            </w:pPr>
          </w:p>
        </w:tc>
        <w:tc>
          <w:tcPr>
            <w:tcW w:w="557" w:type="dxa"/>
            <w:vAlign w:val="top"/>
          </w:tcPr>
          <w:p w14:paraId="158F57ED">
            <w:pPr>
              <w:rPr>
                <w:rFonts w:ascii="Arial"/>
                <w:color w:val="auto"/>
                <w:sz w:val="21"/>
                <w:highlight w:val="none"/>
              </w:rPr>
            </w:pPr>
          </w:p>
        </w:tc>
        <w:tc>
          <w:tcPr>
            <w:tcW w:w="557" w:type="dxa"/>
            <w:vAlign w:val="top"/>
          </w:tcPr>
          <w:p w14:paraId="4EF95812">
            <w:pPr>
              <w:rPr>
                <w:rFonts w:ascii="Arial"/>
                <w:color w:val="auto"/>
                <w:sz w:val="21"/>
                <w:highlight w:val="none"/>
              </w:rPr>
            </w:pPr>
          </w:p>
        </w:tc>
        <w:tc>
          <w:tcPr>
            <w:tcW w:w="552" w:type="dxa"/>
            <w:vAlign w:val="top"/>
          </w:tcPr>
          <w:p w14:paraId="70524885">
            <w:pPr>
              <w:rPr>
                <w:rFonts w:ascii="Arial"/>
                <w:color w:val="auto"/>
                <w:sz w:val="21"/>
                <w:highlight w:val="none"/>
              </w:rPr>
            </w:pPr>
          </w:p>
        </w:tc>
        <w:tc>
          <w:tcPr>
            <w:tcW w:w="556" w:type="dxa"/>
            <w:vAlign w:val="top"/>
          </w:tcPr>
          <w:p w14:paraId="29B1F233">
            <w:pPr>
              <w:rPr>
                <w:rFonts w:ascii="Arial"/>
                <w:color w:val="auto"/>
                <w:sz w:val="21"/>
                <w:highlight w:val="none"/>
              </w:rPr>
            </w:pPr>
          </w:p>
        </w:tc>
        <w:tc>
          <w:tcPr>
            <w:tcW w:w="557" w:type="dxa"/>
            <w:vAlign w:val="top"/>
          </w:tcPr>
          <w:p w14:paraId="27966553">
            <w:pPr>
              <w:rPr>
                <w:rFonts w:ascii="Arial"/>
                <w:color w:val="auto"/>
                <w:sz w:val="21"/>
                <w:highlight w:val="none"/>
              </w:rPr>
            </w:pPr>
          </w:p>
        </w:tc>
        <w:tc>
          <w:tcPr>
            <w:tcW w:w="557" w:type="dxa"/>
            <w:vAlign w:val="top"/>
          </w:tcPr>
          <w:p w14:paraId="7C0A5C14">
            <w:pPr>
              <w:rPr>
                <w:rFonts w:ascii="Arial"/>
                <w:color w:val="auto"/>
                <w:sz w:val="21"/>
                <w:highlight w:val="none"/>
              </w:rPr>
            </w:pPr>
          </w:p>
        </w:tc>
        <w:tc>
          <w:tcPr>
            <w:tcW w:w="470" w:type="dxa"/>
            <w:vAlign w:val="top"/>
          </w:tcPr>
          <w:p w14:paraId="634403B2">
            <w:pPr>
              <w:rPr>
                <w:rFonts w:ascii="Arial"/>
                <w:color w:val="auto"/>
                <w:sz w:val="21"/>
                <w:highlight w:val="none"/>
              </w:rPr>
            </w:pPr>
          </w:p>
        </w:tc>
        <w:tc>
          <w:tcPr>
            <w:tcW w:w="1200" w:type="dxa"/>
            <w:vAlign w:val="top"/>
          </w:tcPr>
          <w:p w14:paraId="7811B4DF">
            <w:pPr>
              <w:rPr>
                <w:rFonts w:ascii="Arial"/>
                <w:color w:val="auto"/>
                <w:sz w:val="21"/>
                <w:highlight w:val="none"/>
              </w:rPr>
            </w:pPr>
          </w:p>
        </w:tc>
      </w:tr>
      <w:tr w14:paraId="711DC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2CEADE29">
            <w:pPr>
              <w:pStyle w:val="11"/>
              <w:spacing w:before="215" w:line="181" w:lineRule="auto"/>
              <w:ind w:left="276"/>
              <w:rPr>
                <w:color w:val="auto"/>
                <w:highlight w:val="none"/>
              </w:rPr>
            </w:pPr>
            <w:r>
              <w:rPr>
                <w:color w:val="auto"/>
                <w:highlight w:val="none"/>
              </w:rPr>
              <w:t>5</w:t>
            </w:r>
          </w:p>
        </w:tc>
        <w:tc>
          <w:tcPr>
            <w:tcW w:w="2203" w:type="dxa"/>
            <w:vAlign w:val="top"/>
          </w:tcPr>
          <w:p w14:paraId="2B6AFE38">
            <w:pPr>
              <w:rPr>
                <w:rFonts w:ascii="Arial"/>
                <w:color w:val="auto"/>
                <w:sz w:val="21"/>
                <w:highlight w:val="none"/>
              </w:rPr>
            </w:pPr>
          </w:p>
        </w:tc>
        <w:tc>
          <w:tcPr>
            <w:tcW w:w="557" w:type="dxa"/>
            <w:vAlign w:val="top"/>
          </w:tcPr>
          <w:p w14:paraId="249C97E9">
            <w:pPr>
              <w:rPr>
                <w:rFonts w:ascii="Arial"/>
                <w:color w:val="auto"/>
                <w:sz w:val="21"/>
                <w:highlight w:val="none"/>
              </w:rPr>
            </w:pPr>
          </w:p>
        </w:tc>
        <w:tc>
          <w:tcPr>
            <w:tcW w:w="556" w:type="dxa"/>
            <w:vAlign w:val="top"/>
          </w:tcPr>
          <w:p w14:paraId="30D5491C">
            <w:pPr>
              <w:rPr>
                <w:rFonts w:ascii="Arial"/>
                <w:color w:val="auto"/>
                <w:sz w:val="21"/>
                <w:highlight w:val="none"/>
              </w:rPr>
            </w:pPr>
          </w:p>
        </w:tc>
        <w:tc>
          <w:tcPr>
            <w:tcW w:w="552" w:type="dxa"/>
            <w:vAlign w:val="top"/>
          </w:tcPr>
          <w:p w14:paraId="60EDA42B">
            <w:pPr>
              <w:rPr>
                <w:rFonts w:ascii="Arial"/>
                <w:color w:val="auto"/>
                <w:sz w:val="21"/>
                <w:highlight w:val="none"/>
              </w:rPr>
            </w:pPr>
          </w:p>
        </w:tc>
        <w:tc>
          <w:tcPr>
            <w:tcW w:w="557" w:type="dxa"/>
            <w:vAlign w:val="top"/>
          </w:tcPr>
          <w:p w14:paraId="3C1C7458">
            <w:pPr>
              <w:rPr>
                <w:rFonts w:ascii="Arial"/>
                <w:color w:val="auto"/>
                <w:sz w:val="21"/>
                <w:highlight w:val="none"/>
              </w:rPr>
            </w:pPr>
          </w:p>
        </w:tc>
        <w:tc>
          <w:tcPr>
            <w:tcW w:w="557" w:type="dxa"/>
            <w:vAlign w:val="top"/>
          </w:tcPr>
          <w:p w14:paraId="2EC9BE24">
            <w:pPr>
              <w:rPr>
                <w:rFonts w:ascii="Arial"/>
                <w:color w:val="auto"/>
                <w:sz w:val="21"/>
                <w:highlight w:val="none"/>
              </w:rPr>
            </w:pPr>
          </w:p>
        </w:tc>
        <w:tc>
          <w:tcPr>
            <w:tcW w:w="556" w:type="dxa"/>
            <w:vAlign w:val="top"/>
          </w:tcPr>
          <w:p w14:paraId="0FB6D397">
            <w:pPr>
              <w:rPr>
                <w:rFonts w:ascii="Arial"/>
                <w:color w:val="auto"/>
                <w:sz w:val="21"/>
                <w:highlight w:val="none"/>
              </w:rPr>
            </w:pPr>
          </w:p>
        </w:tc>
        <w:tc>
          <w:tcPr>
            <w:tcW w:w="557" w:type="dxa"/>
            <w:vAlign w:val="top"/>
          </w:tcPr>
          <w:p w14:paraId="3568BB7C">
            <w:pPr>
              <w:rPr>
                <w:rFonts w:ascii="Arial"/>
                <w:color w:val="auto"/>
                <w:sz w:val="21"/>
                <w:highlight w:val="none"/>
              </w:rPr>
            </w:pPr>
          </w:p>
        </w:tc>
        <w:tc>
          <w:tcPr>
            <w:tcW w:w="557" w:type="dxa"/>
            <w:vAlign w:val="top"/>
          </w:tcPr>
          <w:p w14:paraId="0E948AB7">
            <w:pPr>
              <w:rPr>
                <w:rFonts w:ascii="Arial"/>
                <w:color w:val="auto"/>
                <w:sz w:val="21"/>
                <w:highlight w:val="none"/>
              </w:rPr>
            </w:pPr>
          </w:p>
        </w:tc>
        <w:tc>
          <w:tcPr>
            <w:tcW w:w="552" w:type="dxa"/>
            <w:vAlign w:val="top"/>
          </w:tcPr>
          <w:p w14:paraId="4620334A">
            <w:pPr>
              <w:rPr>
                <w:rFonts w:ascii="Arial"/>
                <w:color w:val="auto"/>
                <w:sz w:val="21"/>
                <w:highlight w:val="none"/>
              </w:rPr>
            </w:pPr>
          </w:p>
        </w:tc>
        <w:tc>
          <w:tcPr>
            <w:tcW w:w="557" w:type="dxa"/>
            <w:vAlign w:val="top"/>
          </w:tcPr>
          <w:p w14:paraId="2F7984B3">
            <w:pPr>
              <w:rPr>
                <w:rFonts w:ascii="Arial"/>
                <w:color w:val="auto"/>
                <w:sz w:val="21"/>
                <w:highlight w:val="none"/>
              </w:rPr>
            </w:pPr>
          </w:p>
        </w:tc>
        <w:tc>
          <w:tcPr>
            <w:tcW w:w="557" w:type="dxa"/>
            <w:vAlign w:val="top"/>
          </w:tcPr>
          <w:p w14:paraId="66EDCF48">
            <w:pPr>
              <w:rPr>
                <w:rFonts w:ascii="Arial"/>
                <w:color w:val="auto"/>
                <w:sz w:val="21"/>
                <w:highlight w:val="none"/>
              </w:rPr>
            </w:pPr>
          </w:p>
        </w:tc>
        <w:tc>
          <w:tcPr>
            <w:tcW w:w="557" w:type="dxa"/>
            <w:vAlign w:val="top"/>
          </w:tcPr>
          <w:p w14:paraId="4A551980">
            <w:pPr>
              <w:rPr>
                <w:rFonts w:ascii="Arial"/>
                <w:color w:val="auto"/>
                <w:sz w:val="21"/>
                <w:highlight w:val="none"/>
              </w:rPr>
            </w:pPr>
          </w:p>
        </w:tc>
        <w:tc>
          <w:tcPr>
            <w:tcW w:w="557" w:type="dxa"/>
            <w:vAlign w:val="top"/>
          </w:tcPr>
          <w:p w14:paraId="2651BC13">
            <w:pPr>
              <w:rPr>
                <w:rFonts w:ascii="Arial"/>
                <w:color w:val="auto"/>
                <w:sz w:val="21"/>
                <w:highlight w:val="none"/>
              </w:rPr>
            </w:pPr>
          </w:p>
        </w:tc>
        <w:tc>
          <w:tcPr>
            <w:tcW w:w="552" w:type="dxa"/>
            <w:vAlign w:val="top"/>
          </w:tcPr>
          <w:p w14:paraId="5B1AD45B">
            <w:pPr>
              <w:rPr>
                <w:rFonts w:ascii="Arial"/>
                <w:color w:val="auto"/>
                <w:sz w:val="21"/>
                <w:highlight w:val="none"/>
              </w:rPr>
            </w:pPr>
          </w:p>
        </w:tc>
        <w:tc>
          <w:tcPr>
            <w:tcW w:w="556" w:type="dxa"/>
            <w:vAlign w:val="top"/>
          </w:tcPr>
          <w:p w14:paraId="7381B7D1">
            <w:pPr>
              <w:rPr>
                <w:rFonts w:ascii="Arial"/>
                <w:color w:val="auto"/>
                <w:sz w:val="21"/>
                <w:highlight w:val="none"/>
              </w:rPr>
            </w:pPr>
          </w:p>
        </w:tc>
        <w:tc>
          <w:tcPr>
            <w:tcW w:w="557" w:type="dxa"/>
            <w:vAlign w:val="top"/>
          </w:tcPr>
          <w:p w14:paraId="3200B4A4">
            <w:pPr>
              <w:rPr>
                <w:rFonts w:ascii="Arial"/>
                <w:color w:val="auto"/>
                <w:sz w:val="21"/>
                <w:highlight w:val="none"/>
              </w:rPr>
            </w:pPr>
          </w:p>
        </w:tc>
        <w:tc>
          <w:tcPr>
            <w:tcW w:w="557" w:type="dxa"/>
            <w:vAlign w:val="top"/>
          </w:tcPr>
          <w:p w14:paraId="09391C50">
            <w:pPr>
              <w:rPr>
                <w:rFonts w:ascii="Arial"/>
                <w:color w:val="auto"/>
                <w:sz w:val="21"/>
                <w:highlight w:val="none"/>
              </w:rPr>
            </w:pPr>
          </w:p>
        </w:tc>
        <w:tc>
          <w:tcPr>
            <w:tcW w:w="470" w:type="dxa"/>
            <w:vAlign w:val="top"/>
          </w:tcPr>
          <w:p w14:paraId="2D170FD7">
            <w:pPr>
              <w:rPr>
                <w:rFonts w:ascii="Arial"/>
                <w:color w:val="auto"/>
                <w:sz w:val="21"/>
                <w:highlight w:val="none"/>
              </w:rPr>
            </w:pPr>
          </w:p>
        </w:tc>
        <w:tc>
          <w:tcPr>
            <w:tcW w:w="1200" w:type="dxa"/>
            <w:vAlign w:val="top"/>
          </w:tcPr>
          <w:p w14:paraId="2246DB32">
            <w:pPr>
              <w:rPr>
                <w:rFonts w:ascii="Arial"/>
                <w:color w:val="auto"/>
                <w:sz w:val="21"/>
                <w:highlight w:val="none"/>
              </w:rPr>
            </w:pPr>
          </w:p>
        </w:tc>
      </w:tr>
      <w:tr w14:paraId="1A370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1EB2DAFA">
            <w:pPr>
              <w:spacing w:before="178" w:line="332" w:lineRule="exact"/>
              <w:ind w:left="230"/>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2203" w:type="dxa"/>
            <w:vAlign w:val="top"/>
          </w:tcPr>
          <w:p w14:paraId="1E61DB9C">
            <w:pPr>
              <w:rPr>
                <w:rFonts w:ascii="Arial"/>
                <w:color w:val="auto"/>
                <w:sz w:val="21"/>
                <w:highlight w:val="none"/>
              </w:rPr>
            </w:pPr>
          </w:p>
        </w:tc>
        <w:tc>
          <w:tcPr>
            <w:tcW w:w="557" w:type="dxa"/>
            <w:vAlign w:val="top"/>
          </w:tcPr>
          <w:p w14:paraId="4FDB4052">
            <w:pPr>
              <w:rPr>
                <w:rFonts w:ascii="Arial"/>
                <w:color w:val="auto"/>
                <w:sz w:val="21"/>
                <w:highlight w:val="none"/>
              </w:rPr>
            </w:pPr>
          </w:p>
        </w:tc>
        <w:tc>
          <w:tcPr>
            <w:tcW w:w="556" w:type="dxa"/>
            <w:vAlign w:val="top"/>
          </w:tcPr>
          <w:p w14:paraId="7F13A748">
            <w:pPr>
              <w:rPr>
                <w:rFonts w:ascii="Arial"/>
                <w:color w:val="auto"/>
                <w:sz w:val="21"/>
                <w:highlight w:val="none"/>
              </w:rPr>
            </w:pPr>
          </w:p>
        </w:tc>
        <w:tc>
          <w:tcPr>
            <w:tcW w:w="552" w:type="dxa"/>
            <w:vAlign w:val="top"/>
          </w:tcPr>
          <w:p w14:paraId="4B301466">
            <w:pPr>
              <w:rPr>
                <w:rFonts w:ascii="Arial"/>
                <w:color w:val="auto"/>
                <w:sz w:val="21"/>
                <w:highlight w:val="none"/>
              </w:rPr>
            </w:pPr>
          </w:p>
        </w:tc>
        <w:tc>
          <w:tcPr>
            <w:tcW w:w="557" w:type="dxa"/>
            <w:vAlign w:val="top"/>
          </w:tcPr>
          <w:p w14:paraId="6FA7E11E">
            <w:pPr>
              <w:rPr>
                <w:rFonts w:ascii="Arial"/>
                <w:color w:val="auto"/>
                <w:sz w:val="21"/>
                <w:highlight w:val="none"/>
              </w:rPr>
            </w:pPr>
          </w:p>
        </w:tc>
        <w:tc>
          <w:tcPr>
            <w:tcW w:w="557" w:type="dxa"/>
            <w:vAlign w:val="top"/>
          </w:tcPr>
          <w:p w14:paraId="5DAD1A96">
            <w:pPr>
              <w:rPr>
                <w:rFonts w:ascii="Arial"/>
                <w:color w:val="auto"/>
                <w:sz w:val="21"/>
                <w:highlight w:val="none"/>
              </w:rPr>
            </w:pPr>
          </w:p>
        </w:tc>
        <w:tc>
          <w:tcPr>
            <w:tcW w:w="556" w:type="dxa"/>
            <w:vAlign w:val="top"/>
          </w:tcPr>
          <w:p w14:paraId="04F0D04B">
            <w:pPr>
              <w:rPr>
                <w:rFonts w:ascii="Arial"/>
                <w:color w:val="auto"/>
                <w:sz w:val="21"/>
                <w:highlight w:val="none"/>
              </w:rPr>
            </w:pPr>
          </w:p>
        </w:tc>
        <w:tc>
          <w:tcPr>
            <w:tcW w:w="557" w:type="dxa"/>
            <w:vAlign w:val="top"/>
          </w:tcPr>
          <w:p w14:paraId="37B7049D">
            <w:pPr>
              <w:rPr>
                <w:rFonts w:ascii="Arial"/>
                <w:color w:val="auto"/>
                <w:sz w:val="21"/>
                <w:highlight w:val="none"/>
              </w:rPr>
            </w:pPr>
          </w:p>
        </w:tc>
        <w:tc>
          <w:tcPr>
            <w:tcW w:w="557" w:type="dxa"/>
            <w:vAlign w:val="top"/>
          </w:tcPr>
          <w:p w14:paraId="05226807">
            <w:pPr>
              <w:rPr>
                <w:rFonts w:ascii="Arial"/>
                <w:color w:val="auto"/>
                <w:sz w:val="21"/>
                <w:highlight w:val="none"/>
              </w:rPr>
            </w:pPr>
          </w:p>
        </w:tc>
        <w:tc>
          <w:tcPr>
            <w:tcW w:w="552" w:type="dxa"/>
            <w:vAlign w:val="top"/>
          </w:tcPr>
          <w:p w14:paraId="5E800726">
            <w:pPr>
              <w:rPr>
                <w:rFonts w:ascii="Arial"/>
                <w:color w:val="auto"/>
                <w:sz w:val="21"/>
                <w:highlight w:val="none"/>
              </w:rPr>
            </w:pPr>
          </w:p>
        </w:tc>
        <w:tc>
          <w:tcPr>
            <w:tcW w:w="557" w:type="dxa"/>
            <w:vAlign w:val="top"/>
          </w:tcPr>
          <w:p w14:paraId="41F75E04">
            <w:pPr>
              <w:rPr>
                <w:rFonts w:ascii="Arial"/>
                <w:color w:val="auto"/>
                <w:sz w:val="21"/>
                <w:highlight w:val="none"/>
              </w:rPr>
            </w:pPr>
          </w:p>
        </w:tc>
        <w:tc>
          <w:tcPr>
            <w:tcW w:w="557" w:type="dxa"/>
            <w:vAlign w:val="top"/>
          </w:tcPr>
          <w:p w14:paraId="2EBDD734">
            <w:pPr>
              <w:rPr>
                <w:rFonts w:ascii="Arial"/>
                <w:color w:val="auto"/>
                <w:sz w:val="21"/>
                <w:highlight w:val="none"/>
              </w:rPr>
            </w:pPr>
          </w:p>
        </w:tc>
        <w:tc>
          <w:tcPr>
            <w:tcW w:w="557" w:type="dxa"/>
            <w:vAlign w:val="top"/>
          </w:tcPr>
          <w:p w14:paraId="53F45F4B">
            <w:pPr>
              <w:rPr>
                <w:rFonts w:ascii="Arial"/>
                <w:color w:val="auto"/>
                <w:sz w:val="21"/>
                <w:highlight w:val="none"/>
              </w:rPr>
            </w:pPr>
          </w:p>
        </w:tc>
        <w:tc>
          <w:tcPr>
            <w:tcW w:w="557" w:type="dxa"/>
            <w:vAlign w:val="top"/>
          </w:tcPr>
          <w:p w14:paraId="4D6354EA">
            <w:pPr>
              <w:rPr>
                <w:rFonts w:ascii="Arial"/>
                <w:color w:val="auto"/>
                <w:sz w:val="21"/>
                <w:highlight w:val="none"/>
              </w:rPr>
            </w:pPr>
          </w:p>
        </w:tc>
        <w:tc>
          <w:tcPr>
            <w:tcW w:w="552" w:type="dxa"/>
            <w:vAlign w:val="top"/>
          </w:tcPr>
          <w:p w14:paraId="3DD01056">
            <w:pPr>
              <w:rPr>
                <w:rFonts w:ascii="Arial"/>
                <w:color w:val="auto"/>
                <w:sz w:val="21"/>
                <w:highlight w:val="none"/>
              </w:rPr>
            </w:pPr>
          </w:p>
        </w:tc>
        <w:tc>
          <w:tcPr>
            <w:tcW w:w="556" w:type="dxa"/>
            <w:vAlign w:val="top"/>
          </w:tcPr>
          <w:p w14:paraId="7C12CF15">
            <w:pPr>
              <w:rPr>
                <w:rFonts w:ascii="Arial"/>
                <w:color w:val="auto"/>
                <w:sz w:val="21"/>
                <w:highlight w:val="none"/>
              </w:rPr>
            </w:pPr>
          </w:p>
        </w:tc>
        <w:tc>
          <w:tcPr>
            <w:tcW w:w="557" w:type="dxa"/>
            <w:vAlign w:val="top"/>
          </w:tcPr>
          <w:p w14:paraId="7EEAC436">
            <w:pPr>
              <w:rPr>
                <w:rFonts w:ascii="Arial"/>
                <w:color w:val="auto"/>
                <w:sz w:val="21"/>
                <w:highlight w:val="none"/>
              </w:rPr>
            </w:pPr>
          </w:p>
        </w:tc>
        <w:tc>
          <w:tcPr>
            <w:tcW w:w="557" w:type="dxa"/>
            <w:vAlign w:val="top"/>
          </w:tcPr>
          <w:p w14:paraId="207F873B">
            <w:pPr>
              <w:rPr>
                <w:rFonts w:ascii="Arial"/>
                <w:color w:val="auto"/>
                <w:sz w:val="21"/>
                <w:highlight w:val="none"/>
              </w:rPr>
            </w:pPr>
          </w:p>
        </w:tc>
        <w:tc>
          <w:tcPr>
            <w:tcW w:w="470" w:type="dxa"/>
            <w:vAlign w:val="top"/>
          </w:tcPr>
          <w:p w14:paraId="65EA1932">
            <w:pPr>
              <w:rPr>
                <w:rFonts w:ascii="Arial"/>
                <w:color w:val="auto"/>
                <w:sz w:val="21"/>
                <w:highlight w:val="none"/>
              </w:rPr>
            </w:pPr>
          </w:p>
        </w:tc>
        <w:tc>
          <w:tcPr>
            <w:tcW w:w="1200" w:type="dxa"/>
            <w:vAlign w:val="top"/>
          </w:tcPr>
          <w:p w14:paraId="61553084">
            <w:pPr>
              <w:rPr>
                <w:rFonts w:ascii="Arial"/>
                <w:color w:val="auto"/>
                <w:sz w:val="21"/>
                <w:highlight w:val="none"/>
              </w:rPr>
            </w:pPr>
          </w:p>
        </w:tc>
      </w:tr>
    </w:tbl>
    <w:p w14:paraId="7BA6F3AB">
      <w:pPr>
        <w:spacing w:before="270" w:line="221" w:lineRule="auto"/>
        <w:ind w:left="13"/>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技术标评委签名：</w:t>
      </w:r>
      <w:r>
        <w:rPr>
          <w:rFonts w:ascii="宋体" w:hAnsi="宋体" w:eastAsia="宋体" w:cs="宋体"/>
          <w:color w:val="auto"/>
          <w:spacing w:val="1"/>
          <w:sz w:val="21"/>
          <w:szCs w:val="21"/>
          <w:highlight w:val="none"/>
        </w:rPr>
        <w:t xml:space="preserve">                                                                                      </w:t>
      </w:r>
      <w:r>
        <w:rPr>
          <w:rFonts w:ascii="宋体" w:hAnsi="宋体" w:eastAsia="宋体" w:cs="宋体"/>
          <w:color w:val="auto"/>
          <w:spacing w:val="-14"/>
          <w:sz w:val="21"/>
          <w:szCs w:val="21"/>
          <w:highlight w:val="none"/>
        </w:rPr>
        <w:t>日期：    年</w:t>
      </w:r>
      <w:r>
        <w:rPr>
          <w:rFonts w:ascii="宋体" w:hAnsi="宋体" w:eastAsia="宋体" w:cs="宋体"/>
          <w:color w:val="auto"/>
          <w:spacing w:val="12"/>
          <w:sz w:val="21"/>
          <w:szCs w:val="21"/>
          <w:highlight w:val="none"/>
        </w:rPr>
        <w:t xml:space="preserve">  </w:t>
      </w:r>
      <w:r>
        <w:rPr>
          <w:rFonts w:ascii="宋体" w:hAnsi="宋体" w:eastAsia="宋体" w:cs="宋体"/>
          <w:color w:val="auto"/>
          <w:spacing w:val="-14"/>
          <w:sz w:val="21"/>
          <w:szCs w:val="21"/>
          <w:highlight w:val="none"/>
        </w:rPr>
        <w:t>月  日</w:t>
      </w:r>
    </w:p>
    <w:p w14:paraId="3AAAB93C">
      <w:pPr>
        <w:spacing w:line="221" w:lineRule="auto"/>
        <w:rPr>
          <w:rFonts w:ascii="宋体" w:hAnsi="宋体" w:eastAsia="宋体" w:cs="宋体"/>
          <w:color w:val="auto"/>
          <w:sz w:val="21"/>
          <w:szCs w:val="21"/>
          <w:highlight w:val="none"/>
        </w:rPr>
        <w:sectPr>
          <w:footerReference r:id="rId91" w:type="default"/>
          <w:pgSz w:w="16839" w:h="11905"/>
          <w:pgMar w:top="1011" w:right="1435" w:bottom="991" w:left="1435" w:header="0" w:footer="786" w:gutter="0"/>
          <w:pgNumType w:fmt="decimal"/>
          <w:cols w:space="720" w:num="1"/>
        </w:sectPr>
      </w:pPr>
    </w:p>
    <w:p w14:paraId="2D7AB405">
      <w:pPr>
        <w:pStyle w:val="3"/>
        <w:spacing w:line="272" w:lineRule="auto"/>
        <w:rPr>
          <w:color w:val="auto"/>
          <w:highlight w:val="none"/>
        </w:rPr>
      </w:pPr>
    </w:p>
    <w:p w14:paraId="71B19333">
      <w:pPr>
        <w:pStyle w:val="3"/>
        <w:spacing w:line="272" w:lineRule="auto"/>
        <w:rPr>
          <w:color w:val="auto"/>
          <w:highlight w:val="none"/>
        </w:rPr>
      </w:pPr>
    </w:p>
    <w:p w14:paraId="7097EDDB">
      <w:pPr>
        <w:pStyle w:val="3"/>
        <w:spacing w:line="272" w:lineRule="auto"/>
        <w:rPr>
          <w:color w:val="auto"/>
          <w:highlight w:val="none"/>
        </w:rPr>
      </w:pPr>
    </w:p>
    <w:p w14:paraId="792503B2">
      <w:pPr>
        <w:spacing w:before="78" w:line="219" w:lineRule="auto"/>
        <w:ind w:left="1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55"/>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13</w:t>
      </w:r>
      <w:r>
        <w:rPr>
          <w:rFonts w:ascii="黑体" w:hAnsi="黑体" w:eastAsia="黑体" w:cs="黑体"/>
          <w:color w:val="auto"/>
          <w:spacing w:val="-4"/>
          <w:sz w:val="24"/>
          <w:szCs w:val="24"/>
          <w:highlight w:val="none"/>
        </w:rPr>
        <w:t>：资信标评审记录表</w:t>
      </w:r>
    </w:p>
    <w:p w14:paraId="37112E89">
      <w:pPr>
        <w:spacing w:before="288" w:line="219" w:lineRule="auto"/>
        <w:ind w:left="5558"/>
        <w:rPr>
          <w:rFonts w:ascii="黑体" w:hAnsi="黑体" w:eastAsia="黑体" w:cs="黑体"/>
          <w:color w:val="auto"/>
          <w:sz w:val="36"/>
          <w:szCs w:val="36"/>
          <w:highlight w:val="none"/>
        </w:rPr>
      </w:pPr>
      <w:r>
        <w:rPr>
          <w:rFonts w:ascii="黑体" w:hAnsi="黑体" w:eastAsia="黑体" w:cs="黑体"/>
          <w:color w:val="auto"/>
          <w:spacing w:val="-4"/>
          <w:sz w:val="36"/>
          <w:szCs w:val="36"/>
          <w:highlight w:val="none"/>
        </w:rPr>
        <w:t>资信标评审记录表</w:t>
      </w:r>
    </w:p>
    <w:p w14:paraId="0D6CF0C2">
      <w:pPr>
        <w:spacing w:before="234" w:line="221" w:lineRule="auto"/>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031B79BE">
      <w:pPr>
        <w:spacing w:before="22" w:line="214"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390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810"/>
        <w:gridCol w:w="1358"/>
        <w:gridCol w:w="1358"/>
        <w:gridCol w:w="1353"/>
        <w:gridCol w:w="1358"/>
        <w:gridCol w:w="1354"/>
        <w:gridCol w:w="1359"/>
        <w:gridCol w:w="1363"/>
        <w:gridCol w:w="1800"/>
      </w:tblGrid>
      <w:tr w14:paraId="6CA0F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restart"/>
            <w:tcBorders>
              <w:bottom w:val="nil"/>
            </w:tcBorders>
            <w:vAlign w:val="top"/>
          </w:tcPr>
          <w:p w14:paraId="77807D60">
            <w:pPr>
              <w:pStyle w:val="11"/>
              <w:spacing w:before="269" w:line="222" w:lineRule="auto"/>
              <w:ind w:left="194"/>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810" w:type="dxa"/>
            <w:vMerge w:val="restart"/>
            <w:tcBorders>
              <w:bottom w:val="nil"/>
            </w:tcBorders>
            <w:vAlign w:val="top"/>
          </w:tcPr>
          <w:p w14:paraId="6CF5F783">
            <w:pPr>
              <w:pStyle w:val="11"/>
              <w:spacing w:before="269" w:line="221" w:lineRule="auto"/>
              <w:ind w:left="386"/>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9503" w:type="dxa"/>
            <w:gridSpan w:val="7"/>
            <w:vAlign w:val="top"/>
          </w:tcPr>
          <w:p w14:paraId="0B16EC98">
            <w:pPr>
              <w:pStyle w:val="11"/>
              <w:spacing w:before="81" w:line="221" w:lineRule="auto"/>
              <w:ind w:left="4022"/>
              <w:rPr>
                <w:color w:val="auto"/>
                <w:highlight w:val="none"/>
              </w:rPr>
            </w:pPr>
            <w:r>
              <w:rPr>
                <w:color w:val="auto"/>
                <w:highlight w:val="none"/>
                <w14:textOutline w14:w="3831" w14:cap="flat" w14:cmpd="sng">
                  <w14:solidFill>
                    <w14:srgbClr w14:val="000000"/>
                  </w14:solidFill>
                  <w14:prstDash w14:val="solid"/>
                  <w14:miter w14:val="0"/>
                </w14:textOutline>
              </w:rPr>
              <w:t>评委姓名及得分</w:t>
            </w:r>
          </w:p>
        </w:tc>
        <w:tc>
          <w:tcPr>
            <w:tcW w:w="1800" w:type="dxa"/>
            <w:vMerge w:val="restart"/>
            <w:tcBorders>
              <w:bottom w:val="nil"/>
            </w:tcBorders>
            <w:vAlign w:val="top"/>
          </w:tcPr>
          <w:p w14:paraId="0ACD464B">
            <w:pPr>
              <w:pStyle w:val="11"/>
              <w:spacing w:before="269" w:line="221" w:lineRule="auto"/>
              <w:ind w:left="180"/>
              <w:rPr>
                <w:color w:val="auto"/>
                <w:highlight w:val="none"/>
              </w:rPr>
            </w:pPr>
            <w:r>
              <w:rPr>
                <w:color w:val="auto"/>
                <w:spacing w:val="-2"/>
                <w:highlight w:val="none"/>
                <w14:textOutline w14:w="3831" w14:cap="flat" w14:cmpd="sng">
                  <w14:solidFill>
                    <w14:srgbClr w14:val="000000"/>
                  </w14:solidFill>
                  <w14:prstDash w14:val="solid"/>
                  <w14:miter w14:val="0"/>
                </w14:textOutline>
              </w:rPr>
              <w:t>资信标最终得分</w:t>
            </w:r>
          </w:p>
        </w:tc>
      </w:tr>
      <w:tr w14:paraId="3BE4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continue"/>
            <w:tcBorders>
              <w:top w:val="nil"/>
            </w:tcBorders>
            <w:vAlign w:val="top"/>
          </w:tcPr>
          <w:p w14:paraId="6139DAD2">
            <w:pPr>
              <w:rPr>
                <w:rFonts w:ascii="Arial"/>
                <w:color w:val="auto"/>
                <w:sz w:val="21"/>
                <w:highlight w:val="none"/>
              </w:rPr>
            </w:pPr>
          </w:p>
        </w:tc>
        <w:tc>
          <w:tcPr>
            <w:tcW w:w="1810" w:type="dxa"/>
            <w:vMerge w:val="continue"/>
            <w:tcBorders>
              <w:top w:val="nil"/>
            </w:tcBorders>
            <w:vAlign w:val="top"/>
          </w:tcPr>
          <w:p w14:paraId="4F6CB5F8">
            <w:pPr>
              <w:rPr>
                <w:rFonts w:ascii="Arial"/>
                <w:color w:val="auto"/>
                <w:sz w:val="21"/>
                <w:highlight w:val="none"/>
              </w:rPr>
            </w:pPr>
          </w:p>
        </w:tc>
        <w:tc>
          <w:tcPr>
            <w:tcW w:w="1358" w:type="dxa"/>
            <w:vAlign w:val="top"/>
          </w:tcPr>
          <w:p w14:paraId="5DEE9717">
            <w:pPr>
              <w:pStyle w:val="11"/>
              <w:spacing w:before="78" w:line="221" w:lineRule="auto"/>
              <w:ind w:left="392"/>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29"/>
                <w:highlight w:val="none"/>
              </w:rPr>
              <w:t xml:space="preserve"> </w:t>
            </w:r>
            <w:r>
              <w:rPr>
                <w:color w:val="auto"/>
                <w:spacing w:val="-2"/>
                <w:highlight w:val="none"/>
                <w14:textOutline w14:w="3831" w14:cap="flat" w14:cmpd="sng">
                  <w14:solidFill>
                    <w14:srgbClr w14:val="000000"/>
                  </w14:solidFill>
                  <w14:prstDash w14:val="solid"/>
                  <w14:miter w14:val="0"/>
                </w14:textOutline>
              </w:rPr>
              <w:t>1</w:t>
            </w:r>
          </w:p>
        </w:tc>
        <w:tc>
          <w:tcPr>
            <w:tcW w:w="1358" w:type="dxa"/>
            <w:vAlign w:val="top"/>
          </w:tcPr>
          <w:p w14:paraId="5761CF93">
            <w:pPr>
              <w:pStyle w:val="11"/>
              <w:spacing w:before="78" w:line="221" w:lineRule="auto"/>
              <w:ind w:left="388"/>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41"/>
                <w:highlight w:val="none"/>
              </w:rPr>
              <w:t xml:space="preserve"> </w:t>
            </w:r>
            <w:r>
              <w:rPr>
                <w:color w:val="auto"/>
                <w:spacing w:val="-2"/>
                <w:highlight w:val="none"/>
                <w14:textOutline w14:w="3831" w14:cap="flat" w14:cmpd="sng">
                  <w14:solidFill>
                    <w14:srgbClr w14:val="000000"/>
                  </w14:solidFill>
                  <w14:prstDash w14:val="solid"/>
                  <w14:miter w14:val="0"/>
                </w14:textOutline>
              </w:rPr>
              <w:t>2</w:t>
            </w:r>
          </w:p>
        </w:tc>
        <w:tc>
          <w:tcPr>
            <w:tcW w:w="1353" w:type="dxa"/>
            <w:vAlign w:val="top"/>
          </w:tcPr>
          <w:p w14:paraId="158C5E4D">
            <w:pPr>
              <w:pStyle w:val="11"/>
              <w:spacing w:before="78" w:line="286" w:lineRule="exact"/>
              <w:ind w:left="484"/>
              <w:rPr>
                <w:color w:val="auto"/>
                <w:highlight w:val="none"/>
              </w:rPr>
            </w:pPr>
            <w:r>
              <w:rPr>
                <w:color w:val="auto"/>
                <w:spacing w:val="-5"/>
                <w:position w:val="1"/>
                <w:highlight w:val="none"/>
                <w14:textOutline w14:w="3831" w14:cap="flat" w14:cmpd="sng">
                  <w14:solidFill>
                    <w14:srgbClr w14:val="000000"/>
                  </w14:solidFill>
                  <w14:prstDash w14:val="solid"/>
                  <w14:miter w14:val="0"/>
                </w14:textOutline>
              </w:rPr>
              <w:t>……</w:t>
            </w:r>
          </w:p>
        </w:tc>
        <w:tc>
          <w:tcPr>
            <w:tcW w:w="1358" w:type="dxa"/>
            <w:vAlign w:val="top"/>
          </w:tcPr>
          <w:p w14:paraId="3755FF33">
            <w:pPr>
              <w:rPr>
                <w:rFonts w:ascii="Arial"/>
                <w:color w:val="auto"/>
                <w:sz w:val="21"/>
                <w:highlight w:val="none"/>
              </w:rPr>
            </w:pPr>
          </w:p>
        </w:tc>
        <w:tc>
          <w:tcPr>
            <w:tcW w:w="1354" w:type="dxa"/>
            <w:vAlign w:val="top"/>
          </w:tcPr>
          <w:p w14:paraId="0FD3382C">
            <w:pPr>
              <w:rPr>
                <w:rFonts w:ascii="Arial"/>
                <w:color w:val="auto"/>
                <w:sz w:val="21"/>
                <w:highlight w:val="none"/>
              </w:rPr>
            </w:pPr>
          </w:p>
        </w:tc>
        <w:tc>
          <w:tcPr>
            <w:tcW w:w="1359" w:type="dxa"/>
            <w:vAlign w:val="top"/>
          </w:tcPr>
          <w:p w14:paraId="5E6E5397">
            <w:pPr>
              <w:rPr>
                <w:rFonts w:ascii="Arial"/>
                <w:color w:val="auto"/>
                <w:sz w:val="21"/>
                <w:highlight w:val="none"/>
              </w:rPr>
            </w:pPr>
          </w:p>
        </w:tc>
        <w:tc>
          <w:tcPr>
            <w:tcW w:w="1363" w:type="dxa"/>
            <w:vAlign w:val="top"/>
          </w:tcPr>
          <w:p w14:paraId="1E3337A5">
            <w:pPr>
              <w:rPr>
                <w:rFonts w:ascii="Arial"/>
                <w:color w:val="auto"/>
                <w:sz w:val="21"/>
                <w:highlight w:val="none"/>
              </w:rPr>
            </w:pPr>
          </w:p>
        </w:tc>
        <w:tc>
          <w:tcPr>
            <w:tcW w:w="1800" w:type="dxa"/>
            <w:vMerge w:val="continue"/>
            <w:tcBorders>
              <w:top w:val="nil"/>
            </w:tcBorders>
            <w:vAlign w:val="top"/>
          </w:tcPr>
          <w:p w14:paraId="1229C7D5">
            <w:pPr>
              <w:rPr>
                <w:rFonts w:ascii="Arial"/>
                <w:color w:val="auto"/>
                <w:sz w:val="21"/>
                <w:highlight w:val="none"/>
              </w:rPr>
            </w:pPr>
          </w:p>
        </w:tc>
      </w:tr>
      <w:tr w14:paraId="7EFEB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0139FA5C">
            <w:pPr>
              <w:pStyle w:val="11"/>
              <w:spacing w:before="175" w:line="183" w:lineRule="auto"/>
              <w:ind w:left="369"/>
              <w:rPr>
                <w:color w:val="auto"/>
                <w:highlight w:val="none"/>
              </w:rPr>
            </w:pPr>
            <w:r>
              <w:rPr>
                <w:color w:val="auto"/>
                <w:highlight w:val="none"/>
              </w:rPr>
              <w:t>1</w:t>
            </w:r>
          </w:p>
        </w:tc>
        <w:tc>
          <w:tcPr>
            <w:tcW w:w="1810" w:type="dxa"/>
            <w:vAlign w:val="top"/>
          </w:tcPr>
          <w:p w14:paraId="32B76989">
            <w:pPr>
              <w:rPr>
                <w:rFonts w:ascii="Arial"/>
                <w:color w:val="auto"/>
                <w:sz w:val="21"/>
                <w:highlight w:val="none"/>
              </w:rPr>
            </w:pPr>
          </w:p>
        </w:tc>
        <w:tc>
          <w:tcPr>
            <w:tcW w:w="1358" w:type="dxa"/>
            <w:vAlign w:val="top"/>
          </w:tcPr>
          <w:p w14:paraId="7A2AB78A">
            <w:pPr>
              <w:rPr>
                <w:rFonts w:ascii="Arial"/>
                <w:color w:val="auto"/>
                <w:sz w:val="21"/>
                <w:highlight w:val="none"/>
              </w:rPr>
            </w:pPr>
          </w:p>
        </w:tc>
        <w:tc>
          <w:tcPr>
            <w:tcW w:w="1358" w:type="dxa"/>
            <w:vAlign w:val="top"/>
          </w:tcPr>
          <w:p w14:paraId="7CAA6300">
            <w:pPr>
              <w:rPr>
                <w:rFonts w:ascii="Arial"/>
                <w:color w:val="auto"/>
                <w:sz w:val="21"/>
                <w:highlight w:val="none"/>
              </w:rPr>
            </w:pPr>
          </w:p>
        </w:tc>
        <w:tc>
          <w:tcPr>
            <w:tcW w:w="1353" w:type="dxa"/>
            <w:vAlign w:val="top"/>
          </w:tcPr>
          <w:p w14:paraId="3FCD890C">
            <w:pPr>
              <w:rPr>
                <w:rFonts w:ascii="Arial"/>
                <w:color w:val="auto"/>
                <w:sz w:val="21"/>
                <w:highlight w:val="none"/>
              </w:rPr>
            </w:pPr>
          </w:p>
        </w:tc>
        <w:tc>
          <w:tcPr>
            <w:tcW w:w="1358" w:type="dxa"/>
            <w:vAlign w:val="top"/>
          </w:tcPr>
          <w:p w14:paraId="3C3E698D">
            <w:pPr>
              <w:rPr>
                <w:rFonts w:ascii="Arial"/>
                <w:color w:val="auto"/>
                <w:sz w:val="21"/>
                <w:highlight w:val="none"/>
              </w:rPr>
            </w:pPr>
          </w:p>
        </w:tc>
        <w:tc>
          <w:tcPr>
            <w:tcW w:w="1354" w:type="dxa"/>
            <w:vAlign w:val="top"/>
          </w:tcPr>
          <w:p w14:paraId="6176D41B">
            <w:pPr>
              <w:rPr>
                <w:rFonts w:ascii="Arial"/>
                <w:color w:val="auto"/>
                <w:sz w:val="21"/>
                <w:highlight w:val="none"/>
              </w:rPr>
            </w:pPr>
          </w:p>
        </w:tc>
        <w:tc>
          <w:tcPr>
            <w:tcW w:w="1359" w:type="dxa"/>
            <w:vAlign w:val="top"/>
          </w:tcPr>
          <w:p w14:paraId="799E7032">
            <w:pPr>
              <w:rPr>
                <w:rFonts w:ascii="Arial"/>
                <w:color w:val="auto"/>
                <w:sz w:val="21"/>
                <w:highlight w:val="none"/>
              </w:rPr>
            </w:pPr>
          </w:p>
        </w:tc>
        <w:tc>
          <w:tcPr>
            <w:tcW w:w="1363" w:type="dxa"/>
            <w:vAlign w:val="top"/>
          </w:tcPr>
          <w:p w14:paraId="6C0B0AB3">
            <w:pPr>
              <w:rPr>
                <w:rFonts w:ascii="Arial"/>
                <w:color w:val="auto"/>
                <w:sz w:val="21"/>
                <w:highlight w:val="none"/>
              </w:rPr>
            </w:pPr>
          </w:p>
        </w:tc>
        <w:tc>
          <w:tcPr>
            <w:tcW w:w="1800" w:type="dxa"/>
            <w:vAlign w:val="top"/>
          </w:tcPr>
          <w:p w14:paraId="084B6AED">
            <w:pPr>
              <w:rPr>
                <w:rFonts w:ascii="Arial"/>
                <w:color w:val="auto"/>
                <w:sz w:val="21"/>
                <w:highlight w:val="none"/>
              </w:rPr>
            </w:pPr>
          </w:p>
        </w:tc>
      </w:tr>
      <w:tr w14:paraId="5BD56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60B29DDC">
            <w:pPr>
              <w:pStyle w:val="11"/>
              <w:spacing w:before="176" w:line="182" w:lineRule="auto"/>
              <w:ind w:left="356"/>
              <w:rPr>
                <w:color w:val="auto"/>
                <w:highlight w:val="none"/>
              </w:rPr>
            </w:pPr>
            <w:r>
              <w:rPr>
                <w:color w:val="auto"/>
                <w:highlight w:val="none"/>
              </w:rPr>
              <w:t>2</w:t>
            </w:r>
          </w:p>
        </w:tc>
        <w:tc>
          <w:tcPr>
            <w:tcW w:w="1810" w:type="dxa"/>
            <w:vAlign w:val="top"/>
          </w:tcPr>
          <w:p w14:paraId="27E89068">
            <w:pPr>
              <w:rPr>
                <w:rFonts w:ascii="Arial"/>
                <w:color w:val="auto"/>
                <w:sz w:val="21"/>
                <w:highlight w:val="none"/>
              </w:rPr>
            </w:pPr>
          </w:p>
        </w:tc>
        <w:tc>
          <w:tcPr>
            <w:tcW w:w="1358" w:type="dxa"/>
            <w:vAlign w:val="top"/>
          </w:tcPr>
          <w:p w14:paraId="2D97E76B">
            <w:pPr>
              <w:rPr>
                <w:rFonts w:ascii="Arial"/>
                <w:color w:val="auto"/>
                <w:sz w:val="21"/>
                <w:highlight w:val="none"/>
              </w:rPr>
            </w:pPr>
          </w:p>
        </w:tc>
        <w:tc>
          <w:tcPr>
            <w:tcW w:w="1358" w:type="dxa"/>
            <w:vAlign w:val="top"/>
          </w:tcPr>
          <w:p w14:paraId="30236D9A">
            <w:pPr>
              <w:rPr>
                <w:rFonts w:ascii="Arial"/>
                <w:color w:val="auto"/>
                <w:sz w:val="21"/>
                <w:highlight w:val="none"/>
              </w:rPr>
            </w:pPr>
          </w:p>
        </w:tc>
        <w:tc>
          <w:tcPr>
            <w:tcW w:w="1353" w:type="dxa"/>
            <w:vAlign w:val="top"/>
          </w:tcPr>
          <w:p w14:paraId="3F9DC2B3">
            <w:pPr>
              <w:rPr>
                <w:rFonts w:ascii="Arial"/>
                <w:color w:val="auto"/>
                <w:sz w:val="21"/>
                <w:highlight w:val="none"/>
              </w:rPr>
            </w:pPr>
          </w:p>
        </w:tc>
        <w:tc>
          <w:tcPr>
            <w:tcW w:w="1358" w:type="dxa"/>
            <w:vAlign w:val="top"/>
          </w:tcPr>
          <w:p w14:paraId="6B436E6C">
            <w:pPr>
              <w:rPr>
                <w:rFonts w:ascii="Arial"/>
                <w:color w:val="auto"/>
                <w:sz w:val="21"/>
                <w:highlight w:val="none"/>
              </w:rPr>
            </w:pPr>
          </w:p>
        </w:tc>
        <w:tc>
          <w:tcPr>
            <w:tcW w:w="1354" w:type="dxa"/>
            <w:vAlign w:val="top"/>
          </w:tcPr>
          <w:p w14:paraId="08A06A28">
            <w:pPr>
              <w:rPr>
                <w:rFonts w:ascii="Arial"/>
                <w:color w:val="auto"/>
                <w:sz w:val="21"/>
                <w:highlight w:val="none"/>
              </w:rPr>
            </w:pPr>
          </w:p>
        </w:tc>
        <w:tc>
          <w:tcPr>
            <w:tcW w:w="1359" w:type="dxa"/>
            <w:vAlign w:val="top"/>
          </w:tcPr>
          <w:p w14:paraId="7869D43B">
            <w:pPr>
              <w:rPr>
                <w:rFonts w:ascii="Arial"/>
                <w:color w:val="auto"/>
                <w:sz w:val="21"/>
                <w:highlight w:val="none"/>
              </w:rPr>
            </w:pPr>
          </w:p>
        </w:tc>
        <w:tc>
          <w:tcPr>
            <w:tcW w:w="1363" w:type="dxa"/>
            <w:vAlign w:val="top"/>
          </w:tcPr>
          <w:p w14:paraId="3BC11099">
            <w:pPr>
              <w:rPr>
                <w:rFonts w:ascii="Arial"/>
                <w:color w:val="auto"/>
                <w:sz w:val="21"/>
                <w:highlight w:val="none"/>
              </w:rPr>
            </w:pPr>
          </w:p>
        </w:tc>
        <w:tc>
          <w:tcPr>
            <w:tcW w:w="1800" w:type="dxa"/>
            <w:vAlign w:val="top"/>
          </w:tcPr>
          <w:p w14:paraId="76AD5049">
            <w:pPr>
              <w:rPr>
                <w:rFonts w:ascii="Arial"/>
                <w:color w:val="auto"/>
                <w:sz w:val="21"/>
                <w:highlight w:val="none"/>
              </w:rPr>
            </w:pPr>
          </w:p>
        </w:tc>
      </w:tr>
      <w:tr w14:paraId="6A7F0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775520BF">
            <w:pPr>
              <w:pStyle w:val="11"/>
              <w:spacing w:before="177" w:line="182" w:lineRule="auto"/>
              <w:ind w:left="357"/>
              <w:rPr>
                <w:color w:val="auto"/>
                <w:highlight w:val="none"/>
              </w:rPr>
            </w:pPr>
            <w:r>
              <w:rPr>
                <w:color w:val="auto"/>
                <w:highlight w:val="none"/>
              </w:rPr>
              <w:t>3</w:t>
            </w:r>
          </w:p>
        </w:tc>
        <w:tc>
          <w:tcPr>
            <w:tcW w:w="1810" w:type="dxa"/>
            <w:vAlign w:val="top"/>
          </w:tcPr>
          <w:p w14:paraId="102E5906">
            <w:pPr>
              <w:rPr>
                <w:rFonts w:ascii="Arial"/>
                <w:color w:val="auto"/>
                <w:sz w:val="21"/>
                <w:highlight w:val="none"/>
              </w:rPr>
            </w:pPr>
          </w:p>
        </w:tc>
        <w:tc>
          <w:tcPr>
            <w:tcW w:w="1358" w:type="dxa"/>
            <w:vAlign w:val="top"/>
          </w:tcPr>
          <w:p w14:paraId="14A94383">
            <w:pPr>
              <w:rPr>
                <w:rFonts w:ascii="Arial"/>
                <w:color w:val="auto"/>
                <w:sz w:val="21"/>
                <w:highlight w:val="none"/>
              </w:rPr>
            </w:pPr>
          </w:p>
        </w:tc>
        <w:tc>
          <w:tcPr>
            <w:tcW w:w="1358" w:type="dxa"/>
            <w:vAlign w:val="top"/>
          </w:tcPr>
          <w:p w14:paraId="69D7F7AE">
            <w:pPr>
              <w:rPr>
                <w:rFonts w:ascii="Arial"/>
                <w:color w:val="auto"/>
                <w:sz w:val="21"/>
                <w:highlight w:val="none"/>
              </w:rPr>
            </w:pPr>
          </w:p>
        </w:tc>
        <w:tc>
          <w:tcPr>
            <w:tcW w:w="1353" w:type="dxa"/>
            <w:vAlign w:val="top"/>
          </w:tcPr>
          <w:p w14:paraId="5ADCFC03">
            <w:pPr>
              <w:rPr>
                <w:rFonts w:ascii="Arial"/>
                <w:color w:val="auto"/>
                <w:sz w:val="21"/>
                <w:highlight w:val="none"/>
              </w:rPr>
            </w:pPr>
          </w:p>
        </w:tc>
        <w:tc>
          <w:tcPr>
            <w:tcW w:w="1358" w:type="dxa"/>
            <w:vAlign w:val="top"/>
          </w:tcPr>
          <w:p w14:paraId="6FA3A142">
            <w:pPr>
              <w:rPr>
                <w:rFonts w:ascii="Arial"/>
                <w:color w:val="auto"/>
                <w:sz w:val="21"/>
                <w:highlight w:val="none"/>
              </w:rPr>
            </w:pPr>
          </w:p>
        </w:tc>
        <w:tc>
          <w:tcPr>
            <w:tcW w:w="1354" w:type="dxa"/>
            <w:vAlign w:val="top"/>
          </w:tcPr>
          <w:p w14:paraId="36CC6E40">
            <w:pPr>
              <w:rPr>
                <w:rFonts w:ascii="Arial"/>
                <w:color w:val="auto"/>
                <w:sz w:val="21"/>
                <w:highlight w:val="none"/>
              </w:rPr>
            </w:pPr>
          </w:p>
        </w:tc>
        <w:tc>
          <w:tcPr>
            <w:tcW w:w="1359" w:type="dxa"/>
            <w:vAlign w:val="top"/>
          </w:tcPr>
          <w:p w14:paraId="758CB083">
            <w:pPr>
              <w:rPr>
                <w:rFonts w:ascii="Arial"/>
                <w:color w:val="auto"/>
                <w:sz w:val="21"/>
                <w:highlight w:val="none"/>
              </w:rPr>
            </w:pPr>
          </w:p>
        </w:tc>
        <w:tc>
          <w:tcPr>
            <w:tcW w:w="1363" w:type="dxa"/>
            <w:vAlign w:val="top"/>
          </w:tcPr>
          <w:p w14:paraId="518489B5">
            <w:pPr>
              <w:rPr>
                <w:rFonts w:ascii="Arial"/>
                <w:color w:val="auto"/>
                <w:sz w:val="21"/>
                <w:highlight w:val="none"/>
              </w:rPr>
            </w:pPr>
          </w:p>
        </w:tc>
        <w:tc>
          <w:tcPr>
            <w:tcW w:w="1800" w:type="dxa"/>
            <w:vAlign w:val="top"/>
          </w:tcPr>
          <w:p w14:paraId="1A0AD0E9">
            <w:pPr>
              <w:rPr>
                <w:rFonts w:ascii="Arial"/>
                <w:color w:val="auto"/>
                <w:sz w:val="21"/>
                <w:highlight w:val="none"/>
              </w:rPr>
            </w:pPr>
          </w:p>
        </w:tc>
      </w:tr>
      <w:tr w14:paraId="273B2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10CDA9EA">
            <w:pPr>
              <w:pStyle w:val="11"/>
              <w:spacing w:before="177" w:line="182" w:lineRule="auto"/>
              <w:ind w:left="352"/>
              <w:rPr>
                <w:color w:val="auto"/>
                <w:highlight w:val="none"/>
              </w:rPr>
            </w:pPr>
            <w:r>
              <w:rPr>
                <w:color w:val="auto"/>
                <w:highlight w:val="none"/>
              </w:rPr>
              <w:t>4</w:t>
            </w:r>
          </w:p>
        </w:tc>
        <w:tc>
          <w:tcPr>
            <w:tcW w:w="1810" w:type="dxa"/>
            <w:vAlign w:val="top"/>
          </w:tcPr>
          <w:p w14:paraId="0996D152">
            <w:pPr>
              <w:rPr>
                <w:rFonts w:ascii="Arial"/>
                <w:color w:val="auto"/>
                <w:sz w:val="21"/>
                <w:highlight w:val="none"/>
              </w:rPr>
            </w:pPr>
          </w:p>
        </w:tc>
        <w:tc>
          <w:tcPr>
            <w:tcW w:w="1358" w:type="dxa"/>
            <w:vAlign w:val="top"/>
          </w:tcPr>
          <w:p w14:paraId="2B8B93C8">
            <w:pPr>
              <w:rPr>
                <w:rFonts w:ascii="Arial"/>
                <w:color w:val="auto"/>
                <w:sz w:val="21"/>
                <w:highlight w:val="none"/>
              </w:rPr>
            </w:pPr>
          </w:p>
        </w:tc>
        <w:tc>
          <w:tcPr>
            <w:tcW w:w="1358" w:type="dxa"/>
            <w:vAlign w:val="top"/>
          </w:tcPr>
          <w:p w14:paraId="699E3BB2">
            <w:pPr>
              <w:rPr>
                <w:rFonts w:ascii="Arial"/>
                <w:color w:val="auto"/>
                <w:sz w:val="21"/>
                <w:highlight w:val="none"/>
              </w:rPr>
            </w:pPr>
          </w:p>
        </w:tc>
        <w:tc>
          <w:tcPr>
            <w:tcW w:w="1353" w:type="dxa"/>
            <w:vAlign w:val="top"/>
          </w:tcPr>
          <w:p w14:paraId="299E99F5">
            <w:pPr>
              <w:rPr>
                <w:rFonts w:ascii="Arial"/>
                <w:color w:val="auto"/>
                <w:sz w:val="21"/>
                <w:highlight w:val="none"/>
              </w:rPr>
            </w:pPr>
          </w:p>
        </w:tc>
        <w:tc>
          <w:tcPr>
            <w:tcW w:w="1358" w:type="dxa"/>
            <w:vAlign w:val="top"/>
          </w:tcPr>
          <w:p w14:paraId="42AED515">
            <w:pPr>
              <w:rPr>
                <w:rFonts w:ascii="Arial"/>
                <w:color w:val="auto"/>
                <w:sz w:val="21"/>
                <w:highlight w:val="none"/>
              </w:rPr>
            </w:pPr>
          </w:p>
        </w:tc>
        <w:tc>
          <w:tcPr>
            <w:tcW w:w="1354" w:type="dxa"/>
            <w:vAlign w:val="top"/>
          </w:tcPr>
          <w:p w14:paraId="7DE13FDA">
            <w:pPr>
              <w:rPr>
                <w:rFonts w:ascii="Arial"/>
                <w:color w:val="auto"/>
                <w:sz w:val="21"/>
                <w:highlight w:val="none"/>
              </w:rPr>
            </w:pPr>
          </w:p>
        </w:tc>
        <w:tc>
          <w:tcPr>
            <w:tcW w:w="1359" w:type="dxa"/>
            <w:vAlign w:val="top"/>
          </w:tcPr>
          <w:p w14:paraId="7BA098E7">
            <w:pPr>
              <w:rPr>
                <w:rFonts w:ascii="Arial"/>
                <w:color w:val="auto"/>
                <w:sz w:val="21"/>
                <w:highlight w:val="none"/>
              </w:rPr>
            </w:pPr>
          </w:p>
        </w:tc>
        <w:tc>
          <w:tcPr>
            <w:tcW w:w="1363" w:type="dxa"/>
            <w:vAlign w:val="top"/>
          </w:tcPr>
          <w:p w14:paraId="5DD5D615">
            <w:pPr>
              <w:rPr>
                <w:rFonts w:ascii="Arial"/>
                <w:color w:val="auto"/>
                <w:sz w:val="21"/>
                <w:highlight w:val="none"/>
              </w:rPr>
            </w:pPr>
          </w:p>
        </w:tc>
        <w:tc>
          <w:tcPr>
            <w:tcW w:w="1800" w:type="dxa"/>
            <w:vAlign w:val="top"/>
          </w:tcPr>
          <w:p w14:paraId="47B00991">
            <w:pPr>
              <w:rPr>
                <w:rFonts w:ascii="Arial"/>
                <w:color w:val="auto"/>
                <w:sz w:val="21"/>
                <w:highlight w:val="none"/>
              </w:rPr>
            </w:pPr>
          </w:p>
        </w:tc>
      </w:tr>
      <w:tr w14:paraId="35EAD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710DEE76">
            <w:pPr>
              <w:pStyle w:val="11"/>
              <w:spacing w:before="179" w:line="181" w:lineRule="auto"/>
              <w:ind w:left="357"/>
              <w:rPr>
                <w:color w:val="auto"/>
                <w:highlight w:val="none"/>
              </w:rPr>
            </w:pPr>
            <w:r>
              <w:rPr>
                <w:color w:val="auto"/>
                <w:highlight w:val="none"/>
              </w:rPr>
              <w:t>5</w:t>
            </w:r>
          </w:p>
        </w:tc>
        <w:tc>
          <w:tcPr>
            <w:tcW w:w="1810" w:type="dxa"/>
            <w:vAlign w:val="top"/>
          </w:tcPr>
          <w:p w14:paraId="7F7A39DE">
            <w:pPr>
              <w:rPr>
                <w:rFonts w:ascii="Arial"/>
                <w:color w:val="auto"/>
                <w:sz w:val="21"/>
                <w:highlight w:val="none"/>
              </w:rPr>
            </w:pPr>
          </w:p>
        </w:tc>
        <w:tc>
          <w:tcPr>
            <w:tcW w:w="1358" w:type="dxa"/>
            <w:vAlign w:val="top"/>
          </w:tcPr>
          <w:p w14:paraId="2D20DB42">
            <w:pPr>
              <w:rPr>
                <w:rFonts w:ascii="Arial"/>
                <w:color w:val="auto"/>
                <w:sz w:val="21"/>
                <w:highlight w:val="none"/>
              </w:rPr>
            </w:pPr>
          </w:p>
        </w:tc>
        <w:tc>
          <w:tcPr>
            <w:tcW w:w="1358" w:type="dxa"/>
            <w:vAlign w:val="top"/>
          </w:tcPr>
          <w:p w14:paraId="7FBD3BB7">
            <w:pPr>
              <w:rPr>
                <w:rFonts w:ascii="Arial"/>
                <w:color w:val="auto"/>
                <w:sz w:val="21"/>
                <w:highlight w:val="none"/>
              </w:rPr>
            </w:pPr>
          </w:p>
        </w:tc>
        <w:tc>
          <w:tcPr>
            <w:tcW w:w="1353" w:type="dxa"/>
            <w:vAlign w:val="top"/>
          </w:tcPr>
          <w:p w14:paraId="0C749639">
            <w:pPr>
              <w:rPr>
                <w:rFonts w:ascii="Arial"/>
                <w:color w:val="auto"/>
                <w:sz w:val="21"/>
                <w:highlight w:val="none"/>
              </w:rPr>
            </w:pPr>
          </w:p>
        </w:tc>
        <w:tc>
          <w:tcPr>
            <w:tcW w:w="1358" w:type="dxa"/>
            <w:vAlign w:val="top"/>
          </w:tcPr>
          <w:p w14:paraId="33A24344">
            <w:pPr>
              <w:rPr>
                <w:rFonts w:ascii="Arial"/>
                <w:color w:val="auto"/>
                <w:sz w:val="21"/>
                <w:highlight w:val="none"/>
              </w:rPr>
            </w:pPr>
          </w:p>
        </w:tc>
        <w:tc>
          <w:tcPr>
            <w:tcW w:w="1354" w:type="dxa"/>
            <w:vAlign w:val="top"/>
          </w:tcPr>
          <w:p w14:paraId="4B3DB81B">
            <w:pPr>
              <w:rPr>
                <w:rFonts w:ascii="Arial"/>
                <w:color w:val="auto"/>
                <w:sz w:val="21"/>
                <w:highlight w:val="none"/>
              </w:rPr>
            </w:pPr>
          </w:p>
        </w:tc>
        <w:tc>
          <w:tcPr>
            <w:tcW w:w="1359" w:type="dxa"/>
            <w:vAlign w:val="top"/>
          </w:tcPr>
          <w:p w14:paraId="1293A546">
            <w:pPr>
              <w:rPr>
                <w:rFonts w:ascii="Arial"/>
                <w:color w:val="auto"/>
                <w:sz w:val="21"/>
                <w:highlight w:val="none"/>
              </w:rPr>
            </w:pPr>
          </w:p>
        </w:tc>
        <w:tc>
          <w:tcPr>
            <w:tcW w:w="1363" w:type="dxa"/>
            <w:vAlign w:val="top"/>
          </w:tcPr>
          <w:p w14:paraId="14CDAF0D">
            <w:pPr>
              <w:rPr>
                <w:rFonts w:ascii="Arial"/>
                <w:color w:val="auto"/>
                <w:sz w:val="21"/>
                <w:highlight w:val="none"/>
              </w:rPr>
            </w:pPr>
          </w:p>
        </w:tc>
        <w:tc>
          <w:tcPr>
            <w:tcW w:w="1800" w:type="dxa"/>
            <w:vAlign w:val="top"/>
          </w:tcPr>
          <w:p w14:paraId="1DF1B3FC">
            <w:pPr>
              <w:rPr>
                <w:rFonts w:ascii="Arial"/>
                <w:color w:val="auto"/>
                <w:sz w:val="21"/>
                <w:highlight w:val="none"/>
              </w:rPr>
            </w:pPr>
          </w:p>
        </w:tc>
      </w:tr>
      <w:tr w14:paraId="74967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13D1529E">
            <w:pPr>
              <w:pStyle w:val="11"/>
              <w:spacing w:before="178" w:line="182" w:lineRule="auto"/>
              <w:ind w:left="355"/>
              <w:rPr>
                <w:color w:val="auto"/>
                <w:highlight w:val="none"/>
              </w:rPr>
            </w:pPr>
            <w:r>
              <w:rPr>
                <w:color w:val="auto"/>
                <w:highlight w:val="none"/>
              </w:rPr>
              <w:t>6</w:t>
            </w:r>
          </w:p>
        </w:tc>
        <w:tc>
          <w:tcPr>
            <w:tcW w:w="1810" w:type="dxa"/>
            <w:vAlign w:val="top"/>
          </w:tcPr>
          <w:p w14:paraId="18E9222F">
            <w:pPr>
              <w:rPr>
                <w:rFonts w:ascii="Arial"/>
                <w:color w:val="auto"/>
                <w:sz w:val="21"/>
                <w:highlight w:val="none"/>
              </w:rPr>
            </w:pPr>
          </w:p>
        </w:tc>
        <w:tc>
          <w:tcPr>
            <w:tcW w:w="1358" w:type="dxa"/>
            <w:vAlign w:val="top"/>
          </w:tcPr>
          <w:p w14:paraId="51D885B0">
            <w:pPr>
              <w:rPr>
                <w:rFonts w:ascii="Arial"/>
                <w:color w:val="auto"/>
                <w:sz w:val="21"/>
                <w:highlight w:val="none"/>
              </w:rPr>
            </w:pPr>
          </w:p>
        </w:tc>
        <w:tc>
          <w:tcPr>
            <w:tcW w:w="1358" w:type="dxa"/>
            <w:vAlign w:val="top"/>
          </w:tcPr>
          <w:p w14:paraId="52626BE3">
            <w:pPr>
              <w:rPr>
                <w:rFonts w:ascii="Arial"/>
                <w:color w:val="auto"/>
                <w:sz w:val="21"/>
                <w:highlight w:val="none"/>
              </w:rPr>
            </w:pPr>
          </w:p>
        </w:tc>
        <w:tc>
          <w:tcPr>
            <w:tcW w:w="1353" w:type="dxa"/>
            <w:vAlign w:val="top"/>
          </w:tcPr>
          <w:p w14:paraId="5B2F7A1F">
            <w:pPr>
              <w:rPr>
                <w:rFonts w:ascii="Arial"/>
                <w:color w:val="auto"/>
                <w:sz w:val="21"/>
                <w:highlight w:val="none"/>
              </w:rPr>
            </w:pPr>
          </w:p>
        </w:tc>
        <w:tc>
          <w:tcPr>
            <w:tcW w:w="1358" w:type="dxa"/>
            <w:vAlign w:val="top"/>
          </w:tcPr>
          <w:p w14:paraId="7608745A">
            <w:pPr>
              <w:rPr>
                <w:rFonts w:ascii="Arial"/>
                <w:color w:val="auto"/>
                <w:sz w:val="21"/>
                <w:highlight w:val="none"/>
              </w:rPr>
            </w:pPr>
          </w:p>
        </w:tc>
        <w:tc>
          <w:tcPr>
            <w:tcW w:w="1354" w:type="dxa"/>
            <w:vAlign w:val="top"/>
          </w:tcPr>
          <w:p w14:paraId="2D8FCBF9">
            <w:pPr>
              <w:rPr>
                <w:rFonts w:ascii="Arial"/>
                <w:color w:val="auto"/>
                <w:sz w:val="21"/>
                <w:highlight w:val="none"/>
              </w:rPr>
            </w:pPr>
          </w:p>
        </w:tc>
        <w:tc>
          <w:tcPr>
            <w:tcW w:w="1359" w:type="dxa"/>
            <w:vAlign w:val="top"/>
          </w:tcPr>
          <w:p w14:paraId="2B66F274">
            <w:pPr>
              <w:rPr>
                <w:rFonts w:ascii="Arial"/>
                <w:color w:val="auto"/>
                <w:sz w:val="21"/>
                <w:highlight w:val="none"/>
              </w:rPr>
            </w:pPr>
          </w:p>
        </w:tc>
        <w:tc>
          <w:tcPr>
            <w:tcW w:w="1363" w:type="dxa"/>
            <w:vAlign w:val="top"/>
          </w:tcPr>
          <w:p w14:paraId="12914A5E">
            <w:pPr>
              <w:rPr>
                <w:rFonts w:ascii="Arial"/>
                <w:color w:val="auto"/>
                <w:sz w:val="21"/>
                <w:highlight w:val="none"/>
              </w:rPr>
            </w:pPr>
          </w:p>
        </w:tc>
        <w:tc>
          <w:tcPr>
            <w:tcW w:w="1800" w:type="dxa"/>
            <w:vAlign w:val="top"/>
          </w:tcPr>
          <w:p w14:paraId="00FB130E">
            <w:pPr>
              <w:rPr>
                <w:rFonts w:ascii="Arial"/>
                <w:color w:val="auto"/>
                <w:sz w:val="21"/>
                <w:highlight w:val="none"/>
              </w:rPr>
            </w:pPr>
          </w:p>
        </w:tc>
      </w:tr>
      <w:tr w14:paraId="0580E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533DB2F0">
            <w:pPr>
              <w:pStyle w:val="11"/>
              <w:spacing w:before="148" w:line="332" w:lineRule="exact"/>
              <w:ind w:left="208"/>
              <w:rPr>
                <w:color w:val="auto"/>
                <w:highlight w:val="none"/>
              </w:rPr>
            </w:pPr>
            <w:r>
              <w:rPr>
                <w:color w:val="auto"/>
                <w:spacing w:val="-10"/>
                <w:position w:val="2"/>
                <w:highlight w:val="none"/>
              </w:rPr>
              <w:t>……</w:t>
            </w:r>
          </w:p>
        </w:tc>
        <w:tc>
          <w:tcPr>
            <w:tcW w:w="1810" w:type="dxa"/>
            <w:vAlign w:val="top"/>
          </w:tcPr>
          <w:p w14:paraId="30DABD48">
            <w:pPr>
              <w:rPr>
                <w:rFonts w:ascii="Arial"/>
                <w:color w:val="auto"/>
                <w:sz w:val="21"/>
                <w:highlight w:val="none"/>
              </w:rPr>
            </w:pPr>
          </w:p>
        </w:tc>
        <w:tc>
          <w:tcPr>
            <w:tcW w:w="1358" w:type="dxa"/>
            <w:vAlign w:val="top"/>
          </w:tcPr>
          <w:p w14:paraId="2AF75DDF">
            <w:pPr>
              <w:rPr>
                <w:rFonts w:ascii="Arial"/>
                <w:color w:val="auto"/>
                <w:sz w:val="21"/>
                <w:highlight w:val="none"/>
              </w:rPr>
            </w:pPr>
          </w:p>
        </w:tc>
        <w:tc>
          <w:tcPr>
            <w:tcW w:w="1358" w:type="dxa"/>
            <w:vAlign w:val="top"/>
          </w:tcPr>
          <w:p w14:paraId="64B0E07E">
            <w:pPr>
              <w:rPr>
                <w:rFonts w:ascii="Arial"/>
                <w:color w:val="auto"/>
                <w:sz w:val="21"/>
                <w:highlight w:val="none"/>
              </w:rPr>
            </w:pPr>
          </w:p>
        </w:tc>
        <w:tc>
          <w:tcPr>
            <w:tcW w:w="1353" w:type="dxa"/>
            <w:vAlign w:val="top"/>
          </w:tcPr>
          <w:p w14:paraId="23F9D893">
            <w:pPr>
              <w:rPr>
                <w:rFonts w:ascii="Arial"/>
                <w:color w:val="auto"/>
                <w:sz w:val="21"/>
                <w:highlight w:val="none"/>
              </w:rPr>
            </w:pPr>
          </w:p>
        </w:tc>
        <w:tc>
          <w:tcPr>
            <w:tcW w:w="1358" w:type="dxa"/>
            <w:vAlign w:val="top"/>
          </w:tcPr>
          <w:p w14:paraId="4EBFB171">
            <w:pPr>
              <w:rPr>
                <w:rFonts w:ascii="Arial"/>
                <w:color w:val="auto"/>
                <w:sz w:val="21"/>
                <w:highlight w:val="none"/>
              </w:rPr>
            </w:pPr>
          </w:p>
        </w:tc>
        <w:tc>
          <w:tcPr>
            <w:tcW w:w="1354" w:type="dxa"/>
            <w:vAlign w:val="top"/>
          </w:tcPr>
          <w:p w14:paraId="6DD13E95">
            <w:pPr>
              <w:rPr>
                <w:rFonts w:ascii="Arial"/>
                <w:color w:val="auto"/>
                <w:sz w:val="21"/>
                <w:highlight w:val="none"/>
              </w:rPr>
            </w:pPr>
          </w:p>
        </w:tc>
        <w:tc>
          <w:tcPr>
            <w:tcW w:w="1359" w:type="dxa"/>
            <w:vAlign w:val="top"/>
          </w:tcPr>
          <w:p w14:paraId="7EF38171">
            <w:pPr>
              <w:rPr>
                <w:rFonts w:ascii="Arial"/>
                <w:color w:val="auto"/>
                <w:sz w:val="21"/>
                <w:highlight w:val="none"/>
              </w:rPr>
            </w:pPr>
          </w:p>
        </w:tc>
        <w:tc>
          <w:tcPr>
            <w:tcW w:w="1363" w:type="dxa"/>
            <w:vAlign w:val="top"/>
          </w:tcPr>
          <w:p w14:paraId="0FF5F5F4">
            <w:pPr>
              <w:rPr>
                <w:rFonts w:ascii="Arial"/>
                <w:color w:val="auto"/>
                <w:sz w:val="21"/>
                <w:highlight w:val="none"/>
              </w:rPr>
            </w:pPr>
          </w:p>
        </w:tc>
        <w:tc>
          <w:tcPr>
            <w:tcW w:w="1800" w:type="dxa"/>
            <w:vAlign w:val="top"/>
          </w:tcPr>
          <w:p w14:paraId="36C0A4FD">
            <w:pPr>
              <w:rPr>
                <w:rFonts w:ascii="Arial"/>
                <w:color w:val="auto"/>
                <w:sz w:val="21"/>
                <w:highlight w:val="none"/>
              </w:rPr>
            </w:pPr>
          </w:p>
        </w:tc>
      </w:tr>
      <w:tr w14:paraId="59652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909" w:type="dxa"/>
            <w:gridSpan w:val="10"/>
            <w:vAlign w:val="top"/>
          </w:tcPr>
          <w:p w14:paraId="437B9D19">
            <w:pPr>
              <w:pStyle w:val="11"/>
              <w:spacing w:before="33" w:line="221" w:lineRule="auto"/>
              <w:ind w:left="127"/>
              <w:rPr>
                <w:color w:val="auto"/>
                <w:highlight w:val="none"/>
              </w:rPr>
            </w:pPr>
            <w:r>
              <w:rPr>
                <w:color w:val="auto"/>
                <w:spacing w:val="-6"/>
                <w:highlight w:val="none"/>
              </w:rPr>
              <w:t>资信标评委签名：</w:t>
            </w:r>
          </w:p>
        </w:tc>
      </w:tr>
    </w:tbl>
    <w:p w14:paraId="36FDCBEC">
      <w:pPr>
        <w:spacing w:before="298" w:line="221" w:lineRule="auto"/>
        <w:jc w:val="right"/>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日期：</w:t>
      </w:r>
      <w:r>
        <w:rPr>
          <w:rFonts w:ascii="宋体" w:hAnsi="宋体" w:eastAsia="宋体" w:cs="宋体"/>
          <w:color w:val="auto"/>
          <w:spacing w:val="27"/>
          <w:sz w:val="21"/>
          <w:szCs w:val="21"/>
          <w:highlight w:val="none"/>
        </w:rPr>
        <w:t xml:space="preserve">   </w:t>
      </w:r>
      <w:r>
        <w:rPr>
          <w:rFonts w:ascii="宋体" w:hAnsi="宋体" w:eastAsia="宋体" w:cs="宋体"/>
          <w:color w:val="auto"/>
          <w:spacing w:val="-31"/>
          <w:sz w:val="21"/>
          <w:szCs w:val="21"/>
          <w:highlight w:val="none"/>
        </w:rPr>
        <w:t>年</w:t>
      </w:r>
      <w:r>
        <w:rPr>
          <w:rFonts w:ascii="宋体" w:hAnsi="宋体" w:eastAsia="宋体" w:cs="宋体"/>
          <w:color w:val="auto"/>
          <w:spacing w:val="7"/>
          <w:sz w:val="21"/>
          <w:szCs w:val="21"/>
          <w:highlight w:val="none"/>
        </w:rPr>
        <w:t xml:space="preserve">  </w:t>
      </w:r>
      <w:r>
        <w:rPr>
          <w:rFonts w:ascii="宋体" w:hAnsi="宋体" w:eastAsia="宋体" w:cs="宋体"/>
          <w:color w:val="auto"/>
          <w:spacing w:val="-31"/>
          <w:sz w:val="21"/>
          <w:szCs w:val="21"/>
          <w:highlight w:val="none"/>
        </w:rPr>
        <w:t>月</w:t>
      </w:r>
      <w:r>
        <w:rPr>
          <w:rFonts w:ascii="宋体" w:hAnsi="宋体" w:eastAsia="宋体" w:cs="宋体"/>
          <w:color w:val="auto"/>
          <w:spacing w:val="95"/>
          <w:sz w:val="21"/>
          <w:szCs w:val="21"/>
          <w:highlight w:val="none"/>
        </w:rPr>
        <w:t xml:space="preserve"> </w:t>
      </w:r>
      <w:r>
        <w:rPr>
          <w:rFonts w:ascii="宋体" w:hAnsi="宋体" w:eastAsia="宋体" w:cs="宋体"/>
          <w:color w:val="auto"/>
          <w:spacing w:val="-31"/>
          <w:sz w:val="21"/>
          <w:szCs w:val="21"/>
          <w:highlight w:val="none"/>
        </w:rPr>
        <w:t>日</w:t>
      </w:r>
    </w:p>
    <w:p w14:paraId="15B13CC8">
      <w:pPr>
        <w:spacing w:line="221" w:lineRule="auto"/>
        <w:rPr>
          <w:rFonts w:ascii="宋体" w:hAnsi="宋体" w:eastAsia="宋体" w:cs="宋体"/>
          <w:color w:val="auto"/>
          <w:sz w:val="21"/>
          <w:szCs w:val="21"/>
          <w:highlight w:val="none"/>
        </w:rPr>
        <w:sectPr>
          <w:footerReference r:id="rId92" w:type="default"/>
          <w:pgSz w:w="16839" w:h="11905"/>
          <w:pgMar w:top="1011" w:right="1430" w:bottom="991" w:left="1449" w:header="0" w:footer="786" w:gutter="0"/>
          <w:pgNumType w:fmt="decimal"/>
          <w:cols w:space="720" w:num="1"/>
        </w:sectPr>
      </w:pPr>
    </w:p>
    <w:p w14:paraId="4483DDB7">
      <w:pPr>
        <w:pStyle w:val="3"/>
        <w:spacing w:line="272" w:lineRule="auto"/>
        <w:rPr>
          <w:color w:val="auto"/>
          <w:highlight w:val="none"/>
        </w:rPr>
      </w:pPr>
    </w:p>
    <w:p w14:paraId="1D7EA0D0">
      <w:pPr>
        <w:pStyle w:val="3"/>
        <w:spacing w:line="272" w:lineRule="auto"/>
        <w:rPr>
          <w:color w:val="auto"/>
          <w:highlight w:val="none"/>
        </w:rPr>
      </w:pPr>
    </w:p>
    <w:p w14:paraId="333865E6">
      <w:pPr>
        <w:pStyle w:val="3"/>
        <w:spacing w:line="272" w:lineRule="auto"/>
        <w:rPr>
          <w:color w:val="auto"/>
          <w:highlight w:val="none"/>
        </w:rPr>
      </w:pPr>
    </w:p>
    <w:p w14:paraId="1C0BE521">
      <w:pPr>
        <w:spacing w:before="78" w:line="219" w:lineRule="auto"/>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60"/>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14</w:t>
      </w:r>
      <w:r>
        <w:rPr>
          <w:rFonts w:ascii="黑体" w:hAnsi="黑体" w:eastAsia="黑体" w:cs="黑体"/>
          <w:color w:val="auto"/>
          <w:spacing w:val="-4"/>
          <w:sz w:val="24"/>
          <w:szCs w:val="24"/>
          <w:highlight w:val="none"/>
        </w:rPr>
        <w:t>：其他因素评审记录表</w:t>
      </w:r>
    </w:p>
    <w:p w14:paraId="46DD1EC5">
      <w:pPr>
        <w:spacing w:before="288" w:line="219" w:lineRule="auto"/>
        <w:ind w:left="5354"/>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其他因素评审记录表</w:t>
      </w:r>
    </w:p>
    <w:p w14:paraId="665E08B6">
      <w:pPr>
        <w:spacing w:before="234" w:line="221" w:lineRule="auto"/>
        <w:ind w:left="197"/>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363319C3">
      <w:pPr>
        <w:spacing w:before="22" w:line="214" w:lineRule="auto"/>
        <w:ind w:left="19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3327"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752"/>
        <w:gridCol w:w="1315"/>
        <w:gridCol w:w="1315"/>
        <w:gridCol w:w="1315"/>
        <w:gridCol w:w="1310"/>
        <w:gridCol w:w="1315"/>
        <w:gridCol w:w="1315"/>
        <w:gridCol w:w="1325"/>
        <w:gridCol w:w="1593"/>
      </w:tblGrid>
      <w:tr w14:paraId="5F1E7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1" w:hRule="atLeast"/>
        </w:trPr>
        <w:tc>
          <w:tcPr>
            <w:tcW w:w="772" w:type="dxa"/>
            <w:vMerge w:val="restart"/>
            <w:tcBorders>
              <w:bottom w:val="nil"/>
            </w:tcBorders>
            <w:vAlign w:val="top"/>
          </w:tcPr>
          <w:p w14:paraId="0D78A8A6">
            <w:pPr>
              <w:spacing w:line="266" w:lineRule="auto"/>
              <w:rPr>
                <w:rFonts w:ascii="Arial"/>
                <w:color w:val="auto"/>
                <w:sz w:val="21"/>
                <w:highlight w:val="none"/>
              </w:rPr>
            </w:pPr>
          </w:p>
          <w:p w14:paraId="0077380A">
            <w:pPr>
              <w:pStyle w:val="11"/>
              <w:spacing w:before="69" w:line="222" w:lineRule="auto"/>
              <w:ind w:left="179"/>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752" w:type="dxa"/>
            <w:vMerge w:val="restart"/>
            <w:tcBorders>
              <w:bottom w:val="nil"/>
            </w:tcBorders>
            <w:vAlign w:val="top"/>
          </w:tcPr>
          <w:p w14:paraId="17C0D598">
            <w:pPr>
              <w:spacing w:line="267" w:lineRule="auto"/>
              <w:rPr>
                <w:rFonts w:ascii="Arial"/>
                <w:color w:val="auto"/>
                <w:sz w:val="21"/>
                <w:highlight w:val="none"/>
              </w:rPr>
            </w:pPr>
          </w:p>
          <w:p w14:paraId="24E30A9B">
            <w:pPr>
              <w:pStyle w:val="11"/>
              <w:spacing w:before="68" w:line="221" w:lineRule="auto"/>
              <w:ind w:left="357"/>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9210" w:type="dxa"/>
            <w:gridSpan w:val="7"/>
            <w:vAlign w:val="top"/>
          </w:tcPr>
          <w:p w14:paraId="1E1B4590">
            <w:pPr>
              <w:pStyle w:val="11"/>
              <w:spacing w:before="110" w:line="221" w:lineRule="auto"/>
              <w:ind w:left="3873"/>
              <w:rPr>
                <w:color w:val="auto"/>
                <w:highlight w:val="none"/>
              </w:rPr>
            </w:pPr>
            <w:r>
              <w:rPr>
                <w:color w:val="auto"/>
                <w:highlight w:val="none"/>
                <w14:textOutline w14:w="3831" w14:cap="flat" w14:cmpd="sng">
                  <w14:solidFill>
                    <w14:srgbClr w14:val="000000"/>
                  </w14:solidFill>
                  <w14:prstDash w14:val="solid"/>
                  <w14:miter w14:val="0"/>
                </w14:textOutline>
              </w:rPr>
              <w:t>评委姓名及得分</w:t>
            </w:r>
          </w:p>
        </w:tc>
        <w:tc>
          <w:tcPr>
            <w:tcW w:w="1593" w:type="dxa"/>
            <w:vMerge w:val="restart"/>
            <w:tcBorders>
              <w:bottom w:val="nil"/>
            </w:tcBorders>
            <w:vAlign w:val="top"/>
          </w:tcPr>
          <w:p w14:paraId="0942B0D1">
            <w:pPr>
              <w:pStyle w:val="11"/>
              <w:spacing w:before="197" w:line="231" w:lineRule="auto"/>
              <w:ind w:left="589" w:right="162" w:hanging="422"/>
              <w:rPr>
                <w:color w:val="auto"/>
                <w:highlight w:val="none"/>
              </w:rPr>
            </w:pPr>
            <w:r>
              <w:rPr>
                <w:color w:val="auto"/>
                <w:spacing w:val="-1"/>
                <w:highlight w:val="none"/>
                <w14:textOutline w14:w="3831" w14:cap="flat" w14:cmpd="sng">
                  <w14:solidFill>
                    <w14:srgbClr w14:val="000000"/>
                  </w14:solidFill>
                  <w14:prstDash w14:val="solid"/>
                  <w14:miter w14:val="0"/>
                </w14:textOutline>
              </w:rPr>
              <w:t>其他因素最终</w:t>
            </w:r>
            <w:r>
              <w:rPr>
                <w:color w:val="auto"/>
                <w:spacing w:val="3"/>
                <w:highlight w:val="none"/>
              </w:rPr>
              <w:t xml:space="preserve"> </w:t>
            </w:r>
            <w:r>
              <w:rPr>
                <w:color w:val="auto"/>
                <w:spacing w:val="-2"/>
                <w:highlight w:val="none"/>
                <w14:textOutline w14:w="3831" w14:cap="flat" w14:cmpd="sng">
                  <w14:solidFill>
                    <w14:srgbClr w14:val="000000"/>
                  </w14:solidFill>
                  <w14:prstDash w14:val="solid"/>
                  <w14:miter w14:val="0"/>
                </w14:textOutline>
              </w:rPr>
              <w:t>得分</w:t>
            </w:r>
          </w:p>
        </w:tc>
      </w:tr>
      <w:tr w14:paraId="70814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72" w:type="dxa"/>
            <w:vMerge w:val="continue"/>
            <w:tcBorders>
              <w:top w:val="nil"/>
            </w:tcBorders>
            <w:vAlign w:val="top"/>
          </w:tcPr>
          <w:p w14:paraId="545333C6">
            <w:pPr>
              <w:rPr>
                <w:rFonts w:ascii="Arial"/>
                <w:color w:val="auto"/>
                <w:sz w:val="21"/>
                <w:highlight w:val="none"/>
              </w:rPr>
            </w:pPr>
          </w:p>
        </w:tc>
        <w:tc>
          <w:tcPr>
            <w:tcW w:w="1752" w:type="dxa"/>
            <w:vMerge w:val="continue"/>
            <w:tcBorders>
              <w:top w:val="nil"/>
            </w:tcBorders>
            <w:vAlign w:val="top"/>
          </w:tcPr>
          <w:p w14:paraId="0007D408">
            <w:pPr>
              <w:rPr>
                <w:rFonts w:ascii="Arial"/>
                <w:color w:val="auto"/>
                <w:sz w:val="21"/>
                <w:highlight w:val="none"/>
              </w:rPr>
            </w:pPr>
          </w:p>
        </w:tc>
        <w:tc>
          <w:tcPr>
            <w:tcW w:w="1315" w:type="dxa"/>
            <w:vAlign w:val="top"/>
          </w:tcPr>
          <w:p w14:paraId="1FF5EF58">
            <w:pPr>
              <w:pStyle w:val="11"/>
              <w:spacing w:before="112" w:line="221" w:lineRule="auto"/>
              <w:ind w:left="373"/>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29"/>
                <w:highlight w:val="none"/>
              </w:rPr>
              <w:t xml:space="preserve"> </w:t>
            </w:r>
            <w:r>
              <w:rPr>
                <w:color w:val="auto"/>
                <w:spacing w:val="-2"/>
                <w:highlight w:val="none"/>
                <w14:textOutline w14:w="3831" w14:cap="flat" w14:cmpd="sng">
                  <w14:solidFill>
                    <w14:srgbClr w14:val="000000"/>
                  </w14:solidFill>
                  <w14:prstDash w14:val="solid"/>
                  <w14:miter w14:val="0"/>
                </w14:textOutline>
              </w:rPr>
              <w:t>1</w:t>
            </w:r>
          </w:p>
        </w:tc>
        <w:tc>
          <w:tcPr>
            <w:tcW w:w="1315" w:type="dxa"/>
            <w:vAlign w:val="top"/>
          </w:tcPr>
          <w:p w14:paraId="3B733027">
            <w:pPr>
              <w:pStyle w:val="11"/>
              <w:spacing w:before="112" w:line="221" w:lineRule="auto"/>
              <w:ind w:left="373"/>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41"/>
                <w:highlight w:val="none"/>
              </w:rPr>
              <w:t xml:space="preserve"> </w:t>
            </w:r>
            <w:r>
              <w:rPr>
                <w:color w:val="auto"/>
                <w:spacing w:val="-2"/>
                <w:highlight w:val="none"/>
                <w14:textOutline w14:w="3831" w14:cap="flat" w14:cmpd="sng">
                  <w14:solidFill>
                    <w14:srgbClr w14:val="000000"/>
                  </w14:solidFill>
                  <w14:prstDash w14:val="solid"/>
                  <w14:miter w14:val="0"/>
                </w14:textOutline>
              </w:rPr>
              <w:t>2</w:t>
            </w:r>
          </w:p>
        </w:tc>
        <w:tc>
          <w:tcPr>
            <w:tcW w:w="1315" w:type="dxa"/>
            <w:vAlign w:val="top"/>
          </w:tcPr>
          <w:p w14:paraId="4CAA46BF">
            <w:pPr>
              <w:pStyle w:val="11"/>
              <w:spacing w:before="112" w:line="315" w:lineRule="exact"/>
              <w:ind w:left="465"/>
              <w:rPr>
                <w:color w:val="auto"/>
                <w:highlight w:val="none"/>
              </w:rPr>
            </w:pPr>
            <w:r>
              <w:rPr>
                <w:color w:val="auto"/>
                <w:spacing w:val="-5"/>
                <w:position w:val="2"/>
                <w:highlight w:val="none"/>
                <w14:textOutline w14:w="3831" w14:cap="flat" w14:cmpd="sng">
                  <w14:solidFill>
                    <w14:srgbClr w14:val="000000"/>
                  </w14:solidFill>
                  <w14:prstDash w14:val="solid"/>
                  <w14:miter w14:val="0"/>
                </w14:textOutline>
              </w:rPr>
              <w:t>……</w:t>
            </w:r>
          </w:p>
        </w:tc>
        <w:tc>
          <w:tcPr>
            <w:tcW w:w="1310" w:type="dxa"/>
            <w:vAlign w:val="top"/>
          </w:tcPr>
          <w:p w14:paraId="23FDB1F1">
            <w:pPr>
              <w:rPr>
                <w:rFonts w:ascii="Arial"/>
                <w:color w:val="auto"/>
                <w:sz w:val="21"/>
                <w:highlight w:val="none"/>
              </w:rPr>
            </w:pPr>
          </w:p>
        </w:tc>
        <w:tc>
          <w:tcPr>
            <w:tcW w:w="1315" w:type="dxa"/>
            <w:vAlign w:val="top"/>
          </w:tcPr>
          <w:p w14:paraId="120D94AB">
            <w:pPr>
              <w:rPr>
                <w:rFonts w:ascii="Arial"/>
                <w:color w:val="auto"/>
                <w:sz w:val="21"/>
                <w:highlight w:val="none"/>
              </w:rPr>
            </w:pPr>
          </w:p>
        </w:tc>
        <w:tc>
          <w:tcPr>
            <w:tcW w:w="1315" w:type="dxa"/>
            <w:vAlign w:val="top"/>
          </w:tcPr>
          <w:p w14:paraId="236CA089">
            <w:pPr>
              <w:rPr>
                <w:rFonts w:ascii="Arial"/>
                <w:color w:val="auto"/>
                <w:sz w:val="21"/>
                <w:highlight w:val="none"/>
              </w:rPr>
            </w:pPr>
          </w:p>
        </w:tc>
        <w:tc>
          <w:tcPr>
            <w:tcW w:w="1325" w:type="dxa"/>
            <w:vAlign w:val="top"/>
          </w:tcPr>
          <w:p w14:paraId="21987589">
            <w:pPr>
              <w:rPr>
                <w:rFonts w:ascii="Arial"/>
                <w:color w:val="auto"/>
                <w:sz w:val="21"/>
                <w:highlight w:val="none"/>
              </w:rPr>
            </w:pPr>
          </w:p>
        </w:tc>
        <w:tc>
          <w:tcPr>
            <w:tcW w:w="1593" w:type="dxa"/>
            <w:vMerge w:val="continue"/>
            <w:tcBorders>
              <w:top w:val="nil"/>
            </w:tcBorders>
            <w:vAlign w:val="top"/>
          </w:tcPr>
          <w:p w14:paraId="3029C1A6">
            <w:pPr>
              <w:rPr>
                <w:rFonts w:ascii="Arial"/>
                <w:color w:val="auto"/>
                <w:sz w:val="21"/>
                <w:highlight w:val="none"/>
              </w:rPr>
            </w:pPr>
          </w:p>
        </w:tc>
      </w:tr>
      <w:tr w14:paraId="6FAD3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26CCD77B">
            <w:pPr>
              <w:pStyle w:val="11"/>
              <w:spacing w:before="222" w:line="183" w:lineRule="auto"/>
              <w:ind w:left="354"/>
              <w:rPr>
                <w:color w:val="auto"/>
                <w:highlight w:val="none"/>
              </w:rPr>
            </w:pPr>
            <w:r>
              <w:rPr>
                <w:color w:val="auto"/>
                <w:highlight w:val="none"/>
              </w:rPr>
              <w:t>1</w:t>
            </w:r>
          </w:p>
        </w:tc>
        <w:tc>
          <w:tcPr>
            <w:tcW w:w="1752" w:type="dxa"/>
            <w:vAlign w:val="top"/>
          </w:tcPr>
          <w:p w14:paraId="6E9E19B1">
            <w:pPr>
              <w:rPr>
                <w:rFonts w:ascii="Arial"/>
                <w:color w:val="auto"/>
                <w:sz w:val="21"/>
                <w:highlight w:val="none"/>
              </w:rPr>
            </w:pPr>
          </w:p>
        </w:tc>
        <w:tc>
          <w:tcPr>
            <w:tcW w:w="1315" w:type="dxa"/>
            <w:vAlign w:val="top"/>
          </w:tcPr>
          <w:p w14:paraId="237C80EF">
            <w:pPr>
              <w:rPr>
                <w:rFonts w:ascii="Arial"/>
                <w:color w:val="auto"/>
                <w:sz w:val="21"/>
                <w:highlight w:val="none"/>
              </w:rPr>
            </w:pPr>
          </w:p>
        </w:tc>
        <w:tc>
          <w:tcPr>
            <w:tcW w:w="1315" w:type="dxa"/>
            <w:vAlign w:val="top"/>
          </w:tcPr>
          <w:p w14:paraId="432502EC">
            <w:pPr>
              <w:rPr>
                <w:rFonts w:ascii="Arial"/>
                <w:color w:val="auto"/>
                <w:sz w:val="21"/>
                <w:highlight w:val="none"/>
              </w:rPr>
            </w:pPr>
          </w:p>
        </w:tc>
        <w:tc>
          <w:tcPr>
            <w:tcW w:w="1315" w:type="dxa"/>
            <w:vAlign w:val="top"/>
          </w:tcPr>
          <w:p w14:paraId="200BD57A">
            <w:pPr>
              <w:rPr>
                <w:rFonts w:ascii="Arial"/>
                <w:color w:val="auto"/>
                <w:sz w:val="21"/>
                <w:highlight w:val="none"/>
              </w:rPr>
            </w:pPr>
          </w:p>
        </w:tc>
        <w:tc>
          <w:tcPr>
            <w:tcW w:w="1310" w:type="dxa"/>
            <w:vAlign w:val="top"/>
          </w:tcPr>
          <w:p w14:paraId="26F33BF8">
            <w:pPr>
              <w:rPr>
                <w:rFonts w:ascii="Arial"/>
                <w:color w:val="auto"/>
                <w:sz w:val="21"/>
                <w:highlight w:val="none"/>
              </w:rPr>
            </w:pPr>
          </w:p>
        </w:tc>
        <w:tc>
          <w:tcPr>
            <w:tcW w:w="1315" w:type="dxa"/>
            <w:vAlign w:val="top"/>
          </w:tcPr>
          <w:p w14:paraId="7F9F6B03">
            <w:pPr>
              <w:rPr>
                <w:rFonts w:ascii="Arial"/>
                <w:color w:val="auto"/>
                <w:sz w:val="21"/>
                <w:highlight w:val="none"/>
              </w:rPr>
            </w:pPr>
          </w:p>
        </w:tc>
        <w:tc>
          <w:tcPr>
            <w:tcW w:w="1315" w:type="dxa"/>
            <w:vAlign w:val="top"/>
          </w:tcPr>
          <w:p w14:paraId="1499BBC6">
            <w:pPr>
              <w:rPr>
                <w:rFonts w:ascii="Arial"/>
                <w:color w:val="auto"/>
                <w:sz w:val="21"/>
                <w:highlight w:val="none"/>
              </w:rPr>
            </w:pPr>
          </w:p>
        </w:tc>
        <w:tc>
          <w:tcPr>
            <w:tcW w:w="1325" w:type="dxa"/>
            <w:vAlign w:val="top"/>
          </w:tcPr>
          <w:p w14:paraId="5F9B7A59">
            <w:pPr>
              <w:rPr>
                <w:rFonts w:ascii="Arial"/>
                <w:color w:val="auto"/>
                <w:sz w:val="21"/>
                <w:highlight w:val="none"/>
              </w:rPr>
            </w:pPr>
          </w:p>
        </w:tc>
        <w:tc>
          <w:tcPr>
            <w:tcW w:w="1593" w:type="dxa"/>
            <w:vAlign w:val="top"/>
          </w:tcPr>
          <w:p w14:paraId="77339E0B">
            <w:pPr>
              <w:rPr>
                <w:rFonts w:ascii="Arial"/>
                <w:color w:val="auto"/>
                <w:sz w:val="21"/>
                <w:highlight w:val="none"/>
              </w:rPr>
            </w:pPr>
          </w:p>
        </w:tc>
      </w:tr>
      <w:tr w14:paraId="4CA3A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82C05AA">
            <w:pPr>
              <w:pStyle w:val="11"/>
              <w:spacing w:before="219" w:line="182" w:lineRule="auto"/>
              <w:ind w:left="341"/>
              <w:rPr>
                <w:color w:val="auto"/>
                <w:highlight w:val="none"/>
              </w:rPr>
            </w:pPr>
            <w:r>
              <w:rPr>
                <w:color w:val="auto"/>
                <w:highlight w:val="none"/>
              </w:rPr>
              <w:t>2</w:t>
            </w:r>
          </w:p>
        </w:tc>
        <w:tc>
          <w:tcPr>
            <w:tcW w:w="1752" w:type="dxa"/>
            <w:vAlign w:val="top"/>
          </w:tcPr>
          <w:p w14:paraId="45E1FD54">
            <w:pPr>
              <w:rPr>
                <w:rFonts w:ascii="Arial"/>
                <w:color w:val="auto"/>
                <w:sz w:val="21"/>
                <w:highlight w:val="none"/>
              </w:rPr>
            </w:pPr>
          </w:p>
        </w:tc>
        <w:tc>
          <w:tcPr>
            <w:tcW w:w="1315" w:type="dxa"/>
            <w:vAlign w:val="top"/>
          </w:tcPr>
          <w:p w14:paraId="7F07A46A">
            <w:pPr>
              <w:rPr>
                <w:rFonts w:ascii="Arial"/>
                <w:color w:val="auto"/>
                <w:sz w:val="21"/>
                <w:highlight w:val="none"/>
              </w:rPr>
            </w:pPr>
          </w:p>
        </w:tc>
        <w:tc>
          <w:tcPr>
            <w:tcW w:w="1315" w:type="dxa"/>
            <w:vAlign w:val="top"/>
          </w:tcPr>
          <w:p w14:paraId="68ABA7D1">
            <w:pPr>
              <w:rPr>
                <w:rFonts w:ascii="Arial"/>
                <w:color w:val="auto"/>
                <w:sz w:val="21"/>
                <w:highlight w:val="none"/>
              </w:rPr>
            </w:pPr>
          </w:p>
        </w:tc>
        <w:tc>
          <w:tcPr>
            <w:tcW w:w="1315" w:type="dxa"/>
            <w:vAlign w:val="top"/>
          </w:tcPr>
          <w:p w14:paraId="1DFCFCBE">
            <w:pPr>
              <w:rPr>
                <w:rFonts w:ascii="Arial"/>
                <w:color w:val="auto"/>
                <w:sz w:val="21"/>
                <w:highlight w:val="none"/>
              </w:rPr>
            </w:pPr>
          </w:p>
        </w:tc>
        <w:tc>
          <w:tcPr>
            <w:tcW w:w="1310" w:type="dxa"/>
            <w:vAlign w:val="top"/>
          </w:tcPr>
          <w:p w14:paraId="4A07602C">
            <w:pPr>
              <w:rPr>
                <w:rFonts w:ascii="Arial"/>
                <w:color w:val="auto"/>
                <w:sz w:val="21"/>
                <w:highlight w:val="none"/>
              </w:rPr>
            </w:pPr>
          </w:p>
        </w:tc>
        <w:tc>
          <w:tcPr>
            <w:tcW w:w="1315" w:type="dxa"/>
            <w:vAlign w:val="top"/>
          </w:tcPr>
          <w:p w14:paraId="0C238596">
            <w:pPr>
              <w:rPr>
                <w:rFonts w:ascii="Arial"/>
                <w:color w:val="auto"/>
                <w:sz w:val="21"/>
                <w:highlight w:val="none"/>
              </w:rPr>
            </w:pPr>
          </w:p>
        </w:tc>
        <w:tc>
          <w:tcPr>
            <w:tcW w:w="1315" w:type="dxa"/>
            <w:vAlign w:val="top"/>
          </w:tcPr>
          <w:p w14:paraId="30AB6BE6">
            <w:pPr>
              <w:rPr>
                <w:rFonts w:ascii="Arial"/>
                <w:color w:val="auto"/>
                <w:sz w:val="21"/>
                <w:highlight w:val="none"/>
              </w:rPr>
            </w:pPr>
          </w:p>
        </w:tc>
        <w:tc>
          <w:tcPr>
            <w:tcW w:w="1325" w:type="dxa"/>
            <w:vAlign w:val="top"/>
          </w:tcPr>
          <w:p w14:paraId="51EE8CCB">
            <w:pPr>
              <w:rPr>
                <w:rFonts w:ascii="Arial"/>
                <w:color w:val="auto"/>
                <w:sz w:val="21"/>
                <w:highlight w:val="none"/>
              </w:rPr>
            </w:pPr>
          </w:p>
        </w:tc>
        <w:tc>
          <w:tcPr>
            <w:tcW w:w="1593" w:type="dxa"/>
            <w:vAlign w:val="top"/>
          </w:tcPr>
          <w:p w14:paraId="0A03AD1D">
            <w:pPr>
              <w:rPr>
                <w:rFonts w:ascii="Arial"/>
                <w:color w:val="auto"/>
                <w:sz w:val="21"/>
                <w:highlight w:val="none"/>
              </w:rPr>
            </w:pPr>
          </w:p>
        </w:tc>
      </w:tr>
      <w:tr w14:paraId="71DA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72" w:type="dxa"/>
            <w:vAlign w:val="top"/>
          </w:tcPr>
          <w:p w14:paraId="083E9435">
            <w:pPr>
              <w:pStyle w:val="11"/>
              <w:spacing w:before="219" w:line="182" w:lineRule="auto"/>
              <w:ind w:left="343"/>
              <w:rPr>
                <w:color w:val="auto"/>
                <w:highlight w:val="none"/>
              </w:rPr>
            </w:pPr>
            <w:r>
              <w:rPr>
                <w:color w:val="auto"/>
                <w:highlight w:val="none"/>
              </w:rPr>
              <w:t>3</w:t>
            </w:r>
          </w:p>
        </w:tc>
        <w:tc>
          <w:tcPr>
            <w:tcW w:w="1752" w:type="dxa"/>
            <w:vAlign w:val="top"/>
          </w:tcPr>
          <w:p w14:paraId="1671B62D">
            <w:pPr>
              <w:rPr>
                <w:rFonts w:ascii="Arial"/>
                <w:color w:val="auto"/>
                <w:sz w:val="21"/>
                <w:highlight w:val="none"/>
              </w:rPr>
            </w:pPr>
          </w:p>
        </w:tc>
        <w:tc>
          <w:tcPr>
            <w:tcW w:w="1315" w:type="dxa"/>
            <w:vAlign w:val="top"/>
          </w:tcPr>
          <w:p w14:paraId="48AC6CB3">
            <w:pPr>
              <w:rPr>
                <w:rFonts w:ascii="Arial"/>
                <w:color w:val="auto"/>
                <w:sz w:val="21"/>
                <w:highlight w:val="none"/>
              </w:rPr>
            </w:pPr>
          </w:p>
        </w:tc>
        <w:tc>
          <w:tcPr>
            <w:tcW w:w="1315" w:type="dxa"/>
            <w:vAlign w:val="top"/>
          </w:tcPr>
          <w:p w14:paraId="1CD00096">
            <w:pPr>
              <w:rPr>
                <w:rFonts w:ascii="Arial"/>
                <w:color w:val="auto"/>
                <w:sz w:val="21"/>
                <w:highlight w:val="none"/>
              </w:rPr>
            </w:pPr>
          </w:p>
        </w:tc>
        <w:tc>
          <w:tcPr>
            <w:tcW w:w="1315" w:type="dxa"/>
            <w:vAlign w:val="top"/>
          </w:tcPr>
          <w:p w14:paraId="2EDF668A">
            <w:pPr>
              <w:rPr>
                <w:rFonts w:ascii="Arial"/>
                <w:color w:val="auto"/>
                <w:sz w:val="21"/>
                <w:highlight w:val="none"/>
              </w:rPr>
            </w:pPr>
          </w:p>
        </w:tc>
        <w:tc>
          <w:tcPr>
            <w:tcW w:w="1310" w:type="dxa"/>
            <w:vAlign w:val="top"/>
          </w:tcPr>
          <w:p w14:paraId="65BB779A">
            <w:pPr>
              <w:rPr>
                <w:rFonts w:ascii="Arial"/>
                <w:color w:val="auto"/>
                <w:sz w:val="21"/>
                <w:highlight w:val="none"/>
              </w:rPr>
            </w:pPr>
          </w:p>
        </w:tc>
        <w:tc>
          <w:tcPr>
            <w:tcW w:w="1315" w:type="dxa"/>
            <w:vAlign w:val="top"/>
          </w:tcPr>
          <w:p w14:paraId="24E7CFC8">
            <w:pPr>
              <w:rPr>
                <w:rFonts w:ascii="Arial"/>
                <w:color w:val="auto"/>
                <w:sz w:val="21"/>
                <w:highlight w:val="none"/>
              </w:rPr>
            </w:pPr>
          </w:p>
        </w:tc>
        <w:tc>
          <w:tcPr>
            <w:tcW w:w="1315" w:type="dxa"/>
            <w:vAlign w:val="top"/>
          </w:tcPr>
          <w:p w14:paraId="2036B8FB">
            <w:pPr>
              <w:rPr>
                <w:rFonts w:ascii="Arial"/>
                <w:color w:val="auto"/>
                <w:sz w:val="21"/>
                <w:highlight w:val="none"/>
              </w:rPr>
            </w:pPr>
          </w:p>
        </w:tc>
        <w:tc>
          <w:tcPr>
            <w:tcW w:w="1325" w:type="dxa"/>
            <w:vAlign w:val="top"/>
          </w:tcPr>
          <w:p w14:paraId="1B384B02">
            <w:pPr>
              <w:rPr>
                <w:rFonts w:ascii="Arial"/>
                <w:color w:val="auto"/>
                <w:sz w:val="21"/>
                <w:highlight w:val="none"/>
              </w:rPr>
            </w:pPr>
          </w:p>
        </w:tc>
        <w:tc>
          <w:tcPr>
            <w:tcW w:w="1593" w:type="dxa"/>
            <w:vAlign w:val="top"/>
          </w:tcPr>
          <w:p w14:paraId="13AED27F">
            <w:pPr>
              <w:rPr>
                <w:rFonts w:ascii="Arial"/>
                <w:color w:val="auto"/>
                <w:sz w:val="21"/>
                <w:highlight w:val="none"/>
              </w:rPr>
            </w:pPr>
          </w:p>
        </w:tc>
      </w:tr>
      <w:tr w14:paraId="4BB34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2" w:type="dxa"/>
            <w:vAlign w:val="top"/>
          </w:tcPr>
          <w:p w14:paraId="1B645EE7">
            <w:pPr>
              <w:pStyle w:val="11"/>
              <w:spacing w:before="221" w:line="182" w:lineRule="auto"/>
              <w:ind w:left="338"/>
              <w:rPr>
                <w:color w:val="auto"/>
                <w:highlight w:val="none"/>
              </w:rPr>
            </w:pPr>
            <w:r>
              <w:rPr>
                <w:color w:val="auto"/>
                <w:highlight w:val="none"/>
              </w:rPr>
              <w:t>4</w:t>
            </w:r>
          </w:p>
        </w:tc>
        <w:tc>
          <w:tcPr>
            <w:tcW w:w="1752" w:type="dxa"/>
            <w:vAlign w:val="top"/>
          </w:tcPr>
          <w:p w14:paraId="05ADD090">
            <w:pPr>
              <w:rPr>
                <w:rFonts w:ascii="Arial"/>
                <w:color w:val="auto"/>
                <w:sz w:val="21"/>
                <w:highlight w:val="none"/>
              </w:rPr>
            </w:pPr>
          </w:p>
        </w:tc>
        <w:tc>
          <w:tcPr>
            <w:tcW w:w="1315" w:type="dxa"/>
            <w:vAlign w:val="top"/>
          </w:tcPr>
          <w:p w14:paraId="0A29912E">
            <w:pPr>
              <w:rPr>
                <w:rFonts w:ascii="Arial"/>
                <w:color w:val="auto"/>
                <w:sz w:val="21"/>
                <w:highlight w:val="none"/>
              </w:rPr>
            </w:pPr>
          </w:p>
        </w:tc>
        <w:tc>
          <w:tcPr>
            <w:tcW w:w="1315" w:type="dxa"/>
            <w:vAlign w:val="top"/>
          </w:tcPr>
          <w:p w14:paraId="0FFF5FBF">
            <w:pPr>
              <w:rPr>
                <w:rFonts w:ascii="Arial"/>
                <w:color w:val="auto"/>
                <w:sz w:val="21"/>
                <w:highlight w:val="none"/>
              </w:rPr>
            </w:pPr>
          </w:p>
        </w:tc>
        <w:tc>
          <w:tcPr>
            <w:tcW w:w="1315" w:type="dxa"/>
            <w:vAlign w:val="top"/>
          </w:tcPr>
          <w:p w14:paraId="75B2D0B1">
            <w:pPr>
              <w:rPr>
                <w:rFonts w:ascii="Arial"/>
                <w:color w:val="auto"/>
                <w:sz w:val="21"/>
                <w:highlight w:val="none"/>
              </w:rPr>
            </w:pPr>
          </w:p>
        </w:tc>
        <w:tc>
          <w:tcPr>
            <w:tcW w:w="1310" w:type="dxa"/>
            <w:vAlign w:val="top"/>
          </w:tcPr>
          <w:p w14:paraId="39DEE637">
            <w:pPr>
              <w:rPr>
                <w:rFonts w:ascii="Arial"/>
                <w:color w:val="auto"/>
                <w:sz w:val="21"/>
                <w:highlight w:val="none"/>
              </w:rPr>
            </w:pPr>
          </w:p>
        </w:tc>
        <w:tc>
          <w:tcPr>
            <w:tcW w:w="1315" w:type="dxa"/>
            <w:vAlign w:val="top"/>
          </w:tcPr>
          <w:p w14:paraId="03F363B8">
            <w:pPr>
              <w:rPr>
                <w:rFonts w:ascii="Arial"/>
                <w:color w:val="auto"/>
                <w:sz w:val="21"/>
                <w:highlight w:val="none"/>
              </w:rPr>
            </w:pPr>
          </w:p>
        </w:tc>
        <w:tc>
          <w:tcPr>
            <w:tcW w:w="1315" w:type="dxa"/>
            <w:vAlign w:val="top"/>
          </w:tcPr>
          <w:p w14:paraId="12F93E59">
            <w:pPr>
              <w:rPr>
                <w:rFonts w:ascii="Arial"/>
                <w:color w:val="auto"/>
                <w:sz w:val="21"/>
                <w:highlight w:val="none"/>
              </w:rPr>
            </w:pPr>
          </w:p>
        </w:tc>
        <w:tc>
          <w:tcPr>
            <w:tcW w:w="1325" w:type="dxa"/>
            <w:vAlign w:val="top"/>
          </w:tcPr>
          <w:p w14:paraId="4E153C9A">
            <w:pPr>
              <w:rPr>
                <w:rFonts w:ascii="Arial"/>
                <w:color w:val="auto"/>
                <w:sz w:val="21"/>
                <w:highlight w:val="none"/>
              </w:rPr>
            </w:pPr>
          </w:p>
        </w:tc>
        <w:tc>
          <w:tcPr>
            <w:tcW w:w="1593" w:type="dxa"/>
            <w:vAlign w:val="top"/>
          </w:tcPr>
          <w:p w14:paraId="70F94373">
            <w:pPr>
              <w:rPr>
                <w:rFonts w:ascii="Arial"/>
                <w:color w:val="auto"/>
                <w:sz w:val="21"/>
                <w:highlight w:val="none"/>
              </w:rPr>
            </w:pPr>
          </w:p>
        </w:tc>
      </w:tr>
      <w:tr w14:paraId="5C9E0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772" w:type="dxa"/>
            <w:vAlign w:val="top"/>
          </w:tcPr>
          <w:p w14:paraId="76689E51">
            <w:pPr>
              <w:pStyle w:val="11"/>
              <w:spacing w:before="227" w:line="181" w:lineRule="auto"/>
              <w:ind w:left="343"/>
              <w:rPr>
                <w:color w:val="auto"/>
                <w:highlight w:val="none"/>
              </w:rPr>
            </w:pPr>
            <w:r>
              <w:rPr>
                <w:color w:val="auto"/>
                <w:highlight w:val="none"/>
              </w:rPr>
              <w:t>5</w:t>
            </w:r>
          </w:p>
        </w:tc>
        <w:tc>
          <w:tcPr>
            <w:tcW w:w="1752" w:type="dxa"/>
            <w:vAlign w:val="top"/>
          </w:tcPr>
          <w:p w14:paraId="37CFD858">
            <w:pPr>
              <w:rPr>
                <w:rFonts w:ascii="Arial"/>
                <w:color w:val="auto"/>
                <w:sz w:val="21"/>
                <w:highlight w:val="none"/>
              </w:rPr>
            </w:pPr>
          </w:p>
        </w:tc>
        <w:tc>
          <w:tcPr>
            <w:tcW w:w="1315" w:type="dxa"/>
            <w:vAlign w:val="top"/>
          </w:tcPr>
          <w:p w14:paraId="4F1DE7DA">
            <w:pPr>
              <w:rPr>
                <w:rFonts w:ascii="Arial"/>
                <w:color w:val="auto"/>
                <w:sz w:val="21"/>
                <w:highlight w:val="none"/>
              </w:rPr>
            </w:pPr>
          </w:p>
        </w:tc>
        <w:tc>
          <w:tcPr>
            <w:tcW w:w="1315" w:type="dxa"/>
            <w:vAlign w:val="top"/>
          </w:tcPr>
          <w:p w14:paraId="500CEE13">
            <w:pPr>
              <w:rPr>
                <w:rFonts w:ascii="Arial"/>
                <w:color w:val="auto"/>
                <w:sz w:val="21"/>
                <w:highlight w:val="none"/>
              </w:rPr>
            </w:pPr>
          </w:p>
        </w:tc>
        <w:tc>
          <w:tcPr>
            <w:tcW w:w="1315" w:type="dxa"/>
            <w:vAlign w:val="top"/>
          </w:tcPr>
          <w:p w14:paraId="07F29953">
            <w:pPr>
              <w:rPr>
                <w:rFonts w:ascii="Arial"/>
                <w:color w:val="auto"/>
                <w:sz w:val="21"/>
                <w:highlight w:val="none"/>
              </w:rPr>
            </w:pPr>
          </w:p>
        </w:tc>
        <w:tc>
          <w:tcPr>
            <w:tcW w:w="1310" w:type="dxa"/>
            <w:vAlign w:val="top"/>
          </w:tcPr>
          <w:p w14:paraId="53F52D03">
            <w:pPr>
              <w:rPr>
                <w:rFonts w:ascii="Arial"/>
                <w:color w:val="auto"/>
                <w:sz w:val="21"/>
                <w:highlight w:val="none"/>
              </w:rPr>
            </w:pPr>
          </w:p>
        </w:tc>
        <w:tc>
          <w:tcPr>
            <w:tcW w:w="1315" w:type="dxa"/>
            <w:vAlign w:val="top"/>
          </w:tcPr>
          <w:p w14:paraId="2361CBC0">
            <w:pPr>
              <w:rPr>
                <w:rFonts w:ascii="Arial"/>
                <w:color w:val="auto"/>
                <w:sz w:val="21"/>
                <w:highlight w:val="none"/>
              </w:rPr>
            </w:pPr>
          </w:p>
        </w:tc>
        <w:tc>
          <w:tcPr>
            <w:tcW w:w="1315" w:type="dxa"/>
            <w:vAlign w:val="top"/>
          </w:tcPr>
          <w:p w14:paraId="5F7029C3">
            <w:pPr>
              <w:rPr>
                <w:rFonts w:ascii="Arial"/>
                <w:color w:val="auto"/>
                <w:sz w:val="21"/>
                <w:highlight w:val="none"/>
              </w:rPr>
            </w:pPr>
          </w:p>
        </w:tc>
        <w:tc>
          <w:tcPr>
            <w:tcW w:w="1325" w:type="dxa"/>
            <w:vAlign w:val="top"/>
          </w:tcPr>
          <w:p w14:paraId="083B9153">
            <w:pPr>
              <w:rPr>
                <w:rFonts w:ascii="Arial"/>
                <w:color w:val="auto"/>
                <w:sz w:val="21"/>
                <w:highlight w:val="none"/>
              </w:rPr>
            </w:pPr>
          </w:p>
        </w:tc>
        <w:tc>
          <w:tcPr>
            <w:tcW w:w="1593" w:type="dxa"/>
            <w:vAlign w:val="top"/>
          </w:tcPr>
          <w:p w14:paraId="080178EC">
            <w:pPr>
              <w:rPr>
                <w:rFonts w:ascii="Arial"/>
                <w:color w:val="auto"/>
                <w:sz w:val="21"/>
                <w:highlight w:val="none"/>
              </w:rPr>
            </w:pPr>
          </w:p>
        </w:tc>
      </w:tr>
      <w:tr w14:paraId="5F28D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4F09D344">
            <w:pPr>
              <w:pStyle w:val="11"/>
              <w:spacing w:before="186" w:line="332" w:lineRule="exact"/>
              <w:ind w:left="198"/>
              <w:rPr>
                <w:color w:val="auto"/>
                <w:highlight w:val="none"/>
              </w:rPr>
            </w:pPr>
            <w:r>
              <w:rPr>
                <w:color w:val="auto"/>
                <w:spacing w:val="-10"/>
                <w:position w:val="2"/>
                <w:highlight w:val="none"/>
              </w:rPr>
              <w:t>……</w:t>
            </w:r>
          </w:p>
        </w:tc>
        <w:tc>
          <w:tcPr>
            <w:tcW w:w="1752" w:type="dxa"/>
            <w:vAlign w:val="top"/>
          </w:tcPr>
          <w:p w14:paraId="617A75E8">
            <w:pPr>
              <w:rPr>
                <w:rFonts w:ascii="Arial"/>
                <w:color w:val="auto"/>
                <w:sz w:val="21"/>
                <w:highlight w:val="none"/>
              </w:rPr>
            </w:pPr>
          </w:p>
        </w:tc>
        <w:tc>
          <w:tcPr>
            <w:tcW w:w="1315" w:type="dxa"/>
            <w:vAlign w:val="top"/>
          </w:tcPr>
          <w:p w14:paraId="1BE5AACC">
            <w:pPr>
              <w:rPr>
                <w:rFonts w:ascii="Arial"/>
                <w:color w:val="auto"/>
                <w:sz w:val="21"/>
                <w:highlight w:val="none"/>
              </w:rPr>
            </w:pPr>
          </w:p>
        </w:tc>
        <w:tc>
          <w:tcPr>
            <w:tcW w:w="1315" w:type="dxa"/>
            <w:vAlign w:val="top"/>
          </w:tcPr>
          <w:p w14:paraId="28283B52">
            <w:pPr>
              <w:rPr>
                <w:rFonts w:ascii="Arial"/>
                <w:color w:val="auto"/>
                <w:sz w:val="21"/>
                <w:highlight w:val="none"/>
              </w:rPr>
            </w:pPr>
          </w:p>
        </w:tc>
        <w:tc>
          <w:tcPr>
            <w:tcW w:w="1315" w:type="dxa"/>
            <w:vAlign w:val="top"/>
          </w:tcPr>
          <w:p w14:paraId="5A78C3FE">
            <w:pPr>
              <w:rPr>
                <w:rFonts w:ascii="Arial"/>
                <w:color w:val="auto"/>
                <w:sz w:val="21"/>
                <w:highlight w:val="none"/>
              </w:rPr>
            </w:pPr>
          </w:p>
        </w:tc>
        <w:tc>
          <w:tcPr>
            <w:tcW w:w="1310" w:type="dxa"/>
            <w:vAlign w:val="top"/>
          </w:tcPr>
          <w:p w14:paraId="23078D03">
            <w:pPr>
              <w:rPr>
                <w:rFonts w:ascii="Arial"/>
                <w:color w:val="auto"/>
                <w:sz w:val="21"/>
                <w:highlight w:val="none"/>
              </w:rPr>
            </w:pPr>
          </w:p>
        </w:tc>
        <w:tc>
          <w:tcPr>
            <w:tcW w:w="1315" w:type="dxa"/>
            <w:vAlign w:val="top"/>
          </w:tcPr>
          <w:p w14:paraId="4567E006">
            <w:pPr>
              <w:rPr>
                <w:rFonts w:ascii="Arial"/>
                <w:color w:val="auto"/>
                <w:sz w:val="21"/>
                <w:highlight w:val="none"/>
              </w:rPr>
            </w:pPr>
          </w:p>
        </w:tc>
        <w:tc>
          <w:tcPr>
            <w:tcW w:w="1315" w:type="dxa"/>
            <w:vAlign w:val="top"/>
          </w:tcPr>
          <w:p w14:paraId="7AFC2D1B">
            <w:pPr>
              <w:rPr>
                <w:rFonts w:ascii="Arial"/>
                <w:color w:val="auto"/>
                <w:sz w:val="21"/>
                <w:highlight w:val="none"/>
              </w:rPr>
            </w:pPr>
          </w:p>
        </w:tc>
        <w:tc>
          <w:tcPr>
            <w:tcW w:w="1325" w:type="dxa"/>
            <w:vAlign w:val="top"/>
          </w:tcPr>
          <w:p w14:paraId="169E1D52">
            <w:pPr>
              <w:rPr>
                <w:rFonts w:ascii="Arial"/>
                <w:color w:val="auto"/>
                <w:sz w:val="21"/>
                <w:highlight w:val="none"/>
              </w:rPr>
            </w:pPr>
          </w:p>
        </w:tc>
        <w:tc>
          <w:tcPr>
            <w:tcW w:w="1593" w:type="dxa"/>
            <w:vAlign w:val="top"/>
          </w:tcPr>
          <w:p w14:paraId="0CB5A4C9">
            <w:pPr>
              <w:rPr>
                <w:rFonts w:ascii="Arial"/>
                <w:color w:val="auto"/>
                <w:sz w:val="21"/>
                <w:highlight w:val="none"/>
              </w:rPr>
            </w:pPr>
          </w:p>
        </w:tc>
      </w:tr>
      <w:tr w14:paraId="17ABF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327" w:type="dxa"/>
            <w:gridSpan w:val="10"/>
            <w:vAlign w:val="top"/>
          </w:tcPr>
          <w:p w14:paraId="3DF4D803">
            <w:pPr>
              <w:pStyle w:val="11"/>
              <w:spacing w:before="33" w:line="220" w:lineRule="auto"/>
              <w:ind w:left="117"/>
              <w:rPr>
                <w:color w:val="auto"/>
                <w:highlight w:val="none"/>
              </w:rPr>
            </w:pPr>
            <w:r>
              <w:rPr>
                <w:color w:val="auto"/>
                <w:spacing w:val="-3"/>
                <w:highlight w:val="none"/>
              </w:rPr>
              <w:t>评标委员会全体成员签名：</w:t>
            </w:r>
          </w:p>
        </w:tc>
      </w:tr>
    </w:tbl>
    <w:p w14:paraId="2699C534">
      <w:pPr>
        <w:spacing w:before="30" w:line="221" w:lineRule="auto"/>
        <w:ind w:left="11621"/>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日期：</w:t>
      </w:r>
      <w:r>
        <w:rPr>
          <w:rFonts w:ascii="宋体" w:hAnsi="宋体" w:eastAsia="宋体" w:cs="宋体"/>
          <w:color w:val="auto"/>
          <w:spacing w:val="33"/>
          <w:sz w:val="21"/>
          <w:szCs w:val="21"/>
          <w:highlight w:val="none"/>
        </w:rPr>
        <w:t xml:space="preserve">   </w:t>
      </w:r>
      <w:r>
        <w:rPr>
          <w:rFonts w:ascii="宋体" w:hAnsi="宋体" w:eastAsia="宋体" w:cs="宋体"/>
          <w:color w:val="auto"/>
          <w:spacing w:val="-21"/>
          <w:sz w:val="21"/>
          <w:szCs w:val="21"/>
          <w:highlight w:val="none"/>
        </w:rPr>
        <w:t>年</w:t>
      </w:r>
      <w:r>
        <w:rPr>
          <w:rFonts w:ascii="宋体" w:hAnsi="宋体" w:eastAsia="宋体" w:cs="宋体"/>
          <w:color w:val="auto"/>
          <w:spacing w:val="8"/>
          <w:sz w:val="21"/>
          <w:szCs w:val="21"/>
          <w:highlight w:val="none"/>
        </w:rPr>
        <w:t xml:space="preserve">  </w:t>
      </w:r>
      <w:r>
        <w:rPr>
          <w:rFonts w:ascii="宋体" w:hAnsi="宋体" w:eastAsia="宋体" w:cs="宋体"/>
          <w:color w:val="auto"/>
          <w:spacing w:val="-21"/>
          <w:sz w:val="21"/>
          <w:szCs w:val="21"/>
          <w:highlight w:val="none"/>
        </w:rPr>
        <w:t>月  日</w:t>
      </w:r>
    </w:p>
    <w:p w14:paraId="1E7236A0">
      <w:pPr>
        <w:spacing w:line="221" w:lineRule="auto"/>
        <w:rPr>
          <w:rFonts w:ascii="宋体" w:hAnsi="宋体" w:eastAsia="宋体" w:cs="宋体"/>
          <w:color w:val="auto"/>
          <w:sz w:val="21"/>
          <w:szCs w:val="21"/>
          <w:highlight w:val="none"/>
        </w:rPr>
        <w:sectPr>
          <w:footerReference r:id="rId93" w:type="default"/>
          <w:pgSz w:w="16839" w:h="11905"/>
          <w:pgMar w:top="1011" w:right="1752" w:bottom="991" w:left="1463" w:header="0" w:footer="786" w:gutter="0"/>
          <w:pgNumType w:fmt="decimal"/>
          <w:cols w:space="720" w:num="1"/>
        </w:sectPr>
      </w:pPr>
    </w:p>
    <w:p w14:paraId="6D22E7B9">
      <w:pPr>
        <w:pStyle w:val="3"/>
        <w:spacing w:line="272" w:lineRule="auto"/>
        <w:rPr>
          <w:color w:val="auto"/>
          <w:highlight w:val="none"/>
        </w:rPr>
      </w:pPr>
    </w:p>
    <w:p w14:paraId="490F3F12">
      <w:pPr>
        <w:pStyle w:val="3"/>
        <w:spacing w:line="272" w:lineRule="auto"/>
        <w:rPr>
          <w:color w:val="auto"/>
          <w:highlight w:val="none"/>
        </w:rPr>
      </w:pPr>
    </w:p>
    <w:p w14:paraId="6EC463C8">
      <w:pPr>
        <w:pStyle w:val="3"/>
        <w:spacing w:line="272" w:lineRule="auto"/>
        <w:rPr>
          <w:color w:val="auto"/>
          <w:highlight w:val="none"/>
        </w:rPr>
      </w:pPr>
    </w:p>
    <w:p w14:paraId="2200DECE">
      <w:pPr>
        <w:spacing w:before="78" w:line="219" w:lineRule="auto"/>
        <w:ind w:left="75"/>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60"/>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15</w:t>
      </w:r>
      <w:r>
        <w:rPr>
          <w:rFonts w:ascii="黑体" w:hAnsi="黑体" w:eastAsia="黑体" w:cs="黑体"/>
          <w:color w:val="auto"/>
          <w:spacing w:val="-4"/>
          <w:sz w:val="24"/>
          <w:szCs w:val="24"/>
          <w:highlight w:val="none"/>
        </w:rPr>
        <w:t>：详细评审评分汇总表</w:t>
      </w:r>
    </w:p>
    <w:p w14:paraId="2CA53224">
      <w:pPr>
        <w:spacing w:before="288" w:line="219" w:lineRule="auto"/>
        <w:ind w:left="5423"/>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详细评审评分汇总表</w:t>
      </w:r>
    </w:p>
    <w:p w14:paraId="0318F0F0">
      <w:pPr>
        <w:spacing w:before="234" w:line="221" w:lineRule="auto"/>
        <w:ind w:left="6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45003A13">
      <w:pPr>
        <w:spacing w:before="22" w:line="214" w:lineRule="auto"/>
        <w:ind w:left="6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4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961"/>
        <w:gridCol w:w="1891"/>
        <w:gridCol w:w="1891"/>
        <w:gridCol w:w="1891"/>
        <w:gridCol w:w="1896"/>
        <w:gridCol w:w="1219"/>
        <w:gridCol w:w="1301"/>
      </w:tblGrid>
      <w:tr w14:paraId="5B230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08" w:type="dxa"/>
            <w:vMerge w:val="restart"/>
            <w:tcBorders>
              <w:bottom w:val="nil"/>
            </w:tcBorders>
            <w:vAlign w:val="top"/>
          </w:tcPr>
          <w:p w14:paraId="3F081C29">
            <w:pPr>
              <w:pStyle w:val="11"/>
              <w:spacing w:before="187" w:line="222" w:lineRule="auto"/>
              <w:ind w:left="299"/>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2961" w:type="dxa"/>
            <w:vMerge w:val="restart"/>
            <w:tcBorders>
              <w:bottom w:val="nil"/>
            </w:tcBorders>
            <w:vAlign w:val="top"/>
          </w:tcPr>
          <w:p w14:paraId="03038870">
            <w:pPr>
              <w:pStyle w:val="11"/>
              <w:spacing w:before="188" w:line="221" w:lineRule="auto"/>
              <w:ind w:left="956"/>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7569" w:type="dxa"/>
            <w:gridSpan w:val="4"/>
            <w:vAlign w:val="top"/>
          </w:tcPr>
          <w:p w14:paraId="219AC0BA">
            <w:pPr>
              <w:pStyle w:val="11"/>
              <w:spacing w:before="39" w:line="218" w:lineRule="auto"/>
              <w:ind w:left="2947"/>
              <w:rPr>
                <w:color w:val="auto"/>
                <w:highlight w:val="none"/>
              </w:rPr>
            </w:pPr>
            <w:r>
              <w:rPr>
                <w:color w:val="auto"/>
                <w:highlight w:val="none"/>
                <w14:textOutline w14:w="3831" w14:cap="flat" w14:cmpd="sng">
                  <w14:solidFill>
                    <w14:srgbClr w14:val="000000"/>
                  </w14:solidFill>
                  <w14:prstDash w14:val="solid"/>
                  <w14:miter w14:val="0"/>
                </w14:textOutline>
              </w:rPr>
              <w:t>评审类别评审得分</w:t>
            </w:r>
          </w:p>
        </w:tc>
        <w:tc>
          <w:tcPr>
            <w:tcW w:w="1219" w:type="dxa"/>
            <w:vMerge w:val="restart"/>
            <w:tcBorders>
              <w:bottom w:val="nil"/>
            </w:tcBorders>
            <w:vAlign w:val="top"/>
          </w:tcPr>
          <w:p w14:paraId="4750548C">
            <w:pPr>
              <w:pStyle w:val="11"/>
              <w:spacing w:before="53" w:line="231" w:lineRule="auto"/>
              <w:ind w:left="400" w:right="187" w:hanging="212"/>
              <w:rPr>
                <w:color w:val="auto"/>
                <w:highlight w:val="none"/>
              </w:rPr>
            </w:pPr>
            <w:r>
              <w:rPr>
                <w:color w:val="auto"/>
                <w:spacing w:val="-1"/>
                <w:highlight w:val="none"/>
                <w14:textOutline w14:w="3831" w14:cap="flat" w14:cmpd="sng">
                  <w14:solidFill>
                    <w14:srgbClr w14:val="000000"/>
                  </w14:solidFill>
                  <w14:prstDash w14:val="solid"/>
                  <w14:miter w14:val="0"/>
                </w14:textOutline>
              </w:rPr>
              <w:t>评审得分</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汇总</w:t>
            </w:r>
          </w:p>
        </w:tc>
        <w:tc>
          <w:tcPr>
            <w:tcW w:w="1301" w:type="dxa"/>
            <w:vMerge w:val="restart"/>
            <w:tcBorders>
              <w:bottom w:val="nil"/>
            </w:tcBorders>
            <w:vAlign w:val="top"/>
          </w:tcPr>
          <w:p w14:paraId="0BA88373">
            <w:pPr>
              <w:pStyle w:val="11"/>
              <w:spacing w:before="188" w:line="221" w:lineRule="auto"/>
              <w:ind w:left="130"/>
              <w:rPr>
                <w:color w:val="auto"/>
                <w:highlight w:val="none"/>
              </w:rPr>
            </w:pPr>
            <w:r>
              <w:rPr>
                <w:color w:val="auto"/>
                <w:spacing w:val="-1"/>
                <w:highlight w:val="none"/>
                <w14:textOutline w14:w="3831" w14:cap="flat" w14:cmpd="sng">
                  <w14:solidFill>
                    <w14:srgbClr w14:val="000000"/>
                  </w14:solidFill>
                  <w14:prstDash w14:val="solid"/>
                  <w14:miter w14:val="0"/>
                </w14:textOutline>
              </w:rPr>
              <w:t>投标人排名</w:t>
            </w:r>
          </w:p>
        </w:tc>
      </w:tr>
      <w:tr w14:paraId="0D793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08" w:type="dxa"/>
            <w:vMerge w:val="continue"/>
            <w:tcBorders>
              <w:top w:val="nil"/>
            </w:tcBorders>
            <w:vAlign w:val="top"/>
          </w:tcPr>
          <w:p w14:paraId="1014C636">
            <w:pPr>
              <w:rPr>
                <w:rFonts w:ascii="Arial"/>
                <w:color w:val="auto"/>
                <w:sz w:val="21"/>
                <w:highlight w:val="none"/>
              </w:rPr>
            </w:pPr>
          </w:p>
        </w:tc>
        <w:tc>
          <w:tcPr>
            <w:tcW w:w="2961" w:type="dxa"/>
            <w:vMerge w:val="continue"/>
            <w:tcBorders>
              <w:top w:val="nil"/>
            </w:tcBorders>
            <w:vAlign w:val="top"/>
          </w:tcPr>
          <w:p w14:paraId="7C480B83">
            <w:pPr>
              <w:rPr>
                <w:rFonts w:ascii="Arial"/>
                <w:color w:val="auto"/>
                <w:sz w:val="21"/>
                <w:highlight w:val="none"/>
              </w:rPr>
            </w:pPr>
          </w:p>
        </w:tc>
        <w:tc>
          <w:tcPr>
            <w:tcW w:w="1891" w:type="dxa"/>
            <w:vAlign w:val="top"/>
          </w:tcPr>
          <w:p w14:paraId="1107396F">
            <w:pPr>
              <w:pStyle w:val="11"/>
              <w:spacing w:before="34" w:line="213" w:lineRule="auto"/>
              <w:ind w:left="530"/>
              <w:rPr>
                <w:color w:val="auto"/>
                <w:highlight w:val="none"/>
              </w:rPr>
            </w:pPr>
            <w:r>
              <w:rPr>
                <w:color w:val="auto"/>
                <w:spacing w:val="-2"/>
                <w:highlight w:val="none"/>
                <w14:textOutline w14:w="3831" w14:cap="flat" w14:cmpd="sng">
                  <w14:solidFill>
                    <w14:srgbClr w14:val="000000"/>
                  </w14:solidFill>
                  <w14:prstDash w14:val="solid"/>
                  <w14:miter w14:val="0"/>
                </w14:textOutline>
              </w:rPr>
              <w:t>投标报价</w:t>
            </w:r>
          </w:p>
        </w:tc>
        <w:tc>
          <w:tcPr>
            <w:tcW w:w="1891" w:type="dxa"/>
            <w:vAlign w:val="top"/>
          </w:tcPr>
          <w:p w14:paraId="747D4BE5">
            <w:pPr>
              <w:pStyle w:val="11"/>
              <w:spacing w:before="34" w:line="213" w:lineRule="auto"/>
              <w:ind w:left="635"/>
              <w:rPr>
                <w:color w:val="auto"/>
                <w:highlight w:val="none"/>
              </w:rPr>
            </w:pPr>
            <w:r>
              <w:rPr>
                <w:color w:val="auto"/>
                <w:spacing w:val="-2"/>
                <w:highlight w:val="none"/>
                <w14:textOutline w14:w="3831" w14:cap="flat" w14:cmpd="sng">
                  <w14:solidFill>
                    <w14:srgbClr w14:val="000000"/>
                  </w14:solidFill>
                  <w14:prstDash w14:val="solid"/>
                  <w14:miter w14:val="0"/>
                </w14:textOutline>
              </w:rPr>
              <w:t>技术标</w:t>
            </w:r>
          </w:p>
        </w:tc>
        <w:tc>
          <w:tcPr>
            <w:tcW w:w="1891" w:type="dxa"/>
            <w:vAlign w:val="top"/>
          </w:tcPr>
          <w:p w14:paraId="4767309F">
            <w:pPr>
              <w:pStyle w:val="11"/>
              <w:spacing w:before="34" w:line="213" w:lineRule="auto"/>
              <w:ind w:left="644"/>
              <w:rPr>
                <w:color w:val="auto"/>
                <w:highlight w:val="none"/>
              </w:rPr>
            </w:pPr>
            <w:r>
              <w:rPr>
                <w:color w:val="auto"/>
                <w:spacing w:val="-4"/>
                <w:highlight w:val="none"/>
                <w14:textOutline w14:w="3831" w14:cap="flat" w14:cmpd="sng">
                  <w14:solidFill>
                    <w14:srgbClr w14:val="000000"/>
                  </w14:solidFill>
                  <w14:prstDash w14:val="solid"/>
                  <w14:miter w14:val="0"/>
                </w14:textOutline>
              </w:rPr>
              <w:t>资信标</w:t>
            </w:r>
          </w:p>
        </w:tc>
        <w:tc>
          <w:tcPr>
            <w:tcW w:w="1896" w:type="dxa"/>
            <w:vAlign w:val="top"/>
          </w:tcPr>
          <w:p w14:paraId="34440444">
            <w:pPr>
              <w:pStyle w:val="11"/>
              <w:spacing w:before="34" w:line="213" w:lineRule="auto"/>
              <w:ind w:left="531"/>
              <w:rPr>
                <w:color w:val="auto"/>
                <w:highlight w:val="none"/>
              </w:rPr>
            </w:pPr>
            <w:r>
              <w:rPr>
                <w:color w:val="auto"/>
                <w:spacing w:val="-1"/>
                <w:highlight w:val="none"/>
                <w14:textOutline w14:w="3831" w14:cap="flat" w14:cmpd="sng">
                  <w14:solidFill>
                    <w14:srgbClr w14:val="000000"/>
                  </w14:solidFill>
                  <w14:prstDash w14:val="solid"/>
                  <w14:miter w14:val="0"/>
                </w14:textOutline>
              </w:rPr>
              <w:t>其他因素</w:t>
            </w:r>
          </w:p>
        </w:tc>
        <w:tc>
          <w:tcPr>
            <w:tcW w:w="1219" w:type="dxa"/>
            <w:vMerge w:val="continue"/>
            <w:tcBorders>
              <w:top w:val="nil"/>
            </w:tcBorders>
            <w:vAlign w:val="top"/>
          </w:tcPr>
          <w:p w14:paraId="17890DCB">
            <w:pPr>
              <w:rPr>
                <w:rFonts w:ascii="Arial"/>
                <w:color w:val="auto"/>
                <w:sz w:val="21"/>
                <w:highlight w:val="none"/>
              </w:rPr>
            </w:pPr>
          </w:p>
        </w:tc>
        <w:tc>
          <w:tcPr>
            <w:tcW w:w="1301" w:type="dxa"/>
            <w:vMerge w:val="continue"/>
            <w:tcBorders>
              <w:top w:val="nil"/>
            </w:tcBorders>
            <w:vAlign w:val="top"/>
          </w:tcPr>
          <w:p w14:paraId="4B2D29BD">
            <w:pPr>
              <w:rPr>
                <w:rFonts w:ascii="Arial"/>
                <w:color w:val="auto"/>
                <w:sz w:val="21"/>
                <w:highlight w:val="none"/>
              </w:rPr>
            </w:pPr>
          </w:p>
        </w:tc>
      </w:tr>
      <w:tr w14:paraId="6023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08" w:type="dxa"/>
            <w:vAlign w:val="top"/>
          </w:tcPr>
          <w:p w14:paraId="4237E0CC">
            <w:pPr>
              <w:pStyle w:val="11"/>
              <w:spacing w:before="123" w:line="183" w:lineRule="auto"/>
              <w:ind w:left="474"/>
              <w:rPr>
                <w:color w:val="auto"/>
                <w:highlight w:val="none"/>
              </w:rPr>
            </w:pPr>
            <w:r>
              <w:rPr>
                <w:color w:val="auto"/>
                <w:highlight w:val="none"/>
              </w:rPr>
              <w:t>1</w:t>
            </w:r>
          </w:p>
        </w:tc>
        <w:tc>
          <w:tcPr>
            <w:tcW w:w="2961" w:type="dxa"/>
            <w:vAlign w:val="top"/>
          </w:tcPr>
          <w:p w14:paraId="211A6C1B">
            <w:pPr>
              <w:rPr>
                <w:rFonts w:ascii="Arial"/>
                <w:color w:val="auto"/>
                <w:sz w:val="21"/>
                <w:highlight w:val="none"/>
              </w:rPr>
            </w:pPr>
          </w:p>
        </w:tc>
        <w:tc>
          <w:tcPr>
            <w:tcW w:w="1891" w:type="dxa"/>
            <w:vAlign w:val="top"/>
          </w:tcPr>
          <w:p w14:paraId="6304A60D">
            <w:pPr>
              <w:rPr>
                <w:rFonts w:ascii="Arial"/>
                <w:color w:val="auto"/>
                <w:sz w:val="21"/>
                <w:highlight w:val="none"/>
              </w:rPr>
            </w:pPr>
          </w:p>
        </w:tc>
        <w:tc>
          <w:tcPr>
            <w:tcW w:w="1891" w:type="dxa"/>
            <w:vAlign w:val="top"/>
          </w:tcPr>
          <w:p w14:paraId="7E1CABE4">
            <w:pPr>
              <w:rPr>
                <w:rFonts w:ascii="Arial"/>
                <w:color w:val="auto"/>
                <w:sz w:val="21"/>
                <w:highlight w:val="none"/>
              </w:rPr>
            </w:pPr>
          </w:p>
        </w:tc>
        <w:tc>
          <w:tcPr>
            <w:tcW w:w="1891" w:type="dxa"/>
            <w:vAlign w:val="top"/>
          </w:tcPr>
          <w:p w14:paraId="1B3ED4E4">
            <w:pPr>
              <w:rPr>
                <w:rFonts w:ascii="Arial"/>
                <w:color w:val="auto"/>
                <w:sz w:val="21"/>
                <w:highlight w:val="none"/>
              </w:rPr>
            </w:pPr>
          </w:p>
        </w:tc>
        <w:tc>
          <w:tcPr>
            <w:tcW w:w="1896" w:type="dxa"/>
            <w:vAlign w:val="top"/>
          </w:tcPr>
          <w:p w14:paraId="0E142875">
            <w:pPr>
              <w:rPr>
                <w:rFonts w:ascii="Arial"/>
                <w:color w:val="auto"/>
                <w:sz w:val="21"/>
                <w:highlight w:val="none"/>
              </w:rPr>
            </w:pPr>
          </w:p>
        </w:tc>
        <w:tc>
          <w:tcPr>
            <w:tcW w:w="1219" w:type="dxa"/>
            <w:vAlign w:val="top"/>
          </w:tcPr>
          <w:p w14:paraId="43B1F6AD">
            <w:pPr>
              <w:rPr>
                <w:rFonts w:ascii="Arial"/>
                <w:color w:val="auto"/>
                <w:sz w:val="21"/>
                <w:highlight w:val="none"/>
              </w:rPr>
            </w:pPr>
          </w:p>
        </w:tc>
        <w:tc>
          <w:tcPr>
            <w:tcW w:w="1301" w:type="dxa"/>
            <w:vAlign w:val="top"/>
          </w:tcPr>
          <w:p w14:paraId="30EF7E88">
            <w:pPr>
              <w:rPr>
                <w:rFonts w:ascii="Arial"/>
                <w:color w:val="auto"/>
                <w:sz w:val="21"/>
                <w:highlight w:val="none"/>
              </w:rPr>
            </w:pPr>
          </w:p>
        </w:tc>
      </w:tr>
      <w:tr w14:paraId="6FED0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1DFC19E1">
            <w:pPr>
              <w:pStyle w:val="11"/>
              <w:spacing w:before="123" w:line="182" w:lineRule="auto"/>
              <w:ind w:left="461"/>
              <w:rPr>
                <w:color w:val="auto"/>
                <w:highlight w:val="none"/>
              </w:rPr>
            </w:pPr>
            <w:r>
              <w:rPr>
                <w:color w:val="auto"/>
                <w:highlight w:val="none"/>
              </w:rPr>
              <w:t>2</w:t>
            </w:r>
          </w:p>
        </w:tc>
        <w:tc>
          <w:tcPr>
            <w:tcW w:w="2961" w:type="dxa"/>
            <w:vAlign w:val="top"/>
          </w:tcPr>
          <w:p w14:paraId="040AC2B1">
            <w:pPr>
              <w:rPr>
                <w:rFonts w:ascii="Arial"/>
                <w:color w:val="auto"/>
                <w:sz w:val="21"/>
                <w:highlight w:val="none"/>
              </w:rPr>
            </w:pPr>
          </w:p>
        </w:tc>
        <w:tc>
          <w:tcPr>
            <w:tcW w:w="1891" w:type="dxa"/>
            <w:vAlign w:val="top"/>
          </w:tcPr>
          <w:p w14:paraId="69D396A3">
            <w:pPr>
              <w:rPr>
                <w:rFonts w:ascii="Arial"/>
                <w:color w:val="auto"/>
                <w:sz w:val="21"/>
                <w:highlight w:val="none"/>
              </w:rPr>
            </w:pPr>
          </w:p>
        </w:tc>
        <w:tc>
          <w:tcPr>
            <w:tcW w:w="1891" w:type="dxa"/>
            <w:vAlign w:val="top"/>
          </w:tcPr>
          <w:p w14:paraId="7B5AD8DE">
            <w:pPr>
              <w:rPr>
                <w:rFonts w:ascii="Arial"/>
                <w:color w:val="auto"/>
                <w:sz w:val="21"/>
                <w:highlight w:val="none"/>
              </w:rPr>
            </w:pPr>
          </w:p>
        </w:tc>
        <w:tc>
          <w:tcPr>
            <w:tcW w:w="1891" w:type="dxa"/>
            <w:vAlign w:val="top"/>
          </w:tcPr>
          <w:p w14:paraId="0B4910FE">
            <w:pPr>
              <w:rPr>
                <w:rFonts w:ascii="Arial"/>
                <w:color w:val="auto"/>
                <w:sz w:val="21"/>
                <w:highlight w:val="none"/>
              </w:rPr>
            </w:pPr>
          </w:p>
        </w:tc>
        <w:tc>
          <w:tcPr>
            <w:tcW w:w="1896" w:type="dxa"/>
            <w:vAlign w:val="top"/>
          </w:tcPr>
          <w:p w14:paraId="7472B900">
            <w:pPr>
              <w:rPr>
                <w:rFonts w:ascii="Arial"/>
                <w:color w:val="auto"/>
                <w:sz w:val="21"/>
                <w:highlight w:val="none"/>
              </w:rPr>
            </w:pPr>
          </w:p>
        </w:tc>
        <w:tc>
          <w:tcPr>
            <w:tcW w:w="1219" w:type="dxa"/>
            <w:vAlign w:val="top"/>
          </w:tcPr>
          <w:p w14:paraId="61AA8ECE">
            <w:pPr>
              <w:rPr>
                <w:rFonts w:ascii="Arial"/>
                <w:color w:val="auto"/>
                <w:sz w:val="21"/>
                <w:highlight w:val="none"/>
              </w:rPr>
            </w:pPr>
          </w:p>
        </w:tc>
        <w:tc>
          <w:tcPr>
            <w:tcW w:w="1301" w:type="dxa"/>
            <w:vAlign w:val="top"/>
          </w:tcPr>
          <w:p w14:paraId="4937ED35">
            <w:pPr>
              <w:rPr>
                <w:rFonts w:ascii="Arial"/>
                <w:color w:val="auto"/>
                <w:sz w:val="21"/>
                <w:highlight w:val="none"/>
              </w:rPr>
            </w:pPr>
          </w:p>
        </w:tc>
      </w:tr>
      <w:tr w14:paraId="592AE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7915EDEF">
            <w:pPr>
              <w:pStyle w:val="11"/>
              <w:spacing w:before="119" w:line="182" w:lineRule="auto"/>
              <w:ind w:left="463"/>
              <w:rPr>
                <w:color w:val="auto"/>
                <w:highlight w:val="none"/>
              </w:rPr>
            </w:pPr>
            <w:r>
              <w:rPr>
                <w:color w:val="auto"/>
                <w:highlight w:val="none"/>
              </w:rPr>
              <w:t>3</w:t>
            </w:r>
          </w:p>
        </w:tc>
        <w:tc>
          <w:tcPr>
            <w:tcW w:w="2961" w:type="dxa"/>
            <w:vAlign w:val="top"/>
          </w:tcPr>
          <w:p w14:paraId="05C10651">
            <w:pPr>
              <w:rPr>
                <w:rFonts w:ascii="Arial"/>
                <w:color w:val="auto"/>
                <w:sz w:val="21"/>
                <w:highlight w:val="none"/>
              </w:rPr>
            </w:pPr>
          </w:p>
        </w:tc>
        <w:tc>
          <w:tcPr>
            <w:tcW w:w="1891" w:type="dxa"/>
            <w:vAlign w:val="top"/>
          </w:tcPr>
          <w:p w14:paraId="49A07884">
            <w:pPr>
              <w:rPr>
                <w:rFonts w:ascii="Arial"/>
                <w:color w:val="auto"/>
                <w:sz w:val="21"/>
                <w:highlight w:val="none"/>
              </w:rPr>
            </w:pPr>
          </w:p>
        </w:tc>
        <w:tc>
          <w:tcPr>
            <w:tcW w:w="1891" w:type="dxa"/>
            <w:vAlign w:val="top"/>
          </w:tcPr>
          <w:p w14:paraId="41F3B90C">
            <w:pPr>
              <w:rPr>
                <w:rFonts w:ascii="Arial"/>
                <w:color w:val="auto"/>
                <w:sz w:val="21"/>
                <w:highlight w:val="none"/>
              </w:rPr>
            </w:pPr>
          </w:p>
        </w:tc>
        <w:tc>
          <w:tcPr>
            <w:tcW w:w="1891" w:type="dxa"/>
            <w:vAlign w:val="top"/>
          </w:tcPr>
          <w:p w14:paraId="455789A9">
            <w:pPr>
              <w:rPr>
                <w:rFonts w:ascii="Arial"/>
                <w:color w:val="auto"/>
                <w:sz w:val="21"/>
                <w:highlight w:val="none"/>
              </w:rPr>
            </w:pPr>
          </w:p>
        </w:tc>
        <w:tc>
          <w:tcPr>
            <w:tcW w:w="1896" w:type="dxa"/>
            <w:vAlign w:val="top"/>
          </w:tcPr>
          <w:p w14:paraId="3B49CFB7">
            <w:pPr>
              <w:rPr>
                <w:rFonts w:ascii="Arial"/>
                <w:color w:val="auto"/>
                <w:sz w:val="21"/>
                <w:highlight w:val="none"/>
              </w:rPr>
            </w:pPr>
          </w:p>
        </w:tc>
        <w:tc>
          <w:tcPr>
            <w:tcW w:w="1219" w:type="dxa"/>
            <w:vAlign w:val="top"/>
          </w:tcPr>
          <w:p w14:paraId="26E21B77">
            <w:pPr>
              <w:rPr>
                <w:rFonts w:ascii="Arial"/>
                <w:color w:val="auto"/>
                <w:sz w:val="21"/>
                <w:highlight w:val="none"/>
              </w:rPr>
            </w:pPr>
          </w:p>
        </w:tc>
        <w:tc>
          <w:tcPr>
            <w:tcW w:w="1301" w:type="dxa"/>
            <w:vAlign w:val="top"/>
          </w:tcPr>
          <w:p w14:paraId="79608C3B">
            <w:pPr>
              <w:rPr>
                <w:rFonts w:ascii="Arial"/>
                <w:color w:val="auto"/>
                <w:sz w:val="21"/>
                <w:highlight w:val="none"/>
              </w:rPr>
            </w:pPr>
          </w:p>
        </w:tc>
      </w:tr>
      <w:tr w14:paraId="79D20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13B63EB3">
            <w:pPr>
              <w:pStyle w:val="11"/>
              <w:spacing w:before="125" w:line="182" w:lineRule="auto"/>
              <w:ind w:left="458"/>
              <w:rPr>
                <w:color w:val="auto"/>
                <w:highlight w:val="none"/>
              </w:rPr>
            </w:pPr>
            <w:r>
              <w:rPr>
                <w:color w:val="auto"/>
                <w:highlight w:val="none"/>
              </w:rPr>
              <w:t>4</w:t>
            </w:r>
          </w:p>
        </w:tc>
        <w:tc>
          <w:tcPr>
            <w:tcW w:w="2961" w:type="dxa"/>
            <w:vAlign w:val="top"/>
          </w:tcPr>
          <w:p w14:paraId="5C0C4ABF">
            <w:pPr>
              <w:rPr>
                <w:rFonts w:ascii="Arial"/>
                <w:color w:val="auto"/>
                <w:sz w:val="21"/>
                <w:highlight w:val="none"/>
              </w:rPr>
            </w:pPr>
          </w:p>
        </w:tc>
        <w:tc>
          <w:tcPr>
            <w:tcW w:w="1891" w:type="dxa"/>
            <w:vAlign w:val="top"/>
          </w:tcPr>
          <w:p w14:paraId="0CFC9A2E">
            <w:pPr>
              <w:rPr>
                <w:rFonts w:ascii="Arial"/>
                <w:color w:val="auto"/>
                <w:sz w:val="21"/>
                <w:highlight w:val="none"/>
              </w:rPr>
            </w:pPr>
          </w:p>
        </w:tc>
        <w:tc>
          <w:tcPr>
            <w:tcW w:w="1891" w:type="dxa"/>
            <w:vAlign w:val="top"/>
          </w:tcPr>
          <w:p w14:paraId="73B6A5C5">
            <w:pPr>
              <w:rPr>
                <w:rFonts w:ascii="Arial"/>
                <w:color w:val="auto"/>
                <w:sz w:val="21"/>
                <w:highlight w:val="none"/>
              </w:rPr>
            </w:pPr>
          </w:p>
        </w:tc>
        <w:tc>
          <w:tcPr>
            <w:tcW w:w="1891" w:type="dxa"/>
            <w:vAlign w:val="top"/>
          </w:tcPr>
          <w:p w14:paraId="76EF2AB0">
            <w:pPr>
              <w:rPr>
                <w:rFonts w:ascii="Arial"/>
                <w:color w:val="auto"/>
                <w:sz w:val="21"/>
                <w:highlight w:val="none"/>
              </w:rPr>
            </w:pPr>
          </w:p>
        </w:tc>
        <w:tc>
          <w:tcPr>
            <w:tcW w:w="1896" w:type="dxa"/>
            <w:vAlign w:val="top"/>
          </w:tcPr>
          <w:p w14:paraId="1F3581D7">
            <w:pPr>
              <w:rPr>
                <w:rFonts w:ascii="Arial"/>
                <w:color w:val="auto"/>
                <w:sz w:val="21"/>
                <w:highlight w:val="none"/>
              </w:rPr>
            </w:pPr>
          </w:p>
        </w:tc>
        <w:tc>
          <w:tcPr>
            <w:tcW w:w="1219" w:type="dxa"/>
            <w:vAlign w:val="top"/>
          </w:tcPr>
          <w:p w14:paraId="15DCB235">
            <w:pPr>
              <w:rPr>
                <w:rFonts w:ascii="Arial"/>
                <w:color w:val="auto"/>
                <w:sz w:val="21"/>
                <w:highlight w:val="none"/>
              </w:rPr>
            </w:pPr>
          </w:p>
        </w:tc>
        <w:tc>
          <w:tcPr>
            <w:tcW w:w="1301" w:type="dxa"/>
            <w:vAlign w:val="top"/>
          </w:tcPr>
          <w:p w14:paraId="51B92E49">
            <w:pPr>
              <w:rPr>
                <w:rFonts w:ascii="Arial"/>
                <w:color w:val="auto"/>
                <w:sz w:val="21"/>
                <w:highlight w:val="none"/>
              </w:rPr>
            </w:pPr>
          </w:p>
        </w:tc>
      </w:tr>
      <w:tr w14:paraId="2A6BA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43DC1BCD">
            <w:pPr>
              <w:pStyle w:val="11"/>
              <w:spacing w:before="126" w:line="181" w:lineRule="auto"/>
              <w:ind w:left="463"/>
              <w:rPr>
                <w:color w:val="auto"/>
                <w:highlight w:val="none"/>
              </w:rPr>
            </w:pPr>
            <w:r>
              <w:rPr>
                <w:color w:val="auto"/>
                <w:highlight w:val="none"/>
              </w:rPr>
              <w:t>5</w:t>
            </w:r>
          </w:p>
        </w:tc>
        <w:tc>
          <w:tcPr>
            <w:tcW w:w="2961" w:type="dxa"/>
            <w:vAlign w:val="top"/>
          </w:tcPr>
          <w:p w14:paraId="485426C6">
            <w:pPr>
              <w:rPr>
                <w:rFonts w:ascii="Arial"/>
                <w:color w:val="auto"/>
                <w:sz w:val="21"/>
                <w:highlight w:val="none"/>
              </w:rPr>
            </w:pPr>
          </w:p>
        </w:tc>
        <w:tc>
          <w:tcPr>
            <w:tcW w:w="1891" w:type="dxa"/>
            <w:vAlign w:val="top"/>
          </w:tcPr>
          <w:p w14:paraId="1E1515B4">
            <w:pPr>
              <w:rPr>
                <w:rFonts w:ascii="Arial"/>
                <w:color w:val="auto"/>
                <w:sz w:val="21"/>
                <w:highlight w:val="none"/>
              </w:rPr>
            </w:pPr>
          </w:p>
        </w:tc>
        <w:tc>
          <w:tcPr>
            <w:tcW w:w="1891" w:type="dxa"/>
            <w:vAlign w:val="top"/>
          </w:tcPr>
          <w:p w14:paraId="539145C0">
            <w:pPr>
              <w:rPr>
                <w:rFonts w:ascii="Arial"/>
                <w:color w:val="auto"/>
                <w:sz w:val="21"/>
                <w:highlight w:val="none"/>
              </w:rPr>
            </w:pPr>
          </w:p>
        </w:tc>
        <w:tc>
          <w:tcPr>
            <w:tcW w:w="1891" w:type="dxa"/>
            <w:vAlign w:val="top"/>
          </w:tcPr>
          <w:p w14:paraId="074D7EE9">
            <w:pPr>
              <w:rPr>
                <w:rFonts w:ascii="Arial"/>
                <w:color w:val="auto"/>
                <w:sz w:val="21"/>
                <w:highlight w:val="none"/>
              </w:rPr>
            </w:pPr>
          </w:p>
        </w:tc>
        <w:tc>
          <w:tcPr>
            <w:tcW w:w="1896" w:type="dxa"/>
            <w:vAlign w:val="top"/>
          </w:tcPr>
          <w:p w14:paraId="210C53FC">
            <w:pPr>
              <w:rPr>
                <w:rFonts w:ascii="Arial"/>
                <w:color w:val="auto"/>
                <w:sz w:val="21"/>
                <w:highlight w:val="none"/>
              </w:rPr>
            </w:pPr>
          </w:p>
        </w:tc>
        <w:tc>
          <w:tcPr>
            <w:tcW w:w="1219" w:type="dxa"/>
            <w:vAlign w:val="top"/>
          </w:tcPr>
          <w:p w14:paraId="30F1B5ED">
            <w:pPr>
              <w:rPr>
                <w:rFonts w:ascii="Arial"/>
                <w:color w:val="auto"/>
                <w:sz w:val="21"/>
                <w:highlight w:val="none"/>
              </w:rPr>
            </w:pPr>
          </w:p>
        </w:tc>
        <w:tc>
          <w:tcPr>
            <w:tcW w:w="1301" w:type="dxa"/>
            <w:vAlign w:val="top"/>
          </w:tcPr>
          <w:p w14:paraId="21374E71">
            <w:pPr>
              <w:rPr>
                <w:rFonts w:ascii="Arial"/>
                <w:color w:val="auto"/>
                <w:sz w:val="21"/>
                <w:highlight w:val="none"/>
              </w:rPr>
            </w:pPr>
          </w:p>
        </w:tc>
      </w:tr>
      <w:tr w14:paraId="008F4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3FC4A110">
            <w:pPr>
              <w:pStyle w:val="11"/>
              <w:spacing w:before="85" w:line="292" w:lineRule="exact"/>
              <w:ind w:left="419"/>
              <w:rPr>
                <w:color w:val="auto"/>
                <w:highlight w:val="none"/>
              </w:rPr>
            </w:pPr>
            <w:r>
              <w:rPr>
                <w:color w:val="auto"/>
                <w:position w:val="1"/>
                <w:highlight w:val="none"/>
              </w:rPr>
              <w:t>…</w:t>
            </w:r>
          </w:p>
        </w:tc>
        <w:tc>
          <w:tcPr>
            <w:tcW w:w="2961" w:type="dxa"/>
            <w:vAlign w:val="top"/>
          </w:tcPr>
          <w:p w14:paraId="7A561797">
            <w:pPr>
              <w:rPr>
                <w:rFonts w:ascii="Arial"/>
                <w:color w:val="auto"/>
                <w:sz w:val="21"/>
                <w:highlight w:val="none"/>
              </w:rPr>
            </w:pPr>
          </w:p>
        </w:tc>
        <w:tc>
          <w:tcPr>
            <w:tcW w:w="1891" w:type="dxa"/>
            <w:vAlign w:val="top"/>
          </w:tcPr>
          <w:p w14:paraId="1578B7FF">
            <w:pPr>
              <w:rPr>
                <w:rFonts w:ascii="Arial"/>
                <w:color w:val="auto"/>
                <w:sz w:val="21"/>
                <w:highlight w:val="none"/>
              </w:rPr>
            </w:pPr>
          </w:p>
        </w:tc>
        <w:tc>
          <w:tcPr>
            <w:tcW w:w="1891" w:type="dxa"/>
            <w:vAlign w:val="top"/>
          </w:tcPr>
          <w:p w14:paraId="7BDEBE7B">
            <w:pPr>
              <w:rPr>
                <w:rFonts w:ascii="Arial"/>
                <w:color w:val="auto"/>
                <w:sz w:val="21"/>
                <w:highlight w:val="none"/>
              </w:rPr>
            </w:pPr>
          </w:p>
        </w:tc>
        <w:tc>
          <w:tcPr>
            <w:tcW w:w="1891" w:type="dxa"/>
            <w:vAlign w:val="top"/>
          </w:tcPr>
          <w:p w14:paraId="4487196C">
            <w:pPr>
              <w:rPr>
                <w:rFonts w:ascii="Arial"/>
                <w:color w:val="auto"/>
                <w:sz w:val="21"/>
                <w:highlight w:val="none"/>
              </w:rPr>
            </w:pPr>
          </w:p>
        </w:tc>
        <w:tc>
          <w:tcPr>
            <w:tcW w:w="1896" w:type="dxa"/>
            <w:vAlign w:val="top"/>
          </w:tcPr>
          <w:p w14:paraId="6672C44E">
            <w:pPr>
              <w:rPr>
                <w:rFonts w:ascii="Arial"/>
                <w:color w:val="auto"/>
                <w:sz w:val="21"/>
                <w:highlight w:val="none"/>
              </w:rPr>
            </w:pPr>
          </w:p>
        </w:tc>
        <w:tc>
          <w:tcPr>
            <w:tcW w:w="1219" w:type="dxa"/>
            <w:vAlign w:val="top"/>
          </w:tcPr>
          <w:p w14:paraId="4C5B0804">
            <w:pPr>
              <w:rPr>
                <w:rFonts w:ascii="Arial"/>
                <w:color w:val="auto"/>
                <w:sz w:val="21"/>
                <w:highlight w:val="none"/>
              </w:rPr>
            </w:pPr>
          </w:p>
        </w:tc>
        <w:tc>
          <w:tcPr>
            <w:tcW w:w="1301" w:type="dxa"/>
            <w:vAlign w:val="top"/>
          </w:tcPr>
          <w:p w14:paraId="305662CC">
            <w:pPr>
              <w:rPr>
                <w:rFonts w:ascii="Arial"/>
                <w:color w:val="auto"/>
                <w:sz w:val="21"/>
                <w:highlight w:val="none"/>
              </w:rPr>
            </w:pPr>
          </w:p>
        </w:tc>
      </w:tr>
      <w:tr w14:paraId="6F9C9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4058" w:type="dxa"/>
            <w:gridSpan w:val="8"/>
            <w:vAlign w:val="top"/>
          </w:tcPr>
          <w:p w14:paraId="4E2E0D4D">
            <w:pPr>
              <w:pStyle w:val="11"/>
              <w:spacing w:before="33" w:line="220" w:lineRule="auto"/>
              <w:ind w:left="117"/>
              <w:rPr>
                <w:color w:val="auto"/>
                <w:highlight w:val="none"/>
              </w:rPr>
            </w:pPr>
            <w:r>
              <w:rPr>
                <w:color w:val="auto"/>
                <w:spacing w:val="-3"/>
                <w:highlight w:val="none"/>
              </w:rPr>
              <w:t>评标委员会全体成员签名：</w:t>
            </w:r>
          </w:p>
        </w:tc>
      </w:tr>
    </w:tbl>
    <w:p w14:paraId="7FF8E896">
      <w:pPr>
        <w:spacing w:before="270" w:line="221" w:lineRule="auto"/>
        <w:ind w:left="11442"/>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日期：</w:t>
      </w:r>
      <w:r>
        <w:rPr>
          <w:rFonts w:ascii="宋体" w:hAnsi="宋体" w:eastAsia="宋体" w:cs="宋体"/>
          <w:color w:val="auto"/>
          <w:spacing w:val="15"/>
          <w:sz w:val="21"/>
          <w:szCs w:val="21"/>
          <w:highlight w:val="none"/>
        </w:rPr>
        <w:t xml:space="preserve">   </w:t>
      </w:r>
      <w:r>
        <w:rPr>
          <w:rFonts w:ascii="宋体" w:hAnsi="宋体" w:eastAsia="宋体" w:cs="宋体"/>
          <w:color w:val="auto"/>
          <w:spacing w:val="-26"/>
          <w:sz w:val="21"/>
          <w:szCs w:val="21"/>
          <w:highlight w:val="none"/>
        </w:rPr>
        <w:t>年</w:t>
      </w:r>
      <w:r>
        <w:rPr>
          <w:rFonts w:ascii="宋体" w:hAnsi="宋体" w:eastAsia="宋体" w:cs="宋体"/>
          <w:color w:val="auto"/>
          <w:spacing w:val="5"/>
          <w:sz w:val="21"/>
          <w:szCs w:val="21"/>
          <w:highlight w:val="none"/>
        </w:rPr>
        <w:t xml:space="preserve">   </w:t>
      </w:r>
      <w:r>
        <w:rPr>
          <w:rFonts w:ascii="宋体" w:hAnsi="宋体" w:eastAsia="宋体" w:cs="宋体"/>
          <w:color w:val="auto"/>
          <w:spacing w:val="-26"/>
          <w:sz w:val="21"/>
          <w:szCs w:val="21"/>
          <w:highlight w:val="none"/>
        </w:rPr>
        <w:t>月</w:t>
      </w:r>
      <w:r>
        <w:rPr>
          <w:rFonts w:ascii="宋体" w:hAnsi="宋体" w:eastAsia="宋体" w:cs="宋体"/>
          <w:color w:val="auto"/>
          <w:spacing w:val="48"/>
          <w:sz w:val="21"/>
          <w:szCs w:val="21"/>
          <w:highlight w:val="none"/>
        </w:rPr>
        <w:t xml:space="preserve">  </w:t>
      </w:r>
      <w:r>
        <w:rPr>
          <w:rFonts w:ascii="宋体" w:hAnsi="宋体" w:eastAsia="宋体" w:cs="宋体"/>
          <w:color w:val="auto"/>
          <w:spacing w:val="-26"/>
          <w:sz w:val="21"/>
          <w:szCs w:val="21"/>
          <w:highlight w:val="none"/>
        </w:rPr>
        <w:t>日</w:t>
      </w:r>
    </w:p>
    <w:p w14:paraId="25C65411">
      <w:pPr>
        <w:spacing w:line="221" w:lineRule="auto"/>
        <w:rPr>
          <w:rFonts w:ascii="宋体" w:hAnsi="宋体" w:eastAsia="宋体" w:cs="宋体"/>
          <w:color w:val="auto"/>
          <w:sz w:val="21"/>
          <w:szCs w:val="21"/>
          <w:highlight w:val="none"/>
        </w:rPr>
        <w:sectPr>
          <w:footerReference r:id="rId94" w:type="default"/>
          <w:pgSz w:w="16839" w:h="11905"/>
          <w:pgMar w:top="1011" w:right="1387" w:bottom="991" w:left="1387" w:header="0" w:footer="786" w:gutter="0"/>
          <w:pgNumType w:fmt="decimal"/>
          <w:cols w:space="720" w:num="1"/>
        </w:sectPr>
      </w:pPr>
    </w:p>
    <w:p w14:paraId="73EB0F13">
      <w:pPr>
        <w:pStyle w:val="3"/>
        <w:spacing w:line="263" w:lineRule="auto"/>
        <w:rPr>
          <w:color w:val="auto"/>
          <w:highlight w:val="none"/>
        </w:rPr>
      </w:pPr>
    </w:p>
    <w:p w14:paraId="75B904AD">
      <w:pPr>
        <w:pStyle w:val="3"/>
        <w:spacing w:line="264" w:lineRule="auto"/>
        <w:rPr>
          <w:color w:val="auto"/>
          <w:highlight w:val="none"/>
        </w:rPr>
      </w:pPr>
    </w:p>
    <w:p w14:paraId="478E13A6">
      <w:pPr>
        <w:spacing w:before="78" w:line="219" w:lineRule="auto"/>
        <w:ind w:left="40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3"/>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16</w:t>
      </w:r>
      <w:r>
        <w:rPr>
          <w:rFonts w:ascii="黑体" w:hAnsi="黑体" w:eastAsia="黑体" w:cs="黑体"/>
          <w:color w:val="auto"/>
          <w:spacing w:val="-5"/>
          <w:sz w:val="24"/>
          <w:szCs w:val="24"/>
          <w:highlight w:val="none"/>
        </w:rPr>
        <w:t>：评标结果汇总表</w:t>
      </w:r>
    </w:p>
    <w:p w14:paraId="5C976908">
      <w:pPr>
        <w:pStyle w:val="3"/>
        <w:spacing w:line="314" w:lineRule="auto"/>
        <w:rPr>
          <w:color w:val="auto"/>
          <w:highlight w:val="none"/>
        </w:rPr>
      </w:pPr>
    </w:p>
    <w:p w14:paraId="001E7DF3">
      <w:pPr>
        <w:pStyle w:val="3"/>
        <w:spacing w:line="315" w:lineRule="auto"/>
        <w:rPr>
          <w:color w:val="auto"/>
          <w:highlight w:val="none"/>
        </w:rPr>
      </w:pPr>
    </w:p>
    <w:p w14:paraId="378A33EF">
      <w:pPr>
        <w:spacing w:before="117" w:line="219" w:lineRule="auto"/>
        <w:ind w:left="3287"/>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评标结果汇总表</w:t>
      </w:r>
    </w:p>
    <w:p w14:paraId="442EC560">
      <w:pPr>
        <w:spacing w:before="221" w:line="213" w:lineRule="auto"/>
        <w:ind w:left="1872"/>
        <w:rPr>
          <w:rFonts w:ascii="黑体" w:hAnsi="黑体" w:eastAsia="黑体" w:cs="黑体"/>
          <w:color w:val="auto"/>
          <w:sz w:val="36"/>
          <w:szCs w:val="36"/>
          <w:highlight w:val="none"/>
        </w:rPr>
      </w:pPr>
      <w:r>
        <w:rPr>
          <w:rFonts w:ascii="黑体" w:hAnsi="黑体" w:eastAsia="黑体" w:cs="黑体"/>
          <w:color w:val="auto"/>
          <w:spacing w:val="-5"/>
          <w:sz w:val="36"/>
          <w:szCs w:val="36"/>
          <w:highlight w:val="none"/>
        </w:rPr>
        <w:t>（适用于经评审的最低投标价法）</w:t>
      </w:r>
    </w:p>
    <w:p w14:paraId="72EC7196">
      <w:pPr>
        <w:spacing w:line="221" w:lineRule="auto"/>
        <w:ind w:left="38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1BB1D1C8">
      <w:pPr>
        <w:spacing w:before="23" w:line="214" w:lineRule="auto"/>
        <w:ind w:left="38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标段唯一标识码：</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单位：人民币元</w:t>
      </w:r>
    </w:p>
    <w:tbl>
      <w:tblPr>
        <w:tblStyle w:val="10"/>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974"/>
        <w:gridCol w:w="1560"/>
        <w:gridCol w:w="1276"/>
        <w:gridCol w:w="993"/>
        <w:gridCol w:w="1195"/>
        <w:gridCol w:w="1402"/>
      </w:tblGrid>
      <w:tr w14:paraId="14396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675" w:type="dxa"/>
            <w:vMerge w:val="restart"/>
            <w:tcBorders>
              <w:bottom w:val="nil"/>
            </w:tcBorders>
            <w:vAlign w:val="top"/>
          </w:tcPr>
          <w:p w14:paraId="7056DEDD">
            <w:pPr>
              <w:spacing w:line="353" w:lineRule="auto"/>
              <w:rPr>
                <w:rFonts w:ascii="Arial"/>
                <w:color w:val="auto"/>
                <w:sz w:val="21"/>
                <w:highlight w:val="none"/>
              </w:rPr>
            </w:pPr>
          </w:p>
          <w:p w14:paraId="13651DF4">
            <w:pPr>
              <w:pStyle w:val="11"/>
              <w:spacing w:before="68" w:line="221" w:lineRule="auto"/>
              <w:ind w:left="312"/>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7400" w:type="dxa"/>
            <w:gridSpan w:val="6"/>
            <w:vAlign w:val="top"/>
          </w:tcPr>
          <w:p w14:paraId="5FF88463">
            <w:pPr>
              <w:pStyle w:val="11"/>
              <w:spacing w:before="144" w:line="221" w:lineRule="auto"/>
              <w:ind w:left="3278"/>
              <w:rPr>
                <w:color w:val="auto"/>
                <w:highlight w:val="none"/>
              </w:rPr>
            </w:pPr>
            <w:r>
              <w:rPr>
                <w:color w:val="auto"/>
                <w:spacing w:val="-1"/>
                <w:highlight w:val="none"/>
                <w14:textOutline w14:w="3831" w14:cap="flat" w14:cmpd="sng">
                  <w14:solidFill>
                    <w14:srgbClr w14:val="000000"/>
                  </w14:solidFill>
                  <w14:prstDash w14:val="solid"/>
                  <w14:miter w14:val="0"/>
                </w14:textOutline>
              </w:rPr>
              <w:t>评审因素</w:t>
            </w:r>
          </w:p>
        </w:tc>
      </w:tr>
      <w:tr w14:paraId="02BCF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675" w:type="dxa"/>
            <w:vMerge w:val="continue"/>
            <w:tcBorders>
              <w:top w:val="nil"/>
            </w:tcBorders>
            <w:vAlign w:val="top"/>
          </w:tcPr>
          <w:p w14:paraId="2DA690D1">
            <w:pPr>
              <w:rPr>
                <w:rFonts w:ascii="Arial"/>
                <w:color w:val="auto"/>
                <w:sz w:val="21"/>
                <w:highlight w:val="none"/>
              </w:rPr>
            </w:pPr>
          </w:p>
        </w:tc>
        <w:tc>
          <w:tcPr>
            <w:tcW w:w="974" w:type="dxa"/>
            <w:vAlign w:val="top"/>
          </w:tcPr>
          <w:p w14:paraId="1DA42F91">
            <w:pPr>
              <w:pStyle w:val="11"/>
              <w:spacing w:before="29" w:line="225" w:lineRule="auto"/>
              <w:ind w:left="383" w:right="171" w:hanging="209"/>
              <w:rPr>
                <w:color w:val="auto"/>
                <w:highlight w:val="none"/>
              </w:rPr>
            </w:pPr>
            <w:r>
              <w:rPr>
                <w:color w:val="auto"/>
                <w:spacing w:val="-3"/>
                <w:highlight w:val="none"/>
                <w14:textOutline w14:w="3831" w14:cap="flat" w14:cmpd="sng">
                  <w14:solidFill>
                    <w14:srgbClr w14:val="000000"/>
                  </w14:solidFill>
                  <w14:prstDash w14:val="solid"/>
                  <w14:miter w14:val="0"/>
                </w14:textOutline>
              </w:rPr>
              <w:t>投标报</w:t>
            </w:r>
            <w:r>
              <w:rPr>
                <w:color w:val="auto"/>
                <w:highlight w:val="none"/>
              </w:rPr>
              <w:t xml:space="preserve"> </w:t>
            </w:r>
            <w:r>
              <w:rPr>
                <w:color w:val="auto"/>
                <w:highlight w:val="none"/>
                <w14:textOutline w14:w="3831" w14:cap="flat" w14:cmpd="sng">
                  <w14:solidFill>
                    <w14:srgbClr w14:val="000000"/>
                  </w14:solidFill>
                  <w14:prstDash w14:val="solid"/>
                  <w14:miter w14:val="0"/>
                </w14:textOutline>
              </w:rPr>
              <w:t>价</w:t>
            </w:r>
          </w:p>
        </w:tc>
        <w:tc>
          <w:tcPr>
            <w:tcW w:w="1560" w:type="dxa"/>
            <w:vAlign w:val="top"/>
          </w:tcPr>
          <w:p w14:paraId="58A57F98">
            <w:pPr>
              <w:pStyle w:val="11"/>
              <w:spacing w:before="29" w:line="221" w:lineRule="auto"/>
              <w:ind w:left="148"/>
              <w:rPr>
                <w:color w:val="auto"/>
                <w:highlight w:val="none"/>
              </w:rPr>
            </w:pPr>
            <w:r>
              <w:rPr>
                <w:color w:val="auto"/>
                <w:spacing w:val="-1"/>
                <w:highlight w:val="none"/>
                <w14:textOutline w14:w="3831" w14:cap="flat" w14:cmpd="sng">
                  <w14:solidFill>
                    <w14:srgbClr w14:val="000000"/>
                  </w14:solidFill>
                  <w14:prstDash w14:val="solid"/>
                  <w14:miter w14:val="0"/>
                </w14:textOutline>
              </w:rPr>
              <w:t>修正后投标报</w:t>
            </w:r>
          </w:p>
          <w:p w14:paraId="4EC851FF">
            <w:pPr>
              <w:pStyle w:val="11"/>
              <w:spacing w:before="22" w:line="209" w:lineRule="auto"/>
              <w:ind w:left="255"/>
              <w:rPr>
                <w:color w:val="auto"/>
                <w:highlight w:val="none"/>
              </w:rPr>
            </w:pPr>
            <w:r>
              <w:rPr>
                <w:color w:val="auto"/>
                <w:spacing w:val="-3"/>
                <w:highlight w:val="none"/>
                <w14:textOutline w14:w="3831" w14:cap="flat" w14:cmpd="sng">
                  <w14:solidFill>
                    <w14:srgbClr w14:val="000000"/>
                  </w14:solidFill>
                  <w14:prstDash w14:val="solid"/>
                  <w14:miter w14:val="0"/>
                </w14:textOutline>
              </w:rPr>
              <w:t>价（如有）</w:t>
            </w:r>
          </w:p>
        </w:tc>
        <w:tc>
          <w:tcPr>
            <w:tcW w:w="1276" w:type="dxa"/>
            <w:vAlign w:val="top"/>
          </w:tcPr>
          <w:p w14:paraId="1B8F647B">
            <w:pPr>
              <w:pStyle w:val="11"/>
              <w:spacing w:before="164" w:line="219" w:lineRule="auto"/>
              <w:ind w:left="112"/>
              <w:rPr>
                <w:color w:val="auto"/>
                <w:highlight w:val="none"/>
              </w:rPr>
            </w:pPr>
            <w:r>
              <w:rPr>
                <w:color w:val="auto"/>
                <w:spacing w:val="-1"/>
                <w:highlight w:val="none"/>
                <w14:textOutline w14:w="3831" w14:cap="flat" w14:cmpd="sng">
                  <w14:solidFill>
                    <w14:srgbClr w14:val="000000"/>
                  </w14:solidFill>
                  <w14:prstDash w14:val="solid"/>
                  <w14:miter w14:val="0"/>
                </w14:textOutline>
              </w:rPr>
              <w:t>有效评标价</w:t>
            </w:r>
          </w:p>
        </w:tc>
        <w:tc>
          <w:tcPr>
            <w:tcW w:w="993" w:type="dxa"/>
            <w:vAlign w:val="top"/>
          </w:tcPr>
          <w:p w14:paraId="48FF8434">
            <w:pPr>
              <w:pStyle w:val="11"/>
              <w:spacing w:before="29" w:line="225" w:lineRule="auto"/>
              <w:ind w:left="185" w:right="178" w:firstLine="1"/>
              <w:rPr>
                <w:color w:val="auto"/>
                <w:highlight w:val="none"/>
              </w:rPr>
            </w:pPr>
            <w:r>
              <w:rPr>
                <w:color w:val="auto"/>
                <w:spacing w:val="-3"/>
                <w:highlight w:val="none"/>
                <w14:textOutline w14:w="3831" w14:cap="flat" w14:cmpd="sng">
                  <w14:solidFill>
                    <w14:srgbClr w14:val="000000"/>
                  </w14:solidFill>
                  <w14:prstDash w14:val="solid"/>
                  <w14:miter w14:val="0"/>
                </w14:textOutline>
              </w:rPr>
              <w:t>最高投</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标限价</w:t>
            </w:r>
          </w:p>
        </w:tc>
        <w:tc>
          <w:tcPr>
            <w:tcW w:w="1195" w:type="dxa"/>
            <w:vAlign w:val="top"/>
          </w:tcPr>
          <w:p w14:paraId="5A5C975C">
            <w:pPr>
              <w:pStyle w:val="11"/>
              <w:spacing w:before="29" w:line="225" w:lineRule="auto"/>
              <w:ind w:left="284" w:right="172" w:hanging="104"/>
              <w:rPr>
                <w:color w:val="auto"/>
                <w:highlight w:val="none"/>
              </w:rPr>
            </w:pPr>
            <w:r>
              <w:rPr>
                <w:color w:val="auto"/>
                <w:spacing w:val="-1"/>
                <w:highlight w:val="none"/>
                <w14:textOutline w14:w="3831" w14:cap="flat" w14:cmpd="sng">
                  <w14:solidFill>
                    <w14:srgbClr w14:val="000000"/>
                  </w14:solidFill>
                  <w14:prstDash w14:val="solid"/>
                  <w14:miter w14:val="0"/>
                </w14:textOutline>
              </w:rPr>
              <w:t>确定有效</w:t>
            </w:r>
            <w:r>
              <w:rPr>
                <w:color w:val="auto"/>
                <w:highlight w:val="none"/>
              </w:rPr>
              <w:t xml:space="preserve"> </w:t>
            </w:r>
            <w:r>
              <w:rPr>
                <w:color w:val="auto"/>
                <w:spacing w:val="-1"/>
                <w:highlight w:val="none"/>
                <w14:textOutline w14:w="3831" w14:cap="flat" w14:cmpd="sng">
                  <w14:solidFill>
                    <w14:srgbClr w14:val="000000"/>
                  </w14:solidFill>
                  <w14:prstDash w14:val="solid"/>
                  <w14:miter w14:val="0"/>
                </w14:textOutline>
              </w:rPr>
              <w:t>评标价</w:t>
            </w:r>
          </w:p>
        </w:tc>
        <w:tc>
          <w:tcPr>
            <w:tcW w:w="1402" w:type="dxa"/>
            <w:vAlign w:val="top"/>
          </w:tcPr>
          <w:p w14:paraId="7AB5FB08">
            <w:pPr>
              <w:pStyle w:val="11"/>
              <w:spacing w:before="29" w:line="225" w:lineRule="auto"/>
              <w:ind w:left="492" w:right="172" w:hanging="315"/>
              <w:rPr>
                <w:color w:val="auto"/>
                <w:highlight w:val="none"/>
              </w:rPr>
            </w:pPr>
            <w:r>
              <w:rPr>
                <w:color w:val="auto"/>
                <w:spacing w:val="-1"/>
                <w:highlight w:val="none"/>
                <w14:textOutline w14:w="3831" w14:cap="flat" w14:cmpd="sng">
                  <w14:solidFill>
                    <w14:srgbClr w14:val="000000"/>
                  </w14:solidFill>
                  <w14:prstDash w14:val="solid"/>
                  <w14:miter w14:val="0"/>
                </w14:textOutline>
              </w:rPr>
              <w:t>有效评标价</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排序</w:t>
            </w:r>
          </w:p>
        </w:tc>
      </w:tr>
      <w:tr w14:paraId="64AE4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5" w:type="dxa"/>
            <w:vAlign w:val="top"/>
          </w:tcPr>
          <w:p w14:paraId="46489189">
            <w:pPr>
              <w:rPr>
                <w:rFonts w:ascii="Arial"/>
                <w:color w:val="auto"/>
                <w:sz w:val="21"/>
                <w:highlight w:val="none"/>
              </w:rPr>
            </w:pPr>
          </w:p>
        </w:tc>
        <w:tc>
          <w:tcPr>
            <w:tcW w:w="974" w:type="dxa"/>
            <w:vAlign w:val="top"/>
          </w:tcPr>
          <w:p w14:paraId="5CF1D8C9">
            <w:pPr>
              <w:rPr>
                <w:rFonts w:ascii="Arial"/>
                <w:color w:val="auto"/>
                <w:sz w:val="21"/>
                <w:highlight w:val="none"/>
              </w:rPr>
            </w:pPr>
          </w:p>
        </w:tc>
        <w:tc>
          <w:tcPr>
            <w:tcW w:w="1560" w:type="dxa"/>
            <w:vAlign w:val="top"/>
          </w:tcPr>
          <w:p w14:paraId="3BA06147">
            <w:pPr>
              <w:rPr>
                <w:rFonts w:ascii="Arial"/>
                <w:color w:val="auto"/>
                <w:sz w:val="21"/>
                <w:highlight w:val="none"/>
              </w:rPr>
            </w:pPr>
          </w:p>
        </w:tc>
        <w:tc>
          <w:tcPr>
            <w:tcW w:w="1276" w:type="dxa"/>
            <w:vAlign w:val="top"/>
          </w:tcPr>
          <w:p w14:paraId="697B5082">
            <w:pPr>
              <w:rPr>
                <w:rFonts w:ascii="Arial"/>
                <w:color w:val="auto"/>
                <w:sz w:val="21"/>
                <w:highlight w:val="none"/>
              </w:rPr>
            </w:pPr>
          </w:p>
        </w:tc>
        <w:tc>
          <w:tcPr>
            <w:tcW w:w="993" w:type="dxa"/>
            <w:vMerge w:val="restart"/>
            <w:tcBorders>
              <w:bottom w:val="nil"/>
            </w:tcBorders>
            <w:vAlign w:val="top"/>
          </w:tcPr>
          <w:p w14:paraId="5732A2BA">
            <w:pPr>
              <w:rPr>
                <w:rFonts w:ascii="Arial"/>
                <w:color w:val="auto"/>
                <w:sz w:val="21"/>
                <w:highlight w:val="none"/>
              </w:rPr>
            </w:pPr>
          </w:p>
        </w:tc>
        <w:tc>
          <w:tcPr>
            <w:tcW w:w="1195" w:type="dxa"/>
            <w:vAlign w:val="top"/>
          </w:tcPr>
          <w:p w14:paraId="2704F1B0">
            <w:pPr>
              <w:rPr>
                <w:rFonts w:ascii="Arial"/>
                <w:color w:val="auto"/>
                <w:sz w:val="21"/>
                <w:highlight w:val="none"/>
              </w:rPr>
            </w:pPr>
          </w:p>
        </w:tc>
        <w:tc>
          <w:tcPr>
            <w:tcW w:w="1402" w:type="dxa"/>
            <w:vAlign w:val="top"/>
          </w:tcPr>
          <w:p w14:paraId="3776CC04">
            <w:pPr>
              <w:rPr>
                <w:rFonts w:ascii="Arial"/>
                <w:color w:val="auto"/>
                <w:sz w:val="21"/>
                <w:highlight w:val="none"/>
              </w:rPr>
            </w:pPr>
          </w:p>
        </w:tc>
      </w:tr>
      <w:tr w14:paraId="4B18D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5" w:type="dxa"/>
            <w:vAlign w:val="top"/>
          </w:tcPr>
          <w:p w14:paraId="2306BE9C">
            <w:pPr>
              <w:rPr>
                <w:rFonts w:ascii="Arial"/>
                <w:color w:val="auto"/>
                <w:sz w:val="21"/>
                <w:highlight w:val="none"/>
              </w:rPr>
            </w:pPr>
          </w:p>
        </w:tc>
        <w:tc>
          <w:tcPr>
            <w:tcW w:w="974" w:type="dxa"/>
            <w:vAlign w:val="top"/>
          </w:tcPr>
          <w:p w14:paraId="675547EB">
            <w:pPr>
              <w:rPr>
                <w:rFonts w:ascii="Arial"/>
                <w:color w:val="auto"/>
                <w:sz w:val="21"/>
                <w:highlight w:val="none"/>
              </w:rPr>
            </w:pPr>
          </w:p>
        </w:tc>
        <w:tc>
          <w:tcPr>
            <w:tcW w:w="1560" w:type="dxa"/>
            <w:vAlign w:val="top"/>
          </w:tcPr>
          <w:p w14:paraId="76DC06AC">
            <w:pPr>
              <w:rPr>
                <w:rFonts w:ascii="Arial"/>
                <w:color w:val="auto"/>
                <w:sz w:val="21"/>
                <w:highlight w:val="none"/>
              </w:rPr>
            </w:pPr>
          </w:p>
        </w:tc>
        <w:tc>
          <w:tcPr>
            <w:tcW w:w="1276" w:type="dxa"/>
            <w:vAlign w:val="top"/>
          </w:tcPr>
          <w:p w14:paraId="60A8EDB9">
            <w:pPr>
              <w:rPr>
                <w:rFonts w:ascii="Arial"/>
                <w:color w:val="auto"/>
                <w:sz w:val="21"/>
                <w:highlight w:val="none"/>
              </w:rPr>
            </w:pPr>
          </w:p>
        </w:tc>
        <w:tc>
          <w:tcPr>
            <w:tcW w:w="993" w:type="dxa"/>
            <w:vMerge w:val="continue"/>
            <w:tcBorders>
              <w:top w:val="nil"/>
              <w:bottom w:val="nil"/>
            </w:tcBorders>
            <w:vAlign w:val="top"/>
          </w:tcPr>
          <w:p w14:paraId="1ED1F4DA">
            <w:pPr>
              <w:rPr>
                <w:rFonts w:ascii="Arial"/>
                <w:color w:val="auto"/>
                <w:sz w:val="21"/>
                <w:highlight w:val="none"/>
              </w:rPr>
            </w:pPr>
          </w:p>
        </w:tc>
        <w:tc>
          <w:tcPr>
            <w:tcW w:w="1195" w:type="dxa"/>
            <w:vAlign w:val="top"/>
          </w:tcPr>
          <w:p w14:paraId="5F6E40D5">
            <w:pPr>
              <w:rPr>
                <w:rFonts w:ascii="Arial"/>
                <w:color w:val="auto"/>
                <w:sz w:val="21"/>
                <w:highlight w:val="none"/>
              </w:rPr>
            </w:pPr>
          </w:p>
        </w:tc>
        <w:tc>
          <w:tcPr>
            <w:tcW w:w="1402" w:type="dxa"/>
            <w:vAlign w:val="top"/>
          </w:tcPr>
          <w:p w14:paraId="32DA92C6">
            <w:pPr>
              <w:rPr>
                <w:rFonts w:ascii="Arial"/>
                <w:color w:val="auto"/>
                <w:sz w:val="21"/>
                <w:highlight w:val="none"/>
              </w:rPr>
            </w:pPr>
          </w:p>
        </w:tc>
      </w:tr>
      <w:tr w14:paraId="46DDD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72B0800F">
            <w:pPr>
              <w:rPr>
                <w:rFonts w:ascii="Arial"/>
                <w:color w:val="auto"/>
                <w:sz w:val="21"/>
                <w:highlight w:val="none"/>
              </w:rPr>
            </w:pPr>
          </w:p>
        </w:tc>
        <w:tc>
          <w:tcPr>
            <w:tcW w:w="974" w:type="dxa"/>
            <w:vAlign w:val="top"/>
          </w:tcPr>
          <w:p w14:paraId="568CBD85">
            <w:pPr>
              <w:rPr>
                <w:rFonts w:ascii="Arial"/>
                <w:color w:val="auto"/>
                <w:sz w:val="21"/>
                <w:highlight w:val="none"/>
              </w:rPr>
            </w:pPr>
          </w:p>
        </w:tc>
        <w:tc>
          <w:tcPr>
            <w:tcW w:w="1560" w:type="dxa"/>
            <w:vAlign w:val="top"/>
          </w:tcPr>
          <w:p w14:paraId="240174AD">
            <w:pPr>
              <w:rPr>
                <w:rFonts w:ascii="Arial"/>
                <w:color w:val="auto"/>
                <w:sz w:val="21"/>
                <w:highlight w:val="none"/>
              </w:rPr>
            </w:pPr>
          </w:p>
        </w:tc>
        <w:tc>
          <w:tcPr>
            <w:tcW w:w="1276" w:type="dxa"/>
            <w:vAlign w:val="top"/>
          </w:tcPr>
          <w:p w14:paraId="07B11488">
            <w:pPr>
              <w:rPr>
                <w:rFonts w:ascii="Arial"/>
                <w:color w:val="auto"/>
                <w:sz w:val="21"/>
                <w:highlight w:val="none"/>
              </w:rPr>
            </w:pPr>
          </w:p>
        </w:tc>
        <w:tc>
          <w:tcPr>
            <w:tcW w:w="993" w:type="dxa"/>
            <w:vMerge w:val="continue"/>
            <w:tcBorders>
              <w:top w:val="nil"/>
              <w:bottom w:val="nil"/>
            </w:tcBorders>
            <w:vAlign w:val="top"/>
          </w:tcPr>
          <w:p w14:paraId="0F0CA9C4">
            <w:pPr>
              <w:rPr>
                <w:rFonts w:ascii="Arial"/>
                <w:color w:val="auto"/>
                <w:sz w:val="21"/>
                <w:highlight w:val="none"/>
              </w:rPr>
            </w:pPr>
          </w:p>
        </w:tc>
        <w:tc>
          <w:tcPr>
            <w:tcW w:w="1195" w:type="dxa"/>
            <w:vAlign w:val="top"/>
          </w:tcPr>
          <w:p w14:paraId="0A60EDA1">
            <w:pPr>
              <w:rPr>
                <w:rFonts w:ascii="Arial"/>
                <w:color w:val="auto"/>
                <w:sz w:val="21"/>
                <w:highlight w:val="none"/>
              </w:rPr>
            </w:pPr>
          </w:p>
        </w:tc>
        <w:tc>
          <w:tcPr>
            <w:tcW w:w="1402" w:type="dxa"/>
            <w:vAlign w:val="top"/>
          </w:tcPr>
          <w:p w14:paraId="21847683">
            <w:pPr>
              <w:rPr>
                <w:rFonts w:ascii="Arial"/>
                <w:color w:val="auto"/>
                <w:sz w:val="21"/>
                <w:highlight w:val="none"/>
              </w:rPr>
            </w:pPr>
          </w:p>
        </w:tc>
      </w:tr>
      <w:tr w14:paraId="034B7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75" w:type="dxa"/>
            <w:vAlign w:val="top"/>
          </w:tcPr>
          <w:p w14:paraId="25ADAA45">
            <w:pPr>
              <w:rPr>
                <w:rFonts w:ascii="Arial"/>
                <w:color w:val="auto"/>
                <w:sz w:val="21"/>
                <w:highlight w:val="none"/>
              </w:rPr>
            </w:pPr>
          </w:p>
        </w:tc>
        <w:tc>
          <w:tcPr>
            <w:tcW w:w="974" w:type="dxa"/>
            <w:vAlign w:val="top"/>
          </w:tcPr>
          <w:p w14:paraId="68313A35">
            <w:pPr>
              <w:rPr>
                <w:rFonts w:ascii="Arial"/>
                <w:color w:val="auto"/>
                <w:sz w:val="21"/>
                <w:highlight w:val="none"/>
              </w:rPr>
            </w:pPr>
          </w:p>
        </w:tc>
        <w:tc>
          <w:tcPr>
            <w:tcW w:w="1560" w:type="dxa"/>
            <w:vAlign w:val="top"/>
          </w:tcPr>
          <w:p w14:paraId="360BA811">
            <w:pPr>
              <w:rPr>
                <w:rFonts w:ascii="Arial"/>
                <w:color w:val="auto"/>
                <w:sz w:val="21"/>
                <w:highlight w:val="none"/>
              </w:rPr>
            </w:pPr>
          </w:p>
        </w:tc>
        <w:tc>
          <w:tcPr>
            <w:tcW w:w="1276" w:type="dxa"/>
            <w:vAlign w:val="top"/>
          </w:tcPr>
          <w:p w14:paraId="5CD20B16">
            <w:pPr>
              <w:rPr>
                <w:rFonts w:ascii="Arial"/>
                <w:color w:val="auto"/>
                <w:sz w:val="21"/>
                <w:highlight w:val="none"/>
              </w:rPr>
            </w:pPr>
          </w:p>
        </w:tc>
        <w:tc>
          <w:tcPr>
            <w:tcW w:w="993" w:type="dxa"/>
            <w:vMerge w:val="continue"/>
            <w:tcBorders>
              <w:top w:val="nil"/>
              <w:bottom w:val="nil"/>
            </w:tcBorders>
            <w:vAlign w:val="top"/>
          </w:tcPr>
          <w:p w14:paraId="7A3B34AA">
            <w:pPr>
              <w:rPr>
                <w:rFonts w:ascii="Arial"/>
                <w:color w:val="auto"/>
                <w:sz w:val="21"/>
                <w:highlight w:val="none"/>
              </w:rPr>
            </w:pPr>
          </w:p>
        </w:tc>
        <w:tc>
          <w:tcPr>
            <w:tcW w:w="1195" w:type="dxa"/>
            <w:vAlign w:val="top"/>
          </w:tcPr>
          <w:p w14:paraId="359D9E4B">
            <w:pPr>
              <w:rPr>
                <w:rFonts w:ascii="Arial"/>
                <w:color w:val="auto"/>
                <w:sz w:val="21"/>
                <w:highlight w:val="none"/>
              </w:rPr>
            </w:pPr>
          </w:p>
        </w:tc>
        <w:tc>
          <w:tcPr>
            <w:tcW w:w="1402" w:type="dxa"/>
            <w:vAlign w:val="top"/>
          </w:tcPr>
          <w:p w14:paraId="40B776FB">
            <w:pPr>
              <w:rPr>
                <w:rFonts w:ascii="Arial"/>
                <w:color w:val="auto"/>
                <w:sz w:val="21"/>
                <w:highlight w:val="none"/>
              </w:rPr>
            </w:pPr>
          </w:p>
        </w:tc>
      </w:tr>
      <w:tr w14:paraId="25305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5329166D">
            <w:pPr>
              <w:rPr>
                <w:rFonts w:ascii="Arial"/>
                <w:color w:val="auto"/>
                <w:sz w:val="21"/>
                <w:highlight w:val="none"/>
              </w:rPr>
            </w:pPr>
          </w:p>
        </w:tc>
        <w:tc>
          <w:tcPr>
            <w:tcW w:w="974" w:type="dxa"/>
            <w:vAlign w:val="top"/>
          </w:tcPr>
          <w:p w14:paraId="41521741">
            <w:pPr>
              <w:rPr>
                <w:rFonts w:ascii="Arial"/>
                <w:color w:val="auto"/>
                <w:sz w:val="21"/>
                <w:highlight w:val="none"/>
              </w:rPr>
            </w:pPr>
          </w:p>
        </w:tc>
        <w:tc>
          <w:tcPr>
            <w:tcW w:w="1560" w:type="dxa"/>
            <w:vAlign w:val="top"/>
          </w:tcPr>
          <w:p w14:paraId="5D0850C7">
            <w:pPr>
              <w:rPr>
                <w:rFonts w:ascii="Arial"/>
                <w:color w:val="auto"/>
                <w:sz w:val="21"/>
                <w:highlight w:val="none"/>
              </w:rPr>
            </w:pPr>
          </w:p>
        </w:tc>
        <w:tc>
          <w:tcPr>
            <w:tcW w:w="1276" w:type="dxa"/>
            <w:vAlign w:val="top"/>
          </w:tcPr>
          <w:p w14:paraId="6591D48F">
            <w:pPr>
              <w:rPr>
                <w:rFonts w:ascii="Arial"/>
                <w:color w:val="auto"/>
                <w:sz w:val="21"/>
                <w:highlight w:val="none"/>
              </w:rPr>
            </w:pPr>
          </w:p>
        </w:tc>
        <w:tc>
          <w:tcPr>
            <w:tcW w:w="993" w:type="dxa"/>
            <w:vMerge w:val="continue"/>
            <w:tcBorders>
              <w:top w:val="nil"/>
            </w:tcBorders>
            <w:vAlign w:val="top"/>
          </w:tcPr>
          <w:p w14:paraId="44A31A79">
            <w:pPr>
              <w:rPr>
                <w:rFonts w:ascii="Arial"/>
                <w:color w:val="auto"/>
                <w:sz w:val="21"/>
                <w:highlight w:val="none"/>
              </w:rPr>
            </w:pPr>
          </w:p>
        </w:tc>
        <w:tc>
          <w:tcPr>
            <w:tcW w:w="1195" w:type="dxa"/>
            <w:vAlign w:val="top"/>
          </w:tcPr>
          <w:p w14:paraId="316A44D6">
            <w:pPr>
              <w:rPr>
                <w:rFonts w:ascii="Arial"/>
                <w:color w:val="auto"/>
                <w:sz w:val="21"/>
                <w:highlight w:val="none"/>
              </w:rPr>
            </w:pPr>
          </w:p>
        </w:tc>
        <w:tc>
          <w:tcPr>
            <w:tcW w:w="1402" w:type="dxa"/>
            <w:vAlign w:val="top"/>
          </w:tcPr>
          <w:p w14:paraId="73B1D8DF">
            <w:pPr>
              <w:rPr>
                <w:rFonts w:ascii="Arial"/>
                <w:color w:val="auto"/>
                <w:sz w:val="21"/>
                <w:highlight w:val="none"/>
              </w:rPr>
            </w:pPr>
          </w:p>
        </w:tc>
      </w:tr>
      <w:tr w14:paraId="2ACB8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5" w:type="dxa"/>
            <w:gridSpan w:val="7"/>
            <w:vAlign w:val="top"/>
          </w:tcPr>
          <w:p w14:paraId="5FC2953A">
            <w:pPr>
              <w:pStyle w:val="11"/>
              <w:spacing w:before="33" w:line="220" w:lineRule="auto"/>
              <w:ind w:left="112"/>
              <w:rPr>
                <w:color w:val="auto"/>
                <w:highlight w:val="none"/>
              </w:rPr>
            </w:pPr>
            <w:r>
              <w:rPr>
                <w:color w:val="auto"/>
                <w:spacing w:val="-1"/>
                <w:highlight w:val="none"/>
              </w:rPr>
              <w:t>评标委员会成员签名：</w:t>
            </w:r>
          </w:p>
        </w:tc>
      </w:tr>
    </w:tbl>
    <w:p w14:paraId="716B1C23">
      <w:pPr>
        <w:spacing w:before="29" w:line="221" w:lineRule="auto"/>
        <w:ind w:left="5273"/>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日期：          年        月</w:t>
      </w:r>
      <w:r>
        <w:rPr>
          <w:rFonts w:ascii="宋体" w:hAnsi="宋体" w:eastAsia="宋体" w:cs="宋体"/>
          <w:color w:val="auto"/>
          <w:spacing w:val="8"/>
          <w:sz w:val="21"/>
          <w:szCs w:val="21"/>
          <w:highlight w:val="none"/>
        </w:rPr>
        <w:t xml:space="preserve">      </w:t>
      </w:r>
      <w:r>
        <w:rPr>
          <w:rFonts w:ascii="宋体" w:hAnsi="宋体" w:eastAsia="宋体" w:cs="宋体"/>
          <w:color w:val="auto"/>
          <w:spacing w:val="-15"/>
          <w:sz w:val="21"/>
          <w:szCs w:val="21"/>
          <w:highlight w:val="none"/>
        </w:rPr>
        <w:t>日</w:t>
      </w:r>
    </w:p>
    <w:p w14:paraId="3119FDF2">
      <w:pPr>
        <w:spacing w:line="221" w:lineRule="auto"/>
        <w:rPr>
          <w:rFonts w:ascii="宋体" w:hAnsi="宋体" w:eastAsia="宋体" w:cs="宋体"/>
          <w:color w:val="auto"/>
          <w:sz w:val="21"/>
          <w:szCs w:val="21"/>
          <w:highlight w:val="none"/>
        </w:rPr>
        <w:sectPr>
          <w:footerReference r:id="rId95" w:type="default"/>
          <w:pgSz w:w="11905" w:h="16839"/>
          <w:pgMar w:top="1431" w:right="1406" w:bottom="996" w:left="1416" w:header="0" w:footer="791" w:gutter="0"/>
          <w:pgNumType w:fmt="decimal"/>
          <w:cols w:space="720" w:num="1"/>
        </w:sectPr>
      </w:pPr>
    </w:p>
    <w:p w14:paraId="56386B85">
      <w:pPr>
        <w:spacing w:before="123" w:line="220"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47"/>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17</w:t>
      </w:r>
      <w:r>
        <w:rPr>
          <w:rFonts w:ascii="黑体" w:hAnsi="黑体" w:eastAsia="黑体" w:cs="黑体"/>
          <w:color w:val="auto"/>
          <w:spacing w:val="-4"/>
          <w:sz w:val="24"/>
          <w:szCs w:val="24"/>
          <w:highlight w:val="none"/>
        </w:rPr>
        <w:t>：推荐中标候选人一览表</w:t>
      </w:r>
    </w:p>
    <w:p w14:paraId="6CCC45F4">
      <w:pPr>
        <w:pStyle w:val="3"/>
        <w:spacing w:line="316" w:lineRule="auto"/>
        <w:rPr>
          <w:color w:val="auto"/>
          <w:highlight w:val="none"/>
        </w:rPr>
      </w:pPr>
    </w:p>
    <w:p w14:paraId="4ECD0990">
      <w:pPr>
        <w:pStyle w:val="3"/>
        <w:spacing w:line="316" w:lineRule="auto"/>
        <w:rPr>
          <w:color w:val="auto"/>
          <w:highlight w:val="none"/>
        </w:rPr>
      </w:pPr>
    </w:p>
    <w:p w14:paraId="557EEAC1">
      <w:pPr>
        <w:spacing w:before="117" w:line="220" w:lineRule="auto"/>
        <w:ind w:left="2378"/>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推荐中标候选人一览表</w:t>
      </w:r>
    </w:p>
    <w:p w14:paraId="6F73C21F">
      <w:pPr>
        <w:spacing w:before="232"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61C0AB3B">
      <w:pPr>
        <w:spacing w:before="22" w:line="214" w:lineRule="auto"/>
        <w:ind w:left="19"/>
        <w:rPr>
          <w:rFonts w:ascii="宋体" w:hAnsi="宋体" w:eastAsia="宋体" w:cs="宋体"/>
          <w:color w:val="auto"/>
          <w:sz w:val="21"/>
          <w:szCs w:val="21"/>
          <w:highlight w:val="none"/>
        </w:rPr>
      </w:pPr>
      <w:r>
        <w:rPr>
          <w:color w:val="auto"/>
          <w:highlight w:val="none"/>
        </w:rPr>
        <w:pict>
          <v:shape id="_x0000_s2050" o:spid="_x0000_s2050" o:spt="202" type="#_x0000_t202" style="position:absolute;left:0pt;margin-left:333.7pt;margin-top:0.1pt;height:14.55pt;width:74.95pt;z-index:251661312;mso-width-relative:page;mso-height-relative:page;" filled="f" stroked="f" coordsize="21600,21600">
            <v:path/>
            <v:fill on="f" focussize="0,0"/>
            <v:stroke on="f"/>
            <v:imagedata o:title=""/>
            <o:lock v:ext="edit" aspectratio="f"/>
            <v:textbox inset="0mm,0mm,0mm,0mm">
              <w:txbxContent>
                <w:p w14:paraId="08B1451C">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w: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92"/>
        <w:gridCol w:w="2030"/>
        <w:gridCol w:w="2500"/>
      </w:tblGrid>
      <w:tr w14:paraId="10AD9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3AAEC7F9">
            <w:pPr>
              <w:pStyle w:val="11"/>
              <w:spacing w:before="230" w:line="223" w:lineRule="auto"/>
              <w:ind w:left="224"/>
              <w:rPr>
                <w:color w:val="auto"/>
                <w:highlight w:val="none"/>
              </w:rPr>
            </w:pPr>
            <w:r>
              <w:rPr>
                <w:color w:val="auto"/>
                <w:spacing w:val="-2"/>
                <w:highlight w:val="none"/>
                <w14:textOutline w14:w="3831" w14:cap="flat" w14:cmpd="sng">
                  <w14:solidFill>
                    <w14:srgbClr w14:val="000000"/>
                  </w14:solidFill>
                  <w14:prstDash w14:val="solid"/>
                  <w14:miter w14:val="0"/>
                </w14:textOutline>
              </w:rPr>
              <w:t>排名</w:t>
            </w:r>
          </w:p>
        </w:tc>
        <w:tc>
          <w:tcPr>
            <w:tcW w:w="1535" w:type="dxa"/>
            <w:vAlign w:val="top"/>
          </w:tcPr>
          <w:p w14:paraId="6F6A8E47">
            <w:pPr>
              <w:pStyle w:val="11"/>
              <w:spacing w:before="231" w:line="221" w:lineRule="auto"/>
              <w:ind w:left="246"/>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1392" w:type="dxa"/>
            <w:vAlign w:val="top"/>
          </w:tcPr>
          <w:p w14:paraId="42F51C6A">
            <w:pPr>
              <w:pStyle w:val="11"/>
              <w:spacing w:before="231" w:line="219" w:lineRule="auto"/>
              <w:ind w:left="282"/>
              <w:rPr>
                <w:color w:val="auto"/>
                <w:highlight w:val="none"/>
              </w:rPr>
            </w:pPr>
            <w:r>
              <w:rPr>
                <w:color w:val="auto"/>
                <w:spacing w:val="-2"/>
                <w:highlight w:val="none"/>
                <w14:textOutline w14:w="3831" w14:cap="flat" w14:cmpd="sng">
                  <w14:solidFill>
                    <w14:srgbClr w14:val="000000"/>
                  </w14:solidFill>
                  <w14:prstDash w14:val="solid"/>
                  <w14:miter w14:val="0"/>
                </w14:textOutline>
              </w:rPr>
              <w:t>投标报价</w:t>
            </w:r>
          </w:p>
        </w:tc>
        <w:tc>
          <w:tcPr>
            <w:tcW w:w="2030" w:type="dxa"/>
            <w:vAlign w:val="top"/>
          </w:tcPr>
          <w:p w14:paraId="17F5495D">
            <w:pPr>
              <w:pStyle w:val="11"/>
              <w:spacing w:before="96" w:line="221" w:lineRule="auto"/>
              <w:ind w:left="600"/>
              <w:rPr>
                <w:color w:val="auto"/>
                <w:highlight w:val="none"/>
              </w:rPr>
            </w:pPr>
            <w:r>
              <w:rPr>
                <w:color w:val="auto"/>
                <w:spacing w:val="-1"/>
                <w:highlight w:val="none"/>
                <w14:textOutline w14:w="3831" w14:cap="flat" w14:cmpd="sng">
                  <w14:solidFill>
                    <w14:srgbClr w14:val="000000"/>
                  </w14:solidFill>
                  <w14:prstDash w14:val="solid"/>
                  <w14:miter w14:val="0"/>
                </w14:textOutline>
              </w:rPr>
              <w:t>评审得分</w:t>
            </w:r>
          </w:p>
          <w:p w14:paraId="4D23CACF">
            <w:pPr>
              <w:pStyle w:val="11"/>
              <w:spacing w:before="22" w:line="219" w:lineRule="auto"/>
              <w:ind w:left="291"/>
              <w:rPr>
                <w:color w:val="auto"/>
                <w:highlight w:val="none"/>
              </w:rPr>
            </w:pPr>
            <w:r>
              <w:rPr>
                <w:color w:val="auto"/>
                <w:spacing w:val="-3"/>
                <w:highlight w:val="none"/>
                <w14:textOutline w14:w="3831" w14:cap="flat" w14:cmpd="sng">
                  <w14:solidFill>
                    <w14:srgbClr w14:val="000000"/>
                  </w14:solidFill>
                  <w14:prstDash w14:val="solid"/>
                  <w14:miter w14:val="0"/>
                </w14:textOutline>
              </w:rPr>
              <w:t>（有效评标价）</w:t>
            </w:r>
          </w:p>
        </w:tc>
        <w:tc>
          <w:tcPr>
            <w:tcW w:w="2500" w:type="dxa"/>
            <w:vAlign w:val="top"/>
          </w:tcPr>
          <w:p w14:paraId="5DF2D3DB">
            <w:pPr>
              <w:pStyle w:val="11"/>
              <w:spacing w:before="231" w:line="220" w:lineRule="auto"/>
              <w:ind w:left="521"/>
              <w:rPr>
                <w:color w:val="auto"/>
                <w:highlight w:val="none"/>
              </w:rPr>
            </w:pPr>
            <w:r>
              <w:rPr>
                <w:color w:val="auto"/>
                <w:highlight w:val="none"/>
                <w14:textOutline w14:w="3831" w14:cap="flat" w14:cmpd="sng">
                  <w14:solidFill>
                    <w14:srgbClr w14:val="000000"/>
                  </w14:solidFill>
                  <w14:prstDash w14:val="solid"/>
                  <w14:miter w14:val="0"/>
                </w14:textOutline>
              </w:rPr>
              <w:t>推荐意见和建议</w:t>
            </w:r>
          </w:p>
        </w:tc>
      </w:tr>
      <w:tr w14:paraId="5DCD7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2F32DE14">
            <w:pPr>
              <w:spacing w:before="268" w:line="189" w:lineRule="auto"/>
              <w:ind w:left="39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535" w:type="dxa"/>
            <w:vAlign w:val="top"/>
          </w:tcPr>
          <w:p w14:paraId="4F092ECD">
            <w:pPr>
              <w:rPr>
                <w:rFonts w:ascii="Arial"/>
                <w:color w:val="auto"/>
                <w:sz w:val="21"/>
                <w:highlight w:val="none"/>
              </w:rPr>
            </w:pPr>
          </w:p>
        </w:tc>
        <w:tc>
          <w:tcPr>
            <w:tcW w:w="1392" w:type="dxa"/>
            <w:vAlign w:val="top"/>
          </w:tcPr>
          <w:p w14:paraId="481E42FC">
            <w:pPr>
              <w:rPr>
                <w:rFonts w:ascii="Arial"/>
                <w:color w:val="auto"/>
                <w:sz w:val="21"/>
                <w:highlight w:val="none"/>
              </w:rPr>
            </w:pPr>
          </w:p>
        </w:tc>
        <w:tc>
          <w:tcPr>
            <w:tcW w:w="2030" w:type="dxa"/>
            <w:vAlign w:val="top"/>
          </w:tcPr>
          <w:p w14:paraId="0F101F95">
            <w:pPr>
              <w:rPr>
                <w:rFonts w:ascii="Arial"/>
                <w:color w:val="auto"/>
                <w:sz w:val="21"/>
                <w:highlight w:val="none"/>
              </w:rPr>
            </w:pPr>
          </w:p>
        </w:tc>
        <w:tc>
          <w:tcPr>
            <w:tcW w:w="2500" w:type="dxa"/>
            <w:vAlign w:val="top"/>
          </w:tcPr>
          <w:p w14:paraId="01D6EE1C">
            <w:pPr>
              <w:rPr>
                <w:rFonts w:ascii="Arial"/>
                <w:color w:val="auto"/>
                <w:sz w:val="21"/>
                <w:highlight w:val="none"/>
              </w:rPr>
            </w:pPr>
          </w:p>
        </w:tc>
      </w:tr>
      <w:tr w14:paraId="51396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017526FC">
            <w:pPr>
              <w:spacing w:before="269" w:line="189" w:lineRule="auto"/>
              <w:ind w:left="37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535" w:type="dxa"/>
            <w:vAlign w:val="top"/>
          </w:tcPr>
          <w:p w14:paraId="02F9CC4F">
            <w:pPr>
              <w:rPr>
                <w:rFonts w:ascii="Arial"/>
                <w:color w:val="auto"/>
                <w:sz w:val="21"/>
                <w:highlight w:val="none"/>
              </w:rPr>
            </w:pPr>
          </w:p>
        </w:tc>
        <w:tc>
          <w:tcPr>
            <w:tcW w:w="1392" w:type="dxa"/>
            <w:vAlign w:val="top"/>
          </w:tcPr>
          <w:p w14:paraId="2EC99774">
            <w:pPr>
              <w:rPr>
                <w:rFonts w:ascii="Arial"/>
                <w:color w:val="auto"/>
                <w:sz w:val="21"/>
                <w:highlight w:val="none"/>
              </w:rPr>
            </w:pPr>
          </w:p>
        </w:tc>
        <w:tc>
          <w:tcPr>
            <w:tcW w:w="2030" w:type="dxa"/>
            <w:vAlign w:val="top"/>
          </w:tcPr>
          <w:p w14:paraId="7A8DBB66">
            <w:pPr>
              <w:rPr>
                <w:rFonts w:ascii="Arial"/>
                <w:color w:val="auto"/>
                <w:sz w:val="21"/>
                <w:highlight w:val="none"/>
              </w:rPr>
            </w:pPr>
          </w:p>
        </w:tc>
        <w:tc>
          <w:tcPr>
            <w:tcW w:w="2500" w:type="dxa"/>
            <w:vAlign w:val="top"/>
          </w:tcPr>
          <w:p w14:paraId="63AC2A89">
            <w:pPr>
              <w:rPr>
                <w:rFonts w:ascii="Arial"/>
                <w:color w:val="auto"/>
                <w:sz w:val="21"/>
                <w:highlight w:val="none"/>
              </w:rPr>
            </w:pPr>
          </w:p>
        </w:tc>
      </w:tr>
      <w:tr w14:paraId="1AD9A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vAlign w:val="top"/>
          </w:tcPr>
          <w:p w14:paraId="5B1209DF">
            <w:pPr>
              <w:spacing w:before="270" w:line="189" w:lineRule="auto"/>
              <w:ind w:left="3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535" w:type="dxa"/>
            <w:vAlign w:val="top"/>
          </w:tcPr>
          <w:p w14:paraId="1CBD38A2">
            <w:pPr>
              <w:rPr>
                <w:rFonts w:ascii="Arial"/>
                <w:color w:val="auto"/>
                <w:sz w:val="21"/>
                <w:highlight w:val="none"/>
              </w:rPr>
            </w:pPr>
          </w:p>
        </w:tc>
        <w:tc>
          <w:tcPr>
            <w:tcW w:w="1392" w:type="dxa"/>
            <w:vAlign w:val="top"/>
          </w:tcPr>
          <w:p w14:paraId="792FB124">
            <w:pPr>
              <w:rPr>
                <w:rFonts w:ascii="Arial"/>
                <w:color w:val="auto"/>
                <w:sz w:val="21"/>
                <w:highlight w:val="none"/>
              </w:rPr>
            </w:pPr>
          </w:p>
        </w:tc>
        <w:tc>
          <w:tcPr>
            <w:tcW w:w="2030" w:type="dxa"/>
            <w:vAlign w:val="top"/>
          </w:tcPr>
          <w:p w14:paraId="221FCC3B">
            <w:pPr>
              <w:rPr>
                <w:rFonts w:ascii="Arial"/>
                <w:color w:val="auto"/>
                <w:sz w:val="21"/>
                <w:highlight w:val="none"/>
              </w:rPr>
            </w:pPr>
          </w:p>
        </w:tc>
        <w:tc>
          <w:tcPr>
            <w:tcW w:w="2500" w:type="dxa"/>
            <w:vAlign w:val="top"/>
          </w:tcPr>
          <w:p w14:paraId="20F3362E">
            <w:pPr>
              <w:rPr>
                <w:rFonts w:ascii="Arial"/>
                <w:color w:val="auto"/>
                <w:sz w:val="21"/>
                <w:highlight w:val="none"/>
              </w:rPr>
            </w:pPr>
          </w:p>
        </w:tc>
      </w:tr>
      <w:tr w14:paraId="601F5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462759CA">
            <w:pPr>
              <w:spacing w:before="269" w:line="189" w:lineRule="auto"/>
              <w:ind w:left="37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4</w:t>
            </w:r>
          </w:p>
        </w:tc>
        <w:tc>
          <w:tcPr>
            <w:tcW w:w="1535" w:type="dxa"/>
            <w:vAlign w:val="top"/>
          </w:tcPr>
          <w:p w14:paraId="3395CD2E">
            <w:pPr>
              <w:rPr>
                <w:rFonts w:ascii="Arial"/>
                <w:color w:val="auto"/>
                <w:sz w:val="21"/>
                <w:highlight w:val="none"/>
              </w:rPr>
            </w:pPr>
          </w:p>
        </w:tc>
        <w:tc>
          <w:tcPr>
            <w:tcW w:w="1392" w:type="dxa"/>
            <w:vAlign w:val="top"/>
          </w:tcPr>
          <w:p w14:paraId="58457A0E">
            <w:pPr>
              <w:rPr>
                <w:rFonts w:ascii="Arial"/>
                <w:color w:val="auto"/>
                <w:sz w:val="21"/>
                <w:highlight w:val="none"/>
              </w:rPr>
            </w:pPr>
          </w:p>
        </w:tc>
        <w:tc>
          <w:tcPr>
            <w:tcW w:w="2030" w:type="dxa"/>
            <w:vAlign w:val="top"/>
          </w:tcPr>
          <w:p w14:paraId="520ADA6F">
            <w:pPr>
              <w:rPr>
                <w:rFonts w:ascii="Arial"/>
                <w:color w:val="auto"/>
                <w:sz w:val="21"/>
                <w:highlight w:val="none"/>
              </w:rPr>
            </w:pPr>
          </w:p>
        </w:tc>
        <w:tc>
          <w:tcPr>
            <w:tcW w:w="2500" w:type="dxa"/>
            <w:vAlign w:val="top"/>
          </w:tcPr>
          <w:p w14:paraId="265EB260">
            <w:pPr>
              <w:rPr>
                <w:rFonts w:ascii="Arial"/>
                <w:color w:val="auto"/>
                <w:sz w:val="21"/>
                <w:highlight w:val="none"/>
              </w:rPr>
            </w:pPr>
          </w:p>
        </w:tc>
      </w:tr>
      <w:tr w14:paraId="3F583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6" w:hRule="atLeast"/>
        </w:trPr>
        <w:tc>
          <w:tcPr>
            <w:tcW w:w="854" w:type="dxa"/>
            <w:vAlign w:val="top"/>
          </w:tcPr>
          <w:p w14:paraId="43CBF613">
            <w:pPr>
              <w:spacing w:before="273" w:line="186" w:lineRule="auto"/>
              <w:ind w:left="38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535" w:type="dxa"/>
            <w:vAlign w:val="top"/>
          </w:tcPr>
          <w:p w14:paraId="66A5335E">
            <w:pPr>
              <w:rPr>
                <w:rFonts w:ascii="Arial"/>
                <w:color w:val="auto"/>
                <w:sz w:val="21"/>
                <w:highlight w:val="none"/>
              </w:rPr>
            </w:pPr>
          </w:p>
        </w:tc>
        <w:tc>
          <w:tcPr>
            <w:tcW w:w="1392" w:type="dxa"/>
            <w:vAlign w:val="top"/>
          </w:tcPr>
          <w:p w14:paraId="31E0A0A0">
            <w:pPr>
              <w:rPr>
                <w:rFonts w:ascii="Arial"/>
                <w:color w:val="auto"/>
                <w:sz w:val="21"/>
                <w:highlight w:val="none"/>
              </w:rPr>
            </w:pPr>
          </w:p>
        </w:tc>
        <w:tc>
          <w:tcPr>
            <w:tcW w:w="2030" w:type="dxa"/>
            <w:vAlign w:val="top"/>
          </w:tcPr>
          <w:p w14:paraId="5033D8DC">
            <w:pPr>
              <w:rPr>
                <w:rFonts w:ascii="Arial"/>
                <w:color w:val="auto"/>
                <w:sz w:val="21"/>
                <w:highlight w:val="none"/>
              </w:rPr>
            </w:pPr>
          </w:p>
        </w:tc>
        <w:tc>
          <w:tcPr>
            <w:tcW w:w="2500" w:type="dxa"/>
            <w:vAlign w:val="top"/>
          </w:tcPr>
          <w:p w14:paraId="3F793CD2">
            <w:pPr>
              <w:rPr>
                <w:rFonts w:ascii="Arial"/>
                <w:color w:val="auto"/>
                <w:sz w:val="21"/>
                <w:highlight w:val="none"/>
              </w:rPr>
            </w:pPr>
          </w:p>
        </w:tc>
      </w:tr>
      <w:tr w14:paraId="152DF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1" w:hRule="atLeast"/>
        </w:trPr>
        <w:tc>
          <w:tcPr>
            <w:tcW w:w="854" w:type="dxa"/>
            <w:vAlign w:val="top"/>
          </w:tcPr>
          <w:p w14:paraId="44CBA2DD">
            <w:pPr>
              <w:pStyle w:val="11"/>
              <w:spacing w:before="234" w:line="332" w:lineRule="exact"/>
              <w:ind w:left="343"/>
              <w:rPr>
                <w:color w:val="auto"/>
                <w:highlight w:val="none"/>
              </w:rPr>
            </w:pPr>
            <w:r>
              <w:rPr>
                <w:color w:val="auto"/>
                <w:position w:val="2"/>
                <w:highlight w:val="none"/>
              </w:rPr>
              <w:t>…</w:t>
            </w:r>
          </w:p>
        </w:tc>
        <w:tc>
          <w:tcPr>
            <w:tcW w:w="1535" w:type="dxa"/>
            <w:vAlign w:val="top"/>
          </w:tcPr>
          <w:p w14:paraId="70E9BD40">
            <w:pPr>
              <w:rPr>
                <w:rFonts w:ascii="Arial"/>
                <w:color w:val="auto"/>
                <w:sz w:val="21"/>
                <w:highlight w:val="none"/>
              </w:rPr>
            </w:pPr>
          </w:p>
        </w:tc>
        <w:tc>
          <w:tcPr>
            <w:tcW w:w="1392" w:type="dxa"/>
            <w:vAlign w:val="top"/>
          </w:tcPr>
          <w:p w14:paraId="2325C5DB">
            <w:pPr>
              <w:rPr>
                <w:rFonts w:ascii="Arial"/>
                <w:color w:val="auto"/>
                <w:sz w:val="21"/>
                <w:highlight w:val="none"/>
              </w:rPr>
            </w:pPr>
          </w:p>
        </w:tc>
        <w:tc>
          <w:tcPr>
            <w:tcW w:w="2030" w:type="dxa"/>
            <w:vAlign w:val="top"/>
          </w:tcPr>
          <w:p w14:paraId="36BBF107">
            <w:pPr>
              <w:rPr>
                <w:rFonts w:ascii="Arial"/>
                <w:color w:val="auto"/>
                <w:sz w:val="21"/>
                <w:highlight w:val="none"/>
              </w:rPr>
            </w:pPr>
          </w:p>
        </w:tc>
        <w:tc>
          <w:tcPr>
            <w:tcW w:w="2500" w:type="dxa"/>
            <w:vAlign w:val="top"/>
          </w:tcPr>
          <w:p w14:paraId="6E94CA6C">
            <w:pPr>
              <w:rPr>
                <w:rFonts w:ascii="Arial"/>
                <w:color w:val="auto"/>
                <w:sz w:val="21"/>
                <w:highlight w:val="none"/>
              </w:rPr>
            </w:pPr>
          </w:p>
        </w:tc>
      </w:tr>
      <w:tr w14:paraId="4B7FC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8311" w:type="dxa"/>
            <w:gridSpan w:val="5"/>
            <w:vAlign w:val="top"/>
          </w:tcPr>
          <w:p w14:paraId="43421DE3">
            <w:pPr>
              <w:pStyle w:val="11"/>
              <w:spacing w:before="196" w:line="220" w:lineRule="auto"/>
              <w:ind w:left="118"/>
              <w:rPr>
                <w:color w:val="auto"/>
                <w:highlight w:val="none"/>
              </w:rPr>
            </w:pPr>
            <w:r>
              <w:rPr>
                <w:color w:val="auto"/>
                <w:spacing w:val="-3"/>
                <w:highlight w:val="none"/>
              </w:rPr>
              <w:t>评标委员会全体成员签名：</w:t>
            </w:r>
          </w:p>
        </w:tc>
      </w:tr>
    </w:tbl>
    <w:p w14:paraId="31DF11A2">
      <w:pPr>
        <w:spacing w:before="270" w:line="221" w:lineRule="auto"/>
        <w:ind w:left="6095"/>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日期：</w:t>
      </w:r>
      <w:r>
        <w:rPr>
          <w:rFonts w:ascii="宋体" w:hAnsi="宋体" w:eastAsia="宋体" w:cs="宋体"/>
          <w:color w:val="auto"/>
          <w:spacing w:val="33"/>
          <w:sz w:val="21"/>
          <w:szCs w:val="21"/>
          <w:highlight w:val="none"/>
        </w:rPr>
        <w:t xml:space="preserve">   </w:t>
      </w:r>
      <w:r>
        <w:rPr>
          <w:rFonts w:ascii="宋体" w:hAnsi="宋体" w:eastAsia="宋体" w:cs="宋体"/>
          <w:color w:val="auto"/>
          <w:spacing w:val="-26"/>
          <w:sz w:val="21"/>
          <w:szCs w:val="21"/>
          <w:highlight w:val="none"/>
        </w:rPr>
        <w:t>年</w:t>
      </w:r>
      <w:r>
        <w:rPr>
          <w:rFonts w:ascii="宋体" w:hAnsi="宋体" w:eastAsia="宋体" w:cs="宋体"/>
          <w:color w:val="auto"/>
          <w:spacing w:val="68"/>
          <w:sz w:val="21"/>
          <w:szCs w:val="21"/>
          <w:highlight w:val="none"/>
        </w:rPr>
        <w:t xml:space="preserve"> </w:t>
      </w:r>
      <w:r>
        <w:rPr>
          <w:rFonts w:ascii="宋体" w:hAnsi="宋体" w:eastAsia="宋体" w:cs="宋体"/>
          <w:color w:val="auto"/>
          <w:spacing w:val="-26"/>
          <w:sz w:val="21"/>
          <w:szCs w:val="21"/>
          <w:highlight w:val="none"/>
        </w:rPr>
        <w:t>月</w:t>
      </w:r>
      <w:r>
        <w:rPr>
          <w:rFonts w:ascii="宋体" w:hAnsi="宋体" w:eastAsia="宋体" w:cs="宋体"/>
          <w:color w:val="auto"/>
          <w:spacing w:val="47"/>
          <w:sz w:val="21"/>
          <w:szCs w:val="21"/>
          <w:highlight w:val="none"/>
        </w:rPr>
        <w:t xml:space="preserve">  </w:t>
      </w:r>
      <w:r>
        <w:rPr>
          <w:rFonts w:ascii="宋体" w:hAnsi="宋体" w:eastAsia="宋体" w:cs="宋体"/>
          <w:color w:val="auto"/>
          <w:spacing w:val="-26"/>
          <w:sz w:val="21"/>
          <w:szCs w:val="21"/>
          <w:highlight w:val="none"/>
        </w:rPr>
        <w:t>日</w:t>
      </w:r>
    </w:p>
    <w:p w14:paraId="30BD8597">
      <w:pPr>
        <w:spacing w:line="221" w:lineRule="auto"/>
        <w:rPr>
          <w:rFonts w:ascii="宋体" w:hAnsi="宋体" w:eastAsia="宋体" w:cs="宋体"/>
          <w:color w:val="auto"/>
          <w:sz w:val="21"/>
          <w:szCs w:val="21"/>
          <w:highlight w:val="none"/>
        </w:rPr>
        <w:sectPr>
          <w:footerReference r:id="rId96" w:type="default"/>
          <w:pgSz w:w="11905" w:h="16839"/>
          <w:pgMar w:top="1431" w:right="1785" w:bottom="996" w:left="1785" w:header="0" w:footer="791" w:gutter="0"/>
          <w:pgNumType w:fmt="decimal"/>
          <w:cols w:space="720" w:num="1"/>
        </w:sectPr>
      </w:pPr>
    </w:p>
    <w:p w14:paraId="3498B713">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49"/>
          <w:sz w:val="24"/>
          <w:szCs w:val="24"/>
          <w:highlight w:val="none"/>
        </w:rPr>
        <w:t xml:space="preserve"> </w:t>
      </w:r>
      <w:r>
        <w:rPr>
          <w:rFonts w:ascii="Times New Roman" w:hAnsi="Times New Roman" w:eastAsia="Times New Roman" w:cs="Times New Roman"/>
          <w:color w:val="auto"/>
          <w:spacing w:val="-5"/>
          <w:sz w:val="24"/>
          <w:szCs w:val="24"/>
          <w:highlight w:val="none"/>
        </w:rPr>
        <w:t>C-</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：成本评审结论记录表</w:t>
      </w:r>
    </w:p>
    <w:p w14:paraId="07C3B1FF">
      <w:pPr>
        <w:spacing w:before="283" w:line="220" w:lineRule="auto"/>
        <w:ind w:left="2738"/>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成本评审结论记录表</w:t>
      </w:r>
    </w:p>
    <w:p w14:paraId="4F385950">
      <w:pPr>
        <w:spacing w:before="262" w:line="214"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投标人名称：</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7160"/>
      </w:tblGrid>
      <w:tr w14:paraId="1212E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7CAEE8D5">
            <w:pPr>
              <w:pStyle w:val="11"/>
              <w:spacing w:before="101" w:line="221" w:lineRule="auto"/>
              <w:ind w:left="130"/>
              <w:rPr>
                <w:color w:val="auto"/>
                <w:highlight w:val="none"/>
              </w:rPr>
            </w:pPr>
            <w:r>
              <w:rPr>
                <w:color w:val="auto"/>
                <w:spacing w:val="-3"/>
                <w:highlight w:val="none"/>
              </w:rPr>
              <w:t>需投标人澄清和说明的主要事项概要：</w:t>
            </w:r>
          </w:p>
        </w:tc>
      </w:tr>
      <w:tr w14:paraId="3D8DD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3DF4EC53">
            <w:pPr>
              <w:pStyle w:val="11"/>
              <w:spacing w:before="102" w:line="220" w:lineRule="auto"/>
              <w:ind w:left="121"/>
              <w:rPr>
                <w:color w:val="auto"/>
                <w:highlight w:val="none"/>
              </w:rPr>
            </w:pPr>
            <w:r>
              <w:rPr>
                <w:color w:val="auto"/>
                <w:spacing w:val="-1"/>
                <w:highlight w:val="none"/>
              </w:rPr>
              <w:t>投标人澄清、说明、补正和提供证明材料的情况说明：</w:t>
            </w:r>
          </w:p>
        </w:tc>
      </w:tr>
      <w:tr w14:paraId="41D6B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51" w:type="dxa"/>
            <w:vAlign w:val="top"/>
          </w:tcPr>
          <w:p w14:paraId="549258BA">
            <w:pPr>
              <w:pStyle w:val="11"/>
              <w:spacing w:before="276" w:line="221" w:lineRule="auto"/>
              <w:ind w:left="161"/>
              <w:rPr>
                <w:color w:val="auto"/>
                <w:highlight w:val="none"/>
              </w:rPr>
            </w:pPr>
            <w:r>
              <w:rPr>
                <w:color w:val="auto"/>
                <w:spacing w:val="-1"/>
                <w:highlight w:val="none"/>
              </w:rPr>
              <w:t>评审结论</w:t>
            </w:r>
          </w:p>
        </w:tc>
        <w:tc>
          <w:tcPr>
            <w:tcW w:w="7160" w:type="dxa"/>
            <w:vAlign w:val="top"/>
          </w:tcPr>
          <w:p w14:paraId="7A45AA5D">
            <w:pPr>
              <w:pStyle w:val="11"/>
              <w:spacing w:before="276" w:line="220" w:lineRule="auto"/>
              <w:ind w:left="453"/>
              <w:rPr>
                <w:color w:val="auto"/>
                <w:highlight w:val="none"/>
              </w:rPr>
            </w:pPr>
            <w:r>
              <w:rPr>
                <w:color w:val="auto"/>
                <w:spacing w:val="-5"/>
                <w:highlight w:val="none"/>
              </w:rPr>
              <w:t>□低于成本</w:t>
            </w:r>
            <w:r>
              <w:rPr>
                <w:color w:val="auto"/>
                <w:spacing w:val="6"/>
                <w:highlight w:val="none"/>
              </w:rPr>
              <w:t xml:space="preserve">     </w:t>
            </w:r>
            <w:r>
              <w:rPr>
                <w:color w:val="auto"/>
                <w:spacing w:val="-5"/>
                <w:highlight w:val="none"/>
              </w:rPr>
              <w:t>□不低于成本</w:t>
            </w:r>
          </w:p>
        </w:tc>
      </w:tr>
      <w:tr w14:paraId="22CD7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151" w:type="dxa"/>
            <w:textDirection w:val="tbRlV"/>
            <w:vAlign w:val="top"/>
          </w:tcPr>
          <w:p w14:paraId="102C22F5">
            <w:pPr>
              <w:spacing w:line="381" w:lineRule="auto"/>
              <w:rPr>
                <w:rFonts w:ascii="Arial"/>
                <w:color w:val="auto"/>
                <w:sz w:val="21"/>
                <w:highlight w:val="none"/>
              </w:rPr>
            </w:pPr>
          </w:p>
          <w:p w14:paraId="112012CC">
            <w:pPr>
              <w:pStyle w:val="11"/>
              <w:spacing w:before="70" w:line="210" w:lineRule="auto"/>
              <w:ind w:left="1197"/>
              <w:rPr>
                <w:color w:val="auto"/>
                <w:highlight w:val="none"/>
              </w:rPr>
            </w:pPr>
            <w:r>
              <w:rPr>
                <w:color w:val="auto"/>
                <w:spacing w:val="1"/>
                <w:highlight w:val="none"/>
              </w:rPr>
              <w:t>评</w:t>
            </w:r>
            <w:r>
              <w:rPr>
                <w:color w:val="auto"/>
                <w:spacing w:val="-43"/>
                <w:highlight w:val="none"/>
              </w:rPr>
              <w:t xml:space="preserve"> </w:t>
            </w:r>
            <w:r>
              <w:rPr>
                <w:color w:val="auto"/>
                <w:spacing w:val="1"/>
                <w:highlight w:val="none"/>
              </w:rPr>
              <w:t>审</w:t>
            </w:r>
            <w:r>
              <w:rPr>
                <w:color w:val="auto"/>
                <w:spacing w:val="-47"/>
                <w:highlight w:val="none"/>
              </w:rPr>
              <w:t xml:space="preserve"> </w:t>
            </w:r>
            <w:r>
              <w:rPr>
                <w:color w:val="auto"/>
                <w:spacing w:val="1"/>
                <w:highlight w:val="none"/>
              </w:rPr>
              <w:t>意</w:t>
            </w:r>
            <w:r>
              <w:rPr>
                <w:color w:val="auto"/>
                <w:spacing w:val="-43"/>
                <w:highlight w:val="none"/>
              </w:rPr>
              <w:t xml:space="preserve"> </w:t>
            </w:r>
            <w:r>
              <w:rPr>
                <w:color w:val="auto"/>
                <w:spacing w:val="1"/>
                <w:highlight w:val="none"/>
              </w:rPr>
              <w:t>见</w:t>
            </w:r>
            <w:r>
              <w:rPr>
                <w:color w:val="auto"/>
                <w:spacing w:val="-43"/>
                <w:highlight w:val="none"/>
              </w:rPr>
              <w:t xml:space="preserve"> </w:t>
            </w:r>
            <w:r>
              <w:rPr>
                <w:color w:val="auto"/>
                <w:spacing w:val="1"/>
                <w:highlight w:val="none"/>
              </w:rPr>
              <w:t>概</w:t>
            </w:r>
            <w:r>
              <w:rPr>
                <w:color w:val="auto"/>
                <w:spacing w:val="-42"/>
                <w:highlight w:val="none"/>
              </w:rPr>
              <w:t xml:space="preserve"> </w:t>
            </w:r>
            <w:r>
              <w:rPr>
                <w:color w:val="auto"/>
                <w:spacing w:val="1"/>
                <w:highlight w:val="none"/>
              </w:rPr>
              <w:t>要</w:t>
            </w:r>
          </w:p>
        </w:tc>
        <w:tc>
          <w:tcPr>
            <w:tcW w:w="7160" w:type="dxa"/>
            <w:vAlign w:val="top"/>
          </w:tcPr>
          <w:p w14:paraId="7C17DBA8">
            <w:pPr>
              <w:rPr>
                <w:rFonts w:ascii="Arial"/>
                <w:color w:val="auto"/>
                <w:sz w:val="21"/>
                <w:highlight w:val="none"/>
              </w:rPr>
            </w:pPr>
          </w:p>
        </w:tc>
      </w:tr>
      <w:tr w14:paraId="40109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1151" w:type="dxa"/>
            <w:textDirection w:val="tbRlV"/>
            <w:vAlign w:val="top"/>
          </w:tcPr>
          <w:p w14:paraId="7876B1DB">
            <w:pPr>
              <w:spacing w:line="381" w:lineRule="auto"/>
              <w:rPr>
                <w:rFonts w:ascii="Arial"/>
                <w:color w:val="auto"/>
                <w:sz w:val="21"/>
                <w:highlight w:val="none"/>
              </w:rPr>
            </w:pPr>
          </w:p>
          <w:p w14:paraId="21D2C978">
            <w:pPr>
              <w:pStyle w:val="11"/>
              <w:spacing w:before="71" w:line="209" w:lineRule="auto"/>
              <w:ind w:left="253"/>
              <w:rPr>
                <w:color w:val="auto"/>
                <w:highlight w:val="none"/>
              </w:rPr>
            </w:pPr>
            <w:r>
              <w:rPr>
                <w:color w:val="auto"/>
                <w:spacing w:val="1"/>
                <w:highlight w:val="none"/>
              </w:rPr>
              <w:t>评</w:t>
            </w:r>
            <w:r>
              <w:rPr>
                <w:color w:val="auto"/>
                <w:spacing w:val="-42"/>
                <w:highlight w:val="none"/>
              </w:rPr>
              <w:t xml:space="preserve"> </w:t>
            </w:r>
            <w:r>
              <w:rPr>
                <w:color w:val="auto"/>
                <w:spacing w:val="1"/>
                <w:highlight w:val="none"/>
              </w:rPr>
              <w:t>标</w:t>
            </w:r>
            <w:r>
              <w:rPr>
                <w:color w:val="auto"/>
                <w:spacing w:val="-42"/>
                <w:highlight w:val="none"/>
              </w:rPr>
              <w:t xml:space="preserve"> </w:t>
            </w:r>
            <w:r>
              <w:rPr>
                <w:color w:val="auto"/>
                <w:spacing w:val="1"/>
                <w:highlight w:val="none"/>
              </w:rPr>
              <w:t>委</w:t>
            </w:r>
            <w:r>
              <w:rPr>
                <w:color w:val="auto"/>
                <w:spacing w:val="-47"/>
                <w:highlight w:val="none"/>
              </w:rPr>
              <w:t xml:space="preserve"> </w:t>
            </w:r>
            <w:r>
              <w:rPr>
                <w:color w:val="auto"/>
                <w:spacing w:val="1"/>
                <w:highlight w:val="none"/>
              </w:rPr>
              <w:t>员</w:t>
            </w:r>
            <w:r>
              <w:rPr>
                <w:color w:val="auto"/>
                <w:spacing w:val="-43"/>
                <w:highlight w:val="none"/>
              </w:rPr>
              <w:t xml:space="preserve"> </w:t>
            </w:r>
            <w:r>
              <w:rPr>
                <w:color w:val="auto"/>
                <w:spacing w:val="1"/>
                <w:highlight w:val="none"/>
              </w:rPr>
              <w:t>会</w:t>
            </w:r>
            <w:r>
              <w:rPr>
                <w:color w:val="auto"/>
                <w:spacing w:val="-43"/>
                <w:highlight w:val="none"/>
              </w:rPr>
              <w:t xml:space="preserve"> </w:t>
            </w:r>
            <w:r>
              <w:rPr>
                <w:color w:val="auto"/>
                <w:spacing w:val="1"/>
                <w:highlight w:val="none"/>
              </w:rPr>
              <w:t>全</w:t>
            </w:r>
            <w:r>
              <w:rPr>
                <w:color w:val="auto"/>
                <w:spacing w:val="-42"/>
                <w:highlight w:val="none"/>
              </w:rPr>
              <w:t xml:space="preserve"> </w:t>
            </w:r>
            <w:r>
              <w:rPr>
                <w:color w:val="auto"/>
                <w:spacing w:val="1"/>
                <w:highlight w:val="none"/>
              </w:rPr>
              <w:t>体</w:t>
            </w:r>
            <w:r>
              <w:rPr>
                <w:color w:val="auto"/>
                <w:spacing w:val="-48"/>
                <w:highlight w:val="none"/>
              </w:rPr>
              <w:t xml:space="preserve"> </w:t>
            </w:r>
            <w:r>
              <w:rPr>
                <w:color w:val="auto"/>
                <w:spacing w:val="1"/>
                <w:highlight w:val="none"/>
              </w:rPr>
              <w:t>成</w:t>
            </w:r>
            <w:r>
              <w:rPr>
                <w:color w:val="auto"/>
                <w:spacing w:val="-42"/>
                <w:highlight w:val="none"/>
              </w:rPr>
              <w:t xml:space="preserve"> </w:t>
            </w:r>
            <w:r>
              <w:rPr>
                <w:color w:val="auto"/>
                <w:spacing w:val="1"/>
                <w:highlight w:val="none"/>
              </w:rPr>
              <w:t>员</w:t>
            </w:r>
            <w:r>
              <w:rPr>
                <w:color w:val="auto"/>
                <w:spacing w:val="-42"/>
                <w:highlight w:val="none"/>
              </w:rPr>
              <w:t xml:space="preserve"> </w:t>
            </w:r>
            <w:r>
              <w:rPr>
                <w:color w:val="auto"/>
                <w:spacing w:val="1"/>
                <w:highlight w:val="none"/>
              </w:rPr>
              <w:t>签</w:t>
            </w:r>
            <w:r>
              <w:rPr>
                <w:color w:val="auto"/>
                <w:spacing w:val="-43"/>
                <w:highlight w:val="none"/>
              </w:rPr>
              <w:t xml:space="preserve"> </w:t>
            </w:r>
            <w:r>
              <w:rPr>
                <w:color w:val="auto"/>
                <w:spacing w:val="1"/>
                <w:highlight w:val="none"/>
              </w:rPr>
              <w:t>名</w:t>
            </w:r>
          </w:p>
        </w:tc>
        <w:tc>
          <w:tcPr>
            <w:tcW w:w="7160" w:type="dxa"/>
            <w:vAlign w:val="top"/>
          </w:tcPr>
          <w:p w14:paraId="40B34BC5">
            <w:pPr>
              <w:spacing w:line="249" w:lineRule="auto"/>
              <w:rPr>
                <w:rFonts w:ascii="Arial"/>
                <w:color w:val="auto"/>
                <w:sz w:val="21"/>
                <w:highlight w:val="none"/>
              </w:rPr>
            </w:pPr>
          </w:p>
          <w:p w14:paraId="034BB64A">
            <w:pPr>
              <w:spacing w:line="250" w:lineRule="auto"/>
              <w:rPr>
                <w:rFonts w:ascii="Arial"/>
                <w:color w:val="auto"/>
                <w:sz w:val="21"/>
                <w:highlight w:val="none"/>
              </w:rPr>
            </w:pPr>
          </w:p>
          <w:p w14:paraId="3D11D2C9">
            <w:pPr>
              <w:spacing w:line="250" w:lineRule="auto"/>
              <w:rPr>
                <w:rFonts w:ascii="Arial"/>
                <w:color w:val="auto"/>
                <w:sz w:val="21"/>
                <w:highlight w:val="none"/>
              </w:rPr>
            </w:pPr>
          </w:p>
          <w:p w14:paraId="0A662CE6">
            <w:pPr>
              <w:spacing w:line="250" w:lineRule="auto"/>
              <w:rPr>
                <w:rFonts w:ascii="Arial"/>
                <w:color w:val="auto"/>
                <w:sz w:val="21"/>
                <w:highlight w:val="none"/>
              </w:rPr>
            </w:pPr>
          </w:p>
          <w:p w14:paraId="3C6BB5C4">
            <w:pPr>
              <w:spacing w:line="250" w:lineRule="auto"/>
              <w:rPr>
                <w:rFonts w:ascii="Arial"/>
                <w:color w:val="auto"/>
                <w:sz w:val="21"/>
                <w:highlight w:val="none"/>
              </w:rPr>
            </w:pPr>
          </w:p>
          <w:p w14:paraId="267FAFDC">
            <w:pPr>
              <w:spacing w:line="250" w:lineRule="auto"/>
              <w:rPr>
                <w:rFonts w:ascii="Arial"/>
                <w:color w:val="auto"/>
                <w:sz w:val="21"/>
                <w:highlight w:val="none"/>
              </w:rPr>
            </w:pPr>
          </w:p>
          <w:p w14:paraId="66BE77F8">
            <w:pPr>
              <w:spacing w:line="250" w:lineRule="auto"/>
              <w:rPr>
                <w:rFonts w:ascii="Arial"/>
                <w:color w:val="auto"/>
                <w:sz w:val="21"/>
                <w:highlight w:val="none"/>
              </w:rPr>
            </w:pPr>
          </w:p>
          <w:p w14:paraId="182730AC">
            <w:pPr>
              <w:spacing w:line="250" w:lineRule="auto"/>
              <w:rPr>
                <w:rFonts w:ascii="Arial"/>
                <w:color w:val="auto"/>
                <w:sz w:val="21"/>
                <w:highlight w:val="none"/>
              </w:rPr>
            </w:pPr>
          </w:p>
          <w:p w14:paraId="0A30A38D">
            <w:pPr>
              <w:spacing w:line="250" w:lineRule="auto"/>
              <w:rPr>
                <w:rFonts w:ascii="Arial"/>
                <w:color w:val="auto"/>
                <w:sz w:val="21"/>
                <w:highlight w:val="none"/>
              </w:rPr>
            </w:pPr>
          </w:p>
          <w:p w14:paraId="25F0A8A7">
            <w:pPr>
              <w:spacing w:line="250" w:lineRule="auto"/>
              <w:rPr>
                <w:rFonts w:ascii="Arial"/>
                <w:color w:val="auto"/>
                <w:sz w:val="21"/>
                <w:highlight w:val="none"/>
              </w:rPr>
            </w:pPr>
          </w:p>
          <w:p w14:paraId="14905A32">
            <w:pPr>
              <w:spacing w:line="250" w:lineRule="auto"/>
              <w:rPr>
                <w:rFonts w:ascii="Arial"/>
                <w:color w:val="auto"/>
                <w:sz w:val="21"/>
                <w:highlight w:val="none"/>
              </w:rPr>
            </w:pPr>
          </w:p>
          <w:p w14:paraId="2E87D345">
            <w:pPr>
              <w:spacing w:line="250" w:lineRule="auto"/>
              <w:rPr>
                <w:rFonts w:ascii="Arial"/>
                <w:color w:val="auto"/>
                <w:sz w:val="21"/>
                <w:highlight w:val="none"/>
              </w:rPr>
            </w:pPr>
          </w:p>
          <w:p w14:paraId="0D0BF861">
            <w:pPr>
              <w:pStyle w:val="11"/>
              <w:spacing w:before="69" w:line="221" w:lineRule="auto"/>
              <w:ind w:left="5057"/>
              <w:rPr>
                <w:color w:val="auto"/>
                <w:highlight w:val="none"/>
              </w:rPr>
            </w:pPr>
            <w:r>
              <w:rPr>
                <w:color w:val="auto"/>
                <w:spacing w:val="-7"/>
                <w:highlight w:val="none"/>
              </w:rPr>
              <w:t>年</w:t>
            </w:r>
            <w:r>
              <w:rPr>
                <w:color w:val="auto"/>
                <w:spacing w:val="5"/>
                <w:highlight w:val="none"/>
              </w:rPr>
              <w:t xml:space="preserve">   </w:t>
            </w:r>
            <w:r>
              <w:rPr>
                <w:color w:val="auto"/>
                <w:spacing w:val="-7"/>
                <w:highlight w:val="none"/>
              </w:rPr>
              <w:t>月</w:t>
            </w:r>
            <w:r>
              <w:rPr>
                <w:color w:val="auto"/>
                <w:spacing w:val="13"/>
                <w:highlight w:val="none"/>
              </w:rPr>
              <w:t xml:space="preserve">   </w:t>
            </w:r>
            <w:r>
              <w:rPr>
                <w:color w:val="auto"/>
                <w:spacing w:val="-7"/>
                <w:highlight w:val="none"/>
              </w:rPr>
              <w:t>日</w:t>
            </w:r>
          </w:p>
        </w:tc>
      </w:tr>
    </w:tbl>
    <w:p w14:paraId="42BA8129">
      <w:pPr>
        <w:pStyle w:val="3"/>
        <w:rPr>
          <w:color w:val="auto"/>
          <w:highlight w:val="none"/>
        </w:rPr>
      </w:pPr>
    </w:p>
    <w:p w14:paraId="73E77C00">
      <w:pPr>
        <w:rPr>
          <w:color w:val="auto"/>
          <w:highlight w:val="none"/>
        </w:rPr>
        <w:sectPr>
          <w:footerReference r:id="rId97" w:type="default"/>
          <w:pgSz w:w="11905" w:h="16839"/>
          <w:pgMar w:top="1431" w:right="1785" w:bottom="1004" w:left="1785" w:header="0" w:footer="828" w:gutter="0"/>
          <w:pgNumType w:fmt="decimal"/>
          <w:cols w:space="720" w:num="1"/>
        </w:sectPr>
      </w:pPr>
    </w:p>
    <w:p w14:paraId="53C5ECFC">
      <w:pPr>
        <w:pStyle w:val="3"/>
        <w:spacing w:line="255" w:lineRule="auto"/>
        <w:rPr>
          <w:color w:val="auto"/>
          <w:highlight w:val="none"/>
        </w:rPr>
      </w:pPr>
    </w:p>
    <w:p w14:paraId="3115D360">
      <w:pPr>
        <w:pStyle w:val="3"/>
        <w:spacing w:line="255" w:lineRule="auto"/>
        <w:rPr>
          <w:color w:val="auto"/>
          <w:highlight w:val="none"/>
        </w:rPr>
      </w:pPr>
    </w:p>
    <w:p w14:paraId="06AFBB6D">
      <w:pPr>
        <w:pStyle w:val="3"/>
        <w:spacing w:line="255" w:lineRule="auto"/>
        <w:rPr>
          <w:color w:val="auto"/>
          <w:highlight w:val="none"/>
        </w:rPr>
      </w:pPr>
    </w:p>
    <w:p w14:paraId="1E22B130">
      <w:pPr>
        <w:pStyle w:val="3"/>
        <w:spacing w:line="255" w:lineRule="auto"/>
        <w:rPr>
          <w:color w:val="auto"/>
          <w:highlight w:val="none"/>
        </w:rPr>
      </w:pPr>
    </w:p>
    <w:p w14:paraId="47692C75">
      <w:pPr>
        <w:pStyle w:val="3"/>
        <w:spacing w:line="255" w:lineRule="auto"/>
        <w:rPr>
          <w:color w:val="auto"/>
          <w:highlight w:val="none"/>
        </w:rPr>
      </w:pPr>
    </w:p>
    <w:p w14:paraId="5E5712A7">
      <w:pPr>
        <w:pStyle w:val="3"/>
        <w:spacing w:line="255" w:lineRule="auto"/>
        <w:rPr>
          <w:color w:val="auto"/>
          <w:highlight w:val="none"/>
        </w:rPr>
      </w:pPr>
    </w:p>
    <w:p w14:paraId="6C7E901D">
      <w:pPr>
        <w:pStyle w:val="3"/>
        <w:spacing w:line="255" w:lineRule="auto"/>
        <w:rPr>
          <w:color w:val="auto"/>
          <w:highlight w:val="none"/>
        </w:rPr>
      </w:pPr>
    </w:p>
    <w:p w14:paraId="60277C30">
      <w:pPr>
        <w:pStyle w:val="3"/>
        <w:spacing w:line="255" w:lineRule="auto"/>
        <w:rPr>
          <w:color w:val="auto"/>
          <w:highlight w:val="none"/>
        </w:rPr>
      </w:pPr>
    </w:p>
    <w:p w14:paraId="61282F3E">
      <w:pPr>
        <w:pStyle w:val="3"/>
        <w:spacing w:line="255" w:lineRule="auto"/>
        <w:rPr>
          <w:color w:val="auto"/>
          <w:highlight w:val="none"/>
        </w:rPr>
      </w:pPr>
    </w:p>
    <w:p w14:paraId="56C18704">
      <w:pPr>
        <w:pStyle w:val="3"/>
        <w:spacing w:line="255" w:lineRule="auto"/>
        <w:rPr>
          <w:color w:val="auto"/>
          <w:highlight w:val="none"/>
        </w:rPr>
      </w:pPr>
    </w:p>
    <w:p w14:paraId="06C9E76D">
      <w:pPr>
        <w:pStyle w:val="3"/>
        <w:spacing w:line="255" w:lineRule="auto"/>
        <w:rPr>
          <w:color w:val="auto"/>
          <w:highlight w:val="none"/>
        </w:rPr>
      </w:pPr>
    </w:p>
    <w:p w14:paraId="4D987A88">
      <w:pPr>
        <w:pStyle w:val="3"/>
        <w:spacing w:line="256" w:lineRule="auto"/>
        <w:rPr>
          <w:color w:val="auto"/>
          <w:highlight w:val="none"/>
        </w:rPr>
      </w:pPr>
    </w:p>
    <w:p w14:paraId="2595F1CB">
      <w:pPr>
        <w:pStyle w:val="3"/>
        <w:spacing w:line="256" w:lineRule="auto"/>
        <w:rPr>
          <w:color w:val="auto"/>
          <w:highlight w:val="none"/>
        </w:rPr>
      </w:pPr>
    </w:p>
    <w:p w14:paraId="5C5DE5D0">
      <w:pPr>
        <w:pStyle w:val="3"/>
        <w:spacing w:line="256" w:lineRule="auto"/>
        <w:rPr>
          <w:color w:val="auto"/>
          <w:highlight w:val="none"/>
        </w:rPr>
      </w:pPr>
    </w:p>
    <w:p w14:paraId="1260ED10">
      <w:pPr>
        <w:pStyle w:val="3"/>
        <w:spacing w:line="256" w:lineRule="auto"/>
        <w:rPr>
          <w:color w:val="auto"/>
          <w:highlight w:val="none"/>
        </w:rPr>
      </w:pPr>
    </w:p>
    <w:p w14:paraId="42391EAA">
      <w:pPr>
        <w:spacing w:before="104" w:line="220" w:lineRule="auto"/>
        <w:ind w:left="2418"/>
        <w:outlineLvl w:val="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第四章  合同条款及格式</w:t>
      </w:r>
    </w:p>
    <w:p w14:paraId="6C69D735">
      <w:pPr>
        <w:spacing w:line="220" w:lineRule="auto"/>
        <w:rPr>
          <w:rFonts w:ascii="黑体" w:hAnsi="黑体" w:eastAsia="黑体" w:cs="黑体"/>
          <w:color w:val="auto"/>
          <w:sz w:val="32"/>
          <w:szCs w:val="32"/>
          <w:highlight w:val="none"/>
        </w:rPr>
        <w:sectPr>
          <w:footerReference r:id="rId98" w:type="default"/>
          <w:pgSz w:w="11905" w:h="16839"/>
          <w:pgMar w:top="1431" w:right="1785" w:bottom="1004" w:left="1785" w:header="0" w:footer="828" w:gutter="0"/>
          <w:pgNumType w:fmt="decimal"/>
          <w:cols w:space="720" w:num="1"/>
        </w:sectPr>
      </w:pPr>
    </w:p>
    <w:p w14:paraId="762ACB31">
      <w:pPr>
        <w:spacing w:before="71" w:line="219" w:lineRule="auto"/>
        <w:ind w:left="2516"/>
        <w:outlineLvl w:val="1"/>
        <w:rPr>
          <w:rFonts w:ascii="黑体" w:hAnsi="黑体" w:eastAsia="黑体" w:cs="黑体"/>
          <w:color w:val="auto"/>
          <w:sz w:val="36"/>
          <w:szCs w:val="36"/>
          <w:highlight w:val="none"/>
        </w:rPr>
      </w:pPr>
      <w:r>
        <w:rPr>
          <w:rFonts w:ascii="黑体" w:hAnsi="黑体" w:eastAsia="黑体" w:cs="黑体"/>
          <w:color w:val="auto"/>
          <w:spacing w:val="-3"/>
          <w:sz w:val="36"/>
          <w:szCs w:val="36"/>
          <w:highlight w:val="none"/>
        </w:rPr>
        <w:t>第一部分</w:t>
      </w:r>
      <w:r>
        <w:rPr>
          <w:rFonts w:ascii="黑体" w:hAnsi="黑体" w:eastAsia="黑体" w:cs="黑体"/>
          <w:color w:val="auto"/>
          <w:spacing w:val="-73"/>
          <w:sz w:val="36"/>
          <w:szCs w:val="36"/>
          <w:highlight w:val="none"/>
        </w:rPr>
        <w:t xml:space="preserve"> </w:t>
      </w:r>
      <w:r>
        <w:rPr>
          <w:rFonts w:ascii="黑体" w:hAnsi="黑体" w:eastAsia="黑体" w:cs="黑体"/>
          <w:color w:val="auto"/>
          <w:spacing w:val="-3"/>
          <w:sz w:val="36"/>
          <w:szCs w:val="36"/>
          <w:highlight w:val="none"/>
        </w:rPr>
        <w:t>合同协议书</w:t>
      </w:r>
    </w:p>
    <w:p w14:paraId="42DAF4C5">
      <w:pPr>
        <w:pStyle w:val="3"/>
        <w:spacing w:line="327" w:lineRule="auto"/>
        <w:rPr>
          <w:color w:val="auto"/>
          <w:highlight w:val="none"/>
        </w:rPr>
      </w:pPr>
    </w:p>
    <w:p w14:paraId="395DE273">
      <w:pPr>
        <w:spacing w:before="68" w:line="359" w:lineRule="auto"/>
        <w:ind w:left="44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发包人（全称</w:t>
      </w:r>
      <w:r>
        <w:rPr>
          <w:rFonts w:ascii="宋体" w:hAnsi="宋体" w:eastAsia="宋体" w:cs="宋体"/>
          <w:color w:val="auto"/>
          <w:spacing w:val="-21"/>
          <w:sz w:val="21"/>
          <w:szCs w:val="21"/>
          <w:highlight w:val="none"/>
        </w:rPr>
        <w:t>）：</w:t>
      </w:r>
      <w:r>
        <w:rPr>
          <w:rFonts w:ascii="宋体" w:hAnsi="宋体" w:eastAsia="宋体" w:cs="宋体"/>
          <w:color w:val="auto"/>
          <w:sz w:val="21"/>
          <w:szCs w:val="21"/>
          <w:highlight w:val="none"/>
          <w:u w:val="single" w:color="auto"/>
        </w:rPr>
        <w:t xml:space="preserve">                                         </w:t>
      </w:r>
    </w:p>
    <w:p w14:paraId="4062B80F">
      <w:pPr>
        <w:spacing w:line="220"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承包人（全称</w:t>
      </w:r>
      <w:r>
        <w:rPr>
          <w:rFonts w:ascii="宋体" w:hAnsi="宋体" w:eastAsia="宋体" w:cs="宋体"/>
          <w:color w:val="auto"/>
          <w:spacing w:val="-22"/>
          <w:sz w:val="21"/>
          <w:szCs w:val="21"/>
          <w:highlight w:val="none"/>
        </w:rPr>
        <w:t>）：</w:t>
      </w:r>
      <w:r>
        <w:rPr>
          <w:rFonts w:ascii="宋体" w:hAnsi="宋体" w:eastAsia="宋体" w:cs="宋体"/>
          <w:color w:val="auto"/>
          <w:sz w:val="21"/>
          <w:szCs w:val="21"/>
          <w:highlight w:val="none"/>
          <w:u w:val="single" w:color="auto"/>
        </w:rPr>
        <w:t xml:space="preserve">                                        </w:t>
      </w:r>
    </w:p>
    <w:p w14:paraId="23F53EEE">
      <w:pPr>
        <w:spacing w:before="156" w:line="359" w:lineRule="auto"/>
        <w:ind w:left="20" w:right="6"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根据《中华人民共和国民法典》、《中华人民共和国建筑法》及有关法律规定，遵循平</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等、自愿、公平和诚实信用的原则，双方就</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5"/>
          <w:sz w:val="21"/>
          <w:szCs w:val="21"/>
          <w:highlight w:val="none"/>
        </w:rPr>
        <w:t xml:space="preserve"> </w:t>
      </w:r>
      <w:r>
        <w:rPr>
          <w:rFonts w:ascii="宋体" w:hAnsi="宋体" w:eastAsia="宋体" w:cs="宋体"/>
          <w:color w:val="auto"/>
          <w:spacing w:val="-1"/>
          <w:sz w:val="21"/>
          <w:szCs w:val="21"/>
          <w:highlight w:val="none"/>
        </w:rPr>
        <w:t>工程施工及有关事项协</w:t>
      </w:r>
    </w:p>
    <w:p w14:paraId="7AA51A47">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商一致，共同达成如下协议：</w:t>
      </w:r>
    </w:p>
    <w:p w14:paraId="02439095">
      <w:pPr>
        <w:spacing w:before="167" w:line="218" w:lineRule="auto"/>
        <w:ind w:left="2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一、工程概况</w:t>
      </w:r>
    </w:p>
    <w:p w14:paraId="6D9B7B72">
      <w:pPr>
        <w:spacing w:before="17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2"/>
          <w:sz w:val="21"/>
          <w:szCs w:val="21"/>
          <w:highlight w:val="none"/>
        </w:rPr>
        <w:t>1.</w:t>
      </w:r>
      <w:r>
        <w:rPr>
          <w:rFonts w:ascii="宋体" w:hAnsi="宋体" w:eastAsia="宋体" w:cs="宋体"/>
          <w:color w:val="auto"/>
          <w:spacing w:val="-22"/>
          <w:sz w:val="21"/>
          <w:szCs w:val="21"/>
          <w:highlight w:val="none"/>
        </w:rPr>
        <w:t>工程名称：</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2"/>
          <w:sz w:val="21"/>
          <w:szCs w:val="21"/>
          <w:highlight w:val="none"/>
        </w:rPr>
        <w:t>。</w:t>
      </w:r>
    </w:p>
    <w:p w14:paraId="6D4E4F5B">
      <w:pPr>
        <w:spacing w:before="162"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9"/>
          <w:sz w:val="21"/>
          <w:szCs w:val="21"/>
          <w:highlight w:val="none"/>
        </w:rPr>
        <w:t>2.</w:t>
      </w:r>
      <w:r>
        <w:rPr>
          <w:rFonts w:ascii="宋体" w:hAnsi="宋体" w:eastAsia="宋体" w:cs="宋体"/>
          <w:color w:val="auto"/>
          <w:spacing w:val="-19"/>
          <w:sz w:val="21"/>
          <w:szCs w:val="21"/>
          <w:highlight w:val="none"/>
        </w:rPr>
        <w:t>工程地点：</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5"/>
          <w:sz w:val="21"/>
          <w:szCs w:val="21"/>
          <w:highlight w:val="none"/>
        </w:rPr>
        <w:t xml:space="preserve"> </w:t>
      </w:r>
      <w:r>
        <w:rPr>
          <w:rFonts w:ascii="宋体" w:hAnsi="宋体" w:eastAsia="宋体" w:cs="宋体"/>
          <w:color w:val="auto"/>
          <w:spacing w:val="-19"/>
          <w:sz w:val="21"/>
          <w:szCs w:val="21"/>
          <w:highlight w:val="none"/>
        </w:rPr>
        <w:t>。</w:t>
      </w:r>
    </w:p>
    <w:p w14:paraId="350758E2">
      <w:pPr>
        <w:spacing w:before="156"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工程立项批准文号：</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rPr>
        <w:t>。</w:t>
      </w:r>
    </w:p>
    <w:p w14:paraId="5278E284">
      <w:pPr>
        <w:spacing w:before="15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19"/>
          <w:sz w:val="21"/>
          <w:szCs w:val="21"/>
          <w:highlight w:val="none"/>
        </w:rPr>
        <w:t>4.</w:t>
      </w:r>
      <w:r>
        <w:rPr>
          <w:rFonts w:ascii="宋体" w:hAnsi="宋体" w:eastAsia="宋体" w:cs="宋体"/>
          <w:color w:val="auto"/>
          <w:spacing w:val="-19"/>
          <w:sz w:val="21"/>
          <w:szCs w:val="21"/>
          <w:highlight w:val="none"/>
        </w:rPr>
        <w:t>资金来源：</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9"/>
          <w:sz w:val="21"/>
          <w:szCs w:val="21"/>
          <w:highlight w:val="none"/>
        </w:rPr>
        <w:t>。</w:t>
      </w:r>
    </w:p>
    <w:p w14:paraId="5D327821">
      <w:pPr>
        <w:spacing w:before="156"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0"/>
          <w:sz w:val="21"/>
          <w:szCs w:val="21"/>
          <w:highlight w:val="none"/>
        </w:rPr>
        <w:t>5.</w:t>
      </w:r>
      <w:r>
        <w:rPr>
          <w:rFonts w:ascii="宋体" w:hAnsi="宋体" w:eastAsia="宋体" w:cs="宋体"/>
          <w:color w:val="auto"/>
          <w:spacing w:val="-20"/>
          <w:sz w:val="21"/>
          <w:szCs w:val="21"/>
          <w:highlight w:val="none"/>
        </w:rPr>
        <w:t>工程内容：</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0"/>
          <w:sz w:val="21"/>
          <w:szCs w:val="21"/>
          <w:highlight w:val="none"/>
        </w:rPr>
        <w:t>。</w:t>
      </w:r>
    </w:p>
    <w:p w14:paraId="28627EA8">
      <w:pPr>
        <w:spacing w:before="157" w:line="220" w:lineRule="auto"/>
        <w:ind w:left="44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群体工程应附《承包人承揽工程项目一览表》（附件</w:t>
      </w:r>
      <w:r>
        <w:rPr>
          <w:rFonts w:ascii="宋体" w:hAnsi="宋体" w:eastAsia="宋体" w:cs="宋体"/>
          <w:color w:val="auto"/>
          <w:spacing w:val="-23"/>
          <w:sz w:val="21"/>
          <w:szCs w:val="21"/>
          <w:highlight w:val="none"/>
        </w:rPr>
        <w:t xml:space="preserve"> </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w:t>
      </w:r>
    </w:p>
    <w:p w14:paraId="57A17C00">
      <w:pPr>
        <w:spacing w:before="158"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6.</w:t>
      </w:r>
      <w:r>
        <w:rPr>
          <w:rFonts w:ascii="宋体" w:hAnsi="宋体" w:eastAsia="宋体" w:cs="宋体"/>
          <w:color w:val="auto"/>
          <w:spacing w:val="-9"/>
          <w:sz w:val="21"/>
          <w:szCs w:val="21"/>
          <w:highlight w:val="none"/>
        </w:rPr>
        <w:t>工程承包范围：</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72055E05">
      <w:pPr>
        <w:pStyle w:val="3"/>
        <w:tabs>
          <w:tab w:val="left" w:pos="7520"/>
        </w:tabs>
        <w:spacing w:before="170" w:line="241" w:lineRule="exact"/>
        <w:ind w:left="644"/>
        <w:rPr>
          <w:color w:val="auto"/>
          <w:highlight w:val="none"/>
        </w:rPr>
      </w:pPr>
      <w:r>
        <w:rPr>
          <w:color w:val="auto"/>
          <w:highlight w:val="none"/>
          <w:u w:val="single" w:color="auto"/>
        </w:rPr>
        <w:tab/>
      </w:r>
    </w:p>
    <w:p w14:paraId="45CC0CDC">
      <w:pPr>
        <w:spacing w:before="163" w:line="220" w:lineRule="auto"/>
        <w:ind w:left="2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二、合同工期</w:t>
      </w:r>
    </w:p>
    <w:p w14:paraId="7277723C">
      <w:pPr>
        <w:spacing w:before="175" w:line="359" w:lineRule="auto"/>
        <w:ind w:left="44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计划开工日期：</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3"/>
          <w:sz w:val="21"/>
          <w:szCs w:val="21"/>
          <w:highlight w:val="none"/>
        </w:rPr>
        <w:t>日。</w:t>
      </w:r>
    </w:p>
    <w:p w14:paraId="3FB53680">
      <w:pPr>
        <w:spacing w:before="1" w:line="220" w:lineRule="auto"/>
        <w:ind w:left="44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计划竣工日期：</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3"/>
          <w:sz w:val="21"/>
          <w:szCs w:val="21"/>
          <w:highlight w:val="none"/>
        </w:rPr>
        <w:t>日。</w:t>
      </w:r>
    </w:p>
    <w:p w14:paraId="08A8EE08">
      <w:pPr>
        <w:spacing w:before="157" w:line="359" w:lineRule="auto"/>
        <w:ind w:right="4"/>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工期总日历天数：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76"/>
          <w:sz w:val="21"/>
          <w:szCs w:val="21"/>
          <w:highlight w:val="none"/>
        </w:rPr>
        <w:t xml:space="preserve"> </w:t>
      </w:r>
      <w:r>
        <w:rPr>
          <w:rFonts w:ascii="宋体" w:hAnsi="宋体" w:eastAsia="宋体" w:cs="宋体"/>
          <w:color w:val="auto"/>
          <w:spacing w:val="2"/>
          <w:sz w:val="21"/>
          <w:szCs w:val="21"/>
          <w:highlight w:val="none"/>
        </w:rPr>
        <w:t>天。工期总日历天数与根据前述计划开竣工日期计算的</w:t>
      </w:r>
    </w:p>
    <w:p w14:paraId="5B29B95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工期天数不一致的，</w:t>
      </w:r>
      <w:r>
        <w:rPr>
          <w:rFonts w:ascii="宋体" w:hAnsi="宋体" w:eastAsia="宋体" w:cs="宋体"/>
          <w:color w:val="auto"/>
          <w:spacing w:val="27"/>
          <w:sz w:val="21"/>
          <w:szCs w:val="21"/>
          <w:highlight w:val="none"/>
        </w:rPr>
        <w:t xml:space="preserve"> </w:t>
      </w:r>
      <w:r>
        <w:rPr>
          <w:rFonts w:ascii="宋体" w:hAnsi="宋体" w:eastAsia="宋体" w:cs="宋体"/>
          <w:color w:val="auto"/>
          <w:spacing w:val="-8"/>
          <w:sz w:val="21"/>
          <w:szCs w:val="21"/>
          <w:highlight w:val="none"/>
        </w:rPr>
        <w:t>以工期总日历天数为准。</w:t>
      </w:r>
    </w:p>
    <w:p w14:paraId="7825B696">
      <w:pPr>
        <w:spacing w:before="165" w:line="220" w:lineRule="auto"/>
        <w:ind w:left="14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三、质量标准</w:t>
      </w:r>
    </w:p>
    <w:p w14:paraId="40E95157">
      <w:pPr>
        <w:spacing w:before="172" w:line="366" w:lineRule="auto"/>
        <w:ind w:left="4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工程质量符合</w:t>
      </w:r>
      <w:r>
        <w:rPr>
          <w:rFonts w:ascii="宋体" w:hAnsi="宋体" w:eastAsia="宋体" w:cs="宋体"/>
          <w:color w:val="auto"/>
          <w:spacing w:val="-103"/>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4"/>
          <w:sz w:val="21"/>
          <w:szCs w:val="21"/>
          <w:highlight w:val="none"/>
        </w:rPr>
        <w:t>标准。</w:t>
      </w:r>
    </w:p>
    <w:p w14:paraId="238C6F2B">
      <w:pPr>
        <w:spacing w:before="1" w:line="218" w:lineRule="auto"/>
        <w:ind w:left="15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四、签约合同价与合同价格形式</w:t>
      </w:r>
    </w:p>
    <w:p w14:paraId="5FAC0289">
      <w:pPr>
        <w:spacing w:before="177" w:line="35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1"/>
          <w:sz w:val="21"/>
          <w:szCs w:val="21"/>
          <w:highlight w:val="none"/>
        </w:rPr>
        <w:t>1.</w:t>
      </w:r>
      <w:r>
        <w:rPr>
          <w:rFonts w:ascii="宋体" w:hAnsi="宋体" w:eastAsia="宋体" w:cs="宋体"/>
          <w:color w:val="auto"/>
          <w:spacing w:val="-11"/>
          <w:sz w:val="21"/>
          <w:szCs w:val="21"/>
          <w:highlight w:val="none"/>
        </w:rPr>
        <w:t>签约合同价为：</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p>
    <w:p w14:paraId="29984CBE">
      <w:pPr>
        <w:spacing w:before="1" w:line="219"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人民币（大写）</w:t>
      </w:r>
      <w:r>
        <w:rPr>
          <w:rFonts w:ascii="宋体" w:hAnsi="宋体" w:eastAsia="宋体" w:cs="宋体"/>
          <w:color w:val="auto"/>
          <w:spacing w:val="-4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9"/>
          <w:sz w:val="21"/>
          <w:szCs w:val="21"/>
          <w:highlight w:val="none"/>
        </w:rPr>
        <w:t xml:space="preserve"> </w:t>
      </w:r>
      <w:r>
        <w:rPr>
          <w:rFonts w:ascii="宋体" w:hAnsi="宋体" w:eastAsia="宋体" w:cs="宋体"/>
          <w:color w:val="auto"/>
          <w:spacing w:val="-9"/>
          <w:sz w:val="21"/>
          <w:szCs w:val="21"/>
          <w:highlight w:val="none"/>
        </w:rPr>
        <w:t>(</w:t>
      </w:r>
      <w:r>
        <w:rPr>
          <w:rFonts w:ascii="Times New Roman" w:hAnsi="Times New Roman" w:eastAsia="Times New Roman" w:cs="Times New Roman"/>
          <w:color w:val="auto"/>
          <w:spacing w:val="-9"/>
          <w:sz w:val="21"/>
          <w:szCs w:val="21"/>
          <w:highlight w:val="none"/>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宋体" w:hAnsi="宋体" w:eastAsia="宋体" w:cs="宋体"/>
          <w:color w:val="auto"/>
          <w:spacing w:val="-9"/>
          <w:sz w:val="21"/>
          <w:szCs w:val="21"/>
          <w:highlight w:val="none"/>
        </w:rPr>
        <w:t>元</w:t>
      </w:r>
      <w:r>
        <w:rPr>
          <w:rFonts w:ascii="宋体" w:hAnsi="宋体" w:eastAsia="宋体" w:cs="宋体"/>
          <w:color w:val="auto"/>
          <w:spacing w:val="-56"/>
          <w:sz w:val="21"/>
          <w:szCs w:val="21"/>
          <w:highlight w:val="none"/>
        </w:rPr>
        <w:t>）；</w:t>
      </w:r>
    </w:p>
    <w:p w14:paraId="2950EAE4">
      <w:pPr>
        <w:spacing w:before="158" w:line="221" w:lineRule="auto"/>
        <w:ind w:left="4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其中：</w:t>
      </w:r>
    </w:p>
    <w:p w14:paraId="5EC60488">
      <w:pPr>
        <w:spacing w:before="15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）安全文明施工费：</w:t>
      </w:r>
    </w:p>
    <w:p w14:paraId="375E97AB">
      <w:pPr>
        <w:spacing w:before="157" w:line="359"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人民币（大写）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宋体" w:hAnsi="宋体" w:eastAsia="宋体" w:cs="宋体"/>
          <w:color w:val="auto"/>
          <w:spacing w:val="-5"/>
          <w:sz w:val="21"/>
          <w:szCs w:val="21"/>
          <w:highlight w:val="none"/>
        </w:rPr>
        <w:t>元</w:t>
      </w:r>
      <w:r>
        <w:rPr>
          <w:rFonts w:ascii="宋体" w:hAnsi="宋体" w:eastAsia="宋体" w:cs="宋体"/>
          <w:color w:val="auto"/>
          <w:spacing w:val="-54"/>
          <w:w w:val="97"/>
          <w:sz w:val="21"/>
          <w:szCs w:val="21"/>
          <w:highlight w:val="none"/>
        </w:rPr>
        <w:t>）；</w:t>
      </w:r>
    </w:p>
    <w:p w14:paraId="774A2CF5">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）材料和工程设备暂估价金额：</w:t>
      </w:r>
    </w:p>
    <w:p w14:paraId="74EF0235">
      <w:pPr>
        <w:spacing w:before="159" w:line="359" w:lineRule="auto"/>
        <w:ind w:left="4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人民币（大写）</w:t>
      </w:r>
      <w:r>
        <w:rPr>
          <w:rFonts w:ascii="宋体" w:hAnsi="宋体" w:eastAsia="宋体" w:cs="宋体"/>
          <w:color w:val="auto"/>
          <w:spacing w:val="-43"/>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rPr>
        <w:t xml:space="preserve"> </w:t>
      </w:r>
      <w:r>
        <w:rPr>
          <w:rFonts w:ascii="宋体" w:hAnsi="宋体" w:eastAsia="宋体" w:cs="宋体"/>
          <w:color w:val="auto"/>
          <w:spacing w:val="-7"/>
          <w:sz w:val="21"/>
          <w:szCs w:val="21"/>
          <w:highlight w:val="none"/>
        </w:rPr>
        <w:t>元</w:t>
      </w:r>
      <w:r>
        <w:rPr>
          <w:rFonts w:ascii="宋体" w:hAnsi="宋体" w:eastAsia="宋体" w:cs="宋体"/>
          <w:color w:val="auto"/>
          <w:spacing w:val="-54"/>
          <w:w w:val="96"/>
          <w:sz w:val="21"/>
          <w:szCs w:val="21"/>
          <w:highlight w:val="none"/>
        </w:rPr>
        <w:t>）；</w:t>
      </w:r>
    </w:p>
    <w:p w14:paraId="46E4399F">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）专业工程暂估价金额：</w:t>
      </w:r>
    </w:p>
    <w:p w14:paraId="4DF649D4">
      <w:pPr>
        <w:spacing w:before="163" w:line="220" w:lineRule="auto"/>
        <w:ind w:left="4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人民币（大写）</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rPr>
        <w:t xml:space="preserve"> </w:t>
      </w:r>
      <w:r>
        <w:rPr>
          <w:rFonts w:ascii="宋体" w:hAnsi="宋体" w:eastAsia="宋体" w:cs="宋体"/>
          <w:color w:val="auto"/>
          <w:spacing w:val="-7"/>
          <w:sz w:val="21"/>
          <w:szCs w:val="21"/>
          <w:highlight w:val="none"/>
        </w:rPr>
        <w:t>元</w:t>
      </w:r>
      <w:r>
        <w:rPr>
          <w:rFonts w:ascii="宋体" w:hAnsi="宋体" w:eastAsia="宋体" w:cs="宋体"/>
          <w:color w:val="auto"/>
          <w:spacing w:val="-54"/>
          <w:w w:val="97"/>
          <w:sz w:val="21"/>
          <w:szCs w:val="21"/>
          <w:highlight w:val="none"/>
        </w:rPr>
        <w:t>）；</w:t>
      </w:r>
    </w:p>
    <w:p w14:paraId="27E4553E">
      <w:pPr>
        <w:spacing w:line="220" w:lineRule="auto"/>
        <w:rPr>
          <w:rFonts w:ascii="宋体" w:hAnsi="宋体" w:eastAsia="宋体" w:cs="宋体"/>
          <w:color w:val="auto"/>
          <w:sz w:val="21"/>
          <w:szCs w:val="21"/>
          <w:highlight w:val="none"/>
        </w:rPr>
        <w:sectPr>
          <w:footerReference r:id="rId99" w:type="default"/>
          <w:pgSz w:w="11905" w:h="16839"/>
          <w:pgMar w:top="1375" w:right="1785" w:bottom="1004" w:left="1785" w:header="0" w:footer="828" w:gutter="0"/>
          <w:pgNumType w:fmt="decimal"/>
          <w:cols w:space="720" w:num="1"/>
        </w:sectPr>
      </w:pPr>
    </w:p>
    <w:p w14:paraId="26986A52">
      <w:pPr>
        <w:spacing w:before="4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4</w:t>
      </w:r>
      <w:r>
        <w:rPr>
          <w:rFonts w:ascii="宋体" w:hAnsi="宋体" w:eastAsia="宋体" w:cs="宋体"/>
          <w:color w:val="auto"/>
          <w:spacing w:val="-5"/>
          <w:sz w:val="21"/>
          <w:szCs w:val="21"/>
          <w:highlight w:val="none"/>
        </w:rPr>
        <w:t>）暂列金额：</w:t>
      </w:r>
    </w:p>
    <w:p w14:paraId="1E9BAAFA">
      <w:pPr>
        <w:spacing w:before="156" w:line="220" w:lineRule="auto"/>
        <w:ind w:left="442"/>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人民币（大写）</w:t>
      </w:r>
      <w:r>
        <w:rPr>
          <w:rFonts w:ascii="宋体" w:hAnsi="宋体" w:eastAsia="宋体" w:cs="宋体"/>
          <w:color w:val="auto"/>
          <w:spacing w:val="-41"/>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20"/>
          <w:sz w:val="21"/>
          <w:szCs w:val="21"/>
          <w:highlight w:val="none"/>
        </w:rPr>
        <w:t xml:space="preserve"> </w:t>
      </w: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12"/>
          <w:sz w:val="21"/>
          <w:szCs w:val="21"/>
          <w:highlight w:val="none"/>
        </w:rPr>
        <w:t>元）。</w:t>
      </w:r>
    </w:p>
    <w:p w14:paraId="03ADD80E">
      <w:pPr>
        <w:spacing w:before="157" w:line="367"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合同价格形式：</w:t>
      </w:r>
      <w:r>
        <w:rPr>
          <w:rFonts w:ascii="宋体" w:hAnsi="宋体" w:eastAsia="宋体" w:cs="宋体"/>
          <w:color w:val="auto"/>
          <w:spacing w:val="-2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
          <w:sz w:val="21"/>
          <w:szCs w:val="21"/>
          <w:highlight w:val="none"/>
        </w:rPr>
        <w:t>。</w:t>
      </w:r>
    </w:p>
    <w:p w14:paraId="5C265D92">
      <w:pPr>
        <w:spacing w:before="1" w:line="218" w:lineRule="auto"/>
        <w:ind w:left="25"/>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五、项目经理</w:t>
      </w:r>
    </w:p>
    <w:p w14:paraId="3C182F48">
      <w:pPr>
        <w:spacing w:before="178" w:line="366"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 xml:space="preserve">承包人项目经理：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1"/>
          <w:sz w:val="21"/>
          <w:szCs w:val="21"/>
          <w:highlight w:val="none"/>
        </w:rPr>
        <w:t>。</w:t>
      </w:r>
    </w:p>
    <w:p w14:paraId="487D0887">
      <w:pPr>
        <w:spacing w:before="1" w:line="218" w:lineRule="auto"/>
        <w:ind w:left="2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六、合同文件构成</w:t>
      </w:r>
    </w:p>
    <w:p w14:paraId="53EE699E">
      <w:pPr>
        <w:spacing w:before="172" w:line="409" w:lineRule="exact"/>
        <w:ind w:left="442"/>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本协议书与下列文件一起构成合同文件：</w:t>
      </w:r>
    </w:p>
    <w:p w14:paraId="7163668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）中标通知书（如果有</w:t>
      </w:r>
      <w:r>
        <w:rPr>
          <w:rFonts w:ascii="宋体" w:hAnsi="宋体" w:eastAsia="宋体" w:cs="宋体"/>
          <w:color w:val="auto"/>
          <w:spacing w:val="-17"/>
          <w:sz w:val="21"/>
          <w:szCs w:val="21"/>
          <w:highlight w:val="none"/>
        </w:rPr>
        <w:t>）；</w:t>
      </w:r>
    </w:p>
    <w:p w14:paraId="495D8673">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5"/>
          <w:sz w:val="21"/>
          <w:szCs w:val="21"/>
          <w:highlight w:val="none"/>
        </w:rPr>
        <w:t>（</w:t>
      </w:r>
      <w:r>
        <w:rPr>
          <w:rFonts w:ascii="Times New Roman" w:hAnsi="Times New Roman" w:eastAsia="Times New Roman" w:cs="Times New Roman"/>
          <w:color w:val="auto"/>
          <w:spacing w:val="-2"/>
          <w:position w:val="15"/>
          <w:sz w:val="21"/>
          <w:szCs w:val="21"/>
          <w:highlight w:val="none"/>
        </w:rPr>
        <w:t>2</w:t>
      </w:r>
      <w:r>
        <w:rPr>
          <w:rFonts w:ascii="宋体" w:hAnsi="宋体" w:eastAsia="宋体" w:cs="宋体"/>
          <w:color w:val="auto"/>
          <w:spacing w:val="-2"/>
          <w:position w:val="15"/>
          <w:sz w:val="21"/>
          <w:szCs w:val="21"/>
          <w:highlight w:val="none"/>
        </w:rPr>
        <w:t>）投标函及其附录（如果有</w:t>
      </w:r>
      <w:r>
        <w:rPr>
          <w:rFonts w:ascii="宋体" w:hAnsi="宋体" w:eastAsia="宋体" w:cs="宋体"/>
          <w:color w:val="auto"/>
          <w:spacing w:val="-53"/>
          <w:position w:val="15"/>
          <w:sz w:val="21"/>
          <w:szCs w:val="21"/>
          <w:highlight w:val="none"/>
        </w:rPr>
        <w:t>）；</w:t>
      </w:r>
    </w:p>
    <w:p w14:paraId="3C6FFBC6">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）专用合同条款及其附件；</w:t>
      </w:r>
    </w:p>
    <w:p w14:paraId="7C18FD19">
      <w:pPr>
        <w:spacing w:before="158"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4</w:t>
      </w:r>
      <w:r>
        <w:rPr>
          <w:rFonts w:ascii="宋体" w:hAnsi="宋体" w:eastAsia="宋体" w:cs="宋体"/>
          <w:color w:val="auto"/>
          <w:spacing w:val="-5"/>
          <w:sz w:val="21"/>
          <w:szCs w:val="21"/>
          <w:highlight w:val="none"/>
        </w:rPr>
        <w:t>）通用合同条款；</w:t>
      </w:r>
    </w:p>
    <w:p w14:paraId="506BC874">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）技术标准和要求；</w:t>
      </w:r>
    </w:p>
    <w:p w14:paraId="634C03AE">
      <w:pPr>
        <w:spacing w:before="162" w:line="222"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6</w:t>
      </w:r>
      <w:r>
        <w:rPr>
          <w:rFonts w:ascii="宋体" w:hAnsi="宋体" w:eastAsia="宋体" w:cs="宋体"/>
          <w:color w:val="auto"/>
          <w:spacing w:val="-8"/>
          <w:sz w:val="21"/>
          <w:szCs w:val="21"/>
          <w:highlight w:val="none"/>
        </w:rPr>
        <w:t>）图纸；</w:t>
      </w:r>
    </w:p>
    <w:p w14:paraId="42F2EA44">
      <w:pPr>
        <w:spacing w:before="155" w:line="408" w:lineRule="exact"/>
        <w:ind w:left="447"/>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w:t>
      </w:r>
      <w:r>
        <w:rPr>
          <w:rFonts w:ascii="Times New Roman" w:hAnsi="Times New Roman" w:eastAsia="Times New Roman" w:cs="Times New Roman"/>
          <w:color w:val="auto"/>
          <w:spacing w:val="-3"/>
          <w:position w:val="15"/>
          <w:sz w:val="21"/>
          <w:szCs w:val="21"/>
          <w:highlight w:val="none"/>
        </w:rPr>
        <w:t>7</w:t>
      </w:r>
      <w:r>
        <w:rPr>
          <w:rFonts w:ascii="宋体" w:hAnsi="宋体" w:eastAsia="宋体" w:cs="宋体"/>
          <w:color w:val="auto"/>
          <w:spacing w:val="-3"/>
          <w:position w:val="15"/>
          <w:sz w:val="21"/>
          <w:szCs w:val="21"/>
          <w:highlight w:val="none"/>
        </w:rPr>
        <w:t>）已标价工程量清单或预算书；</w:t>
      </w:r>
    </w:p>
    <w:p w14:paraId="10348A9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）其他合同文件。</w:t>
      </w:r>
    </w:p>
    <w:p w14:paraId="18C53B7B">
      <w:pPr>
        <w:spacing w:before="157"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在合同订立及履行过程中形成的与合同有关的文件均构成合同文件组成部分。</w:t>
      </w:r>
    </w:p>
    <w:p w14:paraId="47E40A6E">
      <w:pPr>
        <w:spacing w:before="157"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上述各项合同文件包括合同当事人就该项合同文件所作出的补充和修改，属于同一类</w:t>
      </w:r>
    </w:p>
    <w:p w14:paraId="4F9F3AFD">
      <w:pPr>
        <w:spacing w:before="1" w:line="219" w:lineRule="auto"/>
        <w:ind w:left="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内容的文件，应以最新签署的为准。专用合同条款及其附</w:t>
      </w:r>
      <w:r>
        <w:rPr>
          <w:rFonts w:ascii="宋体" w:hAnsi="宋体" w:eastAsia="宋体" w:cs="宋体"/>
          <w:color w:val="auto"/>
          <w:spacing w:val="-2"/>
          <w:sz w:val="21"/>
          <w:szCs w:val="21"/>
          <w:highlight w:val="none"/>
        </w:rPr>
        <w:t>件须经合同当事人签字或盖章。</w:t>
      </w:r>
    </w:p>
    <w:p w14:paraId="50A04386">
      <w:pPr>
        <w:spacing w:before="166" w:line="220" w:lineRule="auto"/>
        <w:ind w:left="18"/>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七、承诺</w:t>
      </w:r>
    </w:p>
    <w:p w14:paraId="17D73094">
      <w:pPr>
        <w:spacing w:before="176" w:line="40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5"/>
          <w:sz w:val="21"/>
          <w:szCs w:val="21"/>
          <w:highlight w:val="none"/>
        </w:rPr>
        <w:t>1.</w:t>
      </w:r>
      <w:r>
        <w:rPr>
          <w:rFonts w:ascii="宋体" w:hAnsi="宋体" w:eastAsia="宋体" w:cs="宋体"/>
          <w:color w:val="auto"/>
          <w:spacing w:val="4"/>
          <w:position w:val="15"/>
          <w:sz w:val="21"/>
          <w:szCs w:val="21"/>
          <w:highlight w:val="none"/>
        </w:rPr>
        <w:t>发包人承诺按照法律规定履行项目审批手续、筹集工程建设资金并按照合</w:t>
      </w:r>
      <w:r>
        <w:rPr>
          <w:rFonts w:ascii="宋体" w:hAnsi="宋体" w:eastAsia="宋体" w:cs="宋体"/>
          <w:color w:val="auto"/>
          <w:spacing w:val="3"/>
          <w:position w:val="15"/>
          <w:sz w:val="21"/>
          <w:szCs w:val="21"/>
          <w:highlight w:val="none"/>
        </w:rPr>
        <w:t>同约定的</w:t>
      </w:r>
    </w:p>
    <w:p w14:paraId="7E62AF27">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期限和方式支付合同价款。</w:t>
      </w:r>
    </w:p>
    <w:p w14:paraId="11424581">
      <w:pPr>
        <w:spacing w:before="159" w:line="40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承包人承诺按照法律规定及合同约定组织完成工程施工，确保工程质量和安全，不</w:t>
      </w:r>
    </w:p>
    <w:p w14:paraId="5C3B1A55">
      <w:pPr>
        <w:spacing w:line="220" w:lineRule="auto"/>
        <w:ind w:left="1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进行转包及违法分包，并在缺陷责任期及保修期内承担相应的工程维修责任。</w:t>
      </w:r>
    </w:p>
    <w:p w14:paraId="75DC96F1">
      <w:pPr>
        <w:spacing w:before="157" w:line="40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5"/>
          <w:sz w:val="21"/>
          <w:szCs w:val="21"/>
          <w:highlight w:val="none"/>
        </w:rPr>
        <w:t>3.</w:t>
      </w:r>
      <w:r>
        <w:rPr>
          <w:rFonts w:ascii="宋体" w:hAnsi="宋体" w:eastAsia="宋体" w:cs="宋体"/>
          <w:color w:val="auto"/>
          <w:spacing w:val="2"/>
          <w:position w:val="15"/>
          <w:sz w:val="21"/>
          <w:szCs w:val="21"/>
          <w:highlight w:val="none"/>
        </w:rPr>
        <w:t>发包人和承包人通过招投标形式签订合同</w:t>
      </w:r>
      <w:r>
        <w:rPr>
          <w:rFonts w:ascii="宋体" w:hAnsi="宋体" w:eastAsia="宋体" w:cs="宋体"/>
          <w:color w:val="auto"/>
          <w:spacing w:val="1"/>
          <w:position w:val="15"/>
          <w:sz w:val="21"/>
          <w:szCs w:val="21"/>
          <w:highlight w:val="none"/>
        </w:rPr>
        <w:t>的， 双方理解并承诺不再就同一工程另行</w:t>
      </w:r>
    </w:p>
    <w:p w14:paraId="067DB30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签订与合同实质性内容相背离的协议。</w:t>
      </w:r>
    </w:p>
    <w:p w14:paraId="1E018F99">
      <w:pPr>
        <w:spacing w:before="165" w:line="220" w:lineRule="auto"/>
        <w:ind w:left="19"/>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八、词语含义</w:t>
      </w:r>
    </w:p>
    <w:p w14:paraId="043DECF9">
      <w:pPr>
        <w:spacing w:before="171" w:line="422" w:lineRule="exact"/>
        <w:ind w:left="442"/>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本协议书中词语含义与第二部分通用合同条款中赋予</w:t>
      </w:r>
      <w:r>
        <w:rPr>
          <w:rFonts w:ascii="宋体" w:hAnsi="宋体" w:eastAsia="宋体" w:cs="宋体"/>
          <w:color w:val="auto"/>
          <w:spacing w:val="-1"/>
          <w:position w:val="16"/>
          <w:sz w:val="21"/>
          <w:szCs w:val="21"/>
          <w:highlight w:val="none"/>
        </w:rPr>
        <w:t>的含义相同。</w:t>
      </w:r>
    </w:p>
    <w:p w14:paraId="7DB45B17">
      <w:pPr>
        <w:spacing w:line="220" w:lineRule="auto"/>
        <w:ind w:left="25"/>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九、签订时间</w:t>
      </w:r>
    </w:p>
    <w:p w14:paraId="48218BBF">
      <w:pPr>
        <w:spacing w:before="172" w:line="366"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本合同于</w:t>
      </w:r>
      <w:r>
        <w:rPr>
          <w:rFonts w:ascii="宋体" w:hAnsi="宋体" w:eastAsia="宋体" w:cs="宋体"/>
          <w:color w:val="auto"/>
          <w:spacing w:val="-52"/>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9"/>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43"/>
          <w:sz w:val="21"/>
          <w:szCs w:val="21"/>
          <w:highlight w:val="none"/>
        </w:rPr>
        <w:t xml:space="preserve"> </w:t>
      </w:r>
      <w:r>
        <w:rPr>
          <w:rFonts w:ascii="宋体" w:hAnsi="宋体" w:eastAsia="宋体" w:cs="宋体"/>
          <w:color w:val="auto"/>
          <w:spacing w:val="-9"/>
          <w:sz w:val="21"/>
          <w:szCs w:val="21"/>
          <w:highlight w:val="none"/>
        </w:rPr>
        <w:t>月</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9"/>
          <w:sz w:val="21"/>
          <w:szCs w:val="21"/>
          <w:highlight w:val="none"/>
        </w:rPr>
        <w:t>日签订。</w:t>
      </w:r>
    </w:p>
    <w:p w14:paraId="31EBEF8F">
      <w:pPr>
        <w:spacing w:line="220"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十、签订地点</w:t>
      </w:r>
    </w:p>
    <w:p w14:paraId="59200DE2">
      <w:pPr>
        <w:spacing w:before="171" w:line="366"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本合同在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签订。</w:t>
      </w:r>
    </w:p>
    <w:p w14:paraId="08EAB686">
      <w:pPr>
        <w:spacing w:before="1" w:line="218"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十一、补充协议</w:t>
      </w:r>
    </w:p>
    <w:p w14:paraId="7BF4A727">
      <w:pPr>
        <w:spacing w:before="177" w:line="221"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合同未尽事宜，合同当事人另行签订补充协议， 补充协议是合同的组成部分。</w:t>
      </w:r>
    </w:p>
    <w:p w14:paraId="70D916B2">
      <w:pPr>
        <w:spacing w:line="221" w:lineRule="auto"/>
        <w:rPr>
          <w:rFonts w:ascii="宋体" w:hAnsi="宋体" w:eastAsia="宋体" w:cs="宋体"/>
          <w:color w:val="auto"/>
          <w:sz w:val="21"/>
          <w:szCs w:val="21"/>
          <w:highlight w:val="none"/>
        </w:rPr>
        <w:sectPr>
          <w:footerReference r:id="rId100" w:type="default"/>
          <w:pgSz w:w="11905" w:h="16839"/>
          <w:pgMar w:top="1427" w:right="1785" w:bottom="1004" w:left="1785" w:header="0" w:footer="828" w:gutter="0"/>
          <w:pgNumType w:fmt="decimal"/>
          <w:cols w:space="720" w:num="1"/>
        </w:sectPr>
      </w:pPr>
    </w:p>
    <w:p w14:paraId="75C2E536">
      <w:pPr>
        <w:spacing w:before="48" w:line="218"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十二、合同生效</w:t>
      </w:r>
    </w:p>
    <w:p w14:paraId="5DF7FE63">
      <w:pPr>
        <w:spacing w:before="173" w:line="366"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本合同自</w:t>
      </w:r>
      <w:r>
        <w:rPr>
          <w:rFonts w:ascii="宋体" w:hAnsi="宋体" w:eastAsia="宋体" w:cs="宋体"/>
          <w:color w:val="auto"/>
          <w:spacing w:val="-10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6"/>
          <w:sz w:val="21"/>
          <w:szCs w:val="21"/>
          <w:highlight w:val="none"/>
        </w:rPr>
        <w:t xml:space="preserve"> </w:t>
      </w:r>
      <w:r>
        <w:rPr>
          <w:rFonts w:ascii="宋体" w:hAnsi="宋体" w:eastAsia="宋体" w:cs="宋体"/>
          <w:color w:val="auto"/>
          <w:spacing w:val="-5"/>
          <w:sz w:val="21"/>
          <w:szCs w:val="21"/>
          <w:highlight w:val="none"/>
        </w:rPr>
        <w:t>生效。</w:t>
      </w:r>
    </w:p>
    <w:p w14:paraId="3177899D">
      <w:pPr>
        <w:spacing w:line="219"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十三、合同份数</w:t>
      </w:r>
    </w:p>
    <w:p w14:paraId="509DA37A">
      <w:pPr>
        <w:spacing w:before="176" w:line="220"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本合同一式</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4"/>
          <w:sz w:val="21"/>
          <w:szCs w:val="21"/>
          <w:highlight w:val="none"/>
        </w:rPr>
        <w:t>份，</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rPr>
        <w:t>均具有同等法律效力，发包人执</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1"/>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4"/>
          <w:sz w:val="21"/>
          <w:szCs w:val="21"/>
          <w:highlight w:val="none"/>
        </w:rPr>
        <w:t>份，承包人执</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4"/>
          <w:sz w:val="21"/>
          <w:szCs w:val="21"/>
          <w:highlight w:val="none"/>
        </w:rPr>
        <w:t>份。</w:t>
      </w:r>
    </w:p>
    <w:p w14:paraId="3852004E">
      <w:pPr>
        <w:pStyle w:val="3"/>
        <w:spacing w:line="256" w:lineRule="auto"/>
        <w:rPr>
          <w:color w:val="auto"/>
          <w:highlight w:val="none"/>
        </w:rPr>
      </w:pPr>
    </w:p>
    <w:p w14:paraId="461F8041">
      <w:pPr>
        <w:pStyle w:val="3"/>
        <w:spacing w:line="256" w:lineRule="auto"/>
        <w:rPr>
          <w:color w:val="auto"/>
          <w:highlight w:val="none"/>
        </w:rPr>
      </w:pPr>
    </w:p>
    <w:p w14:paraId="5AD16781">
      <w:pPr>
        <w:pStyle w:val="3"/>
        <w:spacing w:line="256" w:lineRule="auto"/>
        <w:rPr>
          <w:color w:val="auto"/>
          <w:highlight w:val="none"/>
        </w:rPr>
      </w:pPr>
    </w:p>
    <w:p w14:paraId="2B12152E">
      <w:pPr>
        <w:pStyle w:val="3"/>
        <w:spacing w:line="257" w:lineRule="auto"/>
        <w:rPr>
          <w:color w:val="auto"/>
          <w:highlight w:val="none"/>
        </w:rPr>
      </w:pPr>
    </w:p>
    <w:p w14:paraId="65165B24">
      <w:pPr>
        <w:pStyle w:val="3"/>
        <w:spacing w:line="257" w:lineRule="auto"/>
        <w:rPr>
          <w:color w:val="auto"/>
          <w:highlight w:val="none"/>
        </w:rPr>
      </w:pPr>
    </w:p>
    <w:p w14:paraId="0970CA9A">
      <w:pPr>
        <w:pStyle w:val="3"/>
        <w:spacing w:line="257" w:lineRule="auto"/>
        <w:rPr>
          <w:color w:val="auto"/>
          <w:highlight w:val="none"/>
        </w:rPr>
      </w:pPr>
    </w:p>
    <w:p w14:paraId="25F0C66C">
      <w:pPr>
        <w:pStyle w:val="3"/>
        <w:spacing w:line="257" w:lineRule="auto"/>
        <w:rPr>
          <w:color w:val="auto"/>
          <w:highlight w:val="none"/>
        </w:rPr>
      </w:pPr>
    </w:p>
    <w:p w14:paraId="3CAD13CE">
      <w:pPr>
        <w:pStyle w:val="3"/>
        <w:spacing w:line="257" w:lineRule="auto"/>
        <w:rPr>
          <w:color w:val="auto"/>
          <w:highlight w:val="none"/>
        </w:rPr>
      </w:pPr>
    </w:p>
    <w:p w14:paraId="20DF5DCF">
      <w:pPr>
        <w:pStyle w:val="3"/>
        <w:spacing w:line="257" w:lineRule="auto"/>
        <w:rPr>
          <w:color w:val="auto"/>
          <w:highlight w:val="none"/>
        </w:rPr>
      </w:pPr>
    </w:p>
    <w:p w14:paraId="43068052">
      <w:pPr>
        <w:pStyle w:val="3"/>
        <w:spacing w:line="257" w:lineRule="auto"/>
        <w:rPr>
          <w:color w:val="auto"/>
          <w:highlight w:val="none"/>
        </w:rPr>
      </w:pPr>
    </w:p>
    <w:p w14:paraId="40A22B35">
      <w:pPr>
        <w:pStyle w:val="3"/>
        <w:spacing w:line="257" w:lineRule="auto"/>
        <w:rPr>
          <w:color w:val="auto"/>
          <w:highlight w:val="none"/>
        </w:rPr>
      </w:pPr>
    </w:p>
    <w:p w14:paraId="1923F3B0">
      <w:pPr>
        <w:pStyle w:val="3"/>
        <w:spacing w:line="257" w:lineRule="auto"/>
        <w:rPr>
          <w:color w:val="auto"/>
          <w:highlight w:val="none"/>
        </w:rPr>
      </w:pPr>
    </w:p>
    <w:p w14:paraId="51B457ED">
      <w:pPr>
        <w:pStyle w:val="3"/>
        <w:spacing w:line="257" w:lineRule="auto"/>
        <w:rPr>
          <w:color w:val="auto"/>
          <w:highlight w:val="none"/>
        </w:rPr>
      </w:pPr>
    </w:p>
    <w:p w14:paraId="01635646">
      <w:pPr>
        <w:spacing w:before="69" w:line="220" w:lineRule="auto"/>
        <w:ind w:left="44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发包人</w:t>
      </w:r>
      <w:r>
        <w:rPr>
          <w:rFonts w:ascii="宋体" w:hAnsi="宋体" w:eastAsia="宋体" w:cs="宋体"/>
          <w:color w:val="auto"/>
          <w:spacing w:val="-13"/>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5"/>
          <w:sz w:val="21"/>
          <w:szCs w:val="21"/>
          <w:highlight w:val="none"/>
        </w:rPr>
        <w:t>公章）</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承包人</w:t>
      </w:r>
      <w:r>
        <w:rPr>
          <w:rFonts w:ascii="宋体" w:hAnsi="宋体" w:eastAsia="宋体" w:cs="宋体"/>
          <w:color w:val="auto"/>
          <w:spacing w:val="-13"/>
          <w:sz w:val="21"/>
          <w:szCs w:val="21"/>
          <w:highlight w:val="none"/>
        </w:rPr>
        <w:t>：</w:t>
      </w:r>
      <w:r>
        <w:rPr>
          <w:rFonts w:ascii="宋体" w:hAnsi="宋体" w:eastAsia="宋体" w:cs="宋体"/>
          <w:color w:val="auto"/>
          <w:spacing w:val="55"/>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5"/>
          <w:sz w:val="21"/>
          <w:szCs w:val="21"/>
          <w:highlight w:val="none"/>
        </w:rPr>
        <w:t>公章）</w:t>
      </w:r>
    </w:p>
    <w:p w14:paraId="524CF8F2">
      <w:pPr>
        <w:spacing w:before="20"/>
        <w:rPr>
          <w:color w:val="auto"/>
          <w:highlight w:val="none"/>
        </w:rPr>
      </w:pPr>
    </w:p>
    <w:p w14:paraId="6E836AEF">
      <w:pPr>
        <w:spacing w:before="20"/>
        <w:rPr>
          <w:color w:val="auto"/>
          <w:highlight w:val="none"/>
        </w:rPr>
      </w:pPr>
    </w:p>
    <w:p w14:paraId="7C4A4816">
      <w:pPr>
        <w:rPr>
          <w:color w:val="auto"/>
          <w:highlight w:val="none"/>
        </w:rPr>
        <w:sectPr>
          <w:footerReference r:id="rId101" w:type="default"/>
          <w:pgSz w:w="11905" w:h="16839"/>
          <w:pgMar w:top="1431" w:right="1785" w:bottom="1004" w:left="1785" w:header="0" w:footer="828" w:gutter="0"/>
          <w:pgNumType w:fmt="decimal"/>
          <w:cols w:equalWidth="0" w:num="1">
            <w:col w:w="8333"/>
          </w:cols>
        </w:sectPr>
      </w:pPr>
    </w:p>
    <w:p w14:paraId="7FC26990">
      <w:pPr>
        <w:spacing w:before="43" w:line="408" w:lineRule="exact"/>
        <w:ind w:left="442"/>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法定代表人或其委托代理人：</w:t>
      </w:r>
    </w:p>
    <w:p w14:paraId="43EA6F64">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（签字）</w:t>
      </w:r>
    </w:p>
    <w:p w14:paraId="079D672A">
      <w:pPr>
        <w:pStyle w:val="3"/>
        <w:spacing w:line="446" w:lineRule="auto"/>
        <w:rPr>
          <w:color w:val="auto"/>
          <w:highlight w:val="none"/>
        </w:rPr>
      </w:pPr>
    </w:p>
    <w:p w14:paraId="3E974D4E">
      <w:pPr>
        <w:spacing w:before="69" w:line="413" w:lineRule="exact"/>
        <w:ind w:left="443"/>
        <w:rPr>
          <w:rFonts w:ascii="宋体" w:hAnsi="宋体" w:eastAsia="宋体" w:cs="宋体"/>
          <w:color w:val="auto"/>
          <w:sz w:val="21"/>
          <w:szCs w:val="21"/>
          <w:highlight w:val="none"/>
        </w:rPr>
      </w:pPr>
      <w:r>
        <w:rPr>
          <w:rFonts w:ascii="宋体" w:hAnsi="宋体" w:eastAsia="宋体" w:cs="宋体"/>
          <w:color w:val="auto"/>
          <w:spacing w:val="-5"/>
          <w:position w:val="15"/>
          <w:sz w:val="21"/>
          <w:szCs w:val="21"/>
          <w:highlight w:val="none"/>
        </w:rPr>
        <w:t>组织机构代码：</w:t>
      </w:r>
    </w:p>
    <w:p w14:paraId="51A70453">
      <w:pPr>
        <w:spacing w:before="1" w:line="229" w:lineRule="auto"/>
        <w:ind w:left="44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w:t>
      </w:r>
      <w:r>
        <w:rPr>
          <w:rFonts w:ascii="宋体" w:hAnsi="宋体" w:eastAsia="宋体" w:cs="宋体"/>
          <w:color w:val="auto"/>
          <w:spacing w:val="9"/>
          <w:sz w:val="21"/>
          <w:szCs w:val="21"/>
          <w:highlight w:val="none"/>
        </w:rPr>
        <w:t xml:space="preserve"> </w:t>
      </w:r>
      <w:r>
        <w:rPr>
          <w:rFonts w:ascii="宋体" w:hAnsi="宋体" w:eastAsia="宋体" w:cs="宋体"/>
          <w:color w:val="auto"/>
          <w:spacing w:val="-12"/>
          <w:sz w:val="21"/>
          <w:szCs w:val="21"/>
          <w:highlight w:val="none"/>
        </w:rPr>
        <w:t>址：</w:t>
      </w:r>
    </w:p>
    <w:p w14:paraId="0647EC27">
      <w:pPr>
        <w:spacing w:before="146" w:line="221" w:lineRule="auto"/>
        <w:ind w:left="45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邮政编码：</w:t>
      </w:r>
    </w:p>
    <w:p w14:paraId="7CE0B1FC">
      <w:pPr>
        <w:spacing w:before="157" w:line="408" w:lineRule="exact"/>
        <w:ind w:left="44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法定代表人：</w:t>
      </w:r>
    </w:p>
    <w:p w14:paraId="0DAED001">
      <w:pPr>
        <w:spacing w:before="1" w:line="220"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w:t>
      </w:r>
    </w:p>
    <w:p w14:paraId="2D2A666F">
      <w:pPr>
        <w:spacing w:before="157" w:line="223"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8"/>
          <w:sz w:val="21"/>
          <w:szCs w:val="21"/>
          <w:highlight w:val="none"/>
        </w:rPr>
        <w:t xml:space="preserve"> </w:t>
      </w:r>
      <w:r>
        <w:rPr>
          <w:rFonts w:ascii="宋体" w:hAnsi="宋体" w:eastAsia="宋体" w:cs="宋体"/>
          <w:color w:val="auto"/>
          <w:spacing w:val="-20"/>
          <w:sz w:val="21"/>
          <w:szCs w:val="21"/>
          <w:highlight w:val="none"/>
        </w:rPr>
        <w:t>话：</w:t>
      </w:r>
    </w:p>
    <w:p w14:paraId="1E81266B">
      <w:pPr>
        <w:spacing w:before="154"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12"/>
          <w:sz w:val="21"/>
          <w:szCs w:val="21"/>
          <w:highlight w:val="none"/>
        </w:rPr>
        <w:t xml:space="preserve"> </w:t>
      </w:r>
      <w:r>
        <w:rPr>
          <w:rFonts w:ascii="宋体" w:hAnsi="宋体" w:eastAsia="宋体" w:cs="宋体"/>
          <w:color w:val="auto"/>
          <w:spacing w:val="-12"/>
          <w:sz w:val="21"/>
          <w:szCs w:val="21"/>
          <w:highlight w:val="none"/>
        </w:rPr>
        <w:t>真：</w:t>
      </w:r>
    </w:p>
    <w:p w14:paraId="18D7D64D">
      <w:pPr>
        <w:spacing w:before="159" w:line="408" w:lineRule="exact"/>
        <w:ind w:left="465"/>
        <w:rPr>
          <w:rFonts w:ascii="宋体" w:hAnsi="宋体" w:eastAsia="宋体" w:cs="宋体"/>
          <w:color w:val="auto"/>
          <w:sz w:val="21"/>
          <w:szCs w:val="21"/>
          <w:highlight w:val="none"/>
        </w:rPr>
      </w:pPr>
      <w:r>
        <w:rPr>
          <w:rFonts w:ascii="宋体" w:hAnsi="宋体" w:eastAsia="宋体" w:cs="宋体"/>
          <w:color w:val="auto"/>
          <w:spacing w:val="-13"/>
          <w:position w:val="15"/>
          <w:sz w:val="21"/>
          <w:szCs w:val="21"/>
          <w:highlight w:val="none"/>
        </w:rPr>
        <w:t>电子信箱：</w:t>
      </w:r>
    </w:p>
    <w:p w14:paraId="40178842">
      <w:pPr>
        <w:spacing w:line="221"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开户银行：</w:t>
      </w:r>
    </w:p>
    <w:p w14:paraId="0F25AC4D">
      <w:pPr>
        <w:spacing w:before="156" w:line="186" w:lineRule="auto"/>
        <w:ind w:left="444"/>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账</w:t>
      </w:r>
      <w:r>
        <w:rPr>
          <w:rFonts w:ascii="宋体" w:hAnsi="宋体" w:eastAsia="宋体" w:cs="宋体"/>
          <w:color w:val="auto"/>
          <w:spacing w:val="14"/>
          <w:sz w:val="21"/>
          <w:szCs w:val="21"/>
          <w:highlight w:val="none"/>
        </w:rPr>
        <w:t xml:space="preserve"> </w:t>
      </w:r>
      <w:r>
        <w:rPr>
          <w:rFonts w:ascii="宋体" w:hAnsi="宋体" w:eastAsia="宋体" w:cs="宋体"/>
          <w:color w:val="auto"/>
          <w:spacing w:val="-14"/>
          <w:sz w:val="21"/>
          <w:szCs w:val="21"/>
          <w:highlight w:val="none"/>
        </w:rPr>
        <w:t>号：</w:t>
      </w:r>
    </w:p>
    <w:p w14:paraId="3D4A5EC7">
      <w:pPr>
        <w:pStyle w:val="3"/>
        <w:spacing w:line="14" w:lineRule="auto"/>
        <w:rPr>
          <w:color w:val="auto"/>
          <w:sz w:val="2"/>
          <w:highlight w:val="none"/>
        </w:rPr>
      </w:pPr>
      <w:r>
        <w:rPr>
          <w:color w:val="auto"/>
          <w:sz w:val="2"/>
          <w:szCs w:val="2"/>
          <w:highlight w:val="none"/>
        </w:rPr>
        <w:br w:type="column"/>
      </w:r>
    </w:p>
    <w:p w14:paraId="77716952">
      <w:pPr>
        <w:spacing w:before="41" w:line="408" w:lineRule="exact"/>
        <w:ind w:left="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法定代表人或其委托代理人：</w:t>
      </w:r>
    </w:p>
    <w:p w14:paraId="7C7BC017">
      <w:pPr>
        <w:spacing w:before="1" w:line="220" w:lineRule="auto"/>
        <w:ind w:left="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（签字）</w:t>
      </w:r>
    </w:p>
    <w:p w14:paraId="2C8206C2">
      <w:pPr>
        <w:pStyle w:val="3"/>
        <w:spacing w:line="446" w:lineRule="auto"/>
        <w:rPr>
          <w:color w:val="auto"/>
          <w:highlight w:val="none"/>
        </w:rPr>
      </w:pPr>
    </w:p>
    <w:p w14:paraId="505321AE">
      <w:pPr>
        <w:spacing w:before="69" w:line="412" w:lineRule="exact"/>
        <w:ind w:left="4"/>
        <w:rPr>
          <w:rFonts w:ascii="宋体" w:hAnsi="宋体" w:eastAsia="宋体" w:cs="宋体"/>
          <w:color w:val="auto"/>
          <w:sz w:val="21"/>
          <w:szCs w:val="21"/>
          <w:highlight w:val="none"/>
        </w:rPr>
      </w:pPr>
      <w:r>
        <w:rPr>
          <w:rFonts w:ascii="宋体" w:hAnsi="宋体" w:eastAsia="宋体" w:cs="宋体"/>
          <w:color w:val="auto"/>
          <w:spacing w:val="-7"/>
          <w:position w:val="15"/>
          <w:sz w:val="21"/>
          <w:szCs w:val="21"/>
          <w:highlight w:val="none"/>
        </w:rPr>
        <w:t>组织机构代码：</w:t>
      </w:r>
    </w:p>
    <w:p w14:paraId="146D57A4">
      <w:pPr>
        <w:spacing w:before="1" w:line="229" w:lineRule="auto"/>
        <w:ind w:left="54"/>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13"/>
          <w:sz w:val="21"/>
          <w:szCs w:val="21"/>
          <w:highlight w:val="none"/>
        </w:rPr>
        <w:t>址：</w:t>
      </w:r>
    </w:p>
    <w:p w14:paraId="2DB28A7A">
      <w:pPr>
        <w:spacing w:before="147" w:line="408" w:lineRule="exact"/>
        <w:ind w:left="70"/>
        <w:rPr>
          <w:rFonts w:ascii="宋体" w:hAnsi="宋体" w:eastAsia="宋体" w:cs="宋体"/>
          <w:color w:val="auto"/>
          <w:sz w:val="21"/>
          <w:szCs w:val="21"/>
          <w:highlight w:val="none"/>
        </w:rPr>
      </w:pPr>
      <w:r>
        <w:rPr>
          <w:rFonts w:ascii="宋体" w:hAnsi="宋体" w:eastAsia="宋体" w:cs="宋体"/>
          <w:color w:val="auto"/>
          <w:spacing w:val="-11"/>
          <w:position w:val="15"/>
          <w:sz w:val="21"/>
          <w:szCs w:val="21"/>
          <w:highlight w:val="none"/>
        </w:rPr>
        <w:t>邮政编码：</w:t>
      </w:r>
    </w:p>
    <w:p w14:paraId="59FCC4A2">
      <w:pPr>
        <w:spacing w:before="1" w:line="220" w:lineRule="auto"/>
        <w:ind w:left="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法定代表人：</w:t>
      </w:r>
    </w:p>
    <w:p w14:paraId="2D9DA946">
      <w:pPr>
        <w:spacing w:before="157" w:line="221" w:lineRule="auto"/>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委托代理人：</w:t>
      </w:r>
    </w:p>
    <w:p w14:paraId="243D0C97">
      <w:pPr>
        <w:spacing w:before="156" w:line="223" w:lineRule="auto"/>
        <w:ind w:left="26"/>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电</w:t>
      </w:r>
      <w:r>
        <w:rPr>
          <w:rFonts w:ascii="宋体" w:hAnsi="宋体" w:eastAsia="宋体" w:cs="宋体"/>
          <w:color w:val="auto"/>
          <w:spacing w:val="4"/>
          <w:sz w:val="21"/>
          <w:szCs w:val="21"/>
          <w:highlight w:val="none"/>
        </w:rPr>
        <w:t xml:space="preserve"> </w:t>
      </w:r>
      <w:r>
        <w:rPr>
          <w:rFonts w:ascii="宋体" w:hAnsi="宋体" w:eastAsia="宋体" w:cs="宋体"/>
          <w:color w:val="auto"/>
          <w:spacing w:val="-21"/>
          <w:sz w:val="21"/>
          <w:szCs w:val="21"/>
          <w:highlight w:val="none"/>
        </w:rPr>
        <w:t>话：</w:t>
      </w:r>
    </w:p>
    <w:p w14:paraId="7E262687">
      <w:pPr>
        <w:spacing w:before="155" w:line="220"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传</w:t>
      </w:r>
      <w:r>
        <w:rPr>
          <w:rFonts w:ascii="宋体" w:hAnsi="宋体" w:eastAsia="宋体" w:cs="宋体"/>
          <w:color w:val="auto"/>
          <w:spacing w:val="8"/>
          <w:sz w:val="21"/>
          <w:szCs w:val="21"/>
          <w:highlight w:val="none"/>
        </w:rPr>
        <w:t xml:space="preserve"> </w:t>
      </w:r>
      <w:r>
        <w:rPr>
          <w:rFonts w:ascii="宋体" w:hAnsi="宋体" w:eastAsia="宋体" w:cs="宋体"/>
          <w:color w:val="auto"/>
          <w:spacing w:val="-13"/>
          <w:sz w:val="21"/>
          <w:szCs w:val="21"/>
          <w:highlight w:val="none"/>
        </w:rPr>
        <w:t>真：</w:t>
      </w:r>
    </w:p>
    <w:p w14:paraId="5EFAE0D8">
      <w:pPr>
        <w:spacing w:before="158" w:line="408" w:lineRule="exact"/>
        <w:ind w:left="26"/>
        <w:rPr>
          <w:rFonts w:ascii="宋体" w:hAnsi="宋体" w:eastAsia="宋体" w:cs="宋体"/>
          <w:color w:val="auto"/>
          <w:sz w:val="21"/>
          <w:szCs w:val="21"/>
          <w:highlight w:val="none"/>
        </w:rPr>
      </w:pPr>
      <w:r>
        <w:rPr>
          <w:rFonts w:ascii="宋体" w:hAnsi="宋体" w:eastAsia="宋体" w:cs="宋体"/>
          <w:color w:val="auto"/>
          <w:spacing w:val="-13"/>
          <w:position w:val="15"/>
          <w:sz w:val="21"/>
          <w:szCs w:val="21"/>
          <w:highlight w:val="none"/>
        </w:rPr>
        <w:t>电子信箱：</w:t>
      </w:r>
    </w:p>
    <w:p w14:paraId="3B33A87F">
      <w:pPr>
        <w:spacing w:before="1" w:line="221" w:lineRule="auto"/>
        <w:ind w:left="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开户银行：</w:t>
      </w:r>
    </w:p>
    <w:p w14:paraId="2043E6CD">
      <w:pPr>
        <w:spacing w:before="156" w:line="186" w:lineRule="auto"/>
        <w:ind w:left="5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账</w:t>
      </w:r>
      <w:r>
        <w:rPr>
          <w:rFonts w:ascii="宋体" w:hAnsi="宋体" w:eastAsia="宋体" w:cs="宋体"/>
          <w:color w:val="auto"/>
          <w:spacing w:val="10"/>
          <w:sz w:val="21"/>
          <w:szCs w:val="21"/>
          <w:highlight w:val="none"/>
        </w:rPr>
        <w:t xml:space="preserve"> </w:t>
      </w:r>
      <w:r>
        <w:rPr>
          <w:rFonts w:ascii="宋体" w:hAnsi="宋体" w:eastAsia="宋体" w:cs="宋体"/>
          <w:color w:val="auto"/>
          <w:spacing w:val="-15"/>
          <w:sz w:val="21"/>
          <w:szCs w:val="21"/>
          <w:highlight w:val="none"/>
        </w:rPr>
        <w:t>号：</w:t>
      </w:r>
    </w:p>
    <w:p w14:paraId="3B4C2A64">
      <w:pPr>
        <w:spacing w:line="186" w:lineRule="auto"/>
        <w:rPr>
          <w:rFonts w:ascii="宋体" w:hAnsi="宋体" w:eastAsia="宋体" w:cs="宋体"/>
          <w:color w:val="auto"/>
          <w:sz w:val="21"/>
          <w:szCs w:val="21"/>
          <w:highlight w:val="none"/>
        </w:rPr>
        <w:sectPr>
          <w:type w:val="continuous"/>
          <w:pgSz w:w="11905" w:h="16839"/>
          <w:pgMar w:top="1431" w:right="1785" w:bottom="1004" w:left="1785" w:header="0" w:footer="828" w:gutter="0"/>
          <w:pgNumType w:fmt="decimal"/>
          <w:cols w:equalWidth="0" w:num="2">
            <w:col w:w="4546" w:space="100"/>
            <w:col w:w="3688"/>
          </w:cols>
        </w:sectPr>
      </w:pPr>
    </w:p>
    <w:p w14:paraId="64D8D3E3">
      <w:pPr>
        <w:spacing w:before="71" w:line="219" w:lineRule="auto"/>
        <w:ind w:left="2333"/>
        <w:outlineLvl w:val="1"/>
        <w:rPr>
          <w:rFonts w:ascii="黑体" w:hAnsi="黑体" w:eastAsia="黑体" w:cs="黑体"/>
          <w:color w:val="auto"/>
          <w:sz w:val="36"/>
          <w:szCs w:val="36"/>
          <w:highlight w:val="none"/>
        </w:rPr>
      </w:pPr>
      <w:r>
        <w:rPr>
          <w:rFonts w:ascii="黑体" w:hAnsi="黑体" w:eastAsia="黑体" w:cs="黑体"/>
          <w:color w:val="auto"/>
          <w:spacing w:val="-3"/>
          <w:sz w:val="36"/>
          <w:szCs w:val="36"/>
          <w:highlight w:val="none"/>
        </w:rPr>
        <w:t>第二部分</w:t>
      </w:r>
      <w:r>
        <w:rPr>
          <w:rFonts w:ascii="黑体" w:hAnsi="黑体" w:eastAsia="黑体" w:cs="黑体"/>
          <w:color w:val="auto"/>
          <w:spacing w:val="-71"/>
          <w:sz w:val="36"/>
          <w:szCs w:val="36"/>
          <w:highlight w:val="none"/>
        </w:rPr>
        <w:t xml:space="preserve"> </w:t>
      </w:r>
      <w:r>
        <w:rPr>
          <w:rFonts w:ascii="黑体" w:hAnsi="黑体" w:eastAsia="黑体" w:cs="黑体"/>
          <w:color w:val="auto"/>
          <w:spacing w:val="-3"/>
          <w:sz w:val="36"/>
          <w:szCs w:val="36"/>
          <w:highlight w:val="none"/>
        </w:rPr>
        <w:t>通用合同条款</w:t>
      </w:r>
    </w:p>
    <w:p w14:paraId="616A27FA">
      <w:pPr>
        <w:spacing w:before="129" w:line="219"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1.一般约定</w:t>
      </w:r>
    </w:p>
    <w:p w14:paraId="665393FB">
      <w:pPr>
        <w:spacing w:before="151" w:line="220"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1.1</w:t>
      </w:r>
      <w:r>
        <w:rPr>
          <w:rFonts w:ascii="黑体" w:hAnsi="黑体" w:eastAsia="黑体" w:cs="黑体"/>
          <w:color w:val="auto"/>
          <w:spacing w:val="-43"/>
          <w:sz w:val="24"/>
          <w:szCs w:val="24"/>
          <w:highlight w:val="none"/>
        </w:rPr>
        <w:t xml:space="preserve"> </w:t>
      </w:r>
      <w:r>
        <w:rPr>
          <w:rFonts w:ascii="黑体" w:hAnsi="黑体" w:eastAsia="黑体" w:cs="黑体"/>
          <w:color w:val="auto"/>
          <w:spacing w:val="-4"/>
          <w:sz w:val="24"/>
          <w:szCs w:val="24"/>
          <w:highlight w:val="none"/>
        </w:rPr>
        <w:t>词语定义与解释</w:t>
      </w:r>
    </w:p>
    <w:p w14:paraId="2A362FD3">
      <w:pPr>
        <w:spacing w:before="127"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合同协议书、通用合同条款、专用合同条款中的下列词语具有本款</w:t>
      </w:r>
      <w:r>
        <w:rPr>
          <w:rFonts w:ascii="宋体" w:hAnsi="宋体" w:eastAsia="宋体" w:cs="宋体"/>
          <w:color w:val="auto"/>
          <w:spacing w:val="-2"/>
          <w:sz w:val="21"/>
          <w:szCs w:val="21"/>
          <w:highlight w:val="none"/>
        </w:rPr>
        <w:t>所赋予的含义：</w:t>
      </w:r>
    </w:p>
    <w:p w14:paraId="597F5C8E">
      <w:pPr>
        <w:spacing w:before="148" w:line="223"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1.1.1</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合同</w:t>
      </w:r>
    </w:p>
    <w:p w14:paraId="0D8E2990">
      <w:pPr>
        <w:spacing w:before="144" w:line="352" w:lineRule="auto"/>
        <w:ind w:left="17" w:right="49" w:firstLine="44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1.1.1.1</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2"/>
          <w:sz w:val="21"/>
          <w:szCs w:val="21"/>
          <w:highlight w:val="none"/>
        </w:rPr>
        <w:t>合同：是指根据法律规定和合同当事人</w:t>
      </w:r>
      <w:r>
        <w:rPr>
          <w:rFonts w:ascii="宋体" w:hAnsi="宋体" w:eastAsia="宋体" w:cs="宋体"/>
          <w:color w:val="auto"/>
          <w:spacing w:val="1"/>
          <w:sz w:val="21"/>
          <w:szCs w:val="21"/>
          <w:highlight w:val="none"/>
        </w:rPr>
        <w:t>约定具有约束力的文件，构成合同的文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件包括合同协议书、中标通知书（如果有）、投标</w:t>
      </w:r>
      <w:r>
        <w:rPr>
          <w:rFonts w:ascii="宋体" w:hAnsi="宋体" w:eastAsia="宋体" w:cs="宋体"/>
          <w:color w:val="auto"/>
          <w:spacing w:val="-3"/>
          <w:sz w:val="21"/>
          <w:szCs w:val="21"/>
          <w:highlight w:val="none"/>
        </w:rPr>
        <w:t>函及其附录（如果有）、专用合同条款及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其附件、通用合同条款、技术标准和要求、图纸、已标价工程量清单或预算书</w:t>
      </w:r>
      <w:r>
        <w:rPr>
          <w:rFonts w:ascii="宋体" w:hAnsi="宋体" w:eastAsia="宋体" w:cs="宋体"/>
          <w:color w:val="auto"/>
          <w:spacing w:val="2"/>
          <w:sz w:val="21"/>
          <w:szCs w:val="21"/>
          <w:highlight w:val="none"/>
        </w:rPr>
        <w:t>以及其他合</w:t>
      </w:r>
    </w:p>
    <w:p w14:paraId="0E3D93A8">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同文件。</w:t>
      </w:r>
    </w:p>
    <w:p w14:paraId="11662ACB">
      <w:pPr>
        <w:spacing w:before="152" w:line="399" w:lineRule="exact"/>
        <w:jc w:val="right"/>
        <w:rPr>
          <w:rFonts w:ascii="Times New Roman" w:hAnsi="Times New Roman" w:eastAsia="Times New Roman" w:cs="Times New Roman"/>
          <w:color w:val="auto"/>
          <w:sz w:val="21"/>
          <w:szCs w:val="21"/>
          <w:highlight w:val="none"/>
        </w:rPr>
      </w:pPr>
      <w:r>
        <w:rPr>
          <w:color w:val="auto"/>
          <w:highlight w:val="none"/>
        </w:rPr>
        <w:fldChar w:fldCharType="begin"/>
      </w:r>
      <w:r>
        <w:rPr>
          <w:color w:val="auto"/>
          <w:highlight w:val="none"/>
        </w:rPr>
        <w:instrText xml:space="preserve"> HYPERLINK "1.1.1.2"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合同协议书： 是指构成合同的由发包人和承包人共同签</w:t>
      </w:r>
      <w:r>
        <w:rPr>
          <w:rFonts w:ascii="宋体" w:hAnsi="宋体" w:eastAsia="宋体" w:cs="宋体"/>
          <w:color w:val="auto"/>
          <w:position w:val="14"/>
          <w:sz w:val="21"/>
          <w:szCs w:val="21"/>
          <w:highlight w:val="none"/>
        </w:rPr>
        <w:t>署的称为</w:t>
      </w:r>
      <w:r>
        <w:rPr>
          <w:rFonts w:ascii="Times New Roman" w:hAnsi="Times New Roman" w:eastAsia="Times New Roman" w:cs="Times New Roman"/>
          <w:color w:val="auto"/>
          <w:position w:val="14"/>
          <w:sz w:val="21"/>
          <w:szCs w:val="21"/>
          <w:highlight w:val="none"/>
        </w:rPr>
        <w:t>“</w:t>
      </w:r>
      <w:r>
        <w:rPr>
          <w:rFonts w:ascii="宋体" w:hAnsi="宋体" w:eastAsia="宋体" w:cs="宋体"/>
          <w:color w:val="auto"/>
          <w:position w:val="14"/>
          <w:sz w:val="21"/>
          <w:szCs w:val="21"/>
          <w:highlight w:val="none"/>
        </w:rPr>
        <w:t>合同协议书</w:t>
      </w:r>
      <w:r>
        <w:rPr>
          <w:rFonts w:ascii="Times New Roman" w:hAnsi="Times New Roman" w:eastAsia="Times New Roman" w:cs="Times New Roman"/>
          <w:color w:val="auto"/>
          <w:position w:val="14"/>
          <w:sz w:val="21"/>
          <w:szCs w:val="21"/>
          <w:highlight w:val="none"/>
        </w:rPr>
        <w:t>”</w:t>
      </w:r>
    </w:p>
    <w:p w14:paraId="6C0417BF">
      <w:pPr>
        <w:spacing w:line="219"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的书面文件。</w:t>
      </w:r>
    </w:p>
    <w:p w14:paraId="448177F8">
      <w:pPr>
        <w:spacing w:before="149"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"1.1.1.3"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1.1.1.3</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4"/>
          <w:sz w:val="21"/>
          <w:szCs w:val="21"/>
          <w:highlight w:val="none"/>
        </w:rPr>
        <w:t>中标通知书： 是指构成合同的由发包人通知承包人中标的书面文</w:t>
      </w:r>
      <w:r>
        <w:rPr>
          <w:rFonts w:ascii="宋体" w:hAnsi="宋体" w:eastAsia="宋体" w:cs="宋体"/>
          <w:color w:val="auto"/>
          <w:spacing w:val="-5"/>
          <w:sz w:val="21"/>
          <w:szCs w:val="21"/>
          <w:highlight w:val="none"/>
        </w:rPr>
        <w:t>件。</w:t>
      </w:r>
    </w:p>
    <w:p w14:paraId="2B68B933">
      <w:pPr>
        <w:spacing w:before="153" w:line="399" w:lineRule="exact"/>
        <w:ind w:right="3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2"/>
          <w:position w:val="14"/>
          <w:sz w:val="21"/>
          <w:szCs w:val="21"/>
          <w:highlight w:val="none"/>
        </w:rPr>
        <w:t xml:space="preserve"> </w:t>
      </w:r>
      <w:r>
        <w:rPr>
          <w:rFonts w:ascii="宋体" w:hAnsi="宋体" w:eastAsia="宋体" w:cs="宋体"/>
          <w:color w:val="auto"/>
          <w:spacing w:val="-1"/>
          <w:position w:val="14"/>
          <w:sz w:val="21"/>
          <w:szCs w:val="21"/>
          <w:highlight w:val="none"/>
        </w:rPr>
        <w:t>投标函： 是指构成合同的由承包人填写并签署的用于投标的称为</w:t>
      </w:r>
      <w:r>
        <w:rPr>
          <w:rFonts w:ascii="Times New Roman" w:hAnsi="Times New Roman" w:eastAsia="Times New Roman" w:cs="Times New Roman"/>
          <w:color w:val="auto"/>
          <w:spacing w:val="-1"/>
          <w:position w:val="14"/>
          <w:sz w:val="21"/>
          <w:szCs w:val="21"/>
          <w:highlight w:val="none"/>
        </w:rPr>
        <w:t>“</w:t>
      </w:r>
      <w:r>
        <w:rPr>
          <w:rFonts w:ascii="宋体" w:hAnsi="宋体" w:eastAsia="宋体" w:cs="宋体"/>
          <w:color w:val="auto"/>
          <w:spacing w:val="-1"/>
          <w:position w:val="14"/>
          <w:sz w:val="21"/>
          <w:szCs w:val="21"/>
          <w:highlight w:val="none"/>
        </w:rPr>
        <w:t>投标函</w:t>
      </w:r>
      <w:r>
        <w:rPr>
          <w:rFonts w:ascii="Times New Roman" w:hAnsi="Times New Roman" w:eastAsia="Times New Roman" w:cs="Times New Roman"/>
          <w:color w:val="auto"/>
          <w:spacing w:val="-1"/>
          <w:position w:val="14"/>
          <w:sz w:val="21"/>
          <w:szCs w:val="21"/>
          <w:highlight w:val="none"/>
        </w:rPr>
        <w:t>”</w:t>
      </w:r>
      <w:r>
        <w:rPr>
          <w:rFonts w:ascii="Times New Roman" w:hAnsi="Times New Roman" w:eastAsia="Times New Roman" w:cs="Times New Roman"/>
          <w:color w:val="auto"/>
          <w:spacing w:val="-29"/>
          <w:position w:val="14"/>
          <w:sz w:val="21"/>
          <w:szCs w:val="21"/>
          <w:highlight w:val="none"/>
        </w:rPr>
        <w:t xml:space="preserve"> </w:t>
      </w:r>
      <w:r>
        <w:rPr>
          <w:rFonts w:ascii="宋体" w:hAnsi="宋体" w:eastAsia="宋体" w:cs="宋体"/>
          <w:color w:val="auto"/>
          <w:spacing w:val="-1"/>
          <w:position w:val="14"/>
          <w:sz w:val="21"/>
          <w:szCs w:val="21"/>
          <w:highlight w:val="none"/>
        </w:rPr>
        <w:t>的文</w:t>
      </w:r>
    </w:p>
    <w:p w14:paraId="4C6FFB96">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件。</w:t>
      </w:r>
    </w:p>
    <w:p w14:paraId="15D35BB6">
      <w:pPr>
        <w:spacing w:before="148"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"1.1.1.5"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1.1.1.5</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投标函附录： 是指构成合同的附在投标函后的称为</w:t>
      </w:r>
      <w:r>
        <w:rPr>
          <w:rFonts w:ascii="Times New Roman" w:hAnsi="Times New Roman" w:eastAsia="Times New Roman" w:cs="Times New Roman"/>
          <w:color w:val="auto"/>
          <w:spacing w:val="-4"/>
          <w:sz w:val="21"/>
          <w:szCs w:val="21"/>
          <w:highlight w:val="none"/>
        </w:rPr>
        <w:t>“</w:t>
      </w:r>
      <w:r>
        <w:rPr>
          <w:rFonts w:ascii="宋体" w:hAnsi="宋体" w:eastAsia="宋体" w:cs="宋体"/>
          <w:color w:val="auto"/>
          <w:spacing w:val="-4"/>
          <w:sz w:val="21"/>
          <w:szCs w:val="21"/>
          <w:highlight w:val="none"/>
        </w:rPr>
        <w:t>投标函附录</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4"/>
          <w:sz w:val="21"/>
          <w:szCs w:val="21"/>
          <w:highlight w:val="none"/>
        </w:rPr>
        <w:t>的文件。</w:t>
      </w:r>
    </w:p>
    <w:p w14:paraId="7F5FDC1C">
      <w:pPr>
        <w:spacing w:before="153" w:line="399"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"1.1.1.6"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1.1.1.6</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技术标准和要求： 是指构成合同的施工应当遵守的或指导施工的国家、行业或</w:t>
      </w:r>
    </w:p>
    <w:p w14:paraId="6E430134">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地方的技术标准和要求，以及合同约定的技术标准和要</w:t>
      </w:r>
      <w:r>
        <w:rPr>
          <w:rFonts w:ascii="宋体" w:hAnsi="宋体" w:eastAsia="宋体" w:cs="宋体"/>
          <w:color w:val="auto"/>
          <w:spacing w:val="-2"/>
          <w:sz w:val="21"/>
          <w:szCs w:val="21"/>
          <w:highlight w:val="none"/>
        </w:rPr>
        <w:t>求。</w:t>
      </w:r>
    </w:p>
    <w:p w14:paraId="76A40A03">
      <w:pPr>
        <w:spacing w:before="149" w:line="352" w:lineRule="auto"/>
        <w:ind w:left="35" w:right="49" w:firstLine="42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"1.1.1.7"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1.1.1.7</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图纸：是指构成合同的图纸， 包括由发包</w:t>
      </w:r>
      <w:r>
        <w:rPr>
          <w:rFonts w:ascii="宋体" w:hAnsi="宋体" w:eastAsia="宋体" w:cs="宋体"/>
          <w:color w:val="auto"/>
          <w:spacing w:val="-2"/>
          <w:sz w:val="21"/>
          <w:szCs w:val="21"/>
          <w:highlight w:val="none"/>
        </w:rPr>
        <w:t>人按照合同约定提供或经发包人批准</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的设计文件、 施工图、 鸟瞰图及模型等，</w:t>
      </w:r>
      <w:r>
        <w:rPr>
          <w:rFonts w:ascii="宋体" w:hAnsi="宋体" w:eastAsia="宋体" w:cs="宋体"/>
          <w:color w:val="auto"/>
          <w:spacing w:val="38"/>
          <w:sz w:val="21"/>
          <w:szCs w:val="21"/>
          <w:highlight w:val="none"/>
        </w:rPr>
        <w:t xml:space="preserve"> </w:t>
      </w:r>
      <w:r>
        <w:rPr>
          <w:rFonts w:ascii="宋体" w:hAnsi="宋体" w:eastAsia="宋体" w:cs="宋体"/>
          <w:color w:val="auto"/>
          <w:spacing w:val="-6"/>
          <w:sz w:val="21"/>
          <w:szCs w:val="21"/>
          <w:highlight w:val="none"/>
        </w:rPr>
        <w:t>以及在合同履行过程中形成的图</w:t>
      </w:r>
      <w:r>
        <w:rPr>
          <w:rFonts w:ascii="宋体" w:hAnsi="宋体" w:eastAsia="宋体" w:cs="宋体"/>
          <w:color w:val="auto"/>
          <w:spacing w:val="-7"/>
          <w:sz w:val="21"/>
          <w:szCs w:val="21"/>
          <w:highlight w:val="none"/>
        </w:rPr>
        <w:t>纸文件。图纸应</w:t>
      </w:r>
    </w:p>
    <w:p w14:paraId="12B6DE6D">
      <w:pPr>
        <w:spacing w:line="220" w:lineRule="auto"/>
        <w:ind w:left="3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当按照法律规定审查合格。</w:t>
      </w:r>
    </w:p>
    <w:p w14:paraId="32595CF8">
      <w:pPr>
        <w:spacing w:before="148" w:line="403"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1"/>
          <w:position w:val="14"/>
          <w:sz w:val="21"/>
          <w:szCs w:val="21"/>
          <w:highlight w:val="none"/>
        </w:rPr>
        <w:t xml:space="preserve">  </w:t>
      </w:r>
      <w:r>
        <w:rPr>
          <w:rFonts w:ascii="宋体" w:hAnsi="宋体" w:eastAsia="宋体" w:cs="宋体"/>
          <w:color w:val="auto"/>
          <w:spacing w:val="1"/>
          <w:position w:val="14"/>
          <w:sz w:val="21"/>
          <w:szCs w:val="21"/>
          <w:highlight w:val="none"/>
        </w:rPr>
        <w:t>已标价工程量清单：是指构成合同的由承包人按照规定的格式和要求填写并标</w:t>
      </w:r>
    </w:p>
    <w:p w14:paraId="26859604">
      <w:pPr>
        <w:spacing w:line="219"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明价格的工程量清单，包括说明和表格。</w:t>
      </w:r>
    </w:p>
    <w:p w14:paraId="322DE5D8">
      <w:pPr>
        <w:spacing w:before="150" w:line="398"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"1.1.1.9"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1.1.1.9</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2"/>
          <w:position w:val="14"/>
          <w:sz w:val="21"/>
          <w:szCs w:val="21"/>
          <w:highlight w:val="none"/>
        </w:rPr>
        <w:t>预算书：是指构成合同的由承包人按</w:t>
      </w:r>
      <w:r>
        <w:rPr>
          <w:rFonts w:ascii="宋体" w:hAnsi="宋体" w:eastAsia="宋体" w:cs="宋体"/>
          <w:color w:val="auto"/>
          <w:spacing w:val="1"/>
          <w:position w:val="14"/>
          <w:sz w:val="21"/>
          <w:szCs w:val="21"/>
          <w:highlight w:val="none"/>
        </w:rPr>
        <w:t>照发包人规定的格式和要求编制的工程预</w:t>
      </w:r>
    </w:p>
    <w:p w14:paraId="40E142B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算文件。</w:t>
      </w:r>
    </w:p>
    <w:p w14:paraId="7885871F">
      <w:pPr>
        <w:spacing w:before="153" w:line="398" w:lineRule="exact"/>
        <w:ind w:right="46"/>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"1.1.1.10"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1.1.1.10</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8"/>
          <w:position w:val="14"/>
          <w:sz w:val="21"/>
          <w:szCs w:val="21"/>
          <w:highlight w:val="none"/>
        </w:rPr>
        <w:t xml:space="preserve"> </w:t>
      </w:r>
      <w:r>
        <w:rPr>
          <w:rFonts w:ascii="宋体" w:hAnsi="宋体" w:eastAsia="宋体" w:cs="宋体"/>
          <w:color w:val="auto"/>
          <w:spacing w:val="-1"/>
          <w:position w:val="14"/>
          <w:sz w:val="21"/>
          <w:szCs w:val="21"/>
          <w:highlight w:val="none"/>
        </w:rPr>
        <w:t>其他合同文件：是指经合同当事人约定的与工程施工有关的具有合同约束力的</w:t>
      </w:r>
    </w:p>
    <w:p w14:paraId="6DC7081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文件或书面协议。合同当事人可以在专用合同条款中进</w:t>
      </w:r>
      <w:r>
        <w:rPr>
          <w:rFonts w:ascii="宋体" w:hAnsi="宋体" w:eastAsia="宋体" w:cs="宋体"/>
          <w:color w:val="auto"/>
          <w:spacing w:val="-2"/>
          <w:sz w:val="21"/>
          <w:szCs w:val="21"/>
          <w:highlight w:val="none"/>
        </w:rPr>
        <w:t>行约定。</w:t>
      </w:r>
    </w:p>
    <w:p w14:paraId="61AFAF52">
      <w:pPr>
        <w:spacing w:before="14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宋体" w:hAnsi="宋体" w:eastAsia="宋体" w:cs="宋体"/>
          <w:color w:val="auto"/>
          <w:spacing w:val="-2"/>
          <w:sz w:val="21"/>
          <w:szCs w:val="21"/>
          <w:highlight w:val="none"/>
        </w:rPr>
        <w:t>合同当事人及其他相关方</w:t>
      </w:r>
    </w:p>
    <w:p w14:paraId="589CCAD8">
      <w:pPr>
        <w:spacing w:before="151"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"1.1.2.1" </w:instrText>
      </w:r>
      <w:r>
        <w:rPr>
          <w:color w:val="auto"/>
          <w:highlight w:val="none"/>
        </w:rPr>
        <w:fldChar w:fldCharType="separate"/>
      </w:r>
      <w:r>
        <w:rPr>
          <w:rFonts w:ascii="Times New Roman" w:hAnsi="Times New Roman" w:eastAsia="Times New Roman" w:cs="Times New Roman"/>
          <w:color w:val="auto"/>
          <w:spacing w:val="-5"/>
          <w:sz w:val="21"/>
          <w:szCs w:val="21"/>
          <w:highlight w:val="none"/>
        </w:rPr>
        <w:t>1.1.2.1</w:t>
      </w:r>
      <w:r>
        <w:rPr>
          <w:rFonts w:ascii="Times New Roman" w:hAnsi="Times New Roman" w:eastAsia="Times New Roman" w:cs="Times New Roman"/>
          <w:color w:val="auto"/>
          <w:spacing w:val="-5"/>
          <w:sz w:val="21"/>
          <w:szCs w:val="21"/>
          <w:highlight w:val="none"/>
        </w:rPr>
        <w:fldChar w:fldCharType="end"/>
      </w:r>
      <w:r>
        <w:rPr>
          <w:rFonts w:ascii="Times New Roman" w:hAnsi="Times New Roman" w:eastAsia="Times New Roman" w:cs="Times New Roman"/>
          <w:color w:val="auto"/>
          <w:spacing w:val="-5"/>
          <w:sz w:val="21"/>
          <w:szCs w:val="21"/>
          <w:highlight w:val="none"/>
        </w:rPr>
        <w:t xml:space="preserve"> </w:t>
      </w:r>
      <w:r>
        <w:rPr>
          <w:rFonts w:ascii="宋体" w:hAnsi="宋体" w:eastAsia="宋体" w:cs="宋体"/>
          <w:color w:val="auto"/>
          <w:spacing w:val="-5"/>
          <w:sz w:val="21"/>
          <w:szCs w:val="21"/>
          <w:highlight w:val="none"/>
        </w:rPr>
        <w:t>合同当事人： 是指发包人和（或）承包人。</w:t>
      </w:r>
    </w:p>
    <w:p w14:paraId="4319DFD1">
      <w:pPr>
        <w:spacing w:before="147" w:line="399"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"1.1.2.2"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1.1.2.2</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发包人：是指与承包人签订合同</w:t>
      </w:r>
      <w:r>
        <w:rPr>
          <w:rFonts w:ascii="宋体" w:hAnsi="宋体" w:eastAsia="宋体" w:cs="宋体"/>
          <w:color w:val="auto"/>
          <w:spacing w:val="1"/>
          <w:position w:val="14"/>
          <w:sz w:val="21"/>
          <w:szCs w:val="21"/>
          <w:highlight w:val="none"/>
        </w:rPr>
        <w:t>协议书的当事人及取得该当事人资格的合法继</w:t>
      </w:r>
    </w:p>
    <w:p w14:paraId="418C0070">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承人。</w:t>
      </w:r>
    </w:p>
    <w:p w14:paraId="656B090A">
      <w:pPr>
        <w:spacing w:before="152" w:line="398"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"1.1.2.3"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1.1.2.3</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承包人：是指与发包人签订合同协议书</w:t>
      </w:r>
      <w:r>
        <w:rPr>
          <w:rFonts w:ascii="宋体" w:hAnsi="宋体" w:eastAsia="宋体" w:cs="宋体"/>
          <w:color w:val="auto"/>
          <w:spacing w:val="1"/>
          <w:position w:val="14"/>
          <w:sz w:val="21"/>
          <w:szCs w:val="21"/>
          <w:highlight w:val="none"/>
        </w:rPr>
        <w:t>的，具有相应工程施工承包资质的当事</w:t>
      </w:r>
    </w:p>
    <w:p w14:paraId="3857C1C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人及取得该当事人资格的合法继承人。</w:t>
      </w:r>
    </w:p>
    <w:p w14:paraId="50E32538">
      <w:pPr>
        <w:spacing w:before="147" w:line="404"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1.1.2.4</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监理人：是指在专用合同条款中指明的</w:t>
      </w:r>
      <w:r>
        <w:rPr>
          <w:rFonts w:ascii="宋体" w:hAnsi="宋体" w:eastAsia="宋体" w:cs="宋体"/>
          <w:color w:val="auto"/>
          <w:spacing w:val="1"/>
          <w:position w:val="14"/>
          <w:sz w:val="21"/>
          <w:szCs w:val="21"/>
          <w:highlight w:val="none"/>
        </w:rPr>
        <w:t>，受发包人委托按照法律规定进行工程</w:t>
      </w:r>
    </w:p>
    <w:p w14:paraId="63D95D1D">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监督管理的法人或其他组织。</w:t>
      </w:r>
    </w:p>
    <w:p w14:paraId="07C8B2E9">
      <w:pPr>
        <w:spacing w:line="220" w:lineRule="auto"/>
        <w:rPr>
          <w:rFonts w:ascii="宋体" w:hAnsi="宋体" w:eastAsia="宋体" w:cs="宋体"/>
          <w:color w:val="auto"/>
          <w:sz w:val="21"/>
          <w:szCs w:val="21"/>
          <w:highlight w:val="none"/>
        </w:rPr>
        <w:sectPr>
          <w:footerReference r:id="rId102" w:type="default"/>
          <w:pgSz w:w="11905" w:h="16839"/>
          <w:pgMar w:top="1375" w:right="1742" w:bottom="1004" w:left="1785" w:header="0" w:footer="828" w:gutter="0"/>
          <w:pgNumType w:fmt="decimal"/>
          <w:cols w:space="720" w:num="1"/>
        </w:sectPr>
      </w:pPr>
    </w:p>
    <w:p w14:paraId="7F235C56">
      <w:pPr>
        <w:spacing w:before="149" w:line="398"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"1.1.2.5"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1.1.2.5</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设计人：是指在专用合同条款中</w:t>
      </w:r>
      <w:r>
        <w:rPr>
          <w:rFonts w:ascii="宋体" w:hAnsi="宋体" w:eastAsia="宋体" w:cs="宋体"/>
          <w:color w:val="auto"/>
          <w:spacing w:val="1"/>
          <w:position w:val="14"/>
          <w:sz w:val="21"/>
          <w:szCs w:val="21"/>
          <w:highlight w:val="none"/>
        </w:rPr>
        <w:t>指明的，受发包人委托负责工程设计并具备相</w:t>
      </w:r>
    </w:p>
    <w:p w14:paraId="216669C7">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应工程设计资质的法人或其他组织。</w:t>
      </w:r>
    </w:p>
    <w:p w14:paraId="00709535">
      <w:pPr>
        <w:spacing w:before="151" w:line="399" w:lineRule="exact"/>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"1.1.2.6"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1.1.2.6</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2"/>
          <w:position w:val="14"/>
          <w:sz w:val="21"/>
          <w:szCs w:val="21"/>
          <w:highlight w:val="none"/>
        </w:rPr>
        <w:t>分包人：是指按照法律规定和合同约定，分包</w:t>
      </w:r>
      <w:r>
        <w:rPr>
          <w:rFonts w:ascii="宋体" w:hAnsi="宋体" w:eastAsia="宋体" w:cs="宋体"/>
          <w:color w:val="auto"/>
          <w:spacing w:val="1"/>
          <w:position w:val="14"/>
          <w:sz w:val="21"/>
          <w:szCs w:val="21"/>
          <w:highlight w:val="none"/>
        </w:rPr>
        <w:t>部分工程或工作，并与承包人签</w:t>
      </w:r>
    </w:p>
    <w:p w14:paraId="31B141B8">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订分包合同的具有相应资质的法人。</w:t>
      </w:r>
    </w:p>
    <w:p w14:paraId="129CC401">
      <w:pPr>
        <w:spacing w:before="146"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"1.1.2.7"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1.1.2.7</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发包人代表：是指由发包人任命</w:t>
      </w:r>
      <w:r>
        <w:rPr>
          <w:rFonts w:ascii="宋体" w:hAnsi="宋体" w:eastAsia="宋体" w:cs="宋体"/>
          <w:color w:val="auto"/>
          <w:spacing w:val="1"/>
          <w:position w:val="14"/>
          <w:sz w:val="21"/>
          <w:szCs w:val="21"/>
          <w:highlight w:val="none"/>
        </w:rPr>
        <w:t>并派驻施工现场在发包人授权范围内行使发包</w:t>
      </w:r>
    </w:p>
    <w:p w14:paraId="5EC3E59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人权利的人。</w:t>
      </w:r>
    </w:p>
    <w:p w14:paraId="6AF9BEB2">
      <w:pPr>
        <w:spacing w:before="147" w:line="399"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1.1.2.8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w w:val="101"/>
          <w:position w:val="14"/>
          <w:sz w:val="21"/>
          <w:szCs w:val="21"/>
          <w:highlight w:val="none"/>
        </w:rPr>
        <w:t xml:space="preserve"> </w:t>
      </w:r>
      <w:r>
        <w:rPr>
          <w:rFonts w:ascii="宋体" w:hAnsi="宋体" w:eastAsia="宋体" w:cs="宋体"/>
          <w:color w:val="auto"/>
          <w:spacing w:val="-1"/>
          <w:position w:val="14"/>
          <w:sz w:val="21"/>
          <w:szCs w:val="21"/>
          <w:highlight w:val="none"/>
        </w:rPr>
        <w:t>项目经理： 是指由承包人任命并派驻施工现场，在承包人授权范围内负责合同</w:t>
      </w:r>
    </w:p>
    <w:p w14:paraId="35C5FECA">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履行，且按照法律规定具有相应资格的项目负责人。</w:t>
      </w:r>
    </w:p>
    <w:p w14:paraId="0351FF2B">
      <w:pPr>
        <w:spacing w:before="152"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"1.1.2.9"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1.1.2.9</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总监理工程师：是指由监理人任命并派驻施工现场进行工程监理的总负责人。</w:t>
      </w:r>
    </w:p>
    <w:p w14:paraId="2CFBBF61">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1.1.3 </w:t>
      </w:r>
      <w:r>
        <w:rPr>
          <w:rFonts w:ascii="宋体" w:hAnsi="宋体" w:eastAsia="宋体" w:cs="宋体"/>
          <w:color w:val="auto"/>
          <w:spacing w:val="-2"/>
          <w:sz w:val="21"/>
          <w:szCs w:val="21"/>
          <w:highlight w:val="none"/>
        </w:rPr>
        <w:t>工程和设备</w:t>
      </w:r>
    </w:p>
    <w:p w14:paraId="0DDAF587">
      <w:pPr>
        <w:spacing w:before="147"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1.1.3.1</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工程：是指与合同协议书中工程承包范围对应的永久工程和（或）</w:t>
      </w:r>
      <w:r>
        <w:rPr>
          <w:rFonts w:ascii="宋体" w:hAnsi="宋体" w:eastAsia="宋体" w:cs="宋体"/>
          <w:color w:val="auto"/>
          <w:spacing w:val="41"/>
          <w:sz w:val="21"/>
          <w:szCs w:val="21"/>
          <w:highlight w:val="none"/>
        </w:rPr>
        <w:t xml:space="preserve"> </w:t>
      </w:r>
      <w:r>
        <w:rPr>
          <w:rFonts w:ascii="宋体" w:hAnsi="宋体" w:eastAsia="宋体" w:cs="宋体"/>
          <w:color w:val="auto"/>
          <w:spacing w:val="-4"/>
          <w:sz w:val="21"/>
          <w:szCs w:val="21"/>
          <w:highlight w:val="none"/>
        </w:rPr>
        <w:t>临时工程。</w:t>
      </w:r>
    </w:p>
    <w:p w14:paraId="62D469B7">
      <w:pPr>
        <w:spacing w:before="153"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"1.1.3.2" </w:instrText>
      </w:r>
      <w:r>
        <w:rPr>
          <w:color w:val="auto"/>
          <w:highlight w:val="none"/>
        </w:rPr>
        <w:fldChar w:fldCharType="separate"/>
      </w:r>
      <w:r>
        <w:rPr>
          <w:rFonts w:ascii="Times New Roman" w:hAnsi="Times New Roman" w:eastAsia="Times New Roman" w:cs="Times New Roman"/>
          <w:color w:val="auto"/>
          <w:spacing w:val="-5"/>
          <w:sz w:val="21"/>
          <w:szCs w:val="21"/>
          <w:highlight w:val="none"/>
        </w:rPr>
        <w:t>1.1.3.2</w:t>
      </w:r>
      <w:r>
        <w:rPr>
          <w:rFonts w:ascii="Times New Roman" w:hAnsi="Times New Roman" w:eastAsia="Times New Roman" w:cs="Times New Roman"/>
          <w:color w:val="auto"/>
          <w:spacing w:val="-5"/>
          <w:sz w:val="21"/>
          <w:szCs w:val="21"/>
          <w:highlight w:val="none"/>
        </w:rPr>
        <w:fldChar w:fldCharType="end"/>
      </w:r>
      <w:r>
        <w:rPr>
          <w:rFonts w:ascii="Times New Roman" w:hAnsi="Times New Roman" w:eastAsia="Times New Roman" w:cs="Times New Roman"/>
          <w:color w:val="auto"/>
          <w:spacing w:val="-5"/>
          <w:sz w:val="21"/>
          <w:szCs w:val="21"/>
          <w:highlight w:val="none"/>
        </w:rPr>
        <w:t xml:space="preserve"> </w:t>
      </w:r>
      <w:r>
        <w:rPr>
          <w:rFonts w:ascii="宋体" w:hAnsi="宋体" w:eastAsia="宋体" w:cs="宋体"/>
          <w:color w:val="auto"/>
          <w:spacing w:val="-5"/>
          <w:sz w:val="21"/>
          <w:szCs w:val="21"/>
          <w:highlight w:val="none"/>
        </w:rPr>
        <w:t>永久工程：是指按合同约定建造并移交给发包人的工程，</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包括工程设备。</w:t>
      </w:r>
    </w:p>
    <w:p w14:paraId="50181F40">
      <w:pPr>
        <w:spacing w:before="148" w:line="398"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"1.1.3.3" </w:instrText>
      </w:r>
      <w:r>
        <w:rPr>
          <w:color w:val="auto"/>
          <w:highlight w:val="none"/>
        </w:rPr>
        <w:fldChar w:fldCharType="separate"/>
      </w:r>
      <w:r>
        <w:rPr>
          <w:rFonts w:ascii="Times New Roman" w:hAnsi="Times New Roman" w:eastAsia="Times New Roman" w:cs="Times New Roman"/>
          <w:color w:val="auto"/>
          <w:spacing w:val="-4"/>
          <w:position w:val="14"/>
          <w:sz w:val="21"/>
          <w:szCs w:val="21"/>
          <w:highlight w:val="none"/>
        </w:rPr>
        <w:t>1.1.3.3</w:t>
      </w:r>
      <w:r>
        <w:rPr>
          <w:rFonts w:ascii="Times New Roman" w:hAnsi="Times New Roman" w:eastAsia="Times New Roman" w:cs="Times New Roman"/>
          <w:color w:val="auto"/>
          <w:spacing w:val="-4"/>
          <w:position w:val="14"/>
          <w:sz w:val="21"/>
          <w:szCs w:val="21"/>
          <w:highlight w:val="none"/>
        </w:rPr>
        <w:fldChar w:fldCharType="end"/>
      </w:r>
      <w:r>
        <w:rPr>
          <w:rFonts w:ascii="Times New Roman" w:hAnsi="Times New Roman" w:eastAsia="Times New Roman" w:cs="Times New Roman"/>
          <w:color w:val="auto"/>
          <w:spacing w:val="60"/>
          <w:position w:val="14"/>
          <w:sz w:val="21"/>
          <w:szCs w:val="21"/>
          <w:highlight w:val="none"/>
        </w:rPr>
        <w:t xml:space="preserve"> </w:t>
      </w:r>
      <w:r>
        <w:rPr>
          <w:rFonts w:ascii="宋体" w:hAnsi="宋体" w:eastAsia="宋体" w:cs="宋体"/>
          <w:color w:val="auto"/>
          <w:spacing w:val="-4"/>
          <w:position w:val="14"/>
          <w:sz w:val="21"/>
          <w:szCs w:val="21"/>
          <w:highlight w:val="none"/>
        </w:rPr>
        <w:t>临时工程： 是指为完成合同约定的永久工程所修建的各类临时性工程， 不包括</w:t>
      </w:r>
    </w:p>
    <w:p w14:paraId="666D025C">
      <w:pPr>
        <w:spacing w:line="222"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施工设备。</w:t>
      </w:r>
    </w:p>
    <w:p w14:paraId="749BBB3F">
      <w:pPr>
        <w:spacing w:before="151" w:line="398" w:lineRule="exact"/>
        <w:ind w:right="3"/>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7"/>
          <w:w w:val="101"/>
          <w:position w:val="14"/>
          <w:sz w:val="21"/>
          <w:szCs w:val="21"/>
          <w:highlight w:val="none"/>
        </w:rPr>
        <w:t xml:space="preserve"> </w:t>
      </w:r>
      <w:r>
        <w:rPr>
          <w:rFonts w:ascii="宋体" w:hAnsi="宋体" w:eastAsia="宋体" w:cs="宋体"/>
          <w:color w:val="auto"/>
          <w:spacing w:val="-1"/>
          <w:position w:val="14"/>
          <w:sz w:val="21"/>
          <w:szCs w:val="21"/>
          <w:highlight w:val="none"/>
        </w:rPr>
        <w:t>单位工程： 是指在合同协议书中指明的，具备独立施工条件并能形成独立使用</w:t>
      </w:r>
    </w:p>
    <w:p w14:paraId="4CFF934C">
      <w:pPr>
        <w:spacing w:before="1" w:line="221"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功能的永久工程。</w:t>
      </w:r>
    </w:p>
    <w:p w14:paraId="4221B7AC">
      <w:pPr>
        <w:spacing w:before="147"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"1.1.3.5"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1.1.3.5</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工程设备： 是指构成永久工程的机电设备、金属结构设备、仪器及其他类似的</w:t>
      </w:r>
    </w:p>
    <w:p w14:paraId="344115C0">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设备和装置。</w:t>
      </w:r>
    </w:p>
    <w:p w14:paraId="702D7723">
      <w:pPr>
        <w:spacing w:before="147" w:line="398" w:lineRule="exact"/>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"1.1.3.6"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1"/>
          <w:w w:val="101"/>
          <w:position w:val="14"/>
          <w:sz w:val="21"/>
          <w:szCs w:val="21"/>
          <w:highlight w:val="none"/>
        </w:rPr>
        <w:t xml:space="preserve"> </w:t>
      </w:r>
      <w:r>
        <w:rPr>
          <w:rFonts w:ascii="宋体" w:hAnsi="宋体" w:eastAsia="宋体" w:cs="宋体"/>
          <w:color w:val="auto"/>
          <w:spacing w:val="-3"/>
          <w:position w:val="14"/>
          <w:sz w:val="21"/>
          <w:szCs w:val="21"/>
          <w:highlight w:val="none"/>
        </w:rPr>
        <w:t>施工设备： 是指为完成合同约定的各项工作所需的设备、器</w:t>
      </w:r>
      <w:r>
        <w:rPr>
          <w:rFonts w:ascii="宋体" w:hAnsi="宋体" w:eastAsia="宋体" w:cs="宋体"/>
          <w:color w:val="auto"/>
          <w:spacing w:val="-4"/>
          <w:position w:val="14"/>
          <w:sz w:val="21"/>
          <w:szCs w:val="21"/>
          <w:highlight w:val="none"/>
        </w:rPr>
        <w:t>具和其他物品， 但</w:t>
      </w:r>
    </w:p>
    <w:p w14:paraId="78E1350A">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不包括工程设备、临时工程和材料。</w:t>
      </w:r>
    </w:p>
    <w:p w14:paraId="680F25EC">
      <w:pPr>
        <w:spacing w:before="154" w:line="398" w:lineRule="exact"/>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"1.1.3.7"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1.1.3.7</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9"/>
          <w:position w:val="14"/>
          <w:sz w:val="21"/>
          <w:szCs w:val="21"/>
          <w:highlight w:val="none"/>
        </w:rPr>
        <w:t xml:space="preserve"> </w:t>
      </w:r>
      <w:r>
        <w:rPr>
          <w:rFonts w:ascii="宋体" w:hAnsi="宋体" w:eastAsia="宋体" w:cs="宋体"/>
          <w:color w:val="auto"/>
          <w:spacing w:val="-1"/>
          <w:position w:val="14"/>
          <w:sz w:val="21"/>
          <w:szCs w:val="21"/>
          <w:highlight w:val="none"/>
        </w:rPr>
        <w:t>施工现场： 是指用于工程施工的场所，以及在专用合同条款中指明作为施工场</w:t>
      </w:r>
    </w:p>
    <w:p w14:paraId="16C6E49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所组成部分的其他场所，包括永久占地和临时占地。</w:t>
      </w:r>
    </w:p>
    <w:p w14:paraId="3368AE05">
      <w:pPr>
        <w:spacing w:before="147"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"1.1.3.8"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1.1.3.8</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临时设施：是指为完成合同约定的各项工作所服务的临时性生产和生活设施。</w:t>
      </w:r>
    </w:p>
    <w:p w14:paraId="37A501F2">
      <w:pPr>
        <w:spacing w:before="152"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"1.1.3.9"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1.1.3.9</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永久占地：是指专用合同条款中指明为实施工程需永久占用的土地。</w:t>
      </w:r>
    </w:p>
    <w:p w14:paraId="78AF823A">
      <w:pPr>
        <w:spacing w:before="147"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"1.1.3.10"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1.1.3.10</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2"/>
          <w:sz w:val="21"/>
          <w:szCs w:val="21"/>
          <w:highlight w:val="none"/>
        </w:rPr>
        <w:t>临时占地：是指专用合同条款中指明为实施工程需要临时占用的土地。</w:t>
      </w:r>
    </w:p>
    <w:p w14:paraId="3637EC73">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1.1.4</w:t>
      </w:r>
      <w:r>
        <w:rPr>
          <w:rFonts w:ascii="Times New Roman" w:hAnsi="Times New Roman" w:eastAsia="Times New Roman" w:cs="Times New Roman"/>
          <w:color w:val="auto"/>
          <w:spacing w:val="49"/>
          <w:sz w:val="21"/>
          <w:szCs w:val="21"/>
          <w:highlight w:val="none"/>
        </w:rPr>
        <w:t xml:space="preserve"> </w:t>
      </w:r>
      <w:r>
        <w:rPr>
          <w:rFonts w:ascii="宋体" w:hAnsi="宋体" w:eastAsia="宋体" w:cs="宋体"/>
          <w:color w:val="auto"/>
          <w:spacing w:val="-7"/>
          <w:sz w:val="21"/>
          <w:szCs w:val="21"/>
          <w:highlight w:val="none"/>
        </w:rPr>
        <w:t>日期和期限</w:t>
      </w:r>
    </w:p>
    <w:p w14:paraId="34292E08">
      <w:pPr>
        <w:spacing w:before="152" w:line="350" w:lineRule="auto"/>
        <w:ind w:left="23" w:right="5" w:firstLine="434"/>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1.1.4.1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5"/>
          <w:sz w:val="21"/>
          <w:szCs w:val="21"/>
          <w:highlight w:val="none"/>
        </w:rPr>
        <w:t xml:space="preserve"> </w:t>
      </w:r>
      <w:r>
        <w:rPr>
          <w:rFonts w:ascii="宋体" w:hAnsi="宋体" w:eastAsia="宋体" w:cs="宋体"/>
          <w:color w:val="auto"/>
          <w:spacing w:val="-1"/>
          <w:sz w:val="21"/>
          <w:szCs w:val="21"/>
          <w:highlight w:val="none"/>
        </w:rPr>
        <w:t>开工日期： 包括计划开工日期和实际开工日期。计划开工日期是指合同协议书</w:t>
      </w:r>
      <w:r>
        <w:rPr>
          <w:rFonts w:ascii="宋体" w:hAnsi="宋体" w:eastAsia="宋体" w:cs="宋体"/>
          <w:color w:val="auto"/>
          <w:sz w:val="21"/>
          <w:szCs w:val="21"/>
          <w:highlight w:val="none"/>
        </w:rPr>
        <w:t xml:space="preserve"> 约定的开工日期；实际开工日期是指监理人按照第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7.3</w:t>
      </w:r>
      <w:r>
        <w:rPr>
          <w:rFonts w:ascii="Times New Roman" w:hAnsi="Times New Roman" w:eastAsia="Times New Roman" w:cs="Times New Roman"/>
          <w:color w:val="auto"/>
          <w:spacing w:val="-1"/>
          <w:sz w:val="21"/>
          <w:szCs w:val="21"/>
          <w:highlight w:val="none"/>
        </w:rPr>
        <w:t xml:space="preserve">.2 </w:t>
      </w:r>
      <w:r>
        <w:rPr>
          <w:rFonts w:ascii="宋体" w:hAnsi="宋体" w:eastAsia="宋体" w:cs="宋体"/>
          <w:color w:val="auto"/>
          <w:spacing w:val="-1"/>
          <w:sz w:val="21"/>
          <w:szCs w:val="21"/>
          <w:highlight w:val="none"/>
        </w:rPr>
        <w:t>项〔开工通知〕约定发出的符合法</w:t>
      </w:r>
    </w:p>
    <w:p w14:paraId="632A8823">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律规定的开工通知中载明的开工日期。</w:t>
      </w:r>
    </w:p>
    <w:p w14:paraId="460F541B">
      <w:pPr>
        <w:spacing w:before="152" w:line="399"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1.1.4.2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竣工日期： 包括计划竣工日期和实际竣工日期。计划竣工日期是指合同协议书</w:t>
      </w:r>
    </w:p>
    <w:p w14:paraId="4AD765C8">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约定的竣工日期；实际竣工日期按照第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13.2.3 </w:t>
      </w:r>
      <w:r>
        <w:rPr>
          <w:rFonts w:ascii="宋体" w:hAnsi="宋体" w:eastAsia="宋体" w:cs="宋体"/>
          <w:color w:val="auto"/>
          <w:spacing w:val="-1"/>
          <w:sz w:val="21"/>
          <w:szCs w:val="21"/>
          <w:highlight w:val="none"/>
        </w:rPr>
        <w:t>项〔竣工日期〕的约定确定。</w:t>
      </w:r>
    </w:p>
    <w:p w14:paraId="42950D34">
      <w:pPr>
        <w:spacing w:before="148"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1.1.4.3</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2"/>
          <w:position w:val="14"/>
          <w:sz w:val="21"/>
          <w:szCs w:val="21"/>
          <w:highlight w:val="none"/>
        </w:rPr>
        <w:t>工期：是指在合同协议书约定的承</w:t>
      </w:r>
      <w:r>
        <w:rPr>
          <w:rFonts w:ascii="宋体" w:hAnsi="宋体" w:eastAsia="宋体" w:cs="宋体"/>
          <w:color w:val="auto"/>
          <w:spacing w:val="1"/>
          <w:position w:val="14"/>
          <w:sz w:val="21"/>
          <w:szCs w:val="21"/>
          <w:highlight w:val="none"/>
        </w:rPr>
        <w:t>包人完成工程所需的期限，包括按照合同约</w:t>
      </w:r>
    </w:p>
    <w:p w14:paraId="611FAC53">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定所作的期限变更。</w:t>
      </w:r>
    </w:p>
    <w:p w14:paraId="2626A7E3">
      <w:pPr>
        <w:spacing w:before="147" w:line="221" w:lineRule="auto"/>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"1.1.4.4"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1.1.4.4</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9"/>
          <w:w w:val="101"/>
          <w:sz w:val="21"/>
          <w:szCs w:val="21"/>
          <w:highlight w:val="none"/>
        </w:rPr>
        <w:t xml:space="preserve"> </w:t>
      </w:r>
      <w:r>
        <w:rPr>
          <w:rFonts w:ascii="宋体" w:hAnsi="宋体" w:eastAsia="宋体" w:cs="宋体"/>
          <w:color w:val="auto"/>
          <w:spacing w:val="-1"/>
          <w:sz w:val="21"/>
          <w:szCs w:val="21"/>
          <w:highlight w:val="none"/>
        </w:rPr>
        <w:t>缺陷责任期：是指承包人按照合同约定承担缺陷修复义务， 且发包人预留质量</w:t>
      </w:r>
    </w:p>
    <w:p w14:paraId="1EC818FE">
      <w:pPr>
        <w:spacing w:line="221" w:lineRule="auto"/>
        <w:rPr>
          <w:rFonts w:ascii="宋体" w:hAnsi="宋体" w:eastAsia="宋体" w:cs="宋体"/>
          <w:color w:val="auto"/>
          <w:sz w:val="21"/>
          <w:szCs w:val="21"/>
          <w:highlight w:val="none"/>
        </w:rPr>
        <w:sectPr>
          <w:footerReference r:id="rId103" w:type="default"/>
          <w:pgSz w:w="11905" w:h="16839"/>
          <w:pgMar w:top="1431" w:right="1785" w:bottom="1004" w:left="1785" w:header="0" w:footer="828" w:gutter="0"/>
          <w:pgNumType w:fmt="decimal"/>
          <w:cols w:space="720" w:num="1"/>
        </w:sectPr>
      </w:pPr>
    </w:p>
    <w:p w14:paraId="057E83AC">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保证金（已缴纳履约保证金的除外）的期限，</w:t>
      </w:r>
      <w:r>
        <w:rPr>
          <w:rFonts w:ascii="宋体" w:hAnsi="宋体" w:eastAsia="宋体" w:cs="宋体"/>
          <w:color w:val="auto"/>
          <w:spacing w:val="57"/>
          <w:sz w:val="21"/>
          <w:szCs w:val="21"/>
          <w:highlight w:val="none"/>
        </w:rPr>
        <w:t xml:space="preserve"> </w:t>
      </w:r>
      <w:r>
        <w:rPr>
          <w:rFonts w:ascii="宋体" w:hAnsi="宋体" w:eastAsia="宋体" w:cs="宋体"/>
          <w:color w:val="auto"/>
          <w:spacing w:val="-5"/>
          <w:sz w:val="21"/>
          <w:szCs w:val="21"/>
          <w:highlight w:val="none"/>
        </w:rPr>
        <w:t>自工程实际竣工日期起计算。</w:t>
      </w:r>
    </w:p>
    <w:p w14:paraId="7316E2A1">
      <w:pPr>
        <w:spacing w:before="147"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"1.1.4.5"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1.1.4.5</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保修期：是指承包人按照合同约定对工</w:t>
      </w:r>
      <w:r>
        <w:rPr>
          <w:rFonts w:ascii="宋体" w:hAnsi="宋体" w:eastAsia="宋体" w:cs="宋体"/>
          <w:color w:val="auto"/>
          <w:spacing w:val="1"/>
          <w:position w:val="14"/>
          <w:sz w:val="21"/>
          <w:szCs w:val="21"/>
          <w:highlight w:val="none"/>
        </w:rPr>
        <w:t>程承担保修责任的期限，从工程竣工验</w:t>
      </w:r>
    </w:p>
    <w:p w14:paraId="6B7543E9">
      <w:pPr>
        <w:spacing w:line="220" w:lineRule="auto"/>
        <w:ind w:left="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收合格之日起计算。</w:t>
      </w:r>
    </w:p>
    <w:p w14:paraId="5CBDF08C">
      <w:pPr>
        <w:spacing w:before="148"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"1.1.4.6"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1.1.4.6</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1"/>
          <w:position w:val="14"/>
          <w:sz w:val="21"/>
          <w:szCs w:val="21"/>
          <w:highlight w:val="none"/>
        </w:rPr>
        <w:t>基准日期：招标发包的工程以投标截止日前</w:t>
      </w:r>
      <w:r>
        <w:rPr>
          <w:rFonts w:ascii="宋体" w:hAnsi="宋体" w:eastAsia="宋体" w:cs="宋体"/>
          <w:color w:val="auto"/>
          <w:spacing w:val="-46"/>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 xml:space="preserve">28 </w:t>
      </w:r>
      <w:r>
        <w:rPr>
          <w:rFonts w:ascii="宋体" w:hAnsi="宋体" w:eastAsia="宋体" w:cs="宋体"/>
          <w:color w:val="auto"/>
          <w:spacing w:val="-1"/>
          <w:position w:val="14"/>
          <w:sz w:val="21"/>
          <w:szCs w:val="21"/>
          <w:highlight w:val="none"/>
        </w:rPr>
        <w:t>天的日期为基准</w:t>
      </w:r>
      <w:r>
        <w:rPr>
          <w:rFonts w:ascii="宋体" w:hAnsi="宋体" w:eastAsia="宋体" w:cs="宋体"/>
          <w:color w:val="auto"/>
          <w:spacing w:val="-2"/>
          <w:position w:val="14"/>
          <w:sz w:val="21"/>
          <w:szCs w:val="21"/>
          <w:highlight w:val="none"/>
        </w:rPr>
        <w:t>日期，直接发包</w:t>
      </w:r>
    </w:p>
    <w:p w14:paraId="72DADAE4">
      <w:pPr>
        <w:spacing w:before="1" w:line="221"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的工程以合同签订日前</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28 </w:t>
      </w:r>
      <w:r>
        <w:rPr>
          <w:rFonts w:ascii="宋体" w:hAnsi="宋体" w:eastAsia="宋体" w:cs="宋体"/>
          <w:color w:val="auto"/>
          <w:spacing w:val="-2"/>
          <w:sz w:val="21"/>
          <w:szCs w:val="21"/>
          <w:highlight w:val="none"/>
        </w:rPr>
        <w:t>天的日期为基准日期。</w:t>
      </w:r>
    </w:p>
    <w:p w14:paraId="340FAC69">
      <w:pPr>
        <w:spacing w:before="151"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"1.1.4.7" </w:instrText>
      </w:r>
      <w:r>
        <w:rPr>
          <w:color w:val="auto"/>
          <w:highlight w:val="none"/>
        </w:rPr>
        <w:fldChar w:fldCharType="separate"/>
      </w:r>
      <w:r>
        <w:rPr>
          <w:rFonts w:ascii="Times New Roman" w:hAnsi="Times New Roman" w:eastAsia="Times New Roman" w:cs="Times New Roman"/>
          <w:color w:val="auto"/>
          <w:spacing w:val="-4"/>
          <w:position w:val="14"/>
          <w:sz w:val="21"/>
          <w:szCs w:val="21"/>
          <w:highlight w:val="none"/>
        </w:rPr>
        <w:t>1.1.4.7</w:t>
      </w:r>
      <w:r>
        <w:rPr>
          <w:rFonts w:ascii="Times New Roman" w:hAnsi="Times New Roman" w:eastAsia="Times New Roman" w:cs="Times New Roman"/>
          <w:color w:val="auto"/>
          <w:spacing w:val="-4"/>
          <w:position w:val="14"/>
          <w:sz w:val="21"/>
          <w:szCs w:val="21"/>
          <w:highlight w:val="none"/>
        </w:rPr>
        <w:fldChar w:fldCharType="end"/>
      </w:r>
      <w:r>
        <w:rPr>
          <w:rFonts w:ascii="Times New Roman" w:hAnsi="Times New Roman" w:eastAsia="Times New Roman" w:cs="Times New Roman"/>
          <w:color w:val="auto"/>
          <w:spacing w:val="54"/>
          <w:w w:val="101"/>
          <w:position w:val="14"/>
          <w:sz w:val="21"/>
          <w:szCs w:val="21"/>
          <w:highlight w:val="none"/>
        </w:rPr>
        <w:t xml:space="preserve"> </w:t>
      </w:r>
      <w:r>
        <w:rPr>
          <w:rFonts w:ascii="宋体" w:hAnsi="宋体" w:eastAsia="宋体" w:cs="宋体"/>
          <w:color w:val="auto"/>
          <w:spacing w:val="-4"/>
          <w:position w:val="14"/>
          <w:sz w:val="21"/>
          <w:szCs w:val="21"/>
          <w:highlight w:val="none"/>
        </w:rPr>
        <w:t>天： 除特别指明外，均指日历天。合同中按天计算时间的， 开始当天不计入，</w:t>
      </w:r>
    </w:p>
    <w:p w14:paraId="09D719C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从次日开始计算，期限最后一天的截止时间为当天</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24:00 </w:t>
      </w:r>
      <w:r>
        <w:rPr>
          <w:rFonts w:ascii="宋体" w:hAnsi="宋体" w:eastAsia="宋体" w:cs="宋体"/>
          <w:color w:val="auto"/>
          <w:spacing w:val="-2"/>
          <w:sz w:val="21"/>
          <w:szCs w:val="21"/>
          <w:highlight w:val="none"/>
        </w:rPr>
        <w:t>时。</w:t>
      </w:r>
    </w:p>
    <w:p w14:paraId="496BEDE3">
      <w:pPr>
        <w:spacing w:before="148"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宋体" w:hAnsi="宋体" w:eastAsia="宋体" w:cs="宋体"/>
          <w:color w:val="auto"/>
          <w:spacing w:val="-2"/>
          <w:sz w:val="21"/>
          <w:szCs w:val="21"/>
          <w:highlight w:val="none"/>
        </w:rPr>
        <w:t>合同价格和费用</w:t>
      </w:r>
    </w:p>
    <w:p w14:paraId="7D6A8E54">
      <w:pPr>
        <w:spacing w:before="154"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"1.1.5.1"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1.1.5.1</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签约合同价：是指发包人和承包人在合同协议书中确定的总金额， 包括安全文</w:t>
      </w:r>
    </w:p>
    <w:p w14:paraId="5FD131F3">
      <w:pPr>
        <w:spacing w:before="1" w:line="219" w:lineRule="auto"/>
        <w:ind w:left="3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明施工费、暂估价及暂列金额等。</w:t>
      </w:r>
    </w:p>
    <w:p w14:paraId="2068557F">
      <w:pPr>
        <w:spacing w:before="149"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合同价格： 是指发包人用于支付承包人按照合同约定完成承包范围内全部工作</w:t>
      </w:r>
    </w:p>
    <w:p w14:paraId="34050068">
      <w:pPr>
        <w:spacing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的金额，包括合同履行过程中按合同约定发生的价格变化。</w:t>
      </w:r>
    </w:p>
    <w:p w14:paraId="306BCE6C">
      <w:pPr>
        <w:spacing w:before="150"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"1.1.5.3"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1.1.5.3</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7"/>
          <w:position w:val="14"/>
          <w:sz w:val="21"/>
          <w:szCs w:val="21"/>
          <w:highlight w:val="none"/>
        </w:rPr>
        <w:t xml:space="preserve"> </w:t>
      </w:r>
      <w:r>
        <w:rPr>
          <w:rFonts w:ascii="宋体" w:hAnsi="宋体" w:eastAsia="宋体" w:cs="宋体"/>
          <w:color w:val="auto"/>
          <w:spacing w:val="1"/>
          <w:position w:val="14"/>
          <w:sz w:val="21"/>
          <w:szCs w:val="21"/>
          <w:highlight w:val="none"/>
        </w:rPr>
        <w:t>费用：是指为履行合同所发生的或将要发生的所有必需的开支，包括管理费和</w:t>
      </w:r>
    </w:p>
    <w:p w14:paraId="0D188F4A">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应分摊的其他费用， 但不包括利润。</w:t>
      </w:r>
    </w:p>
    <w:p w14:paraId="7ECD992E">
      <w:pPr>
        <w:spacing w:before="152" w:line="399"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7"/>
          <w:position w:val="14"/>
          <w:sz w:val="21"/>
          <w:szCs w:val="21"/>
          <w:highlight w:val="none"/>
        </w:rPr>
        <w:t xml:space="preserve"> </w:t>
      </w:r>
      <w:r>
        <w:rPr>
          <w:rFonts w:ascii="宋体" w:hAnsi="宋体" w:eastAsia="宋体" w:cs="宋体"/>
          <w:color w:val="auto"/>
          <w:spacing w:val="1"/>
          <w:position w:val="14"/>
          <w:sz w:val="21"/>
          <w:szCs w:val="21"/>
          <w:highlight w:val="none"/>
        </w:rPr>
        <w:t>暂估价：是指发包人在工程量清单或预算书中提供的用于支付必然发生但暂时</w:t>
      </w:r>
    </w:p>
    <w:p w14:paraId="12BC769E">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不能确定价格的材料、工程设备的单价、专业工程以及服务工作的金额。</w:t>
      </w:r>
    </w:p>
    <w:p w14:paraId="143D9A10">
      <w:pPr>
        <w:spacing w:before="150" w:line="352" w:lineRule="auto"/>
        <w:ind w:left="21" w:firstLine="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"1.1.5.5"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1.1.5.5</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49"/>
          <w:w w:val="101"/>
          <w:sz w:val="21"/>
          <w:szCs w:val="21"/>
          <w:highlight w:val="none"/>
        </w:rPr>
        <w:t xml:space="preserve"> </w:t>
      </w:r>
      <w:r>
        <w:rPr>
          <w:rFonts w:ascii="宋体" w:hAnsi="宋体" w:eastAsia="宋体" w:cs="宋体"/>
          <w:color w:val="auto"/>
          <w:spacing w:val="-2"/>
          <w:sz w:val="21"/>
          <w:szCs w:val="21"/>
          <w:highlight w:val="none"/>
        </w:rPr>
        <w:t xml:space="preserve">暂列金额： 是指发包人在工程量清单或预算书中暂定并包括在合同价格中的一  </w:t>
      </w:r>
      <w:r>
        <w:rPr>
          <w:rFonts w:ascii="宋体" w:hAnsi="宋体" w:eastAsia="宋体" w:cs="宋体"/>
          <w:color w:val="auto"/>
          <w:spacing w:val="2"/>
          <w:sz w:val="21"/>
          <w:szCs w:val="21"/>
          <w:highlight w:val="none"/>
        </w:rPr>
        <w:t>笔款项，用于工程合同签订时尚未确定或者不可预</w:t>
      </w:r>
      <w:r>
        <w:rPr>
          <w:rFonts w:ascii="宋体" w:hAnsi="宋体" w:eastAsia="宋体" w:cs="宋体"/>
          <w:color w:val="auto"/>
          <w:spacing w:val="1"/>
          <w:sz w:val="21"/>
          <w:szCs w:val="21"/>
          <w:highlight w:val="none"/>
        </w:rPr>
        <w:t>见的所需材料、工程设备、服务的采购，</w:t>
      </w:r>
    </w:p>
    <w:p w14:paraId="1CBE592C">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施工中可能发生的工程变更、合同约定调整因素出现时的合同价</w:t>
      </w:r>
      <w:r>
        <w:rPr>
          <w:rFonts w:ascii="宋体" w:hAnsi="宋体" w:eastAsia="宋体" w:cs="宋体"/>
          <w:color w:val="auto"/>
          <w:spacing w:val="2"/>
          <w:sz w:val="21"/>
          <w:szCs w:val="21"/>
          <w:highlight w:val="none"/>
        </w:rPr>
        <w:t>格调整以及发生的索赔、</w:t>
      </w:r>
    </w:p>
    <w:p w14:paraId="47A2EF7E">
      <w:pPr>
        <w:spacing w:before="149"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现场签证确认等的费用。</w:t>
      </w:r>
    </w:p>
    <w:p w14:paraId="05DC93EB">
      <w:pPr>
        <w:spacing w:before="153"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"1.1.5.6"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1.1.5.6</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计日工：是指合同履行过程中，承包人</w:t>
      </w:r>
      <w:r>
        <w:rPr>
          <w:rFonts w:ascii="宋体" w:hAnsi="宋体" w:eastAsia="宋体" w:cs="宋体"/>
          <w:color w:val="auto"/>
          <w:spacing w:val="1"/>
          <w:position w:val="14"/>
          <w:sz w:val="21"/>
          <w:szCs w:val="21"/>
          <w:highlight w:val="none"/>
        </w:rPr>
        <w:t>完成发包人提出的零星工作或需要采用</w:t>
      </w:r>
    </w:p>
    <w:p w14:paraId="1E7A3915">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计日工计价的变更工作时，按合同中约定的单价计价的</w:t>
      </w:r>
      <w:r>
        <w:rPr>
          <w:rFonts w:ascii="宋体" w:hAnsi="宋体" w:eastAsia="宋体" w:cs="宋体"/>
          <w:color w:val="auto"/>
          <w:spacing w:val="-1"/>
          <w:sz w:val="21"/>
          <w:szCs w:val="21"/>
          <w:highlight w:val="none"/>
        </w:rPr>
        <w:t>一种方式。</w:t>
      </w:r>
    </w:p>
    <w:p w14:paraId="04094670">
      <w:pPr>
        <w:spacing w:before="149"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"1.1.5.7"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1.1.5.7</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 xml:space="preserve">质量保证金：是指按照第 </w:t>
      </w:r>
      <w:r>
        <w:rPr>
          <w:rFonts w:ascii="Times New Roman" w:hAnsi="Times New Roman" w:eastAsia="Times New Roman" w:cs="Times New Roman"/>
          <w:color w:val="auto"/>
          <w:spacing w:val="-1"/>
          <w:position w:val="14"/>
          <w:sz w:val="21"/>
          <w:szCs w:val="21"/>
          <w:highlight w:val="none"/>
        </w:rPr>
        <w:t>15.3</w:t>
      </w:r>
      <w:r>
        <w:rPr>
          <w:rFonts w:ascii="Times New Roman" w:hAnsi="Times New Roman" w:eastAsia="Times New Roman" w:cs="Times New Roman"/>
          <w:color w:val="auto"/>
          <w:spacing w:val="24"/>
          <w:w w:val="101"/>
          <w:position w:val="14"/>
          <w:sz w:val="21"/>
          <w:szCs w:val="21"/>
          <w:highlight w:val="none"/>
        </w:rPr>
        <w:t xml:space="preserve"> </w:t>
      </w:r>
      <w:r>
        <w:rPr>
          <w:rFonts w:ascii="宋体" w:hAnsi="宋体" w:eastAsia="宋体" w:cs="宋体"/>
          <w:color w:val="auto"/>
          <w:spacing w:val="-1"/>
          <w:position w:val="14"/>
          <w:sz w:val="21"/>
          <w:szCs w:val="21"/>
          <w:highlight w:val="none"/>
        </w:rPr>
        <w:t>款〔质量保</w:t>
      </w:r>
      <w:r>
        <w:rPr>
          <w:rFonts w:ascii="宋体" w:hAnsi="宋体" w:eastAsia="宋体" w:cs="宋体"/>
          <w:color w:val="auto"/>
          <w:spacing w:val="-2"/>
          <w:position w:val="14"/>
          <w:sz w:val="21"/>
          <w:szCs w:val="21"/>
          <w:highlight w:val="none"/>
        </w:rPr>
        <w:t>证金〕约定承包人用于保证其在缺陷</w:t>
      </w:r>
    </w:p>
    <w:p w14:paraId="2749CAD2">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责任期内履行缺陷修补义务的担保。</w:t>
      </w:r>
    </w:p>
    <w:p w14:paraId="13FA8B36">
      <w:pPr>
        <w:spacing w:before="148" w:line="399"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8"/>
          <w:w w:val="101"/>
          <w:position w:val="14"/>
          <w:sz w:val="21"/>
          <w:szCs w:val="21"/>
          <w:highlight w:val="none"/>
        </w:rPr>
        <w:t xml:space="preserve"> </w:t>
      </w:r>
      <w:r>
        <w:rPr>
          <w:rFonts w:ascii="宋体" w:hAnsi="宋体" w:eastAsia="宋体" w:cs="宋体"/>
          <w:color w:val="auto"/>
          <w:spacing w:val="-1"/>
          <w:position w:val="14"/>
          <w:sz w:val="21"/>
          <w:szCs w:val="21"/>
          <w:highlight w:val="none"/>
        </w:rPr>
        <w:t>总价项目： 是指在现行国家、行业以及地方的计量规则中</w:t>
      </w:r>
      <w:r>
        <w:rPr>
          <w:rFonts w:ascii="宋体" w:hAnsi="宋体" w:eastAsia="宋体" w:cs="宋体"/>
          <w:color w:val="auto"/>
          <w:spacing w:val="-2"/>
          <w:position w:val="14"/>
          <w:sz w:val="21"/>
          <w:szCs w:val="21"/>
          <w:highlight w:val="none"/>
        </w:rPr>
        <w:t>无工程量计算规则，</w:t>
      </w:r>
    </w:p>
    <w:p w14:paraId="46459F48">
      <w:pPr>
        <w:spacing w:line="219" w:lineRule="auto"/>
        <w:ind w:left="17"/>
        <w:rPr>
          <w:rFonts w:ascii="宋体" w:hAnsi="宋体" w:eastAsia="宋体" w:cs="宋体"/>
          <w:color w:val="auto"/>
          <w:sz w:val="21"/>
          <w:szCs w:val="21"/>
          <w:highlight w:val="none"/>
        </w:rPr>
      </w:pPr>
      <w:r>
        <w:rPr>
          <w:rFonts w:ascii="宋体" w:hAnsi="宋体" w:eastAsia="宋体" w:cs="宋体"/>
          <w:color w:val="auto"/>
          <w:sz w:val="21"/>
          <w:szCs w:val="21"/>
          <w:highlight w:val="none"/>
        </w:rPr>
        <w:t>在已标价工程量清单或预算书中以总价或以费率形式计算</w:t>
      </w:r>
      <w:r>
        <w:rPr>
          <w:rFonts w:ascii="宋体" w:hAnsi="宋体" w:eastAsia="宋体" w:cs="宋体"/>
          <w:color w:val="auto"/>
          <w:spacing w:val="-1"/>
          <w:sz w:val="21"/>
          <w:szCs w:val="21"/>
          <w:highlight w:val="none"/>
        </w:rPr>
        <w:t>的项目。</w:t>
      </w:r>
    </w:p>
    <w:p w14:paraId="63DBD3ED">
      <w:pPr>
        <w:spacing w:before="154"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1.1.6</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其他</w:t>
      </w:r>
    </w:p>
    <w:p w14:paraId="358B930F">
      <w:pPr>
        <w:spacing w:before="147"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"1.1.6.1"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1.1.6.1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7"/>
          <w:sz w:val="21"/>
          <w:szCs w:val="21"/>
          <w:highlight w:val="none"/>
        </w:rPr>
        <w:t xml:space="preserve"> </w:t>
      </w:r>
      <w:r>
        <w:rPr>
          <w:rFonts w:ascii="宋体" w:hAnsi="宋体" w:eastAsia="宋体" w:cs="宋体"/>
          <w:color w:val="auto"/>
          <w:spacing w:val="-1"/>
          <w:sz w:val="21"/>
          <w:szCs w:val="21"/>
          <w:highlight w:val="none"/>
        </w:rPr>
        <w:t>书面形式： 是指合同文件、信函、电报、传真等可以有形地表现所载内容</w:t>
      </w:r>
      <w:r>
        <w:rPr>
          <w:rFonts w:ascii="宋体" w:hAnsi="宋体" w:eastAsia="宋体" w:cs="宋体"/>
          <w:color w:val="auto"/>
          <w:spacing w:val="-2"/>
          <w:sz w:val="21"/>
          <w:szCs w:val="21"/>
          <w:highlight w:val="none"/>
        </w:rPr>
        <w:t>的形</w:t>
      </w:r>
    </w:p>
    <w:p w14:paraId="6EFCD8B3">
      <w:pPr>
        <w:spacing w:before="148" w:line="222"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式。</w:t>
      </w:r>
    </w:p>
    <w:p w14:paraId="1267BD93">
      <w:pPr>
        <w:spacing w:before="49"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1.2</w:t>
      </w:r>
      <w:r>
        <w:rPr>
          <w:rFonts w:ascii="黑体" w:hAnsi="黑体" w:eastAsia="黑体" w:cs="黑体"/>
          <w:color w:val="auto"/>
          <w:spacing w:val="-54"/>
          <w:sz w:val="24"/>
          <w:szCs w:val="24"/>
          <w:highlight w:val="none"/>
        </w:rPr>
        <w:t xml:space="preserve"> </w:t>
      </w:r>
      <w:r>
        <w:rPr>
          <w:rFonts w:ascii="黑体" w:hAnsi="黑体" w:eastAsia="黑体" w:cs="黑体"/>
          <w:color w:val="auto"/>
          <w:spacing w:val="-4"/>
          <w:sz w:val="24"/>
          <w:szCs w:val="24"/>
          <w:highlight w:val="none"/>
        </w:rPr>
        <w:t>语言文字</w:t>
      </w:r>
    </w:p>
    <w:p w14:paraId="0115C1D2">
      <w:pPr>
        <w:spacing w:before="129"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合同以中国的汉语简体文字编写、解释和说明。合同当事人在专用合同条款中约定使</w:t>
      </w:r>
    </w:p>
    <w:p w14:paraId="6337F139">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用两种以上语言时， 汉语为优先解释和说明合同的语言。</w:t>
      </w:r>
    </w:p>
    <w:p w14:paraId="60C0A8BC">
      <w:pPr>
        <w:spacing w:before="45" w:line="220" w:lineRule="auto"/>
        <w:ind w:left="31"/>
        <w:rPr>
          <w:rFonts w:ascii="黑体" w:hAnsi="黑体" w:eastAsia="黑体" w:cs="黑体"/>
          <w:color w:val="auto"/>
          <w:sz w:val="24"/>
          <w:szCs w:val="24"/>
          <w:highlight w:val="none"/>
        </w:rPr>
      </w:pPr>
      <w:r>
        <w:rPr>
          <w:rFonts w:ascii="黑体" w:hAnsi="黑体" w:eastAsia="黑体" w:cs="黑体"/>
          <w:color w:val="auto"/>
          <w:spacing w:val="-6"/>
          <w:sz w:val="24"/>
          <w:szCs w:val="24"/>
          <w:highlight w:val="none"/>
        </w:rPr>
        <w:t>1.3</w:t>
      </w:r>
      <w:r>
        <w:rPr>
          <w:rFonts w:ascii="黑体" w:hAnsi="黑体" w:eastAsia="黑体" w:cs="黑体"/>
          <w:color w:val="auto"/>
          <w:spacing w:val="-49"/>
          <w:sz w:val="24"/>
          <w:szCs w:val="24"/>
          <w:highlight w:val="none"/>
        </w:rPr>
        <w:t xml:space="preserve"> </w:t>
      </w:r>
      <w:r>
        <w:rPr>
          <w:rFonts w:ascii="黑体" w:hAnsi="黑体" w:eastAsia="黑体" w:cs="黑体"/>
          <w:color w:val="auto"/>
          <w:spacing w:val="-6"/>
          <w:sz w:val="24"/>
          <w:szCs w:val="24"/>
          <w:highlight w:val="none"/>
        </w:rPr>
        <w:t>法律</w:t>
      </w:r>
    </w:p>
    <w:p w14:paraId="3A2F481F">
      <w:pPr>
        <w:spacing w:before="128" w:line="399"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合同所称法律是指中华人民共和国法律、行政法规、部门规章， 以及工程所在地的地</w:t>
      </w:r>
    </w:p>
    <w:p w14:paraId="0599197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方性法规、自治条例、单行条例和地方政府规章等。</w:t>
      </w:r>
    </w:p>
    <w:p w14:paraId="24CD3BD5">
      <w:pPr>
        <w:spacing w:line="219" w:lineRule="auto"/>
        <w:rPr>
          <w:rFonts w:ascii="宋体" w:hAnsi="宋体" w:eastAsia="宋体" w:cs="宋体"/>
          <w:color w:val="auto"/>
          <w:sz w:val="21"/>
          <w:szCs w:val="21"/>
          <w:highlight w:val="none"/>
        </w:rPr>
        <w:sectPr>
          <w:footerReference r:id="rId104" w:type="default"/>
          <w:pgSz w:w="11905" w:h="16839"/>
          <w:pgMar w:top="1431" w:right="1632" w:bottom="1004" w:left="1785" w:header="0" w:footer="828" w:gutter="0"/>
          <w:pgNumType w:fmt="decimal"/>
          <w:cols w:space="720" w:num="1"/>
        </w:sectPr>
      </w:pPr>
    </w:p>
    <w:p w14:paraId="678DB8DE">
      <w:pPr>
        <w:spacing w:before="148"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合同当事人可以在专用合同条款中约定合同适用的其他规范性文件。</w:t>
      </w:r>
    </w:p>
    <w:p w14:paraId="5554911D">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1.4 标准和规范</w:t>
      </w:r>
    </w:p>
    <w:p w14:paraId="013BFD0C">
      <w:pPr>
        <w:spacing w:before="127" w:line="404"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1.4.1</w:t>
      </w:r>
      <w:r>
        <w:rPr>
          <w:rFonts w:ascii="Times New Roman" w:hAnsi="Times New Roman" w:eastAsia="Times New Roman" w:cs="Times New Roman"/>
          <w:color w:val="auto"/>
          <w:spacing w:val="32"/>
          <w:w w:val="101"/>
          <w:position w:val="14"/>
          <w:sz w:val="21"/>
          <w:szCs w:val="21"/>
          <w:highlight w:val="none"/>
        </w:rPr>
        <w:t xml:space="preserve"> </w:t>
      </w:r>
      <w:r>
        <w:rPr>
          <w:rFonts w:ascii="宋体" w:hAnsi="宋体" w:eastAsia="宋体" w:cs="宋体"/>
          <w:color w:val="auto"/>
          <w:position w:val="14"/>
          <w:sz w:val="21"/>
          <w:szCs w:val="21"/>
          <w:highlight w:val="none"/>
        </w:rPr>
        <w:t>适用于工程的国家标准、行业标准、</w:t>
      </w:r>
      <w:r>
        <w:rPr>
          <w:rFonts w:ascii="宋体" w:hAnsi="宋体" w:eastAsia="宋体" w:cs="宋体"/>
          <w:color w:val="auto"/>
          <w:spacing w:val="-1"/>
          <w:position w:val="14"/>
          <w:sz w:val="21"/>
          <w:szCs w:val="21"/>
          <w:highlight w:val="none"/>
        </w:rPr>
        <w:t>工程所在地的地方性标准，以及相应的规范、</w:t>
      </w:r>
    </w:p>
    <w:p w14:paraId="5185C871">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规程等，合同当事人有特别要求的，应在专用合同条款中</w:t>
      </w:r>
      <w:r>
        <w:rPr>
          <w:rFonts w:ascii="宋体" w:hAnsi="宋体" w:eastAsia="宋体" w:cs="宋体"/>
          <w:color w:val="auto"/>
          <w:spacing w:val="-2"/>
          <w:sz w:val="21"/>
          <w:szCs w:val="21"/>
          <w:highlight w:val="none"/>
        </w:rPr>
        <w:t>约定。</w:t>
      </w:r>
    </w:p>
    <w:p w14:paraId="656F6D1D">
      <w:pPr>
        <w:spacing w:before="147" w:line="39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1.4.2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position w:val="14"/>
          <w:sz w:val="21"/>
          <w:szCs w:val="21"/>
          <w:highlight w:val="none"/>
        </w:rPr>
        <w:t>发包人要求使用国外标准、规范的，发包人负责提供原文版本和中文译本，并在</w:t>
      </w:r>
    </w:p>
    <w:p w14:paraId="21A3A8B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专用合同条款中约定提供标准规范的名称、份数和时间。</w:t>
      </w:r>
    </w:p>
    <w:p w14:paraId="401A976C">
      <w:pPr>
        <w:spacing w:before="15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1.4.3</w:t>
      </w:r>
      <w:r>
        <w:rPr>
          <w:rFonts w:ascii="Times New Roman" w:hAnsi="Times New Roman" w:eastAsia="Times New Roman" w:cs="Times New Roman"/>
          <w:color w:val="auto"/>
          <w:spacing w:val="35"/>
          <w:w w:val="101"/>
          <w:sz w:val="21"/>
          <w:szCs w:val="21"/>
          <w:highlight w:val="none"/>
        </w:rPr>
        <w:t xml:space="preserve"> </w:t>
      </w:r>
      <w:r>
        <w:rPr>
          <w:rFonts w:ascii="宋体" w:hAnsi="宋体" w:eastAsia="宋体" w:cs="宋体"/>
          <w:color w:val="auto"/>
          <w:spacing w:val="-1"/>
          <w:sz w:val="21"/>
          <w:szCs w:val="21"/>
          <w:highlight w:val="none"/>
        </w:rPr>
        <w:t>发包人对工程的技术标准、功能要求高于或严于现行国家、行业或地方标准的，</w:t>
      </w:r>
    </w:p>
    <w:p w14:paraId="567C69ED">
      <w:pPr>
        <w:spacing w:before="147" w:line="274" w:lineRule="auto"/>
        <w:ind w:left="21" w:right="2" w:hanging="3"/>
        <w:rPr>
          <w:rFonts w:ascii="黑体" w:hAnsi="黑体" w:eastAsia="黑体" w:cs="黑体"/>
          <w:color w:val="auto"/>
          <w:sz w:val="24"/>
          <w:szCs w:val="24"/>
          <w:highlight w:val="none"/>
        </w:rPr>
      </w:pPr>
      <w:r>
        <w:rPr>
          <w:rFonts w:ascii="宋体" w:hAnsi="宋体" w:eastAsia="宋体" w:cs="宋体"/>
          <w:color w:val="auto"/>
          <w:spacing w:val="3"/>
          <w:sz w:val="21"/>
          <w:szCs w:val="21"/>
          <w:highlight w:val="none"/>
        </w:rPr>
        <w:t>应当在专用合同条款中予以明确。除专用合</w:t>
      </w:r>
      <w:r>
        <w:rPr>
          <w:rFonts w:ascii="宋体" w:hAnsi="宋体" w:eastAsia="宋体" w:cs="宋体"/>
          <w:color w:val="auto"/>
          <w:spacing w:val="2"/>
          <w:sz w:val="21"/>
          <w:szCs w:val="21"/>
          <w:highlight w:val="none"/>
        </w:rPr>
        <w:t>同条款另有约定外，应视为承包人在签订合同  前已充分预见前述技术标准和功能要求的复杂程度，签约合同价中已包含由此产生的费</w:t>
      </w:r>
      <w:r>
        <w:rPr>
          <w:rFonts w:ascii="宋体" w:hAnsi="宋体" w:eastAsia="宋体" w:cs="宋体"/>
          <w:color w:val="auto"/>
          <w:spacing w:val="1"/>
          <w:sz w:val="21"/>
          <w:szCs w:val="21"/>
          <w:highlight w:val="none"/>
        </w:rPr>
        <w:t>用。</w:t>
      </w:r>
      <w:r>
        <w:rPr>
          <w:rFonts w:ascii="宋体" w:hAnsi="宋体" w:eastAsia="宋体" w:cs="宋体"/>
          <w:color w:val="auto"/>
          <w:sz w:val="21"/>
          <w:szCs w:val="21"/>
          <w:highlight w:val="none"/>
        </w:rPr>
        <w:t xml:space="preserve"> </w:t>
      </w:r>
      <w:r>
        <w:rPr>
          <w:rFonts w:ascii="黑体" w:hAnsi="黑体" w:eastAsia="黑体" w:cs="黑体"/>
          <w:color w:val="auto"/>
          <w:spacing w:val="-1"/>
          <w:sz w:val="24"/>
          <w:szCs w:val="24"/>
          <w:highlight w:val="none"/>
        </w:rPr>
        <w:t>1.5 合同文件的优先顺序</w:t>
      </w:r>
    </w:p>
    <w:p w14:paraId="635ADD14">
      <w:pPr>
        <w:spacing w:before="129" w:line="221" w:lineRule="auto"/>
        <w:ind w:left="443"/>
        <w:rPr>
          <w:rFonts w:ascii="宋体" w:hAnsi="宋体" w:eastAsia="宋体" w:cs="宋体"/>
          <w:color w:val="auto"/>
          <w:sz w:val="21"/>
          <w:szCs w:val="21"/>
          <w:highlight w:val="none"/>
        </w:rPr>
      </w:pPr>
      <w:r>
        <w:rPr>
          <w:rFonts w:ascii="宋体" w:hAnsi="宋体" w:eastAsia="宋体" w:cs="宋体"/>
          <w:color w:val="auto"/>
          <w:sz w:val="21"/>
          <w:szCs w:val="21"/>
          <w:highlight w:val="none"/>
        </w:rPr>
        <w:t>组成合同的各项文件应互相解释，互为说明。除专用合同条款另有约定外， 解释合同</w:t>
      </w:r>
    </w:p>
    <w:p w14:paraId="1D2D2499">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文件的优先顺序如下：</w:t>
      </w:r>
    </w:p>
    <w:p w14:paraId="5E6F3795">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）合同协议书；</w:t>
      </w:r>
    </w:p>
    <w:p w14:paraId="5F360AB6">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）中标通知书（如果有</w:t>
      </w:r>
      <w:r>
        <w:rPr>
          <w:rFonts w:ascii="宋体" w:hAnsi="宋体" w:eastAsia="宋体" w:cs="宋体"/>
          <w:color w:val="auto"/>
          <w:spacing w:val="-17"/>
          <w:sz w:val="21"/>
          <w:szCs w:val="21"/>
          <w:highlight w:val="none"/>
        </w:rPr>
        <w:t>）；</w:t>
      </w:r>
    </w:p>
    <w:p w14:paraId="74504D40">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）投标函及其附录（如果有</w:t>
      </w:r>
      <w:r>
        <w:rPr>
          <w:rFonts w:ascii="宋体" w:hAnsi="宋体" w:eastAsia="宋体" w:cs="宋体"/>
          <w:color w:val="auto"/>
          <w:spacing w:val="-53"/>
          <w:position w:val="14"/>
          <w:sz w:val="21"/>
          <w:szCs w:val="21"/>
          <w:highlight w:val="none"/>
        </w:rPr>
        <w:t>）；</w:t>
      </w:r>
    </w:p>
    <w:p w14:paraId="67E431B7">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4</w:t>
      </w:r>
      <w:r>
        <w:rPr>
          <w:rFonts w:ascii="宋体" w:hAnsi="宋体" w:eastAsia="宋体" w:cs="宋体"/>
          <w:color w:val="auto"/>
          <w:spacing w:val="-4"/>
          <w:sz w:val="21"/>
          <w:szCs w:val="21"/>
          <w:highlight w:val="none"/>
        </w:rPr>
        <w:t>）专用合同条款及其附件；</w:t>
      </w:r>
    </w:p>
    <w:p w14:paraId="2638FF10">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）通用合同条款；</w:t>
      </w:r>
    </w:p>
    <w:p w14:paraId="634EE8B0">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）技术标准和要求；</w:t>
      </w:r>
    </w:p>
    <w:p w14:paraId="322B972F">
      <w:pPr>
        <w:spacing w:before="147" w:line="222"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7</w:t>
      </w:r>
      <w:r>
        <w:rPr>
          <w:rFonts w:ascii="宋体" w:hAnsi="宋体" w:eastAsia="宋体" w:cs="宋体"/>
          <w:color w:val="auto"/>
          <w:spacing w:val="-8"/>
          <w:sz w:val="21"/>
          <w:szCs w:val="21"/>
          <w:highlight w:val="none"/>
        </w:rPr>
        <w:t>）图纸；</w:t>
      </w:r>
    </w:p>
    <w:p w14:paraId="31288A54">
      <w:pPr>
        <w:spacing w:before="146" w:line="403"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8</w:t>
      </w:r>
      <w:r>
        <w:rPr>
          <w:rFonts w:ascii="宋体" w:hAnsi="宋体" w:eastAsia="宋体" w:cs="宋体"/>
          <w:color w:val="auto"/>
          <w:spacing w:val="-3"/>
          <w:position w:val="14"/>
          <w:sz w:val="21"/>
          <w:szCs w:val="21"/>
          <w:highlight w:val="none"/>
        </w:rPr>
        <w:t>）已标价工程量清单或预算书；</w:t>
      </w:r>
    </w:p>
    <w:p w14:paraId="1E82CE2D">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9</w:t>
      </w:r>
      <w:r>
        <w:rPr>
          <w:rFonts w:ascii="宋体" w:hAnsi="宋体" w:eastAsia="宋体" w:cs="宋体"/>
          <w:color w:val="auto"/>
          <w:spacing w:val="-4"/>
          <w:sz w:val="21"/>
          <w:szCs w:val="21"/>
          <w:highlight w:val="none"/>
        </w:rPr>
        <w:t>）其他合同文件。</w:t>
      </w:r>
    </w:p>
    <w:p w14:paraId="5D4EFD44">
      <w:pPr>
        <w:spacing w:before="148"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上述各项合同文件包括合同当事人就该项合同文件所作出的补充和修改，属于同一类</w:t>
      </w:r>
    </w:p>
    <w:p w14:paraId="77BD95FF">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内容的文件，应以最新签署的为准。</w:t>
      </w:r>
    </w:p>
    <w:p w14:paraId="56D77F42">
      <w:pPr>
        <w:spacing w:before="152"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在合同订立及履行过程中形成的与合同有关的文件均构成合同文件组成部分，并根据</w:t>
      </w:r>
    </w:p>
    <w:p w14:paraId="72727849">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其性质确定优先解释顺序。</w:t>
      </w:r>
    </w:p>
    <w:p w14:paraId="3751BCE1">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1.6</w:t>
      </w:r>
      <w:r>
        <w:rPr>
          <w:rFonts w:ascii="黑体" w:hAnsi="黑体" w:eastAsia="黑体" w:cs="黑体"/>
          <w:color w:val="auto"/>
          <w:spacing w:val="-38"/>
          <w:sz w:val="24"/>
          <w:szCs w:val="24"/>
          <w:highlight w:val="none"/>
        </w:rPr>
        <w:t xml:space="preserve"> </w:t>
      </w:r>
      <w:r>
        <w:rPr>
          <w:rFonts w:ascii="黑体" w:hAnsi="黑体" w:eastAsia="黑体" w:cs="黑体"/>
          <w:color w:val="auto"/>
          <w:spacing w:val="-4"/>
          <w:sz w:val="24"/>
          <w:szCs w:val="24"/>
          <w:highlight w:val="none"/>
        </w:rPr>
        <w:t>图纸和承包人文件</w:t>
      </w:r>
    </w:p>
    <w:p w14:paraId="055476BD">
      <w:pPr>
        <w:spacing w:before="12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1.6.1</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4"/>
          <w:sz w:val="21"/>
          <w:szCs w:val="21"/>
          <w:highlight w:val="none"/>
        </w:rPr>
        <w:t>图纸的提供和交底</w:t>
      </w:r>
    </w:p>
    <w:p w14:paraId="167F8E45">
      <w:pPr>
        <w:spacing w:before="154" w:line="350" w:lineRule="auto"/>
        <w:ind w:left="18" w:right="177"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发包人应按照专用合同条款约定的期限、数量和内容向承包人免费提供图纸，并组织</w:t>
      </w:r>
      <w:r>
        <w:rPr>
          <w:rFonts w:ascii="宋体" w:hAnsi="宋体" w:eastAsia="宋体" w:cs="宋体"/>
          <w:color w:val="auto"/>
          <w:sz w:val="21"/>
          <w:szCs w:val="21"/>
          <w:highlight w:val="none"/>
        </w:rPr>
        <w:t xml:space="preserve"> 承包人、监理人和设计人进行图纸会审和设计交底。发包人至迟不得晚于第</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1"/>
          <w:sz w:val="21"/>
          <w:szCs w:val="21"/>
          <w:highlight w:val="none"/>
        </w:rPr>
        <w:t xml:space="preserve">.3.2 </w:t>
      </w:r>
      <w:r>
        <w:rPr>
          <w:rFonts w:ascii="宋体" w:hAnsi="宋体" w:eastAsia="宋体" w:cs="宋体"/>
          <w:color w:val="auto"/>
          <w:spacing w:val="-1"/>
          <w:sz w:val="21"/>
          <w:szCs w:val="21"/>
          <w:highlight w:val="none"/>
        </w:rPr>
        <w:t>项〔开工</w:t>
      </w:r>
    </w:p>
    <w:p w14:paraId="657773B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通知〕载明的开工日期前</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14 </w:t>
      </w:r>
      <w:r>
        <w:rPr>
          <w:rFonts w:ascii="宋体" w:hAnsi="宋体" w:eastAsia="宋体" w:cs="宋体"/>
          <w:color w:val="auto"/>
          <w:spacing w:val="-3"/>
          <w:sz w:val="21"/>
          <w:szCs w:val="21"/>
          <w:highlight w:val="none"/>
        </w:rPr>
        <w:t>天向承包人提供图纸。</w:t>
      </w:r>
    </w:p>
    <w:p w14:paraId="6ADA4CFB">
      <w:pPr>
        <w:spacing w:before="153" w:line="399" w:lineRule="exact"/>
        <w:ind w:left="457"/>
        <w:rPr>
          <w:rFonts w:ascii="宋体" w:hAnsi="宋体" w:eastAsia="宋体" w:cs="宋体"/>
          <w:color w:val="auto"/>
          <w:sz w:val="21"/>
          <w:szCs w:val="21"/>
          <w:highlight w:val="none"/>
        </w:rPr>
      </w:pPr>
      <w:r>
        <w:rPr>
          <w:rFonts w:ascii="宋体" w:hAnsi="宋体" w:eastAsia="宋体" w:cs="宋体"/>
          <w:color w:val="auto"/>
          <w:spacing w:val="8"/>
          <w:position w:val="14"/>
          <w:sz w:val="21"/>
          <w:szCs w:val="21"/>
          <w:highlight w:val="none"/>
        </w:rPr>
        <w:t>因发包人未按合同约定提供图纸导致承包人费用增加和（或）工期延误的，按照第</w:t>
      </w:r>
    </w:p>
    <w:p w14:paraId="38A427C6">
      <w:pPr>
        <w:spacing w:line="220" w:lineRule="auto"/>
        <w:ind w:left="1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7.5.1 </w:t>
      </w:r>
      <w:r>
        <w:rPr>
          <w:rFonts w:ascii="宋体" w:hAnsi="宋体" w:eastAsia="宋体" w:cs="宋体"/>
          <w:color w:val="auto"/>
          <w:spacing w:val="-1"/>
          <w:sz w:val="21"/>
          <w:szCs w:val="21"/>
          <w:highlight w:val="none"/>
        </w:rPr>
        <w:t>项〔因发包人原因导致工期延误〕约定</w:t>
      </w:r>
      <w:r>
        <w:rPr>
          <w:rFonts w:ascii="宋体" w:hAnsi="宋体" w:eastAsia="宋体" w:cs="宋体"/>
          <w:color w:val="auto"/>
          <w:spacing w:val="-2"/>
          <w:sz w:val="21"/>
          <w:szCs w:val="21"/>
          <w:highlight w:val="none"/>
        </w:rPr>
        <w:t>办理。</w:t>
      </w:r>
    </w:p>
    <w:p w14:paraId="5827FD0B">
      <w:pPr>
        <w:spacing w:before="148" w:line="222"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1.6.2</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5"/>
          <w:sz w:val="21"/>
          <w:szCs w:val="21"/>
          <w:highlight w:val="none"/>
        </w:rPr>
        <w:t>图纸的错误</w:t>
      </w:r>
    </w:p>
    <w:p w14:paraId="3A1ABA18">
      <w:pPr>
        <w:spacing w:before="150"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承包人在收到发包人提供的图纸后， 发现图纸存在差错、遗漏或缺陷的，应及时通知</w:t>
      </w:r>
    </w:p>
    <w:p w14:paraId="489C9DA5">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监理人。监理人接到该通知后，应附具相关意见并立即报送发包人，发包人</w:t>
      </w:r>
      <w:r>
        <w:rPr>
          <w:rFonts w:ascii="宋体" w:hAnsi="宋体" w:eastAsia="宋体" w:cs="宋体"/>
          <w:color w:val="auto"/>
          <w:spacing w:val="2"/>
          <w:sz w:val="21"/>
          <w:szCs w:val="21"/>
          <w:highlight w:val="none"/>
        </w:rPr>
        <w:t>应在收到监理</w:t>
      </w:r>
    </w:p>
    <w:p w14:paraId="5C201972">
      <w:pPr>
        <w:spacing w:line="219" w:lineRule="auto"/>
        <w:rPr>
          <w:rFonts w:ascii="宋体" w:hAnsi="宋体" w:eastAsia="宋体" w:cs="宋体"/>
          <w:color w:val="auto"/>
          <w:sz w:val="21"/>
          <w:szCs w:val="21"/>
          <w:highlight w:val="none"/>
        </w:rPr>
        <w:sectPr>
          <w:footerReference r:id="rId105" w:type="default"/>
          <w:pgSz w:w="11905" w:h="16839"/>
          <w:pgMar w:top="1431" w:right="1614" w:bottom="1004" w:left="1785" w:header="0" w:footer="828" w:gutter="0"/>
          <w:pgNumType w:fmt="decimal"/>
          <w:cols w:space="720" w:num="1"/>
        </w:sectPr>
      </w:pPr>
    </w:p>
    <w:p w14:paraId="62876BD2">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人报送的通知后的合理时间内作出决定。 合理时间是指发包人在收到监理人的报送通知后，</w:t>
      </w:r>
    </w:p>
    <w:p w14:paraId="489985F0">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尽其努力且不懈怠地完成图纸修改补充所需的时间。</w:t>
      </w:r>
    </w:p>
    <w:p w14:paraId="4C2843B4">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1.6.3</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4"/>
          <w:sz w:val="21"/>
          <w:szCs w:val="21"/>
          <w:highlight w:val="none"/>
        </w:rPr>
        <w:t>图纸的修改和补充</w:t>
      </w:r>
    </w:p>
    <w:p w14:paraId="157E91D9">
      <w:pPr>
        <w:spacing w:before="149" w:line="352" w:lineRule="auto"/>
        <w:ind w:left="17" w:right="177" w:firstLine="44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图纸需要修改和补充的，应经图纸原设计人</w:t>
      </w:r>
      <w:r>
        <w:rPr>
          <w:rFonts w:ascii="宋体" w:hAnsi="宋体" w:eastAsia="宋体" w:cs="宋体"/>
          <w:color w:val="auto"/>
          <w:spacing w:val="2"/>
          <w:sz w:val="21"/>
          <w:szCs w:val="21"/>
          <w:highlight w:val="none"/>
        </w:rPr>
        <w:t>及审批部门同意，并由监理人在工程或工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程相应部位施工前将修改后的图纸或补充图纸提交给承包人，承包人应按修改</w:t>
      </w:r>
      <w:r>
        <w:rPr>
          <w:rFonts w:ascii="宋体" w:hAnsi="宋体" w:eastAsia="宋体" w:cs="宋体"/>
          <w:color w:val="auto"/>
          <w:spacing w:val="2"/>
          <w:sz w:val="21"/>
          <w:szCs w:val="21"/>
          <w:highlight w:val="none"/>
        </w:rPr>
        <w:t>或补充后的</w:t>
      </w:r>
    </w:p>
    <w:p w14:paraId="6C76CABD">
      <w:pPr>
        <w:spacing w:line="222" w:lineRule="auto"/>
        <w:ind w:left="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图纸施工。</w:t>
      </w:r>
    </w:p>
    <w:p w14:paraId="05A8A6B3">
      <w:pPr>
        <w:spacing w:before="145"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1.6.4 </w:t>
      </w:r>
      <w:r>
        <w:rPr>
          <w:rFonts w:ascii="宋体" w:hAnsi="宋体" w:eastAsia="宋体" w:cs="宋体"/>
          <w:color w:val="auto"/>
          <w:spacing w:val="-2"/>
          <w:sz w:val="21"/>
          <w:szCs w:val="21"/>
          <w:highlight w:val="none"/>
        </w:rPr>
        <w:t>承包人文件</w:t>
      </w:r>
    </w:p>
    <w:p w14:paraId="14F6E7E4">
      <w:pPr>
        <w:spacing w:before="148" w:line="403"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承包人应按照专用合同条款的约定提供应当由其编制的与工程施工有关的文件， 并按</w:t>
      </w:r>
    </w:p>
    <w:p w14:paraId="00FF3E71">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照专用合同条款约定的期限、数量和形式提交监理人，并由监理人报送发包人。</w:t>
      </w:r>
    </w:p>
    <w:p w14:paraId="7C08207B">
      <w:pPr>
        <w:spacing w:before="148" w:line="352" w:lineRule="auto"/>
        <w:ind w:left="17" w:right="177"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除专用合同条款另有约定外，监理人应在收到承包人文件后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天内审查完毕</w:t>
      </w:r>
      <w:r>
        <w:rPr>
          <w:rFonts w:ascii="宋体" w:hAnsi="宋体" w:eastAsia="宋体" w:cs="宋体"/>
          <w:color w:val="auto"/>
          <w:spacing w:val="-1"/>
          <w:sz w:val="21"/>
          <w:szCs w:val="21"/>
          <w:highlight w:val="none"/>
        </w:rPr>
        <w:t>，监理人</w:t>
      </w:r>
      <w:r>
        <w:rPr>
          <w:rFonts w:ascii="宋体" w:hAnsi="宋体" w:eastAsia="宋体" w:cs="宋体"/>
          <w:color w:val="auto"/>
          <w:sz w:val="21"/>
          <w:szCs w:val="21"/>
          <w:highlight w:val="none"/>
        </w:rPr>
        <w:t xml:space="preserve"> 对承包人文件有异议的，承包人应予以修改， 并重新报送监理人。监理人的审查并不减轻</w:t>
      </w:r>
    </w:p>
    <w:p w14:paraId="0C9B05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或免除承包人根据合同约定应当承担的责任。</w:t>
      </w:r>
    </w:p>
    <w:p w14:paraId="18C821C0">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1.6.5</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3"/>
          <w:sz w:val="21"/>
          <w:szCs w:val="21"/>
          <w:highlight w:val="none"/>
        </w:rPr>
        <w:t>图纸和承包人文件的保管</w:t>
      </w:r>
    </w:p>
    <w:p w14:paraId="64308683">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除专用合同条款另有约定外，承包人应在施工现场另外保存一</w:t>
      </w:r>
      <w:r>
        <w:rPr>
          <w:rFonts w:ascii="宋体" w:hAnsi="宋体" w:eastAsia="宋体" w:cs="宋体"/>
          <w:color w:val="auto"/>
          <w:spacing w:val="2"/>
          <w:sz w:val="21"/>
          <w:szCs w:val="21"/>
          <w:highlight w:val="none"/>
        </w:rPr>
        <w:t>套完整的图纸和承包人</w:t>
      </w:r>
    </w:p>
    <w:p w14:paraId="4EABF871">
      <w:pPr>
        <w:spacing w:before="152"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文件，供发包人、监理人及有关人员进行工程检查</w:t>
      </w:r>
      <w:r>
        <w:rPr>
          <w:rFonts w:ascii="宋体" w:hAnsi="宋体" w:eastAsia="宋体" w:cs="宋体"/>
          <w:color w:val="auto"/>
          <w:spacing w:val="-2"/>
          <w:sz w:val="21"/>
          <w:szCs w:val="21"/>
          <w:highlight w:val="none"/>
        </w:rPr>
        <w:t>时使用。</w:t>
      </w:r>
    </w:p>
    <w:p w14:paraId="29EFA090">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6"/>
          <w:sz w:val="24"/>
          <w:szCs w:val="24"/>
          <w:highlight w:val="none"/>
        </w:rPr>
        <w:t>1.7</w:t>
      </w:r>
      <w:r>
        <w:rPr>
          <w:rFonts w:ascii="黑体" w:hAnsi="黑体" w:eastAsia="黑体" w:cs="黑体"/>
          <w:color w:val="auto"/>
          <w:spacing w:val="-50"/>
          <w:sz w:val="24"/>
          <w:szCs w:val="24"/>
          <w:highlight w:val="none"/>
        </w:rPr>
        <w:t xml:space="preserve"> </w:t>
      </w:r>
      <w:r>
        <w:rPr>
          <w:rFonts w:ascii="黑体" w:hAnsi="黑体" w:eastAsia="黑体" w:cs="黑体"/>
          <w:color w:val="auto"/>
          <w:spacing w:val="-6"/>
          <w:sz w:val="24"/>
          <w:szCs w:val="24"/>
          <w:highlight w:val="none"/>
        </w:rPr>
        <w:t>联络</w:t>
      </w:r>
    </w:p>
    <w:p w14:paraId="06C849E4">
      <w:pPr>
        <w:spacing w:before="131" w:line="39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1.7.1</w:t>
      </w:r>
      <w:r>
        <w:rPr>
          <w:rFonts w:ascii="Times New Roman" w:hAnsi="Times New Roman" w:eastAsia="Times New Roman" w:cs="Times New Roman"/>
          <w:color w:val="auto"/>
          <w:spacing w:val="53"/>
          <w:w w:val="101"/>
          <w:position w:val="14"/>
          <w:sz w:val="21"/>
          <w:szCs w:val="21"/>
          <w:highlight w:val="none"/>
        </w:rPr>
        <w:t xml:space="preserve"> </w:t>
      </w:r>
      <w:r>
        <w:rPr>
          <w:rFonts w:ascii="宋体" w:hAnsi="宋体" w:eastAsia="宋体" w:cs="宋体"/>
          <w:color w:val="auto"/>
          <w:spacing w:val="-1"/>
          <w:position w:val="14"/>
          <w:sz w:val="21"/>
          <w:szCs w:val="21"/>
          <w:highlight w:val="none"/>
        </w:rPr>
        <w:t>与合同有关的通知、批准、证明、证书、指示、指令、要求、请求、同意、意见、</w:t>
      </w:r>
    </w:p>
    <w:p w14:paraId="5CF52EB0">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确定和决定等，均应采用书面形式，并应在合同约定的期限内送达接收人和送达地点。</w:t>
      </w:r>
    </w:p>
    <w:p w14:paraId="794941C6">
      <w:pPr>
        <w:spacing w:before="153"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1.7.2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position w:val="14"/>
          <w:sz w:val="21"/>
          <w:szCs w:val="21"/>
          <w:highlight w:val="none"/>
        </w:rPr>
        <w:t>发包人和承包人应在专用合同条款中约定各自的送达接收人和送达地点。任何一</w:t>
      </w:r>
    </w:p>
    <w:p w14:paraId="5A89320A">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方合同当事人指定的接收人或送达地点发生变动的，</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应提前</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天以</w:t>
      </w:r>
      <w:r>
        <w:rPr>
          <w:rFonts w:ascii="宋体" w:hAnsi="宋体" w:eastAsia="宋体" w:cs="宋体"/>
          <w:color w:val="auto"/>
          <w:spacing w:val="-4"/>
          <w:sz w:val="21"/>
          <w:szCs w:val="21"/>
          <w:highlight w:val="none"/>
        </w:rPr>
        <w:t>书面形式通知对方。</w:t>
      </w:r>
    </w:p>
    <w:p w14:paraId="2ABB7CA4">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1.7.3</w:t>
      </w:r>
      <w:r>
        <w:rPr>
          <w:rFonts w:ascii="Times New Roman" w:hAnsi="Times New Roman" w:eastAsia="Times New Roman" w:cs="Times New Roman"/>
          <w:color w:val="auto"/>
          <w:spacing w:val="52"/>
          <w:sz w:val="21"/>
          <w:szCs w:val="21"/>
          <w:highlight w:val="none"/>
        </w:rPr>
        <w:t xml:space="preserve"> </w:t>
      </w:r>
      <w:r>
        <w:rPr>
          <w:rFonts w:ascii="宋体" w:hAnsi="宋体" w:eastAsia="宋体" w:cs="宋体"/>
          <w:color w:val="auto"/>
          <w:spacing w:val="-1"/>
          <w:sz w:val="21"/>
          <w:szCs w:val="21"/>
          <w:highlight w:val="none"/>
        </w:rPr>
        <w:t>发包人和承包人应当及时签收另一方送达至送达地点和指定接收人的来往信函。</w:t>
      </w:r>
    </w:p>
    <w:p w14:paraId="7FF06267">
      <w:pPr>
        <w:spacing w:before="153" w:line="221"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拒不签收的，由此增加的费用和（或） 延误的工期由拒绝接收一方承担。</w:t>
      </w:r>
    </w:p>
    <w:p w14:paraId="6B64DFBC">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1.8</w:t>
      </w:r>
      <w:r>
        <w:rPr>
          <w:rFonts w:ascii="黑体" w:hAnsi="黑体" w:eastAsia="黑体" w:cs="黑体"/>
          <w:color w:val="auto"/>
          <w:spacing w:val="-48"/>
          <w:sz w:val="24"/>
          <w:szCs w:val="24"/>
          <w:highlight w:val="none"/>
        </w:rPr>
        <w:t xml:space="preserve"> </w:t>
      </w:r>
      <w:r>
        <w:rPr>
          <w:rFonts w:ascii="黑体" w:hAnsi="黑体" w:eastAsia="黑体" w:cs="黑体"/>
          <w:color w:val="auto"/>
          <w:spacing w:val="-5"/>
          <w:sz w:val="24"/>
          <w:szCs w:val="24"/>
          <w:highlight w:val="none"/>
        </w:rPr>
        <w:t>严禁贿赂</w:t>
      </w:r>
    </w:p>
    <w:p w14:paraId="1113752A">
      <w:pPr>
        <w:spacing w:before="129" w:line="399"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合同当事人不得以贿赂或变相贿赂的方式，谋取非法利益或损害对方权益。因一方合</w:t>
      </w:r>
    </w:p>
    <w:p w14:paraId="64817453">
      <w:pPr>
        <w:spacing w:line="220" w:lineRule="auto"/>
        <w:ind w:left="3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同当事人的贿赂造成对方损失的，应赔偿损失， 并承担相应的法律责任。</w:t>
      </w:r>
    </w:p>
    <w:p w14:paraId="5524CB22">
      <w:pPr>
        <w:spacing w:before="149" w:line="403"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承包人不得与监理人或发包人聘请的第三方串通损害发包人利益。未经发包人书面同</w:t>
      </w:r>
    </w:p>
    <w:p w14:paraId="135566E9">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意，承包人不得为监理人提供合同约定以外</w:t>
      </w:r>
      <w:r>
        <w:rPr>
          <w:rFonts w:ascii="宋体" w:hAnsi="宋体" w:eastAsia="宋体" w:cs="宋体"/>
          <w:color w:val="auto"/>
          <w:spacing w:val="1"/>
          <w:sz w:val="21"/>
          <w:szCs w:val="21"/>
          <w:highlight w:val="none"/>
        </w:rPr>
        <w:t>的通讯设备、交通工具及其他任何形式的利益，</w:t>
      </w:r>
    </w:p>
    <w:p w14:paraId="033B66A1">
      <w:pPr>
        <w:spacing w:before="148" w:line="221"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不得向监理人支付报酬。</w:t>
      </w:r>
    </w:p>
    <w:p w14:paraId="087D8C8B">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1.9</w:t>
      </w:r>
      <w:r>
        <w:rPr>
          <w:rFonts w:ascii="黑体" w:hAnsi="黑体" w:eastAsia="黑体" w:cs="黑体"/>
          <w:color w:val="auto"/>
          <w:spacing w:val="-51"/>
          <w:sz w:val="24"/>
          <w:szCs w:val="24"/>
          <w:highlight w:val="none"/>
        </w:rPr>
        <w:t xml:space="preserve"> </w:t>
      </w:r>
      <w:r>
        <w:rPr>
          <w:rFonts w:ascii="黑体" w:hAnsi="黑体" w:eastAsia="黑体" w:cs="黑体"/>
          <w:color w:val="auto"/>
          <w:spacing w:val="-4"/>
          <w:sz w:val="24"/>
          <w:szCs w:val="24"/>
          <w:highlight w:val="none"/>
        </w:rPr>
        <w:t>化石、文物</w:t>
      </w:r>
    </w:p>
    <w:p w14:paraId="3C008DAC">
      <w:pPr>
        <w:spacing w:before="128" w:line="353" w:lineRule="auto"/>
        <w:ind w:left="17" w:right="182"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在施工现场发掘的所有文物、古迹以及具有地质研究或考古价值的其他遗迹、化石、</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钱币或物品属于国家所有。</w:t>
      </w:r>
      <w:r>
        <w:rPr>
          <w:rFonts w:ascii="宋体" w:hAnsi="宋体" w:eastAsia="宋体" w:cs="宋体"/>
          <w:color w:val="auto"/>
          <w:spacing w:val="-22"/>
          <w:sz w:val="21"/>
          <w:szCs w:val="21"/>
          <w:highlight w:val="none"/>
        </w:rPr>
        <w:t xml:space="preserve"> </w:t>
      </w:r>
      <w:r>
        <w:rPr>
          <w:rFonts w:ascii="宋体" w:hAnsi="宋体" w:eastAsia="宋体" w:cs="宋体"/>
          <w:color w:val="auto"/>
          <w:spacing w:val="1"/>
          <w:sz w:val="21"/>
          <w:szCs w:val="21"/>
          <w:highlight w:val="none"/>
        </w:rPr>
        <w:t>一旦发现上述文物，承包人应采取合理</w:t>
      </w:r>
      <w:r>
        <w:rPr>
          <w:rFonts w:ascii="宋体" w:hAnsi="宋体" w:eastAsia="宋体" w:cs="宋体"/>
          <w:color w:val="auto"/>
          <w:sz w:val="21"/>
          <w:szCs w:val="21"/>
          <w:highlight w:val="none"/>
        </w:rPr>
        <w:t>有效的保护措施，防止</w:t>
      </w:r>
    </w:p>
    <w:p w14:paraId="3CDE317F">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任何人员移动或损坏上述物品，并立即报告有关政府行政管理部门，同时通知监理人。</w:t>
      </w:r>
    </w:p>
    <w:p w14:paraId="03764BBC">
      <w:pPr>
        <w:spacing w:before="150" w:line="403"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发包人、监理人和承包人应按有关政府行政管理部门要求采取妥善的保护措施， 由此</w:t>
      </w:r>
    </w:p>
    <w:p w14:paraId="72326319">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增加的费用和（或） 延误的工期由发包人承担。</w:t>
      </w:r>
    </w:p>
    <w:p w14:paraId="3DFD832D">
      <w:pPr>
        <w:spacing w:before="149" w:line="219"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承包人发现文物后不及时报告或隐瞒不报，致使</w:t>
      </w:r>
      <w:r>
        <w:rPr>
          <w:rFonts w:ascii="宋体" w:hAnsi="宋体" w:eastAsia="宋体" w:cs="宋体"/>
          <w:color w:val="auto"/>
          <w:sz w:val="21"/>
          <w:szCs w:val="21"/>
          <w:highlight w:val="none"/>
        </w:rPr>
        <w:t>文物丢失或损坏的， 应赔偿损失，并</w:t>
      </w:r>
    </w:p>
    <w:p w14:paraId="46ACF679">
      <w:pPr>
        <w:spacing w:line="219" w:lineRule="auto"/>
        <w:rPr>
          <w:rFonts w:ascii="宋体" w:hAnsi="宋体" w:eastAsia="宋体" w:cs="宋体"/>
          <w:color w:val="auto"/>
          <w:sz w:val="21"/>
          <w:szCs w:val="21"/>
          <w:highlight w:val="none"/>
        </w:rPr>
        <w:sectPr>
          <w:footerReference r:id="rId106" w:type="default"/>
          <w:pgSz w:w="11905" w:h="16839"/>
          <w:pgMar w:top="1431" w:right="1614" w:bottom="1004" w:left="1785" w:header="0" w:footer="828" w:gutter="0"/>
          <w:pgNumType w:fmt="decimal"/>
          <w:cols w:space="720" w:num="1"/>
        </w:sectPr>
      </w:pPr>
    </w:p>
    <w:p w14:paraId="25C44E89">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承担相应的法律责任。</w:t>
      </w:r>
    </w:p>
    <w:p w14:paraId="28FF31A0">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1.10</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交通运输</w:t>
      </w:r>
    </w:p>
    <w:p w14:paraId="363C2469">
      <w:pPr>
        <w:spacing w:before="12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1.10.1</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4"/>
          <w:sz w:val="21"/>
          <w:szCs w:val="21"/>
          <w:highlight w:val="none"/>
        </w:rPr>
        <w:t>出入现场的权利</w:t>
      </w:r>
    </w:p>
    <w:p w14:paraId="7D14D160">
      <w:pPr>
        <w:spacing w:before="151" w:line="352" w:lineRule="auto"/>
        <w:ind w:left="17" w:right="163"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除专用合同条款另有约定外，发包人应根据施工需要， 负责取得出入施工现</w:t>
      </w:r>
      <w:r>
        <w:rPr>
          <w:rFonts w:ascii="宋体" w:hAnsi="宋体" w:eastAsia="宋体" w:cs="宋体"/>
          <w:color w:val="auto"/>
          <w:spacing w:val="-1"/>
          <w:sz w:val="21"/>
          <w:szCs w:val="21"/>
          <w:highlight w:val="none"/>
        </w:rPr>
        <w:t>场所需的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批准手续和全部权利， 以及取得因施工所需修建道路、桥</w:t>
      </w:r>
      <w:r>
        <w:rPr>
          <w:rFonts w:ascii="宋体" w:hAnsi="宋体" w:eastAsia="宋体" w:cs="宋体"/>
          <w:color w:val="auto"/>
          <w:spacing w:val="-3"/>
          <w:sz w:val="21"/>
          <w:szCs w:val="21"/>
          <w:highlight w:val="none"/>
        </w:rPr>
        <w:t>梁以及其他基础设施的权利， 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承担相关手续费用和建设费用。承包人应协助发包人办理修建场内外道路、桥</w:t>
      </w:r>
      <w:r>
        <w:rPr>
          <w:rFonts w:ascii="宋体" w:hAnsi="宋体" w:eastAsia="宋体" w:cs="宋体"/>
          <w:color w:val="auto"/>
          <w:spacing w:val="2"/>
          <w:sz w:val="21"/>
          <w:szCs w:val="21"/>
          <w:highlight w:val="none"/>
        </w:rPr>
        <w:t>梁以及其他</w:t>
      </w:r>
    </w:p>
    <w:p w14:paraId="28E82518">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基础设施的手续。</w:t>
      </w:r>
    </w:p>
    <w:p w14:paraId="7168135D">
      <w:pPr>
        <w:spacing w:before="148" w:line="352" w:lineRule="auto"/>
        <w:ind w:left="18" w:right="163"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承包人应在订立合同前查勘施工现场，并根据工程规模及技术参数合理预见工程施工 所需的进出施工现场的方式、手段、路径等</w:t>
      </w:r>
      <w:r>
        <w:rPr>
          <w:rFonts w:ascii="宋体" w:hAnsi="宋体" w:eastAsia="宋体" w:cs="宋体"/>
          <w:color w:val="auto"/>
          <w:spacing w:val="2"/>
          <w:sz w:val="21"/>
          <w:szCs w:val="21"/>
          <w:highlight w:val="none"/>
        </w:rPr>
        <w:t>。因承包人未合理预见所增加的费用和（或）</w:t>
      </w:r>
    </w:p>
    <w:p w14:paraId="0F9F0C21">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延误的工期由承包人承担。</w:t>
      </w:r>
    </w:p>
    <w:p w14:paraId="0C1E49A7">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1.10.2 </w:t>
      </w:r>
      <w:r>
        <w:rPr>
          <w:rFonts w:ascii="宋体" w:hAnsi="宋体" w:eastAsia="宋体" w:cs="宋体"/>
          <w:color w:val="auto"/>
          <w:spacing w:val="-2"/>
          <w:sz w:val="21"/>
          <w:szCs w:val="21"/>
          <w:highlight w:val="none"/>
        </w:rPr>
        <w:t>场外交通</w:t>
      </w:r>
    </w:p>
    <w:p w14:paraId="3D896E9D">
      <w:pPr>
        <w:spacing w:before="146" w:line="352" w:lineRule="auto"/>
        <w:ind w:left="18" w:right="163"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发包人应提供场外交通设施的技术参数和具体条件，承包人应遵守有关交通法规，严</w:t>
      </w:r>
      <w:r>
        <w:rPr>
          <w:rFonts w:ascii="宋体" w:hAnsi="宋体" w:eastAsia="宋体" w:cs="宋体"/>
          <w:color w:val="auto"/>
          <w:sz w:val="21"/>
          <w:szCs w:val="21"/>
          <w:highlight w:val="none"/>
        </w:rPr>
        <w:t xml:space="preserve"> 格按照道路和桥梁的限制荷载行驶，执行有关道路限速、限行、禁止超载的规定， 并配合</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交通管理部门的监督和检查。场外交通设施无法满足工程施工需要的， 由发包人负责完善</w:t>
      </w:r>
    </w:p>
    <w:p w14:paraId="7E1D808E">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并承担相关费用。</w:t>
      </w:r>
    </w:p>
    <w:p w14:paraId="26D63A79">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1.10.3 </w:t>
      </w:r>
      <w:r>
        <w:rPr>
          <w:rFonts w:ascii="宋体" w:hAnsi="宋体" w:eastAsia="宋体" w:cs="宋体"/>
          <w:color w:val="auto"/>
          <w:spacing w:val="-3"/>
          <w:sz w:val="21"/>
          <w:szCs w:val="21"/>
          <w:highlight w:val="none"/>
        </w:rPr>
        <w:t>场内交通</w:t>
      </w:r>
    </w:p>
    <w:p w14:paraId="3340EDF5">
      <w:pPr>
        <w:spacing w:before="148" w:line="352" w:lineRule="auto"/>
        <w:ind w:left="18" w:right="163"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发包人应提供场内交通设施的技术参数和具体条件，并应按照专用合同条款的约定向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承包人免费提供满足工程施工所需的场内道路和交通设施。因承包人原因造</w:t>
      </w:r>
      <w:r>
        <w:rPr>
          <w:rFonts w:ascii="宋体" w:hAnsi="宋体" w:eastAsia="宋体" w:cs="宋体"/>
          <w:color w:val="auto"/>
          <w:spacing w:val="2"/>
          <w:sz w:val="21"/>
          <w:szCs w:val="21"/>
          <w:highlight w:val="none"/>
        </w:rPr>
        <w:t>成上述道路或</w:t>
      </w:r>
    </w:p>
    <w:p w14:paraId="1BB54ABD">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交通设施损坏的，承包人负责修复并承担由此</w:t>
      </w:r>
      <w:r>
        <w:rPr>
          <w:rFonts w:ascii="宋体" w:hAnsi="宋体" w:eastAsia="宋体" w:cs="宋体"/>
          <w:color w:val="auto"/>
          <w:spacing w:val="-2"/>
          <w:sz w:val="21"/>
          <w:szCs w:val="21"/>
          <w:highlight w:val="none"/>
        </w:rPr>
        <w:t>增加的费用。</w:t>
      </w:r>
    </w:p>
    <w:p w14:paraId="083383E0">
      <w:pPr>
        <w:spacing w:before="146" w:line="353" w:lineRule="auto"/>
        <w:ind w:left="19" w:right="163"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除发包人按照合同约定提供的场内道路和交通设施外， 承包人负责修建、维</w:t>
      </w:r>
      <w:r>
        <w:rPr>
          <w:rFonts w:ascii="宋体" w:hAnsi="宋体" w:eastAsia="宋体" w:cs="宋体"/>
          <w:color w:val="auto"/>
          <w:spacing w:val="-1"/>
          <w:sz w:val="21"/>
          <w:szCs w:val="21"/>
          <w:highlight w:val="none"/>
        </w:rPr>
        <w:t>修、养护</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和管理施工所需的其他场内临时道路和交通设施。发包人和监理人可以为实</w:t>
      </w:r>
      <w:r>
        <w:rPr>
          <w:rFonts w:ascii="宋体" w:hAnsi="宋体" w:eastAsia="宋体" w:cs="宋体"/>
          <w:color w:val="auto"/>
          <w:spacing w:val="2"/>
          <w:sz w:val="21"/>
          <w:szCs w:val="21"/>
          <w:highlight w:val="none"/>
        </w:rPr>
        <w:t>现合同目的使</w:t>
      </w:r>
    </w:p>
    <w:p w14:paraId="0EAE78C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用承包人修建的场内临时道路和交通设施。</w:t>
      </w:r>
    </w:p>
    <w:p w14:paraId="085F7D0A">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z w:val="21"/>
          <w:szCs w:val="21"/>
          <w:highlight w:val="none"/>
        </w:rPr>
        <w:t>场外交通和场内交通的边界由合同当事人在专用合同条款</w:t>
      </w:r>
      <w:r>
        <w:rPr>
          <w:rFonts w:ascii="宋体" w:hAnsi="宋体" w:eastAsia="宋体" w:cs="宋体"/>
          <w:color w:val="auto"/>
          <w:spacing w:val="-1"/>
          <w:sz w:val="21"/>
          <w:szCs w:val="21"/>
          <w:highlight w:val="none"/>
        </w:rPr>
        <w:t>中约定。</w:t>
      </w:r>
    </w:p>
    <w:p w14:paraId="7269865A">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1.10.4 </w:t>
      </w:r>
      <w:r>
        <w:rPr>
          <w:rFonts w:ascii="宋体" w:hAnsi="宋体" w:eastAsia="宋体" w:cs="宋体"/>
          <w:color w:val="auto"/>
          <w:spacing w:val="-2"/>
          <w:sz w:val="21"/>
          <w:szCs w:val="21"/>
          <w:highlight w:val="none"/>
        </w:rPr>
        <w:t>超大件和超重件的运输</w:t>
      </w:r>
    </w:p>
    <w:p w14:paraId="1F5034AD">
      <w:pPr>
        <w:spacing w:before="151" w:line="351" w:lineRule="auto"/>
        <w:ind w:left="21" w:firstLine="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由承包人负责运输的超大件或超重件， 应由承包人负责向交通管理部门办理申请手续，</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发包人给予协助。运输超大件或超重件所需的道路和桥梁临时加固改</w:t>
      </w:r>
      <w:r>
        <w:rPr>
          <w:rFonts w:ascii="宋体" w:hAnsi="宋体" w:eastAsia="宋体" w:cs="宋体"/>
          <w:color w:val="auto"/>
          <w:spacing w:val="2"/>
          <w:sz w:val="21"/>
          <w:szCs w:val="21"/>
          <w:highlight w:val="none"/>
        </w:rPr>
        <w:t>造费用和其他有关费</w:t>
      </w:r>
    </w:p>
    <w:p w14:paraId="4198048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用，由承包人承担， 但专用合同条款另有约定除外。</w:t>
      </w:r>
    </w:p>
    <w:p w14:paraId="6BB2F574">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1.10.5 </w:t>
      </w:r>
      <w:r>
        <w:rPr>
          <w:rFonts w:ascii="宋体" w:hAnsi="宋体" w:eastAsia="宋体" w:cs="宋体"/>
          <w:color w:val="auto"/>
          <w:spacing w:val="-2"/>
          <w:sz w:val="21"/>
          <w:szCs w:val="21"/>
          <w:highlight w:val="none"/>
        </w:rPr>
        <w:t>道路和桥梁的损坏责任</w:t>
      </w:r>
    </w:p>
    <w:p w14:paraId="6557B869">
      <w:pPr>
        <w:spacing w:before="147" w:line="399" w:lineRule="exact"/>
        <w:ind w:left="45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因承包人运输造成施工场地内外公共道路和桥梁损坏</w:t>
      </w:r>
      <w:r>
        <w:rPr>
          <w:rFonts w:ascii="宋体" w:hAnsi="宋体" w:eastAsia="宋体" w:cs="宋体"/>
          <w:color w:val="auto"/>
          <w:spacing w:val="2"/>
          <w:position w:val="14"/>
          <w:sz w:val="21"/>
          <w:szCs w:val="21"/>
          <w:highlight w:val="none"/>
        </w:rPr>
        <w:t>的，由承包人承担修复损坏的全</w:t>
      </w:r>
    </w:p>
    <w:p w14:paraId="0433D89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部费用和可能引起的赔偿。</w:t>
      </w:r>
    </w:p>
    <w:p w14:paraId="42EE82CE">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1.10.6 </w:t>
      </w:r>
      <w:r>
        <w:rPr>
          <w:rFonts w:ascii="宋体" w:hAnsi="宋体" w:eastAsia="宋体" w:cs="宋体"/>
          <w:color w:val="auto"/>
          <w:spacing w:val="-2"/>
          <w:sz w:val="21"/>
          <w:szCs w:val="21"/>
          <w:highlight w:val="none"/>
        </w:rPr>
        <w:t>水路和航空运输</w:t>
      </w:r>
    </w:p>
    <w:p w14:paraId="40A54F4A">
      <w:pPr>
        <w:spacing w:before="148"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本款前述各项的内容适用于水路运输和航空运输，其中</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道路</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一词的涵义包括河道、</w:t>
      </w:r>
    </w:p>
    <w:p w14:paraId="13E2FBD4">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航线、船闸、机场、码头、堤防以及水路或航</w:t>
      </w:r>
      <w:r>
        <w:rPr>
          <w:rFonts w:ascii="宋体" w:hAnsi="宋体" w:eastAsia="宋体" w:cs="宋体"/>
          <w:color w:val="auto"/>
          <w:spacing w:val="3"/>
          <w:sz w:val="21"/>
          <w:szCs w:val="21"/>
          <w:highlight w:val="none"/>
        </w:rPr>
        <w:t>空运输中其他相似结构物；</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车辆</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一词的涵</w:t>
      </w:r>
    </w:p>
    <w:p w14:paraId="058C9D70">
      <w:pPr>
        <w:spacing w:before="153"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义包括船舶和飞机等。</w:t>
      </w:r>
    </w:p>
    <w:p w14:paraId="45320B36">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1.11</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知识产权</w:t>
      </w:r>
    </w:p>
    <w:p w14:paraId="7FA802A4">
      <w:pPr>
        <w:spacing w:line="220" w:lineRule="auto"/>
        <w:rPr>
          <w:rFonts w:ascii="黑体" w:hAnsi="黑体" w:eastAsia="黑体" w:cs="黑体"/>
          <w:color w:val="auto"/>
          <w:sz w:val="24"/>
          <w:szCs w:val="24"/>
          <w:highlight w:val="none"/>
        </w:rPr>
        <w:sectPr>
          <w:footerReference r:id="rId107" w:type="default"/>
          <w:pgSz w:w="11905" w:h="16839"/>
          <w:pgMar w:top="1431" w:right="1628" w:bottom="1004" w:left="1785" w:header="0" w:footer="828" w:gutter="0"/>
          <w:pgNumType w:fmt="decimal"/>
          <w:cols w:space="720" w:num="1"/>
        </w:sectPr>
      </w:pPr>
    </w:p>
    <w:p w14:paraId="4585302A">
      <w:pPr>
        <w:spacing w:before="151" w:line="351" w:lineRule="auto"/>
        <w:ind w:left="19" w:right="182" w:firstLine="43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1.11.1</w:t>
      </w:r>
      <w:r>
        <w:rPr>
          <w:rFonts w:ascii="Times New Roman" w:hAnsi="Times New Roman" w:eastAsia="Times New Roman" w:cs="Times New Roman"/>
          <w:color w:val="auto"/>
          <w:spacing w:val="50"/>
          <w:sz w:val="21"/>
          <w:szCs w:val="21"/>
          <w:highlight w:val="none"/>
        </w:rPr>
        <w:t xml:space="preserve"> </w:t>
      </w:r>
      <w:r>
        <w:rPr>
          <w:rFonts w:ascii="宋体" w:hAnsi="宋体" w:eastAsia="宋体" w:cs="宋体"/>
          <w:color w:val="auto"/>
          <w:spacing w:val="3"/>
          <w:sz w:val="21"/>
          <w:szCs w:val="21"/>
          <w:highlight w:val="none"/>
        </w:rPr>
        <w:t>除专用合同条款另有约定外，</w:t>
      </w:r>
      <w:r>
        <w:rPr>
          <w:rFonts w:ascii="宋体" w:hAnsi="宋体" w:eastAsia="宋体" w:cs="宋体"/>
          <w:color w:val="auto"/>
          <w:spacing w:val="2"/>
          <w:sz w:val="21"/>
          <w:szCs w:val="21"/>
          <w:highlight w:val="none"/>
        </w:rPr>
        <w:t>发包人提供给承包人的图纸、发包人为实施工程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自行编制或委托编制的技术规范以及反映发包人要求的或其他类似性质的文</w:t>
      </w:r>
      <w:r>
        <w:rPr>
          <w:rFonts w:ascii="宋体" w:hAnsi="宋体" w:eastAsia="宋体" w:cs="宋体"/>
          <w:color w:val="auto"/>
          <w:spacing w:val="2"/>
          <w:sz w:val="21"/>
          <w:szCs w:val="21"/>
          <w:highlight w:val="none"/>
        </w:rPr>
        <w:t>件的著作权属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于发包人，承包人可以为实现合同目的而复制、使用此类文件，但不能用于</w:t>
      </w:r>
      <w:r>
        <w:rPr>
          <w:rFonts w:ascii="宋体" w:hAnsi="宋体" w:eastAsia="宋体" w:cs="宋体"/>
          <w:color w:val="auto"/>
          <w:spacing w:val="2"/>
          <w:sz w:val="21"/>
          <w:szCs w:val="21"/>
          <w:highlight w:val="none"/>
        </w:rPr>
        <w:t>与合同无关的</w:t>
      </w:r>
      <w:r>
        <w:rPr>
          <w:rFonts w:ascii="宋体" w:hAnsi="宋体" w:eastAsia="宋体" w:cs="宋体"/>
          <w:color w:val="auto"/>
          <w:sz w:val="21"/>
          <w:szCs w:val="21"/>
          <w:highlight w:val="none"/>
        </w:rPr>
        <w:t xml:space="preserve"> 其他事项。未经发包人书面同意， 承包人不得为了合同以外的目的而复制、使用上述文件</w:t>
      </w:r>
    </w:p>
    <w:p w14:paraId="233FA433">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或将之提供给任何第三方。</w:t>
      </w:r>
    </w:p>
    <w:p w14:paraId="0034F72D">
      <w:pPr>
        <w:spacing w:before="152" w:line="352" w:lineRule="auto"/>
        <w:ind w:left="20" w:right="182" w:firstLine="43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1.11.2</w:t>
      </w:r>
      <w:r>
        <w:rPr>
          <w:rFonts w:ascii="Times New Roman" w:hAnsi="Times New Roman" w:eastAsia="Times New Roman" w:cs="Times New Roman"/>
          <w:color w:val="auto"/>
          <w:spacing w:val="50"/>
          <w:sz w:val="21"/>
          <w:szCs w:val="21"/>
          <w:highlight w:val="none"/>
        </w:rPr>
        <w:t xml:space="preserve"> </w:t>
      </w:r>
      <w:r>
        <w:rPr>
          <w:rFonts w:ascii="宋体" w:hAnsi="宋体" w:eastAsia="宋体" w:cs="宋体"/>
          <w:color w:val="auto"/>
          <w:spacing w:val="3"/>
          <w:sz w:val="21"/>
          <w:szCs w:val="21"/>
          <w:highlight w:val="none"/>
        </w:rPr>
        <w:t>除专用合同条款另有约定外，</w:t>
      </w:r>
      <w:r>
        <w:rPr>
          <w:rFonts w:ascii="宋体" w:hAnsi="宋体" w:eastAsia="宋体" w:cs="宋体"/>
          <w:color w:val="auto"/>
          <w:spacing w:val="2"/>
          <w:sz w:val="21"/>
          <w:szCs w:val="21"/>
          <w:highlight w:val="none"/>
        </w:rPr>
        <w:t>承包人为实施工程所编制的文件，除署名权以外</w:t>
      </w:r>
      <w:r>
        <w:rPr>
          <w:rFonts w:ascii="宋体" w:hAnsi="宋体" w:eastAsia="宋体" w:cs="宋体"/>
          <w:color w:val="auto"/>
          <w:sz w:val="21"/>
          <w:szCs w:val="21"/>
          <w:highlight w:val="none"/>
        </w:rPr>
        <w:t xml:space="preserve"> 的著作权属于发包人， 承包人可因实施工程的运行、调试、维修、改造等目的而复制、使</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用此类文件， 但不能用于与合同无关的其他事项。未经发包人书面同意，承包人不得为了</w:t>
      </w:r>
    </w:p>
    <w:p w14:paraId="22D4030D">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合同以外的目的而复制、使用上述文件或将之提供给</w:t>
      </w:r>
      <w:r>
        <w:rPr>
          <w:rFonts w:ascii="宋体" w:hAnsi="宋体" w:eastAsia="宋体" w:cs="宋体"/>
          <w:color w:val="auto"/>
          <w:spacing w:val="-1"/>
          <w:sz w:val="21"/>
          <w:szCs w:val="21"/>
          <w:highlight w:val="none"/>
        </w:rPr>
        <w:t>任何第三方。</w:t>
      </w:r>
    </w:p>
    <w:p w14:paraId="707F7E80">
      <w:pPr>
        <w:spacing w:before="148" w:line="352" w:lineRule="auto"/>
        <w:ind w:left="18" w:right="182" w:firstLine="439"/>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1.11.3</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3"/>
          <w:sz w:val="21"/>
          <w:szCs w:val="21"/>
          <w:highlight w:val="none"/>
        </w:rPr>
        <w:t>合同当事人保证在履行合同过程中不侵犯对方及第三方的</w:t>
      </w:r>
      <w:r>
        <w:rPr>
          <w:rFonts w:ascii="宋体" w:hAnsi="宋体" w:eastAsia="宋体" w:cs="宋体"/>
          <w:color w:val="auto"/>
          <w:spacing w:val="2"/>
          <w:sz w:val="21"/>
          <w:szCs w:val="21"/>
          <w:highlight w:val="none"/>
        </w:rPr>
        <w:t>知识产权。承包人在</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使用材料、施工设备、工程设备或采用施工工艺时，因侵犯他人的专利权或</w:t>
      </w:r>
      <w:r>
        <w:rPr>
          <w:rFonts w:ascii="宋体" w:hAnsi="宋体" w:eastAsia="宋体" w:cs="宋体"/>
          <w:color w:val="auto"/>
          <w:spacing w:val="2"/>
          <w:sz w:val="21"/>
          <w:szCs w:val="21"/>
          <w:highlight w:val="none"/>
        </w:rPr>
        <w:t>其他知识产权</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所引起的责任，由承包人承担；因发包人提供的材料、施工设备、工程设备</w:t>
      </w:r>
      <w:r>
        <w:rPr>
          <w:rFonts w:ascii="宋体" w:hAnsi="宋体" w:eastAsia="宋体" w:cs="宋体"/>
          <w:color w:val="auto"/>
          <w:spacing w:val="2"/>
          <w:sz w:val="21"/>
          <w:szCs w:val="21"/>
          <w:highlight w:val="none"/>
        </w:rPr>
        <w:t>或施工工艺导</w:t>
      </w:r>
    </w:p>
    <w:p w14:paraId="7439B468">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致侵权的，</w:t>
      </w:r>
      <w:r>
        <w:rPr>
          <w:rFonts w:ascii="宋体" w:hAnsi="宋体" w:eastAsia="宋体" w:cs="宋体"/>
          <w:color w:val="auto"/>
          <w:spacing w:val="87"/>
          <w:sz w:val="21"/>
          <w:szCs w:val="21"/>
          <w:highlight w:val="none"/>
        </w:rPr>
        <w:t xml:space="preserve"> </w:t>
      </w:r>
      <w:r>
        <w:rPr>
          <w:rFonts w:ascii="宋体" w:hAnsi="宋体" w:eastAsia="宋体" w:cs="宋体"/>
          <w:color w:val="auto"/>
          <w:spacing w:val="-14"/>
          <w:sz w:val="21"/>
          <w:szCs w:val="21"/>
          <w:highlight w:val="none"/>
        </w:rPr>
        <w:t>由发包人承担责任。</w:t>
      </w:r>
    </w:p>
    <w:p w14:paraId="1CACDE13">
      <w:pPr>
        <w:spacing w:before="148" w:line="220"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1.11.4</w:t>
      </w:r>
      <w:r>
        <w:rPr>
          <w:rFonts w:ascii="Times New Roman" w:hAnsi="Times New Roman" w:eastAsia="Times New Roman" w:cs="Times New Roman"/>
          <w:color w:val="auto"/>
          <w:spacing w:val="51"/>
          <w:sz w:val="21"/>
          <w:szCs w:val="21"/>
          <w:highlight w:val="none"/>
        </w:rPr>
        <w:t xml:space="preserve"> </w:t>
      </w:r>
      <w:r>
        <w:rPr>
          <w:rFonts w:ascii="宋体" w:hAnsi="宋体" w:eastAsia="宋体" w:cs="宋体"/>
          <w:color w:val="auto"/>
          <w:spacing w:val="-1"/>
          <w:sz w:val="21"/>
          <w:szCs w:val="21"/>
          <w:highlight w:val="none"/>
        </w:rPr>
        <w:t>除专用合同条款另有约定外， 承包人在合同签订前和签订时已确定采用的专利、</w:t>
      </w:r>
    </w:p>
    <w:p w14:paraId="7D39102E">
      <w:pPr>
        <w:spacing w:before="153"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专有技术、技术秘密的使用费已包含在签约合同价中。</w:t>
      </w:r>
    </w:p>
    <w:p w14:paraId="24172837">
      <w:pPr>
        <w:spacing w:before="48" w:line="218"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1.12</w:t>
      </w:r>
      <w:r>
        <w:rPr>
          <w:rFonts w:ascii="黑体" w:hAnsi="黑体" w:eastAsia="黑体" w:cs="黑体"/>
          <w:color w:val="auto"/>
          <w:spacing w:val="-51"/>
          <w:sz w:val="24"/>
          <w:szCs w:val="24"/>
          <w:highlight w:val="none"/>
        </w:rPr>
        <w:t xml:space="preserve"> </w:t>
      </w:r>
      <w:r>
        <w:rPr>
          <w:rFonts w:ascii="黑体" w:hAnsi="黑体" w:eastAsia="黑体" w:cs="黑体"/>
          <w:color w:val="auto"/>
          <w:spacing w:val="-5"/>
          <w:sz w:val="24"/>
          <w:szCs w:val="24"/>
          <w:highlight w:val="none"/>
        </w:rPr>
        <w:t>保密</w:t>
      </w:r>
    </w:p>
    <w:p w14:paraId="7A95895D">
      <w:pPr>
        <w:spacing w:before="130" w:line="399" w:lineRule="exact"/>
        <w:ind w:left="45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除法律规定或合同另有约定外， 未经发包人同意，承包人不得</w:t>
      </w:r>
      <w:r>
        <w:rPr>
          <w:rFonts w:ascii="宋体" w:hAnsi="宋体" w:eastAsia="宋体" w:cs="宋体"/>
          <w:color w:val="auto"/>
          <w:spacing w:val="-1"/>
          <w:position w:val="14"/>
          <w:sz w:val="21"/>
          <w:szCs w:val="21"/>
          <w:highlight w:val="none"/>
        </w:rPr>
        <w:t>将发包人提供的图纸、</w:t>
      </w:r>
    </w:p>
    <w:p w14:paraId="3760AC82">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文件以及声明需要保密的资料信息等商业秘密泄露</w:t>
      </w:r>
      <w:r>
        <w:rPr>
          <w:rFonts w:ascii="宋体" w:hAnsi="宋体" w:eastAsia="宋体" w:cs="宋体"/>
          <w:color w:val="auto"/>
          <w:spacing w:val="-2"/>
          <w:sz w:val="21"/>
          <w:szCs w:val="21"/>
          <w:highlight w:val="none"/>
        </w:rPr>
        <w:t>给第三方。</w:t>
      </w:r>
    </w:p>
    <w:p w14:paraId="39FA7979">
      <w:pPr>
        <w:spacing w:before="152"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除法律规定或合同另有约定外， 未经承包人同意，发包人不得将承包人提供</w:t>
      </w:r>
      <w:r>
        <w:rPr>
          <w:rFonts w:ascii="宋体" w:hAnsi="宋体" w:eastAsia="宋体" w:cs="宋体"/>
          <w:color w:val="auto"/>
          <w:spacing w:val="-1"/>
          <w:sz w:val="21"/>
          <w:szCs w:val="21"/>
          <w:highlight w:val="none"/>
        </w:rPr>
        <w:t>的技术秘</w:t>
      </w:r>
    </w:p>
    <w:p w14:paraId="13D18311">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密及声明需要保密的资料信息等商业秘密泄露给第三方。</w:t>
      </w:r>
    </w:p>
    <w:p w14:paraId="67438ECD">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1.13</w:t>
      </w:r>
      <w:r>
        <w:rPr>
          <w:rFonts w:ascii="黑体" w:hAnsi="黑体" w:eastAsia="黑体" w:cs="黑体"/>
          <w:color w:val="auto"/>
          <w:spacing w:val="-42"/>
          <w:sz w:val="24"/>
          <w:szCs w:val="24"/>
          <w:highlight w:val="none"/>
        </w:rPr>
        <w:t xml:space="preserve"> </w:t>
      </w:r>
      <w:r>
        <w:rPr>
          <w:rFonts w:ascii="黑体" w:hAnsi="黑体" w:eastAsia="黑体" w:cs="黑体"/>
          <w:color w:val="auto"/>
          <w:spacing w:val="-3"/>
          <w:sz w:val="24"/>
          <w:szCs w:val="24"/>
          <w:highlight w:val="none"/>
        </w:rPr>
        <w:t>工程量清单错误的修正</w:t>
      </w:r>
    </w:p>
    <w:p w14:paraId="50794338">
      <w:pPr>
        <w:spacing w:before="129" w:line="399"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除专用合同条款另有约定外，发包人提供的工程量清单，应被认为是准确的和完</w:t>
      </w:r>
      <w:r>
        <w:rPr>
          <w:rFonts w:ascii="宋体" w:hAnsi="宋体" w:eastAsia="宋体" w:cs="宋体"/>
          <w:color w:val="auto"/>
          <w:spacing w:val="1"/>
          <w:position w:val="14"/>
          <w:sz w:val="21"/>
          <w:szCs w:val="21"/>
          <w:highlight w:val="none"/>
        </w:rPr>
        <w:t>整的。</w:t>
      </w:r>
    </w:p>
    <w:p w14:paraId="02E0BE84">
      <w:pPr>
        <w:spacing w:line="219" w:lineRule="auto"/>
        <w:ind w:left="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出现下列情形之一时，发包人应予以修正，并相应调整合同价格：</w:t>
      </w:r>
    </w:p>
    <w:p w14:paraId="4B8350C6">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）工程量清单存在缺项、漏项的；</w:t>
      </w:r>
    </w:p>
    <w:p w14:paraId="29686BDE">
      <w:pPr>
        <w:spacing w:before="148" w:line="399"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）工程量清单偏差超出专用合同条款约定的工</w:t>
      </w:r>
      <w:r>
        <w:rPr>
          <w:rFonts w:ascii="宋体" w:hAnsi="宋体" w:eastAsia="宋体" w:cs="宋体"/>
          <w:color w:val="auto"/>
          <w:spacing w:val="-2"/>
          <w:position w:val="14"/>
          <w:sz w:val="21"/>
          <w:szCs w:val="21"/>
          <w:highlight w:val="none"/>
        </w:rPr>
        <w:t>程量偏差范围的；</w:t>
      </w:r>
    </w:p>
    <w:p w14:paraId="58FEEE98">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）未按照国家现行计量规范强制性规定计量的。</w:t>
      </w:r>
    </w:p>
    <w:p w14:paraId="0521A2E0">
      <w:pPr>
        <w:spacing w:before="178" w:line="219" w:lineRule="auto"/>
        <w:ind w:left="2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2.发包人</w:t>
      </w:r>
    </w:p>
    <w:p w14:paraId="11750C3A">
      <w:pPr>
        <w:spacing w:before="146" w:line="219"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2.1 许可或批准</w:t>
      </w:r>
    </w:p>
    <w:p w14:paraId="00EC75F3">
      <w:pPr>
        <w:spacing w:before="128" w:line="352" w:lineRule="auto"/>
        <w:ind w:left="21" w:right="181"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发包人应遵守法律，并办理法律规定由其办理的许可、批准或备案， 包括但不限于建</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设用地规划许可证、建设工程规划许可证、建设工程施工许可证、施</w:t>
      </w:r>
      <w:r>
        <w:rPr>
          <w:rFonts w:ascii="宋体" w:hAnsi="宋体" w:eastAsia="宋体" w:cs="宋体"/>
          <w:color w:val="auto"/>
          <w:spacing w:val="2"/>
          <w:sz w:val="21"/>
          <w:szCs w:val="21"/>
          <w:highlight w:val="none"/>
        </w:rPr>
        <w:t>工所需临时用水、临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时用电、中断道路交通、临时占用土地等许可和批准。发包人应协助</w:t>
      </w:r>
      <w:r>
        <w:rPr>
          <w:rFonts w:ascii="宋体" w:hAnsi="宋体" w:eastAsia="宋体" w:cs="宋体"/>
          <w:color w:val="auto"/>
          <w:spacing w:val="2"/>
          <w:sz w:val="21"/>
          <w:szCs w:val="21"/>
          <w:highlight w:val="none"/>
        </w:rPr>
        <w:t>承包人办理法律规定</w:t>
      </w:r>
    </w:p>
    <w:p w14:paraId="1C1BA568">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的有关施工证件和批件。</w:t>
      </w:r>
    </w:p>
    <w:p w14:paraId="27C905D5">
      <w:pPr>
        <w:spacing w:before="147" w:line="221"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因发包人原因未能及时办理完毕前述许可、批准或备</w:t>
      </w:r>
      <w:r>
        <w:rPr>
          <w:rFonts w:ascii="宋体" w:hAnsi="宋体" w:eastAsia="宋体" w:cs="宋体"/>
          <w:color w:val="auto"/>
          <w:spacing w:val="2"/>
          <w:sz w:val="21"/>
          <w:szCs w:val="21"/>
          <w:highlight w:val="none"/>
        </w:rPr>
        <w:t>案，由发包人承担由此增加的费</w:t>
      </w:r>
    </w:p>
    <w:p w14:paraId="3D545D21">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用和（或） 延误的工期，并支付承包人合理的利润。</w:t>
      </w:r>
    </w:p>
    <w:p w14:paraId="201D30DA">
      <w:pPr>
        <w:spacing w:before="47"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2.2 发包人代表</w:t>
      </w:r>
    </w:p>
    <w:p w14:paraId="104A836F">
      <w:pPr>
        <w:spacing w:line="218" w:lineRule="auto"/>
        <w:rPr>
          <w:rFonts w:ascii="黑体" w:hAnsi="黑体" w:eastAsia="黑体" w:cs="黑体"/>
          <w:color w:val="auto"/>
          <w:sz w:val="24"/>
          <w:szCs w:val="24"/>
          <w:highlight w:val="none"/>
        </w:rPr>
        <w:sectPr>
          <w:footerReference r:id="rId108" w:type="default"/>
          <w:pgSz w:w="11905" w:h="16839"/>
          <w:pgMar w:top="1431" w:right="1610" w:bottom="1004" w:left="1785" w:header="0" w:footer="828" w:gutter="0"/>
          <w:pgNumType w:fmt="decimal"/>
          <w:cols w:space="720" w:num="1"/>
        </w:sectPr>
      </w:pPr>
    </w:p>
    <w:p w14:paraId="0F137D83">
      <w:pPr>
        <w:spacing w:before="148" w:line="352" w:lineRule="auto"/>
        <w:ind w:left="18" w:right="179"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发包人应在专用合同条款中明确其派驻施工现场的发包人代表的姓名、职务、联系方</w:t>
      </w:r>
      <w:r>
        <w:rPr>
          <w:rFonts w:ascii="宋体" w:hAnsi="宋体" w:eastAsia="宋体" w:cs="宋体"/>
          <w:color w:val="auto"/>
          <w:sz w:val="21"/>
          <w:szCs w:val="21"/>
          <w:highlight w:val="none"/>
        </w:rPr>
        <w:t xml:space="preserve"> 式及授权范围等事项。发包人代表在发包人的授权范围内， 负责处理合同履行过程中与发</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包人有关的具体事宜。发包人代表在授权范围内的行为由发包人承担法律责</w:t>
      </w:r>
      <w:r>
        <w:rPr>
          <w:rFonts w:ascii="宋体" w:hAnsi="宋体" w:eastAsia="宋体" w:cs="宋体"/>
          <w:color w:val="auto"/>
          <w:spacing w:val="2"/>
          <w:sz w:val="21"/>
          <w:szCs w:val="21"/>
          <w:highlight w:val="none"/>
        </w:rPr>
        <w:t>任。发包人更</w:t>
      </w:r>
    </w:p>
    <w:p w14:paraId="404FC889">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换发包人代表的，应提前</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天书面通知承包</w:t>
      </w:r>
      <w:r>
        <w:rPr>
          <w:rFonts w:ascii="宋体" w:hAnsi="宋体" w:eastAsia="宋体" w:cs="宋体"/>
          <w:color w:val="auto"/>
          <w:spacing w:val="-2"/>
          <w:sz w:val="21"/>
          <w:szCs w:val="21"/>
          <w:highlight w:val="none"/>
        </w:rPr>
        <w:t>人。</w:t>
      </w:r>
    </w:p>
    <w:p w14:paraId="4EDE14EB">
      <w:pPr>
        <w:spacing w:before="148" w:line="403"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发包人代表不能按照合同约定履行其职责及义务，并导致合同无法继</w:t>
      </w:r>
      <w:r>
        <w:rPr>
          <w:rFonts w:ascii="宋体" w:hAnsi="宋体" w:eastAsia="宋体" w:cs="宋体"/>
          <w:color w:val="auto"/>
          <w:spacing w:val="2"/>
          <w:position w:val="14"/>
          <w:sz w:val="21"/>
          <w:szCs w:val="21"/>
          <w:highlight w:val="none"/>
        </w:rPr>
        <w:t>续正常履行的，</w:t>
      </w:r>
    </w:p>
    <w:p w14:paraId="134E5E9E">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承包人可以要求发包人撤换发包人代表。</w:t>
      </w:r>
    </w:p>
    <w:p w14:paraId="5BF312FF">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不属于法定必须监理的工程，监理人的职权可以由发包人代表或发包人指定的其他人</w:t>
      </w:r>
    </w:p>
    <w:p w14:paraId="5E30F962">
      <w:pPr>
        <w:spacing w:before="148" w:line="221" w:lineRule="auto"/>
        <w:ind w:left="2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员行使。</w:t>
      </w:r>
    </w:p>
    <w:p w14:paraId="5976E248">
      <w:pPr>
        <w:spacing w:before="51"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2.3 发包人人员</w:t>
      </w:r>
    </w:p>
    <w:p w14:paraId="0A5E0780">
      <w:pPr>
        <w:spacing w:before="130" w:line="350" w:lineRule="auto"/>
        <w:ind w:left="17" w:right="179" w:firstLine="42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发包人应要求在施工现场的发包人人员遵守法律及有关安全、质量、环境保护、文明</w:t>
      </w:r>
      <w:r>
        <w:rPr>
          <w:rFonts w:ascii="宋体" w:hAnsi="宋体" w:eastAsia="宋体" w:cs="宋体"/>
          <w:color w:val="auto"/>
          <w:sz w:val="21"/>
          <w:szCs w:val="21"/>
          <w:highlight w:val="none"/>
        </w:rPr>
        <w:t xml:space="preserve"> 施工等规定， 并保障承包人免于承受因发包人人员未遵守上述要求给承包人造成的损失和</w:t>
      </w:r>
    </w:p>
    <w:p w14:paraId="690A3014">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责任。</w:t>
      </w:r>
    </w:p>
    <w:p w14:paraId="797F9943">
      <w:pPr>
        <w:spacing w:before="152" w:line="221"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发包人人员包括发包人代表及其他由发包人派</w:t>
      </w:r>
      <w:r>
        <w:rPr>
          <w:rFonts w:ascii="宋体" w:hAnsi="宋体" w:eastAsia="宋体" w:cs="宋体"/>
          <w:color w:val="auto"/>
          <w:spacing w:val="-1"/>
          <w:sz w:val="21"/>
          <w:szCs w:val="21"/>
          <w:highlight w:val="none"/>
        </w:rPr>
        <w:t>驻施工现场的人员。</w:t>
      </w:r>
    </w:p>
    <w:p w14:paraId="1E9468FD">
      <w:pPr>
        <w:spacing w:before="46"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2.4 施工现场、施工条件和基础资料的提供</w:t>
      </w:r>
    </w:p>
    <w:p w14:paraId="26567C0D">
      <w:pPr>
        <w:spacing w:before="130"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2.4.1 </w:t>
      </w:r>
      <w:r>
        <w:rPr>
          <w:rFonts w:ascii="宋体" w:hAnsi="宋体" w:eastAsia="宋体" w:cs="宋体"/>
          <w:color w:val="auto"/>
          <w:sz w:val="21"/>
          <w:szCs w:val="21"/>
          <w:highlight w:val="none"/>
        </w:rPr>
        <w:t>提供施工现场</w:t>
      </w:r>
    </w:p>
    <w:p w14:paraId="183977DC">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 xml:space="preserve">除专用合同条款另有约定外，发包人应最迟于开工日期 </w:t>
      </w:r>
      <w:r>
        <w:rPr>
          <w:rFonts w:ascii="Times New Roman" w:hAnsi="Times New Roman" w:eastAsia="Times New Roman" w:cs="Times New Roman"/>
          <w:color w:val="auto"/>
          <w:spacing w:val="-1"/>
          <w:position w:val="14"/>
          <w:sz w:val="21"/>
          <w:szCs w:val="21"/>
          <w:highlight w:val="none"/>
        </w:rPr>
        <w:t xml:space="preserve">7  </w:t>
      </w:r>
      <w:r>
        <w:rPr>
          <w:rFonts w:ascii="宋体" w:hAnsi="宋体" w:eastAsia="宋体" w:cs="宋体"/>
          <w:color w:val="auto"/>
          <w:spacing w:val="-1"/>
          <w:position w:val="14"/>
          <w:sz w:val="21"/>
          <w:szCs w:val="21"/>
          <w:highlight w:val="none"/>
        </w:rPr>
        <w:t>天前向承包人移交施工现场。</w:t>
      </w:r>
    </w:p>
    <w:p w14:paraId="418FBC46">
      <w:pPr>
        <w:spacing w:before="1"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2.4.2 </w:t>
      </w:r>
      <w:r>
        <w:rPr>
          <w:rFonts w:ascii="宋体" w:hAnsi="宋体" w:eastAsia="宋体" w:cs="宋体"/>
          <w:color w:val="auto"/>
          <w:sz w:val="21"/>
          <w:szCs w:val="21"/>
          <w:highlight w:val="none"/>
        </w:rPr>
        <w:t>提供施工条件</w:t>
      </w:r>
    </w:p>
    <w:p w14:paraId="430D3D17">
      <w:pPr>
        <w:spacing w:before="153" w:line="220"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发包人应负责提供施工所需要的条件，包括：</w:t>
      </w:r>
    </w:p>
    <w:p w14:paraId="4C0F3A71">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）将施工用水、电力、通讯线路等施工所必</w:t>
      </w:r>
      <w:r>
        <w:rPr>
          <w:rFonts w:ascii="宋体" w:hAnsi="宋体" w:eastAsia="宋体" w:cs="宋体"/>
          <w:color w:val="auto"/>
          <w:spacing w:val="-1"/>
          <w:sz w:val="21"/>
          <w:szCs w:val="21"/>
          <w:highlight w:val="none"/>
        </w:rPr>
        <w:t>需的条件接至施工现场内；</w:t>
      </w:r>
    </w:p>
    <w:p w14:paraId="3A7AB551">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）保证向承包人提供正常施工所需要的进入施工现场的交通条件；</w:t>
      </w:r>
    </w:p>
    <w:p w14:paraId="68F05842">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）协调处理施工现场周围地下管线和邻近建筑物、构筑物、古树名木的保护工作，</w:t>
      </w:r>
    </w:p>
    <w:p w14:paraId="58B9D2D2">
      <w:pPr>
        <w:spacing w:before="147" w:line="221" w:lineRule="auto"/>
        <w:ind w:left="2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并承担相关费用；</w:t>
      </w:r>
    </w:p>
    <w:p w14:paraId="3FF76D26">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）按照专用合同条款约定应提供的其他设施</w:t>
      </w:r>
      <w:r>
        <w:rPr>
          <w:rFonts w:ascii="宋体" w:hAnsi="宋体" w:eastAsia="宋体" w:cs="宋体"/>
          <w:color w:val="auto"/>
          <w:spacing w:val="-2"/>
          <w:sz w:val="21"/>
          <w:szCs w:val="21"/>
          <w:highlight w:val="none"/>
        </w:rPr>
        <w:t>和条件。</w:t>
      </w:r>
    </w:p>
    <w:p w14:paraId="1030DE86">
      <w:pPr>
        <w:spacing w:before="153"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2.4.3 </w:t>
      </w:r>
      <w:r>
        <w:rPr>
          <w:rFonts w:ascii="宋体" w:hAnsi="宋体" w:eastAsia="宋体" w:cs="宋体"/>
          <w:color w:val="auto"/>
          <w:sz w:val="21"/>
          <w:szCs w:val="21"/>
          <w:highlight w:val="none"/>
        </w:rPr>
        <w:t>提供基础资料</w:t>
      </w:r>
    </w:p>
    <w:p w14:paraId="55F6464E">
      <w:pPr>
        <w:spacing w:before="147" w:line="352" w:lineRule="auto"/>
        <w:ind w:left="18" w:right="2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发包人应当在移交施工现场前向承包人提供施工现场及工程施工所必需的毗邻区域内  供水、排水、供电、供气、供热、通信、广播电视等地下</w:t>
      </w:r>
      <w:r>
        <w:rPr>
          <w:rFonts w:ascii="宋体" w:hAnsi="宋体" w:eastAsia="宋体" w:cs="宋体"/>
          <w:color w:val="auto"/>
          <w:spacing w:val="1"/>
          <w:sz w:val="21"/>
          <w:szCs w:val="21"/>
          <w:highlight w:val="none"/>
        </w:rPr>
        <w:t>管线资料，气象和水文观测资料，</w:t>
      </w:r>
      <w:r>
        <w:rPr>
          <w:rFonts w:ascii="宋体" w:hAnsi="宋体" w:eastAsia="宋体" w:cs="宋体"/>
          <w:color w:val="auto"/>
          <w:sz w:val="21"/>
          <w:szCs w:val="21"/>
          <w:highlight w:val="none"/>
        </w:rPr>
        <w:t xml:space="preserve"> 地质勘察资料，相邻建筑物、构筑物和地下工程等有关基础资料； 并对所提供资料的真实</w:t>
      </w:r>
    </w:p>
    <w:p w14:paraId="73FBDC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性、准确性和完整性负责。</w:t>
      </w:r>
    </w:p>
    <w:p w14:paraId="6D174E9D">
      <w:pPr>
        <w:spacing w:before="148" w:line="403"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按照法律规定确需在开工后方能提供的基础资料，发包人应尽其努力及时地在相应工</w:t>
      </w:r>
    </w:p>
    <w:p w14:paraId="519AE97F">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程施工前的合理期限内提供， 合理期限应以不影响承包人的</w:t>
      </w:r>
      <w:r>
        <w:rPr>
          <w:rFonts w:ascii="宋体" w:hAnsi="宋体" w:eastAsia="宋体" w:cs="宋体"/>
          <w:color w:val="auto"/>
          <w:spacing w:val="-4"/>
          <w:sz w:val="21"/>
          <w:szCs w:val="21"/>
          <w:highlight w:val="none"/>
        </w:rPr>
        <w:t>正常施工为限。</w:t>
      </w:r>
    </w:p>
    <w:p w14:paraId="5DC85D60">
      <w:pPr>
        <w:spacing w:before="148"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2.4.4 </w:t>
      </w:r>
      <w:r>
        <w:rPr>
          <w:rFonts w:ascii="宋体" w:hAnsi="宋体" w:eastAsia="宋体" w:cs="宋体"/>
          <w:color w:val="auto"/>
          <w:sz w:val="21"/>
          <w:szCs w:val="21"/>
          <w:highlight w:val="none"/>
        </w:rPr>
        <w:t>逾期提供的责任</w:t>
      </w:r>
    </w:p>
    <w:p w14:paraId="6254E205">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因发包人原因未能按合同约定及时向承包人提供施工现场、施工条件、基础资料的，</w:t>
      </w:r>
    </w:p>
    <w:p w14:paraId="6F1A6FD4">
      <w:pPr>
        <w:spacing w:before="153" w:line="221" w:lineRule="auto"/>
        <w:ind w:left="4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由发包人承担由此增加的费用和（或） 延误的工期。</w:t>
      </w:r>
    </w:p>
    <w:p w14:paraId="7A558B41">
      <w:pPr>
        <w:spacing w:before="46"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2.5 资金来源证明及支付担保</w:t>
      </w:r>
    </w:p>
    <w:p w14:paraId="39C5C877">
      <w:pPr>
        <w:spacing w:before="131"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除专用合同条款另有约定外，发包人应在收到承包人要求提供</w:t>
      </w:r>
      <w:r>
        <w:rPr>
          <w:rFonts w:ascii="宋体" w:hAnsi="宋体" w:eastAsia="宋体" w:cs="宋体"/>
          <w:color w:val="auto"/>
          <w:spacing w:val="2"/>
          <w:sz w:val="21"/>
          <w:szCs w:val="21"/>
          <w:highlight w:val="none"/>
        </w:rPr>
        <w:t>资金来源证明的书面通</w:t>
      </w:r>
    </w:p>
    <w:p w14:paraId="22057AB9">
      <w:pPr>
        <w:spacing w:line="220" w:lineRule="auto"/>
        <w:rPr>
          <w:rFonts w:ascii="宋体" w:hAnsi="宋体" w:eastAsia="宋体" w:cs="宋体"/>
          <w:color w:val="auto"/>
          <w:sz w:val="21"/>
          <w:szCs w:val="21"/>
          <w:highlight w:val="none"/>
        </w:rPr>
        <w:sectPr>
          <w:footerReference r:id="rId109" w:type="default"/>
          <w:pgSz w:w="11905" w:h="16839"/>
          <w:pgMar w:top="1431" w:right="1612" w:bottom="1004" w:left="1785" w:header="0" w:footer="829" w:gutter="0"/>
          <w:pgNumType w:fmt="decimal"/>
          <w:cols w:space="720" w:num="1"/>
        </w:sectPr>
      </w:pPr>
    </w:p>
    <w:p w14:paraId="25912B1E">
      <w:pPr>
        <w:spacing w:before="149"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知后</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宋体" w:hAnsi="宋体" w:eastAsia="宋体" w:cs="宋体"/>
          <w:color w:val="auto"/>
          <w:spacing w:val="-1"/>
          <w:sz w:val="21"/>
          <w:szCs w:val="21"/>
          <w:highlight w:val="none"/>
        </w:rPr>
        <w:t>天内，向承包人提供能够按照合同约定支付合同价款的相应资金来源证明。</w:t>
      </w:r>
    </w:p>
    <w:p w14:paraId="63BBAC83">
      <w:pPr>
        <w:spacing w:before="149" w:line="403"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除专用合同条款另有约定外，发包人要求承包人提供履约担保</w:t>
      </w:r>
      <w:r>
        <w:rPr>
          <w:rFonts w:ascii="宋体" w:hAnsi="宋体" w:eastAsia="宋体" w:cs="宋体"/>
          <w:color w:val="auto"/>
          <w:spacing w:val="2"/>
          <w:position w:val="14"/>
          <w:sz w:val="21"/>
          <w:szCs w:val="21"/>
          <w:highlight w:val="none"/>
        </w:rPr>
        <w:t>的，发包人应当向承包</w:t>
      </w:r>
    </w:p>
    <w:p w14:paraId="297746F6">
      <w:pPr>
        <w:spacing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人提供支付担保。支付担保可以采用银行保函或担保公司担保等形式， 具体由合同当事人</w:t>
      </w:r>
    </w:p>
    <w:p w14:paraId="54FA72F2">
      <w:pPr>
        <w:spacing w:before="148" w:line="221"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在专用合同条款中约定。</w:t>
      </w:r>
    </w:p>
    <w:p w14:paraId="10030834">
      <w:pPr>
        <w:spacing w:before="45"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2.6</w:t>
      </w:r>
      <w:r>
        <w:rPr>
          <w:rFonts w:ascii="黑体" w:hAnsi="黑体" w:eastAsia="黑体" w:cs="黑体"/>
          <w:color w:val="auto"/>
          <w:spacing w:val="21"/>
          <w:sz w:val="24"/>
          <w:szCs w:val="24"/>
          <w:highlight w:val="none"/>
        </w:rPr>
        <w:t xml:space="preserve"> </w:t>
      </w:r>
      <w:r>
        <w:rPr>
          <w:rFonts w:ascii="黑体" w:hAnsi="黑体" w:eastAsia="黑体" w:cs="黑体"/>
          <w:color w:val="auto"/>
          <w:spacing w:val="-3"/>
          <w:sz w:val="24"/>
          <w:szCs w:val="24"/>
          <w:highlight w:val="none"/>
        </w:rPr>
        <w:t>支付合同价款</w:t>
      </w:r>
    </w:p>
    <w:p w14:paraId="7EC78D26">
      <w:pPr>
        <w:spacing w:before="130" w:line="219"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发包人应按合同约定向承包人及时支付合同价款。</w:t>
      </w:r>
    </w:p>
    <w:p w14:paraId="2C5B3D85">
      <w:pPr>
        <w:spacing w:before="47"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2.7 组织竣工验收</w:t>
      </w:r>
    </w:p>
    <w:p w14:paraId="784F9DFF">
      <w:pPr>
        <w:spacing w:before="130"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发包人应按合同约定及时组织竣工验收。</w:t>
      </w:r>
    </w:p>
    <w:p w14:paraId="349F72D8">
      <w:pPr>
        <w:spacing w:before="51"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2.8 现场统一管理协议</w:t>
      </w:r>
    </w:p>
    <w:p w14:paraId="4C378AF6">
      <w:pPr>
        <w:spacing w:before="130"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发包人应与承包人、由发包人直接发包的专业工程的承包人签订施工现场统一管理协</w:t>
      </w:r>
    </w:p>
    <w:p w14:paraId="0116C8F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议，明确各方的权利义务。施工现场统一管理协议作为专用合同条款的附件。</w:t>
      </w:r>
    </w:p>
    <w:p w14:paraId="63271540">
      <w:pPr>
        <w:spacing w:before="174" w:line="220" w:lineRule="auto"/>
        <w:ind w:left="22"/>
        <w:rPr>
          <w:rFonts w:ascii="黑体" w:hAnsi="黑体" w:eastAsia="黑体" w:cs="黑体"/>
          <w:color w:val="auto"/>
          <w:sz w:val="32"/>
          <w:szCs w:val="32"/>
          <w:highlight w:val="none"/>
        </w:rPr>
      </w:pPr>
      <w:r>
        <w:rPr>
          <w:rFonts w:ascii="黑体" w:hAnsi="黑体" w:eastAsia="黑体" w:cs="黑体"/>
          <w:color w:val="auto"/>
          <w:spacing w:val="-2"/>
          <w:sz w:val="32"/>
          <w:szCs w:val="32"/>
          <w:highlight w:val="none"/>
        </w:rPr>
        <w:t>3.承包人</w:t>
      </w:r>
    </w:p>
    <w:p w14:paraId="38CE28CC">
      <w:pPr>
        <w:spacing w:before="149" w:line="218"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3.1 承包人的一般义务</w:t>
      </w:r>
    </w:p>
    <w:p w14:paraId="29981A29">
      <w:pPr>
        <w:spacing w:before="130"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承包人在履行合同过程中应遵守法律和工程建设标准规范，并履行以下义务：</w:t>
      </w:r>
    </w:p>
    <w:p w14:paraId="0E9CA09B">
      <w:pPr>
        <w:spacing w:before="147" w:line="399"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1</w:t>
      </w:r>
      <w:r>
        <w:rPr>
          <w:rFonts w:ascii="宋体" w:hAnsi="宋体" w:eastAsia="宋体" w:cs="宋体"/>
          <w:color w:val="auto"/>
          <w:spacing w:val="-3"/>
          <w:position w:val="14"/>
          <w:sz w:val="21"/>
          <w:szCs w:val="21"/>
          <w:highlight w:val="none"/>
        </w:rPr>
        <w:t>）办理法律规定应由承包人办理的许可和批准，</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3"/>
          <w:position w:val="14"/>
          <w:sz w:val="21"/>
          <w:szCs w:val="21"/>
          <w:highlight w:val="none"/>
        </w:rPr>
        <w:t>并将</w:t>
      </w:r>
      <w:r>
        <w:rPr>
          <w:rFonts w:ascii="宋体" w:hAnsi="宋体" w:eastAsia="宋体" w:cs="宋体"/>
          <w:color w:val="auto"/>
          <w:spacing w:val="-4"/>
          <w:position w:val="14"/>
          <w:sz w:val="21"/>
          <w:szCs w:val="21"/>
          <w:highlight w:val="none"/>
        </w:rPr>
        <w:t>办理结果书面报送发包人留存；</w:t>
      </w:r>
    </w:p>
    <w:p w14:paraId="6A415F3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）按法律规定和合同约定完成工程， 并在保修期内承担保修义务；</w:t>
      </w:r>
    </w:p>
    <w:p w14:paraId="491C71F1">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）按法律规定和合同约定采取施工安全和环境保护措施，办理工伤保险，确保</w:t>
      </w:r>
      <w:r>
        <w:rPr>
          <w:rFonts w:ascii="宋体" w:hAnsi="宋体" w:eastAsia="宋体" w:cs="宋体"/>
          <w:color w:val="auto"/>
          <w:spacing w:val="-1"/>
          <w:position w:val="14"/>
          <w:sz w:val="21"/>
          <w:szCs w:val="21"/>
          <w:highlight w:val="none"/>
        </w:rPr>
        <w:t>工程</w:t>
      </w:r>
    </w:p>
    <w:p w14:paraId="2D986968">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及人员、材料、设备和设施的安全；</w:t>
      </w:r>
    </w:p>
    <w:p w14:paraId="67CBF453">
      <w:pPr>
        <w:spacing w:before="149"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4</w:t>
      </w:r>
      <w:r>
        <w:rPr>
          <w:rFonts w:ascii="宋体" w:hAnsi="宋体" w:eastAsia="宋体" w:cs="宋体"/>
          <w:color w:val="auto"/>
          <w:position w:val="14"/>
          <w:sz w:val="21"/>
          <w:szCs w:val="21"/>
          <w:highlight w:val="none"/>
        </w:rPr>
        <w:t>）按合同约定的工作内容和施工进度要求，编制施工组织设计和施工措施计</w:t>
      </w:r>
      <w:r>
        <w:rPr>
          <w:rFonts w:ascii="宋体" w:hAnsi="宋体" w:eastAsia="宋体" w:cs="宋体"/>
          <w:color w:val="auto"/>
          <w:spacing w:val="-1"/>
          <w:position w:val="14"/>
          <w:sz w:val="21"/>
          <w:szCs w:val="21"/>
          <w:highlight w:val="none"/>
        </w:rPr>
        <w:t>划，并</w:t>
      </w:r>
    </w:p>
    <w:p w14:paraId="658FEE42">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对所有施工作业和施工方法的完备性和安全可靠性负责；</w:t>
      </w:r>
    </w:p>
    <w:p w14:paraId="6F67E452">
      <w:pPr>
        <w:spacing w:before="146" w:line="353" w:lineRule="auto"/>
        <w:ind w:left="17" w:right="188"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）在进行合同约定的各项工作时，不得侵害发包人与他人使用公用道路、水</w:t>
      </w:r>
      <w:r>
        <w:rPr>
          <w:rFonts w:ascii="宋体" w:hAnsi="宋体" w:eastAsia="宋体" w:cs="宋体"/>
          <w:color w:val="auto"/>
          <w:spacing w:val="-1"/>
          <w:sz w:val="21"/>
          <w:szCs w:val="21"/>
          <w:highlight w:val="none"/>
        </w:rPr>
        <w:t>源、市</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政管网等公共设施的权利，避免对邻近的公共设施产生干扰。承包人占用或使</w:t>
      </w:r>
      <w:r>
        <w:rPr>
          <w:rFonts w:ascii="宋体" w:hAnsi="宋体" w:eastAsia="宋体" w:cs="宋体"/>
          <w:color w:val="auto"/>
          <w:spacing w:val="2"/>
          <w:sz w:val="21"/>
          <w:szCs w:val="21"/>
          <w:highlight w:val="none"/>
        </w:rPr>
        <w:t>用他人的施</w:t>
      </w:r>
    </w:p>
    <w:p w14:paraId="592082D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工场地，影响他人作业或生活的，应承担相应责任；</w:t>
      </w:r>
    </w:p>
    <w:p w14:paraId="07191B8C">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6.3 </w:t>
      </w:r>
      <w:r>
        <w:rPr>
          <w:rFonts w:ascii="宋体" w:hAnsi="宋体" w:eastAsia="宋体" w:cs="宋体"/>
          <w:color w:val="auto"/>
          <w:spacing w:val="-1"/>
          <w:sz w:val="21"/>
          <w:szCs w:val="21"/>
          <w:highlight w:val="none"/>
        </w:rPr>
        <w:t>款〔环境保护〕约定负责施工场地及其周边环境与生态的保护工作；</w:t>
      </w:r>
    </w:p>
    <w:p w14:paraId="583B1CAF">
      <w:pPr>
        <w:spacing w:before="147" w:line="404"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宋体" w:hAnsi="宋体" w:eastAsia="宋体" w:cs="宋体"/>
          <w:color w:val="auto"/>
          <w:spacing w:val="-1"/>
          <w:position w:val="14"/>
          <w:sz w:val="21"/>
          <w:szCs w:val="21"/>
          <w:highlight w:val="none"/>
        </w:rPr>
        <w:t xml:space="preserve">）按第 </w:t>
      </w:r>
      <w:r>
        <w:rPr>
          <w:rFonts w:ascii="Times New Roman" w:hAnsi="Times New Roman" w:eastAsia="Times New Roman" w:cs="Times New Roman"/>
          <w:color w:val="auto"/>
          <w:spacing w:val="-1"/>
          <w:position w:val="14"/>
          <w:sz w:val="21"/>
          <w:szCs w:val="21"/>
          <w:highlight w:val="none"/>
        </w:rPr>
        <w:t>6.1</w:t>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款〔安全文明施工〕约定采取施工</w:t>
      </w:r>
      <w:r>
        <w:rPr>
          <w:rFonts w:ascii="宋体" w:hAnsi="宋体" w:eastAsia="宋体" w:cs="宋体"/>
          <w:color w:val="auto"/>
          <w:spacing w:val="-2"/>
          <w:position w:val="14"/>
          <w:sz w:val="21"/>
          <w:szCs w:val="21"/>
          <w:highlight w:val="none"/>
        </w:rPr>
        <w:t>安全措施，确保工程及其人员、材料、</w:t>
      </w:r>
    </w:p>
    <w:p w14:paraId="0FD4ECD8">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设备和设施的安全，</w:t>
      </w:r>
      <w:r>
        <w:rPr>
          <w:rFonts w:ascii="宋体" w:hAnsi="宋体" w:eastAsia="宋体" w:cs="宋体"/>
          <w:color w:val="auto"/>
          <w:spacing w:val="31"/>
          <w:sz w:val="21"/>
          <w:szCs w:val="21"/>
          <w:highlight w:val="none"/>
        </w:rPr>
        <w:t xml:space="preserve"> </w:t>
      </w:r>
      <w:r>
        <w:rPr>
          <w:rFonts w:ascii="宋体" w:hAnsi="宋体" w:eastAsia="宋体" w:cs="宋体"/>
          <w:color w:val="auto"/>
          <w:spacing w:val="-5"/>
          <w:sz w:val="21"/>
          <w:szCs w:val="21"/>
          <w:highlight w:val="none"/>
        </w:rPr>
        <w:t>防止因工程施工造成的人身伤害和财产损失；</w:t>
      </w:r>
    </w:p>
    <w:p w14:paraId="59C3FFE4">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8</w:t>
      </w:r>
      <w:r>
        <w:rPr>
          <w:rFonts w:ascii="宋体" w:hAnsi="宋体" w:eastAsia="宋体" w:cs="宋体"/>
          <w:color w:val="auto"/>
          <w:position w:val="14"/>
          <w:sz w:val="21"/>
          <w:szCs w:val="21"/>
          <w:highlight w:val="none"/>
        </w:rPr>
        <w:t>）将发包人按合同约定支付的各项价款专用于合同工程，且应及时支付其雇用人员</w:t>
      </w:r>
    </w:p>
    <w:p w14:paraId="0E8E509D">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工资，并及时向分包人支付合同价款；</w:t>
      </w:r>
    </w:p>
    <w:p w14:paraId="1F012523">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9</w:t>
      </w:r>
      <w:r>
        <w:rPr>
          <w:rFonts w:ascii="宋体" w:hAnsi="宋体" w:eastAsia="宋体" w:cs="宋体"/>
          <w:color w:val="auto"/>
          <w:position w:val="14"/>
          <w:sz w:val="21"/>
          <w:szCs w:val="21"/>
          <w:highlight w:val="none"/>
        </w:rPr>
        <w:t>）按照法律规定和合同约定编制竣工资料，完成竣工资料立卷及归档，并按</w:t>
      </w:r>
      <w:r>
        <w:rPr>
          <w:rFonts w:ascii="宋体" w:hAnsi="宋体" w:eastAsia="宋体" w:cs="宋体"/>
          <w:color w:val="auto"/>
          <w:spacing w:val="-1"/>
          <w:position w:val="14"/>
          <w:sz w:val="21"/>
          <w:szCs w:val="21"/>
          <w:highlight w:val="none"/>
        </w:rPr>
        <w:t>专用合</w:t>
      </w:r>
    </w:p>
    <w:p w14:paraId="494D9E28">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同条款约定的竣工资料的套数、内容、时间等要求移交发包人；</w:t>
      </w:r>
    </w:p>
    <w:p w14:paraId="2E11F098">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宋体" w:hAnsi="宋体" w:eastAsia="宋体" w:cs="宋体"/>
          <w:color w:val="auto"/>
          <w:spacing w:val="-3"/>
          <w:sz w:val="21"/>
          <w:szCs w:val="21"/>
          <w:highlight w:val="none"/>
        </w:rPr>
        <w:t>）应履行的其他义务。</w:t>
      </w:r>
    </w:p>
    <w:p w14:paraId="70A0C90A">
      <w:pPr>
        <w:spacing w:before="46"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3.2 项目经理</w:t>
      </w:r>
    </w:p>
    <w:p w14:paraId="1F6A412C">
      <w:pPr>
        <w:spacing w:before="128" w:line="353" w:lineRule="auto"/>
        <w:ind w:left="20" w:right="185"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3.2.1</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项目经理应为合同当事人所确认的人选，</w:t>
      </w:r>
      <w:r>
        <w:rPr>
          <w:rFonts w:ascii="宋体" w:hAnsi="宋体" w:eastAsia="宋体" w:cs="宋体"/>
          <w:color w:val="auto"/>
          <w:sz w:val="21"/>
          <w:szCs w:val="21"/>
          <w:highlight w:val="none"/>
        </w:rPr>
        <w:t xml:space="preserve">并在专用合同条款中明确项目经理的姓 </w:t>
      </w:r>
      <w:r>
        <w:rPr>
          <w:rFonts w:ascii="宋体" w:hAnsi="宋体" w:eastAsia="宋体" w:cs="宋体"/>
          <w:color w:val="auto"/>
          <w:spacing w:val="3"/>
          <w:sz w:val="21"/>
          <w:szCs w:val="21"/>
          <w:highlight w:val="none"/>
        </w:rPr>
        <w:t>名、职称、注册执业证书编号、联系方式及授权范围等事项，项目经理</w:t>
      </w:r>
      <w:r>
        <w:rPr>
          <w:rFonts w:ascii="宋体" w:hAnsi="宋体" w:eastAsia="宋体" w:cs="宋体"/>
          <w:color w:val="auto"/>
          <w:spacing w:val="2"/>
          <w:sz w:val="21"/>
          <w:szCs w:val="21"/>
          <w:highlight w:val="none"/>
        </w:rPr>
        <w:t>经承包人授权后代</w:t>
      </w:r>
    </w:p>
    <w:p w14:paraId="5FD29D93">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表承包人负责履行合同。项目经理应是承包人正式聘用的员工，承包人应向发</w:t>
      </w:r>
      <w:r>
        <w:rPr>
          <w:rFonts w:ascii="宋体" w:hAnsi="宋体" w:eastAsia="宋体" w:cs="宋体"/>
          <w:color w:val="auto"/>
          <w:spacing w:val="2"/>
          <w:sz w:val="21"/>
          <w:szCs w:val="21"/>
          <w:highlight w:val="none"/>
        </w:rPr>
        <w:t>包人提交项</w:t>
      </w:r>
    </w:p>
    <w:p w14:paraId="43454311">
      <w:pPr>
        <w:spacing w:line="220" w:lineRule="auto"/>
        <w:rPr>
          <w:rFonts w:ascii="宋体" w:hAnsi="宋体" w:eastAsia="宋体" w:cs="宋体"/>
          <w:color w:val="auto"/>
          <w:sz w:val="21"/>
          <w:szCs w:val="21"/>
          <w:highlight w:val="none"/>
        </w:rPr>
        <w:sectPr>
          <w:footerReference r:id="rId110" w:type="default"/>
          <w:pgSz w:w="11905" w:h="16839"/>
          <w:pgMar w:top="1431" w:right="1608" w:bottom="1004" w:left="1785" w:header="0" w:footer="829" w:gutter="0"/>
          <w:pgNumType w:fmt="decimal"/>
          <w:cols w:space="720" w:num="1"/>
        </w:sectPr>
      </w:pPr>
    </w:p>
    <w:p w14:paraId="5E96D0D4">
      <w:pPr>
        <w:spacing w:before="150" w:line="352" w:lineRule="auto"/>
        <w:ind w:left="20" w:right="185" w:firstLine="38"/>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目经理与承包人之间的劳动合同， 以及承包人为项目经理缴纳社会保险的有效证明。承包</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人不提交上述文件的， 项目经理无权履行职责，发包人有权要求更换项目经理，由此增加</w:t>
      </w:r>
    </w:p>
    <w:p w14:paraId="567845C7">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的费用和（或）延误的工期由承包人承担。</w:t>
      </w:r>
    </w:p>
    <w:p w14:paraId="08CBCD69">
      <w:pPr>
        <w:spacing w:before="146" w:line="352" w:lineRule="auto"/>
        <w:ind w:left="19"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项目经理应常驻施工现场， 且每月在施工现场时间不得少于专用合同条款约定的天数。</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项目经理不得同时担任其他项目的项目经理。项目经理</w:t>
      </w:r>
      <w:r>
        <w:rPr>
          <w:rFonts w:ascii="宋体" w:hAnsi="宋体" w:eastAsia="宋体" w:cs="宋体"/>
          <w:color w:val="auto"/>
          <w:spacing w:val="2"/>
          <w:sz w:val="21"/>
          <w:szCs w:val="21"/>
          <w:highlight w:val="none"/>
        </w:rPr>
        <w:t xml:space="preserve">确需离开施工现场时，应事先通知  </w:t>
      </w:r>
      <w:r>
        <w:rPr>
          <w:rFonts w:ascii="宋体" w:hAnsi="宋体" w:eastAsia="宋体" w:cs="宋体"/>
          <w:color w:val="auto"/>
          <w:spacing w:val="3"/>
          <w:sz w:val="21"/>
          <w:szCs w:val="21"/>
          <w:highlight w:val="none"/>
        </w:rPr>
        <w:t>监理人，并取得发包人的书面同意。项目经理的通知中应当载明临时代行其</w:t>
      </w:r>
      <w:r>
        <w:rPr>
          <w:rFonts w:ascii="宋体" w:hAnsi="宋体" w:eastAsia="宋体" w:cs="宋体"/>
          <w:color w:val="auto"/>
          <w:spacing w:val="2"/>
          <w:sz w:val="21"/>
          <w:szCs w:val="21"/>
          <w:highlight w:val="none"/>
        </w:rPr>
        <w:t>职责的人员的</w:t>
      </w:r>
    </w:p>
    <w:p w14:paraId="2B83633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注册执业资格、管理经验等资料，该人员应具备履行相应职责的能力。</w:t>
      </w:r>
    </w:p>
    <w:p w14:paraId="32D54F31">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承包人违反上述约定的，应按照专用合同条款的约定，承担违约责</w:t>
      </w:r>
      <w:r>
        <w:rPr>
          <w:rFonts w:ascii="宋体" w:hAnsi="宋体" w:eastAsia="宋体" w:cs="宋体"/>
          <w:color w:val="auto"/>
          <w:spacing w:val="-2"/>
          <w:sz w:val="21"/>
          <w:szCs w:val="21"/>
          <w:highlight w:val="none"/>
        </w:rPr>
        <w:t>任。</w:t>
      </w:r>
    </w:p>
    <w:p w14:paraId="56AA5AC6">
      <w:pPr>
        <w:spacing w:before="151" w:line="352" w:lineRule="auto"/>
        <w:ind w:left="17" w:right="176"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3.2.2</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项目经理按合同约定组织工程实施。在紧急情况下为确</w:t>
      </w:r>
      <w:r>
        <w:rPr>
          <w:rFonts w:ascii="宋体" w:hAnsi="宋体" w:eastAsia="宋体" w:cs="宋体"/>
          <w:color w:val="auto"/>
          <w:sz w:val="21"/>
          <w:szCs w:val="21"/>
          <w:highlight w:val="none"/>
        </w:rPr>
        <w:t>保施工安全和人员安全， 在无法与发包人代表和总监理工程师及时取得联</w:t>
      </w:r>
      <w:r>
        <w:rPr>
          <w:rFonts w:ascii="宋体" w:hAnsi="宋体" w:eastAsia="宋体" w:cs="宋体"/>
          <w:color w:val="auto"/>
          <w:spacing w:val="-1"/>
          <w:sz w:val="21"/>
          <w:szCs w:val="21"/>
          <w:highlight w:val="none"/>
        </w:rPr>
        <w:t>系时，</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项目经理有权采取必要的措施保证</w:t>
      </w:r>
      <w:r>
        <w:rPr>
          <w:rFonts w:ascii="宋体" w:hAnsi="宋体" w:eastAsia="宋体" w:cs="宋体"/>
          <w:color w:val="auto"/>
          <w:sz w:val="21"/>
          <w:szCs w:val="21"/>
          <w:highlight w:val="none"/>
        </w:rPr>
        <w:t xml:space="preserve"> 与工程有关的人身、财产和工程的安全，但应在</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z w:val="21"/>
          <w:szCs w:val="21"/>
          <w:highlight w:val="none"/>
        </w:rPr>
        <w:t xml:space="preserve">48 </w:t>
      </w:r>
      <w:r>
        <w:rPr>
          <w:rFonts w:ascii="宋体" w:hAnsi="宋体" w:eastAsia="宋体" w:cs="宋体"/>
          <w:color w:val="auto"/>
          <w:sz w:val="21"/>
          <w:szCs w:val="21"/>
          <w:highlight w:val="none"/>
        </w:rPr>
        <w:t>小</w:t>
      </w:r>
      <w:r>
        <w:rPr>
          <w:rFonts w:ascii="宋体" w:hAnsi="宋体" w:eastAsia="宋体" w:cs="宋体"/>
          <w:color w:val="auto"/>
          <w:spacing w:val="-1"/>
          <w:sz w:val="21"/>
          <w:szCs w:val="21"/>
          <w:highlight w:val="none"/>
        </w:rPr>
        <w:t>时内向发包人代表和总监理工程师提</w:t>
      </w:r>
    </w:p>
    <w:p w14:paraId="30A893A5">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交书面报告。</w:t>
      </w:r>
    </w:p>
    <w:p w14:paraId="7259772C">
      <w:pPr>
        <w:spacing w:before="149" w:line="352" w:lineRule="auto"/>
        <w:ind w:left="20" w:right="2"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3.2.3 </w:t>
      </w:r>
      <w:r>
        <w:rPr>
          <w:rFonts w:ascii="宋体" w:hAnsi="宋体" w:eastAsia="宋体" w:cs="宋体"/>
          <w:color w:val="auto"/>
          <w:spacing w:val="-2"/>
          <w:sz w:val="21"/>
          <w:szCs w:val="21"/>
          <w:highlight w:val="none"/>
        </w:rPr>
        <w:t>承包人需要更换项目经理的，应提前</w:t>
      </w:r>
      <w:r>
        <w:rPr>
          <w:rFonts w:ascii="宋体" w:hAnsi="宋体" w:eastAsia="宋体" w:cs="宋体"/>
          <w:color w:val="auto"/>
          <w:spacing w:val="-19"/>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 </w:t>
      </w:r>
      <w:r>
        <w:rPr>
          <w:rFonts w:ascii="宋体" w:hAnsi="宋体" w:eastAsia="宋体" w:cs="宋体"/>
          <w:color w:val="auto"/>
          <w:spacing w:val="-2"/>
          <w:sz w:val="21"/>
          <w:szCs w:val="21"/>
          <w:highlight w:val="none"/>
        </w:rPr>
        <w:t xml:space="preserve">天书面通知发包人和监理人，并征得发包  </w:t>
      </w:r>
      <w:r>
        <w:rPr>
          <w:rFonts w:ascii="宋体" w:hAnsi="宋体" w:eastAsia="宋体" w:cs="宋体"/>
          <w:color w:val="auto"/>
          <w:spacing w:val="3"/>
          <w:sz w:val="21"/>
          <w:szCs w:val="21"/>
          <w:highlight w:val="none"/>
        </w:rPr>
        <w:t>人书面同意。通知中应当载明继任项目经理的注</w:t>
      </w:r>
      <w:r>
        <w:rPr>
          <w:rFonts w:ascii="宋体" w:hAnsi="宋体" w:eastAsia="宋体" w:cs="宋体"/>
          <w:color w:val="auto"/>
          <w:spacing w:val="2"/>
          <w:sz w:val="21"/>
          <w:szCs w:val="21"/>
          <w:highlight w:val="none"/>
        </w:rPr>
        <w:t xml:space="preserve">册执业资格、管理经验等资料，继任项目  </w:t>
      </w:r>
      <w:r>
        <w:rPr>
          <w:rFonts w:ascii="宋体" w:hAnsi="宋体" w:eastAsia="宋体" w:cs="宋体"/>
          <w:color w:val="auto"/>
          <w:spacing w:val="-1"/>
          <w:sz w:val="21"/>
          <w:szCs w:val="21"/>
          <w:highlight w:val="none"/>
        </w:rPr>
        <w:t>经理继续履行第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项约定的职责。未经发包人书面同意，承包人不得擅自更换项目</w:t>
      </w:r>
      <w:r>
        <w:rPr>
          <w:rFonts w:ascii="宋体" w:hAnsi="宋体" w:eastAsia="宋体" w:cs="宋体"/>
          <w:color w:val="auto"/>
          <w:spacing w:val="-2"/>
          <w:sz w:val="21"/>
          <w:szCs w:val="21"/>
          <w:highlight w:val="none"/>
        </w:rPr>
        <w:t>经理。</w:t>
      </w:r>
    </w:p>
    <w:p w14:paraId="246266B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承包人擅自更换项目经理的， 应按照专用合同条款的约定承担违约责</w:t>
      </w:r>
      <w:r>
        <w:rPr>
          <w:rFonts w:ascii="宋体" w:hAnsi="宋体" w:eastAsia="宋体" w:cs="宋体"/>
          <w:color w:val="auto"/>
          <w:spacing w:val="-5"/>
          <w:sz w:val="21"/>
          <w:szCs w:val="21"/>
          <w:highlight w:val="none"/>
        </w:rPr>
        <w:t>任。</w:t>
      </w:r>
    </w:p>
    <w:p w14:paraId="33547F87">
      <w:pPr>
        <w:spacing w:before="148" w:line="352" w:lineRule="auto"/>
        <w:ind w:left="17" w:right="176"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3.2.4</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发包人有权书面通知承包人更换其认为不</w:t>
      </w:r>
      <w:r>
        <w:rPr>
          <w:rFonts w:ascii="宋体" w:hAnsi="宋体" w:eastAsia="宋体" w:cs="宋体"/>
          <w:color w:val="auto"/>
          <w:sz w:val="21"/>
          <w:szCs w:val="21"/>
          <w:highlight w:val="none"/>
        </w:rPr>
        <w:t xml:space="preserve">称职的项目经理，通知中应当载明要求 </w:t>
      </w:r>
      <w:r>
        <w:rPr>
          <w:rFonts w:ascii="宋体" w:hAnsi="宋体" w:eastAsia="宋体" w:cs="宋体"/>
          <w:color w:val="auto"/>
          <w:spacing w:val="-1"/>
          <w:sz w:val="21"/>
          <w:szCs w:val="21"/>
          <w:highlight w:val="none"/>
        </w:rPr>
        <w:t xml:space="preserve">更换的理由。承包人应在接到更换通知后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天内向发包人提出书面的改进报告。发包人收</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到改进报告后仍要求更换的， 承包人应在接到第二次更换通知的</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天内进行更</w:t>
      </w:r>
      <w:r>
        <w:rPr>
          <w:rFonts w:ascii="宋体" w:hAnsi="宋体" w:eastAsia="宋体" w:cs="宋体"/>
          <w:color w:val="auto"/>
          <w:spacing w:val="-4"/>
          <w:sz w:val="21"/>
          <w:szCs w:val="21"/>
          <w:highlight w:val="none"/>
        </w:rPr>
        <w:t>换，并将新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任命的项目经理的注册执业资格、管理经验等资料书面通知发包人。继任项目经理继续履</w:t>
      </w:r>
      <w:r>
        <w:rPr>
          <w:rFonts w:ascii="宋体" w:hAnsi="宋体" w:eastAsia="宋体" w:cs="宋体"/>
          <w:color w:val="auto"/>
          <w:sz w:val="21"/>
          <w:szCs w:val="21"/>
          <w:highlight w:val="none"/>
        </w:rPr>
        <w:t xml:space="preserve"> 行第</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z w:val="21"/>
          <w:szCs w:val="21"/>
          <w:highlight w:val="none"/>
        </w:rPr>
        <w:t xml:space="preserve">3.2.1 </w:t>
      </w:r>
      <w:r>
        <w:rPr>
          <w:rFonts w:ascii="宋体" w:hAnsi="宋体" w:eastAsia="宋体" w:cs="宋体"/>
          <w:color w:val="auto"/>
          <w:sz w:val="21"/>
          <w:szCs w:val="21"/>
          <w:highlight w:val="none"/>
        </w:rPr>
        <w:t>项约定的职责。承包人无正当理由拒绝更换项目经理的，应</w:t>
      </w:r>
      <w:r>
        <w:rPr>
          <w:rFonts w:ascii="宋体" w:hAnsi="宋体" w:eastAsia="宋体" w:cs="宋体"/>
          <w:color w:val="auto"/>
          <w:spacing w:val="-1"/>
          <w:sz w:val="21"/>
          <w:szCs w:val="21"/>
          <w:highlight w:val="none"/>
        </w:rPr>
        <w:t>按照专用合同条款的</w:t>
      </w:r>
    </w:p>
    <w:p w14:paraId="153979AA">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约定承担违约责任。</w:t>
      </w:r>
    </w:p>
    <w:p w14:paraId="08873DB3">
      <w:pPr>
        <w:spacing w:before="148" w:line="403"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3.2.5</w:t>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1"/>
          <w:position w:val="14"/>
          <w:sz w:val="21"/>
          <w:szCs w:val="21"/>
          <w:highlight w:val="none"/>
        </w:rPr>
        <w:t>项目经理因特殊情况授权其下属人员履行</w:t>
      </w:r>
      <w:r>
        <w:rPr>
          <w:rFonts w:ascii="宋体" w:hAnsi="宋体" w:eastAsia="宋体" w:cs="宋体"/>
          <w:color w:val="auto"/>
          <w:position w:val="14"/>
          <w:sz w:val="21"/>
          <w:szCs w:val="21"/>
          <w:highlight w:val="none"/>
        </w:rPr>
        <w:t>其某项工作职责的，该下属人员应具备</w:t>
      </w:r>
    </w:p>
    <w:p w14:paraId="1CD245A1">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履行相应职责的能力，并应提前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59"/>
          <w:w w:val="101"/>
          <w:sz w:val="21"/>
          <w:szCs w:val="21"/>
          <w:highlight w:val="none"/>
        </w:rPr>
        <w:t xml:space="preserve"> </w:t>
      </w:r>
      <w:r>
        <w:rPr>
          <w:rFonts w:ascii="宋体" w:hAnsi="宋体" w:eastAsia="宋体" w:cs="宋体"/>
          <w:color w:val="auto"/>
          <w:sz w:val="21"/>
          <w:szCs w:val="21"/>
          <w:highlight w:val="none"/>
        </w:rPr>
        <w:t>天将上述人员的姓名和授权范围书面通知监理人，并征</w:t>
      </w:r>
    </w:p>
    <w:p w14:paraId="15525BB9">
      <w:pPr>
        <w:spacing w:before="148"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得发包人书面同意。</w:t>
      </w:r>
    </w:p>
    <w:p w14:paraId="57C5A663">
      <w:pPr>
        <w:spacing w:before="48" w:line="218"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3.3 承包人人员</w:t>
      </w:r>
    </w:p>
    <w:p w14:paraId="4414E048">
      <w:pPr>
        <w:spacing w:before="132" w:line="352" w:lineRule="auto"/>
        <w:ind w:left="18" w:right="179"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3.3.1</w:t>
      </w:r>
      <w:r>
        <w:rPr>
          <w:rFonts w:ascii="Times New Roman" w:hAnsi="Times New Roman" w:eastAsia="Times New Roman" w:cs="Times New Roman"/>
          <w:color w:val="auto"/>
          <w:spacing w:val="49"/>
          <w:sz w:val="21"/>
          <w:szCs w:val="21"/>
          <w:highlight w:val="none"/>
        </w:rPr>
        <w:t xml:space="preserve"> </w:t>
      </w:r>
      <w:r>
        <w:rPr>
          <w:rFonts w:ascii="宋体" w:hAnsi="宋体" w:eastAsia="宋体" w:cs="宋体"/>
          <w:color w:val="auto"/>
          <w:spacing w:val="-4"/>
          <w:sz w:val="21"/>
          <w:szCs w:val="21"/>
          <w:highlight w:val="none"/>
        </w:rPr>
        <w:t xml:space="preserve">除专用合同条款另有约定外， 承包人应在接到开工通知后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22"/>
          <w:w w:val="101"/>
          <w:sz w:val="21"/>
          <w:szCs w:val="21"/>
          <w:highlight w:val="none"/>
        </w:rPr>
        <w:t xml:space="preserve"> </w:t>
      </w:r>
      <w:r>
        <w:rPr>
          <w:rFonts w:ascii="宋体" w:hAnsi="宋体" w:eastAsia="宋体" w:cs="宋体"/>
          <w:color w:val="auto"/>
          <w:spacing w:val="-4"/>
          <w:sz w:val="21"/>
          <w:szCs w:val="21"/>
          <w:highlight w:val="none"/>
        </w:rPr>
        <w:t>天内，向监理人提交</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承包人项目管理机构及施工现场人员安排的报告，其内容应包括合同管理、施工、技术、 </w:t>
      </w:r>
      <w:r>
        <w:rPr>
          <w:rFonts w:ascii="宋体" w:hAnsi="宋体" w:eastAsia="宋体" w:cs="宋体"/>
          <w:color w:val="auto"/>
          <w:spacing w:val="3"/>
          <w:sz w:val="21"/>
          <w:szCs w:val="21"/>
          <w:highlight w:val="none"/>
        </w:rPr>
        <w:t>材料、质量、安全、财务等主要施工管理人员名单及其岗位、注册执业资格</w:t>
      </w:r>
      <w:r>
        <w:rPr>
          <w:rFonts w:ascii="宋体" w:hAnsi="宋体" w:eastAsia="宋体" w:cs="宋体"/>
          <w:color w:val="auto"/>
          <w:spacing w:val="2"/>
          <w:sz w:val="21"/>
          <w:szCs w:val="21"/>
          <w:highlight w:val="none"/>
        </w:rPr>
        <w:t>等，以及各工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种技术工人的安排情况，并同时提交主要施工管理人员与承包人之间的劳动关系证明和缴</w:t>
      </w:r>
    </w:p>
    <w:p w14:paraId="75CBEAB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纳社会保险的有效证明。</w:t>
      </w:r>
    </w:p>
    <w:p w14:paraId="4F8460F5">
      <w:pPr>
        <w:spacing w:before="147" w:line="352" w:lineRule="auto"/>
        <w:ind w:left="18" w:right="18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3.3.2</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承包人派驻到施工现场的主要施工管理人员应相</w:t>
      </w:r>
      <w:r>
        <w:rPr>
          <w:rFonts w:ascii="宋体" w:hAnsi="宋体" w:eastAsia="宋体" w:cs="宋体"/>
          <w:color w:val="auto"/>
          <w:sz w:val="21"/>
          <w:szCs w:val="21"/>
          <w:highlight w:val="none"/>
        </w:rPr>
        <w:t xml:space="preserve">对稳定。施工过程中如有变动， </w:t>
      </w:r>
      <w:r>
        <w:rPr>
          <w:rFonts w:ascii="宋体" w:hAnsi="宋体" w:eastAsia="宋体" w:cs="宋体"/>
          <w:color w:val="auto"/>
          <w:spacing w:val="3"/>
          <w:sz w:val="21"/>
          <w:szCs w:val="21"/>
          <w:highlight w:val="none"/>
        </w:rPr>
        <w:t>承包人应及时向监理人提交施工现场人员变动情况的报告。承包人更换主要</w:t>
      </w:r>
      <w:r>
        <w:rPr>
          <w:rFonts w:ascii="宋体" w:hAnsi="宋体" w:eastAsia="宋体" w:cs="宋体"/>
          <w:color w:val="auto"/>
          <w:spacing w:val="2"/>
          <w:sz w:val="21"/>
          <w:szCs w:val="21"/>
          <w:highlight w:val="none"/>
        </w:rPr>
        <w:t>施工管理人员</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 xml:space="preserve">时，应提前 </w:t>
      </w:r>
      <w:r>
        <w:rPr>
          <w:rFonts w:ascii="Times New Roman" w:hAnsi="Times New Roman" w:eastAsia="Times New Roman" w:cs="Times New Roman"/>
          <w:color w:val="auto"/>
          <w:spacing w:val="-4"/>
          <w:sz w:val="21"/>
          <w:szCs w:val="21"/>
          <w:highlight w:val="none"/>
        </w:rPr>
        <w:t xml:space="preserve">7  </w:t>
      </w:r>
      <w:r>
        <w:rPr>
          <w:rFonts w:ascii="宋体" w:hAnsi="宋体" w:eastAsia="宋体" w:cs="宋体"/>
          <w:color w:val="auto"/>
          <w:spacing w:val="-4"/>
          <w:sz w:val="21"/>
          <w:szCs w:val="21"/>
          <w:highlight w:val="none"/>
        </w:rPr>
        <w:t>天书面通知监理人，</w:t>
      </w:r>
      <w:r>
        <w:rPr>
          <w:rFonts w:ascii="宋体" w:hAnsi="宋体" w:eastAsia="宋体" w:cs="宋体"/>
          <w:color w:val="auto"/>
          <w:spacing w:val="73"/>
          <w:sz w:val="21"/>
          <w:szCs w:val="21"/>
          <w:highlight w:val="none"/>
        </w:rPr>
        <w:t xml:space="preserve"> </w:t>
      </w:r>
      <w:r>
        <w:rPr>
          <w:rFonts w:ascii="宋体" w:hAnsi="宋体" w:eastAsia="宋体" w:cs="宋体"/>
          <w:color w:val="auto"/>
          <w:spacing w:val="-4"/>
          <w:sz w:val="21"/>
          <w:szCs w:val="21"/>
          <w:highlight w:val="none"/>
        </w:rPr>
        <w:t>并征得发包人书面同意。通知中应当载明继任人员的注</w:t>
      </w:r>
    </w:p>
    <w:p w14:paraId="292E19E4">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册执业资格、管理经验等资料。</w:t>
      </w:r>
    </w:p>
    <w:p w14:paraId="2A252691">
      <w:pPr>
        <w:spacing w:line="220" w:lineRule="auto"/>
        <w:rPr>
          <w:rFonts w:ascii="宋体" w:hAnsi="宋体" w:eastAsia="宋体" w:cs="宋体"/>
          <w:color w:val="auto"/>
          <w:sz w:val="21"/>
          <w:szCs w:val="21"/>
          <w:highlight w:val="none"/>
        </w:rPr>
        <w:sectPr>
          <w:footerReference r:id="rId111" w:type="default"/>
          <w:pgSz w:w="11905" w:h="16839"/>
          <w:pgMar w:top="1431" w:right="1612" w:bottom="1004" w:left="1785" w:header="0" w:footer="828" w:gutter="0"/>
          <w:pgNumType w:fmt="decimal"/>
          <w:cols w:space="720" w:num="1"/>
        </w:sectPr>
      </w:pPr>
    </w:p>
    <w:p w14:paraId="5A570A11">
      <w:pPr>
        <w:spacing w:before="148"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特殊工种作业人员均应持有相应的资格证明，监理人可以随时检查。</w:t>
      </w:r>
    </w:p>
    <w:p w14:paraId="1DA9032B">
      <w:pPr>
        <w:spacing w:before="146" w:line="352" w:lineRule="auto"/>
        <w:ind w:left="18" w:right="19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3.3.3</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1"/>
          <w:sz w:val="21"/>
          <w:szCs w:val="21"/>
          <w:highlight w:val="none"/>
        </w:rPr>
        <w:t>发包人对于承包人主要施工管理人员的资格</w:t>
      </w:r>
      <w:r>
        <w:rPr>
          <w:rFonts w:ascii="宋体" w:hAnsi="宋体" w:eastAsia="宋体" w:cs="宋体"/>
          <w:color w:val="auto"/>
          <w:sz w:val="21"/>
          <w:szCs w:val="21"/>
          <w:highlight w:val="none"/>
        </w:rPr>
        <w:t xml:space="preserve">或能力有异议的，承包人应提供资料 </w:t>
      </w:r>
      <w:r>
        <w:rPr>
          <w:rFonts w:ascii="宋体" w:hAnsi="宋体" w:eastAsia="宋体" w:cs="宋体"/>
          <w:color w:val="auto"/>
          <w:spacing w:val="3"/>
          <w:sz w:val="21"/>
          <w:szCs w:val="21"/>
          <w:highlight w:val="none"/>
        </w:rPr>
        <w:t>证明被质疑人员有能力完成其岗位工作或不存在发包人所质疑的情形。发包</w:t>
      </w:r>
      <w:r>
        <w:rPr>
          <w:rFonts w:ascii="宋体" w:hAnsi="宋体" w:eastAsia="宋体" w:cs="宋体"/>
          <w:color w:val="auto"/>
          <w:spacing w:val="2"/>
          <w:sz w:val="21"/>
          <w:szCs w:val="21"/>
          <w:highlight w:val="none"/>
        </w:rPr>
        <w:t>人要求撤换不</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能按照合同约定履行职责及义务的主要施工管理人员的，承包人应当撤换。</w:t>
      </w:r>
      <w:r>
        <w:rPr>
          <w:rFonts w:ascii="宋体" w:hAnsi="宋体" w:eastAsia="宋体" w:cs="宋体"/>
          <w:color w:val="auto"/>
          <w:spacing w:val="2"/>
          <w:sz w:val="21"/>
          <w:szCs w:val="21"/>
          <w:highlight w:val="none"/>
        </w:rPr>
        <w:t>承包人无正当</w:t>
      </w:r>
    </w:p>
    <w:p w14:paraId="6938D977">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理由拒绝撤换的，应按照专用合同条款的约定承担</w:t>
      </w:r>
      <w:r>
        <w:rPr>
          <w:rFonts w:ascii="宋体" w:hAnsi="宋体" w:eastAsia="宋体" w:cs="宋体"/>
          <w:color w:val="auto"/>
          <w:spacing w:val="-2"/>
          <w:sz w:val="21"/>
          <w:szCs w:val="21"/>
          <w:highlight w:val="none"/>
        </w:rPr>
        <w:t>违约责任。</w:t>
      </w:r>
    </w:p>
    <w:p w14:paraId="48E35AA8">
      <w:pPr>
        <w:spacing w:before="151" w:line="352" w:lineRule="auto"/>
        <w:ind w:left="20" w:right="187" w:firstLine="420"/>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3.3.4</w:t>
      </w:r>
      <w:r>
        <w:rPr>
          <w:rFonts w:ascii="Times New Roman" w:hAnsi="Times New Roman" w:eastAsia="Times New Roman" w:cs="Times New Roman"/>
          <w:color w:val="auto"/>
          <w:spacing w:val="59"/>
          <w:sz w:val="21"/>
          <w:szCs w:val="21"/>
          <w:highlight w:val="none"/>
        </w:rPr>
        <w:t xml:space="preserve"> </w:t>
      </w:r>
      <w:r>
        <w:rPr>
          <w:rFonts w:ascii="宋体" w:hAnsi="宋体" w:eastAsia="宋体" w:cs="宋体"/>
          <w:color w:val="auto"/>
          <w:sz w:val="21"/>
          <w:szCs w:val="21"/>
          <w:highlight w:val="none"/>
        </w:rPr>
        <w:t xml:space="preserve">除专用合同条款另有约定外，承包人的主要施工管理人员离开施工现场每月累计 </w:t>
      </w:r>
      <w:r>
        <w:rPr>
          <w:rFonts w:ascii="宋体" w:hAnsi="宋体" w:eastAsia="宋体" w:cs="宋体"/>
          <w:color w:val="auto"/>
          <w:spacing w:val="-4"/>
          <w:sz w:val="21"/>
          <w:szCs w:val="21"/>
          <w:highlight w:val="none"/>
        </w:rPr>
        <w:t xml:space="preserve">不超过 </w:t>
      </w:r>
      <w:r>
        <w:rPr>
          <w:rFonts w:ascii="Times New Roman" w:hAnsi="Times New Roman" w:eastAsia="Times New Roman" w:cs="Times New Roman"/>
          <w:color w:val="auto"/>
          <w:spacing w:val="-4"/>
          <w:sz w:val="21"/>
          <w:szCs w:val="21"/>
          <w:highlight w:val="none"/>
        </w:rPr>
        <w:t>5</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4"/>
          <w:sz w:val="21"/>
          <w:szCs w:val="21"/>
          <w:highlight w:val="none"/>
        </w:rPr>
        <w:t xml:space="preserve">天的，应报监理人同意；离开施工现场每月累计超过 </w:t>
      </w:r>
      <w:r>
        <w:rPr>
          <w:rFonts w:ascii="Times New Roman" w:hAnsi="Times New Roman" w:eastAsia="Times New Roman" w:cs="Times New Roman"/>
          <w:color w:val="auto"/>
          <w:spacing w:val="-4"/>
          <w:sz w:val="21"/>
          <w:szCs w:val="21"/>
          <w:highlight w:val="none"/>
        </w:rPr>
        <w:t>5</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4"/>
          <w:sz w:val="21"/>
          <w:szCs w:val="21"/>
          <w:highlight w:val="none"/>
        </w:rPr>
        <w:t>天的， 应通知监理人，并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征得发包人书面同意。主要施工管理人员离开施工现场前应指定一名有</w:t>
      </w:r>
      <w:r>
        <w:rPr>
          <w:rFonts w:ascii="宋体" w:hAnsi="宋体" w:eastAsia="宋体" w:cs="宋体"/>
          <w:color w:val="auto"/>
          <w:spacing w:val="2"/>
          <w:sz w:val="21"/>
          <w:szCs w:val="21"/>
          <w:highlight w:val="none"/>
        </w:rPr>
        <w:t>经验的人员临时代</w:t>
      </w:r>
    </w:p>
    <w:p w14:paraId="09F17FC3">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行其职责， 该人员应具备履行相应职责的资格和能力，</w:t>
      </w:r>
      <w:r>
        <w:rPr>
          <w:rFonts w:ascii="宋体" w:hAnsi="宋体" w:eastAsia="宋体" w:cs="宋体"/>
          <w:color w:val="auto"/>
          <w:spacing w:val="-4"/>
          <w:sz w:val="21"/>
          <w:szCs w:val="21"/>
          <w:highlight w:val="none"/>
        </w:rPr>
        <w:t>且应征得监理人或发包人的同意。</w:t>
      </w:r>
    </w:p>
    <w:p w14:paraId="3D445C12">
      <w:pPr>
        <w:spacing w:before="147"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3.3.5</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承包人擅自更换主要施工管理人员，或前述人员</w:t>
      </w:r>
      <w:r>
        <w:rPr>
          <w:rFonts w:ascii="宋体" w:hAnsi="宋体" w:eastAsia="宋体" w:cs="宋体"/>
          <w:color w:val="auto"/>
          <w:sz w:val="21"/>
          <w:szCs w:val="21"/>
          <w:highlight w:val="none"/>
        </w:rPr>
        <w:t>未经监理人或发包人同意擅自离</w:t>
      </w:r>
    </w:p>
    <w:p w14:paraId="52A30CC1">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开施工现场的，应按照专用合同条款约定承担违约责任。</w:t>
      </w:r>
    </w:p>
    <w:p w14:paraId="45B08335">
      <w:pPr>
        <w:spacing w:before="51"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3.4 承包人现场查勘</w:t>
      </w:r>
    </w:p>
    <w:p w14:paraId="70A35D0D">
      <w:pPr>
        <w:spacing w:before="130" w:line="350" w:lineRule="auto"/>
        <w:ind w:left="19" w:right="187"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承包人应对基于发包人按照第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2.4.3 </w:t>
      </w:r>
      <w:r>
        <w:rPr>
          <w:rFonts w:ascii="宋体" w:hAnsi="宋体" w:eastAsia="宋体" w:cs="宋体"/>
          <w:color w:val="auto"/>
          <w:sz w:val="21"/>
          <w:szCs w:val="21"/>
          <w:highlight w:val="none"/>
        </w:rPr>
        <w:t>项〔提供基础资料〕提交的基础资</w:t>
      </w:r>
      <w:r>
        <w:rPr>
          <w:rFonts w:ascii="宋体" w:hAnsi="宋体" w:eastAsia="宋体" w:cs="宋体"/>
          <w:color w:val="auto"/>
          <w:spacing w:val="-1"/>
          <w:sz w:val="21"/>
          <w:szCs w:val="21"/>
          <w:highlight w:val="none"/>
        </w:rPr>
        <w:t>料所做出的解释</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和推断负责， 但因基础资料存在错误、遗漏导致承包</w:t>
      </w:r>
      <w:r>
        <w:rPr>
          <w:rFonts w:ascii="宋体" w:hAnsi="宋体" w:eastAsia="宋体" w:cs="宋体"/>
          <w:color w:val="auto"/>
          <w:spacing w:val="-3"/>
          <w:sz w:val="21"/>
          <w:szCs w:val="21"/>
          <w:highlight w:val="none"/>
        </w:rPr>
        <w:t>人解释或推断失实的， 由发包人承担</w:t>
      </w:r>
    </w:p>
    <w:p w14:paraId="3ABE9692">
      <w:pPr>
        <w:spacing w:line="220" w:lineRule="auto"/>
        <w:ind w:left="2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责任。</w:t>
      </w:r>
    </w:p>
    <w:p w14:paraId="73188716">
      <w:pPr>
        <w:spacing w:before="154" w:line="350" w:lineRule="auto"/>
        <w:ind w:left="20" w:right="191"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承包人应对施工现场和施工条件进行查勘，并充分了解工程所在地的气象条件、交通 条件、风俗习惯以及其他与完成合同工作有关的其他资料。因承包人未能</w:t>
      </w:r>
      <w:r>
        <w:rPr>
          <w:rFonts w:ascii="宋体" w:hAnsi="宋体" w:eastAsia="宋体" w:cs="宋体"/>
          <w:color w:val="auto"/>
          <w:spacing w:val="2"/>
          <w:sz w:val="21"/>
          <w:szCs w:val="21"/>
          <w:highlight w:val="none"/>
        </w:rPr>
        <w:t>充分查勘、了解</w:t>
      </w:r>
    </w:p>
    <w:p w14:paraId="1FE65939">
      <w:pPr>
        <w:spacing w:line="219"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前述情况或未能充分估计前述情况所可能产生后果的， 承包人承担由</w:t>
      </w:r>
      <w:r>
        <w:rPr>
          <w:rFonts w:ascii="宋体" w:hAnsi="宋体" w:eastAsia="宋体" w:cs="宋体"/>
          <w:color w:val="auto"/>
          <w:spacing w:val="-1"/>
          <w:sz w:val="21"/>
          <w:szCs w:val="21"/>
          <w:highlight w:val="none"/>
        </w:rPr>
        <w:t>此增加的费用和（或）</w:t>
      </w:r>
    </w:p>
    <w:p w14:paraId="0C3D1DE2">
      <w:pPr>
        <w:spacing w:before="154"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延误的工期。</w:t>
      </w:r>
    </w:p>
    <w:p w14:paraId="7BE2C9DE">
      <w:pPr>
        <w:spacing w:before="45" w:line="220" w:lineRule="auto"/>
        <w:ind w:left="19"/>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3.5</w:t>
      </w:r>
      <w:r>
        <w:rPr>
          <w:rFonts w:ascii="黑体" w:hAnsi="黑体" w:eastAsia="黑体" w:cs="黑体"/>
          <w:color w:val="auto"/>
          <w:spacing w:val="17"/>
          <w:sz w:val="24"/>
          <w:szCs w:val="24"/>
          <w:highlight w:val="none"/>
        </w:rPr>
        <w:t xml:space="preserve"> </w:t>
      </w:r>
      <w:r>
        <w:rPr>
          <w:rFonts w:ascii="黑体" w:hAnsi="黑体" w:eastAsia="黑体" w:cs="黑体"/>
          <w:color w:val="auto"/>
          <w:spacing w:val="-4"/>
          <w:sz w:val="24"/>
          <w:szCs w:val="24"/>
          <w:highlight w:val="none"/>
        </w:rPr>
        <w:t>分包</w:t>
      </w:r>
    </w:p>
    <w:p w14:paraId="7B302786">
      <w:pPr>
        <w:spacing w:before="128"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3.5.1 </w:t>
      </w:r>
      <w:r>
        <w:rPr>
          <w:rFonts w:ascii="宋体" w:hAnsi="宋体" w:eastAsia="宋体" w:cs="宋体"/>
          <w:color w:val="auto"/>
          <w:spacing w:val="-1"/>
          <w:sz w:val="21"/>
          <w:szCs w:val="21"/>
          <w:highlight w:val="none"/>
        </w:rPr>
        <w:t>分包的一般约定</w:t>
      </w:r>
    </w:p>
    <w:p w14:paraId="7A002157">
      <w:pPr>
        <w:spacing w:before="146" w:line="352" w:lineRule="auto"/>
        <w:ind w:left="18" w:right="191"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承包人不得将其承包的全部工程转包给第三人， 或将其承包的全部工程肢解后以分包</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的名义转包给第三人。承包人不得将工程主体结构、关键性工作及专用合同</w:t>
      </w:r>
      <w:r>
        <w:rPr>
          <w:rFonts w:ascii="宋体" w:hAnsi="宋体" w:eastAsia="宋体" w:cs="宋体"/>
          <w:color w:val="auto"/>
          <w:spacing w:val="2"/>
          <w:sz w:val="21"/>
          <w:szCs w:val="21"/>
          <w:highlight w:val="none"/>
        </w:rPr>
        <w:t>条款中禁止分</w:t>
      </w:r>
      <w:r>
        <w:rPr>
          <w:rFonts w:ascii="宋体" w:hAnsi="宋体" w:eastAsia="宋体" w:cs="宋体"/>
          <w:color w:val="auto"/>
          <w:sz w:val="21"/>
          <w:szCs w:val="21"/>
          <w:highlight w:val="none"/>
        </w:rPr>
        <w:t xml:space="preserve"> 包的专业工程分包给第三人， 主体结构、关键性工作的范围由合同当事人按照法律规定在</w:t>
      </w:r>
    </w:p>
    <w:p w14:paraId="4E57E514">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专用合同条款中予以明确。</w:t>
      </w:r>
    </w:p>
    <w:p w14:paraId="7F8A4A28">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承包人不得以劳务分包的名义转包或违法分包工程。</w:t>
      </w:r>
    </w:p>
    <w:p w14:paraId="544F9BE7">
      <w:pPr>
        <w:spacing w:before="153"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3.5.2 </w:t>
      </w:r>
      <w:r>
        <w:rPr>
          <w:rFonts w:ascii="宋体" w:hAnsi="宋体" w:eastAsia="宋体" w:cs="宋体"/>
          <w:color w:val="auto"/>
          <w:spacing w:val="-1"/>
          <w:sz w:val="21"/>
          <w:szCs w:val="21"/>
          <w:highlight w:val="none"/>
        </w:rPr>
        <w:t>分包的确定</w:t>
      </w:r>
    </w:p>
    <w:p w14:paraId="5C62403C">
      <w:pPr>
        <w:spacing w:before="148" w:line="351" w:lineRule="auto"/>
        <w:ind w:left="20" w:right="187" w:firstLine="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承包人应按专用合同条款的约定进行分包，确定分包人。已标价工程量清单或预算书 </w:t>
      </w:r>
      <w:r>
        <w:rPr>
          <w:rFonts w:ascii="宋体" w:hAnsi="宋体" w:eastAsia="宋体" w:cs="宋体"/>
          <w:color w:val="auto"/>
          <w:sz w:val="21"/>
          <w:szCs w:val="21"/>
          <w:highlight w:val="none"/>
        </w:rPr>
        <w:t xml:space="preserve">中给定暂估价的专业工程，按照第 </w:t>
      </w:r>
      <w:r>
        <w:rPr>
          <w:rFonts w:ascii="Times New Roman" w:hAnsi="Times New Roman" w:eastAsia="Times New Roman" w:cs="Times New Roman"/>
          <w:color w:val="auto"/>
          <w:sz w:val="21"/>
          <w:szCs w:val="21"/>
          <w:highlight w:val="none"/>
        </w:rPr>
        <w:t>10.7</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z w:val="21"/>
          <w:szCs w:val="21"/>
          <w:highlight w:val="none"/>
        </w:rPr>
        <w:t>款</w:t>
      </w:r>
      <w:r>
        <w:rPr>
          <w:rFonts w:ascii="宋体" w:hAnsi="宋体" w:eastAsia="宋体" w:cs="宋体"/>
          <w:color w:val="auto"/>
          <w:spacing w:val="-1"/>
          <w:sz w:val="21"/>
          <w:szCs w:val="21"/>
          <w:highlight w:val="none"/>
        </w:rPr>
        <w:t>〔暂估价〕确定分包人。按照合同约定进行分包</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的，承包人应确保分包人具有相应的资质和能力。工程分包不减轻或免</w:t>
      </w:r>
      <w:r>
        <w:rPr>
          <w:rFonts w:ascii="宋体" w:hAnsi="宋体" w:eastAsia="宋体" w:cs="宋体"/>
          <w:color w:val="auto"/>
          <w:spacing w:val="2"/>
          <w:sz w:val="21"/>
          <w:szCs w:val="21"/>
          <w:highlight w:val="none"/>
        </w:rPr>
        <w:t>除承包人的责任和</w:t>
      </w:r>
      <w:r>
        <w:rPr>
          <w:rFonts w:ascii="宋体" w:hAnsi="宋体" w:eastAsia="宋体" w:cs="宋体"/>
          <w:color w:val="auto"/>
          <w:sz w:val="21"/>
          <w:szCs w:val="21"/>
          <w:highlight w:val="none"/>
        </w:rPr>
        <w:t xml:space="preserve"> 义务， 承包人和分包人就分包工程向发包人承担连带责任。除合同另有约定外，承包人应</w:t>
      </w:r>
    </w:p>
    <w:p w14:paraId="76289C3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在分包合同签订后</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天内向发包人和监理人提交分包合同副本。</w:t>
      </w:r>
    </w:p>
    <w:p w14:paraId="1DAD889B">
      <w:pPr>
        <w:spacing w:before="153"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3.5.3 </w:t>
      </w:r>
      <w:r>
        <w:rPr>
          <w:rFonts w:ascii="宋体" w:hAnsi="宋体" w:eastAsia="宋体" w:cs="宋体"/>
          <w:color w:val="auto"/>
          <w:spacing w:val="-1"/>
          <w:sz w:val="21"/>
          <w:szCs w:val="21"/>
          <w:highlight w:val="none"/>
        </w:rPr>
        <w:t>分包管理</w:t>
      </w:r>
    </w:p>
    <w:p w14:paraId="7A2EBF5C">
      <w:pPr>
        <w:spacing w:before="147"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承包人应向监理人提交分包人的主要施工管理人员表， 并对分包人的施工人员进行实</w:t>
      </w:r>
    </w:p>
    <w:p w14:paraId="0E54261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名制管理，</w:t>
      </w:r>
      <w:r>
        <w:rPr>
          <w:rFonts w:ascii="宋体" w:hAnsi="宋体" w:eastAsia="宋体" w:cs="宋体"/>
          <w:color w:val="auto"/>
          <w:spacing w:val="52"/>
          <w:sz w:val="21"/>
          <w:szCs w:val="21"/>
          <w:highlight w:val="none"/>
        </w:rPr>
        <w:t xml:space="preserve"> </w:t>
      </w:r>
      <w:r>
        <w:rPr>
          <w:rFonts w:ascii="宋体" w:hAnsi="宋体" w:eastAsia="宋体" w:cs="宋体"/>
          <w:color w:val="auto"/>
          <w:spacing w:val="-6"/>
          <w:sz w:val="21"/>
          <w:szCs w:val="21"/>
          <w:highlight w:val="none"/>
        </w:rPr>
        <w:t>包括但不限于进出场管理、登记造册以及各种证照的办理。</w:t>
      </w:r>
    </w:p>
    <w:p w14:paraId="5481DA76">
      <w:pPr>
        <w:spacing w:line="220" w:lineRule="auto"/>
        <w:rPr>
          <w:rFonts w:ascii="宋体" w:hAnsi="宋体" w:eastAsia="宋体" w:cs="宋体"/>
          <w:color w:val="auto"/>
          <w:sz w:val="21"/>
          <w:szCs w:val="21"/>
          <w:highlight w:val="none"/>
        </w:rPr>
        <w:sectPr>
          <w:footerReference r:id="rId112" w:type="default"/>
          <w:pgSz w:w="11905" w:h="16839"/>
          <w:pgMar w:top="1431" w:right="1600" w:bottom="1004" w:left="1785" w:header="0" w:footer="829" w:gutter="0"/>
          <w:pgNumType w:fmt="decimal"/>
          <w:cols w:space="720" w:num="1"/>
        </w:sectPr>
      </w:pPr>
    </w:p>
    <w:p w14:paraId="4F25A723">
      <w:pPr>
        <w:spacing w:before="149"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宋体" w:hAnsi="宋体" w:eastAsia="宋体" w:cs="宋体"/>
          <w:color w:val="auto"/>
          <w:spacing w:val="-1"/>
          <w:sz w:val="21"/>
          <w:szCs w:val="21"/>
          <w:highlight w:val="none"/>
        </w:rPr>
        <w:t>分包合同价款</w:t>
      </w:r>
    </w:p>
    <w:p w14:paraId="1E54A561">
      <w:pPr>
        <w:spacing w:before="149"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）除本项第（</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w:t>
      </w:r>
      <w:r>
        <w:rPr>
          <w:rFonts w:ascii="宋体" w:hAnsi="宋体" w:eastAsia="宋体" w:cs="宋体"/>
          <w:color w:val="auto"/>
          <w:spacing w:val="-48"/>
          <w:position w:val="14"/>
          <w:sz w:val="21"/>
          <w:szCs w:val="21"/>
          <w:highlight w:val="none"/>
        </w:rPr>
        <w:t xml:space="preserve"> </w:t>
      </w:r>
      <w:r>
        <w:rPr>
          <w:rFonts w:ascii="宋体" w:hAnsi="宋体" w:eastAsia="宋体" w:cs="宋体"/>
          <w:color w:val="auto"/>
          <w:spacing w:val="1"/>
          <w:position w:val="14"/>
          <w:sz w:val="21"/>
          <w:szCs w:val="21"/>
          <w:highlight w:val="none"/>
        </w:rPr>
        <w:t>目约定的情况或专用合同条款另有约定外，分包合同价款由承包</w:t>
      </w:r>
    </w:p>
    <w:p w14:paraId="14DBD3A6">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人与分包人结算，未经承包人同意，发包人不得向分包人支付分包工程价款；</w:t>
      </w:r>
    </w:p>
    <w:p w14:paraId="4A6B8072">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）生效法律文书要求发包人向分包人支付分包合同价款的，发包人有权从</w:t>
      </w:r>
      <w:r>
        <w:rPr>
          <w:rFonts w:ascii="宋体" w:hAnsi="宋体" w:eastAsia="宋体" w:cs="宋体"/>
          <w:color w:val="auto"/>
          <w:spacing w:val="-1"/>
          <w:position w:val="14"/>
          <w:sz w:val="21"/>
          <w:szCs w:val="21"/>
          <w:highlight w:val="none"/>
        </w:rPr>
        <w:t>应付承包</w:t>
      </w:r>
    </w:p>
    <w:p w14:paraId="1B4237C8">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人工程款中扣除该部分款项。</w:t>
      </w:r>
    </w:p>
    <w:p w14:paraId="3E49F22E">
      <w:pPr>
        <w:spacing w:before="151"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宋体" w:hAnsi="宋体" w:eastAsia="宋体" w:cs="宋体"/>
          <w:color w:val="auto"/>
          <w:spacing w:val="-1"/>
          <w:sz w:val="21"/>
          <w:szCs w:val="21"/>
          <w:highlight w:val="none"/>
        </w:rPr>
        <w:t>分包合同权益的转让</w:t>
      </w:r>
    </w:p>
    <w:p w14:paraId="71FBD190">
      <w:pPr>
        <w:spacing w:before="148" w:line="398"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分包人在分包合同项下的义务持续到缺陷责任期届满以后的，发包人有权在缺陷责任</w:t>
      </w:r>
    </w:p>
    <w:p w14:paraId="3F92E2DB">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期届满前，要求承包人将其在分包合同项下的权益转让给发包人， 承包人应当转让。除转</w:t>
      </w:r>
    </w:p>
    <w:p w14:paraId="6C4D573D">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让合同另有约定外， 转让合同生效后，</w:t>
      </w:r>
      <w:r>
        <w:rPr>
          <w:rFonts w:ascii="宋体" w:hAnsi="宋体" w:eastAsia="宋体" w:cs="宋体"/>
          <w:color w:val="auto"/>
          <w:spacing w:val="45"/>
          <w:sz w:val="21"/>
          <w:szCs w:val="21"/>
          <w:highlight w:val="none"/>
        </w:rPr>
        <w:t xml:space="preserve"> </w:t>
      </w:r>
      <w:r>
        <w:rPr>
          <w:rFonts w:ascii="宋体" w:hAnsi="宋体" w:eastAsia="宋体" w:cs="宋体"/>
          <w:color w:val="auto"/>
          <w:spacing w:val="-9"/>
          <w:sz w:val="21"/>
          <w:szCs w:val="21"/>
          <w:highlight w:val="none"/>
        </w:rPr>
        <w:t>由分包人向发包人履行义务。</w:t>
      </w:r>
    </w:p>
    <w:p w14:paraId="076D707A">
      <w:pPr>
        <w:spacing w:before="46"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3.6 工程照管与成品、半成品保护</w:t>
      </w:r>
    </w:p>
    <w:p w14:paraId="6AB06C99">
      <w:pPr>
        <w:spacing w:before="129"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）除专用合同条款另有约定外，自发包人向承包人移交施工现场之日起，承</w:t>
      </w:r>
      <w:r>
        <w:rPr>
          <w:rFonts w:ascii="宋体" w:hAnsi="宋体" w:eastAsia="宋体" w:cs="宋体"/>
          <w:color w:val="auto"/>
          <w:spacing w:val="-1"/>
          <w:position w:val="14"/>
          <w:sz w:val="21"/>
          <w:szCs w:val="21"/>
          <w:highlight w:val="none"/>
        </w:rPr>
        <w:t>包人应</w:t>
      </w:r>
    </w:p>
    <w:p w14:paraId="563C86F8">
      <w:pPr>
        <w:spacing w:before="1" w:line="219" w:lineRule="auto"/>
        <w:ind w:left="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负责照管工程及工程相关的材料、工程设备，直到颁发工程接收证书之日止。</w:t>
      </w:r>
    </w:p>
    <w:p w14:paraId="5F2CCCB5">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）在承包人负责照管期间，因承包人原因造成工程、材料、工程设备损坏</w:t>
      </w:r>
      <w:r>
        <w:rPr>
          <w:rFonts w:ascii="宋体" w:hAnsi="宋体" w:eastAsia="宋体" w:cs="宋体"/>
          <w:color w:val="auto"/>
          <w:spacing w:val="-1"/>
          <w:position w:val="14"/>
          <w:sz w:val="21"/>
          <w:szCs w:val="21"/>
          <w:highlight w:val="none"/>
        </w:rPr>
        <w:t>的，由承</w:t>
      </w:r>
    </w:p>
    <w:p w14:paraId="754990E2">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包人负责修复或更换，并承担由此增加的费用和（或）延误的工期。</w:t>
      </w:r>
    </w:p>
    <w:p w14:paraId="64052B41">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）对合同内分期完成的成品和半成品，在工程接收证书颁发前</w:t>
      </w:r>
      <w:r>
        <w:rPr>
          <w:rFonts w:ascii="宋体" w:hAnsi="宋体" w:eastAsia="宋体" w:cs="宋体"/>
          <w:color w:val="auto"/>
          <w:spacing w:val="-1"/>
          <w:position w:val="14"/>
          <w:sz w:val="21"/>
          <w:szCs w:val="21"/>
          <w:highlight w:val="none"/>
        </w:rPr>
        <w:t>，由承包人承担保护</w:t>
      </w:r>
    </w:p>
    <w:p w14:paraId="78E73313">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z w:val="21"/>
          <w:szCs w:val="21"/>
          <w:highlight w:val="none"/>
        </w:rPr>
        <w:t>责任。因承包人原因造成成品或半成品损坏的，由承包人负责修复或更换， 并承担由此增</w:t>
      </w:r>
    </w:p>
    <w:p w14:paraId="5334E444">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加的费用和（或）延误的工期。</w:t>
      </w:r>
    </w:p>
    <w:p w14:paraId="4F752AE6">
      <w:pPr>
        <w:spacing w:before="45"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3.7 履约担保</w:t>
      </w:r>
    </w:p>
    <w:p w14:paraId="04526676">
      <w:pPr>
        <w:spacing w:before="130" w:line="352" w:lineRule="auto"/>
        <w:ind w:left="19" w:right="161" w:firstLine="425"/>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发包人需要承包人提供履约担保的， 由合同当事人在专用合同条款中约定履约担保的</w:t>
      </w:r>
      <w:r>
        <w:rPr>
          <w:rFonts w:ascii="宋体" w:hAnsi="宋体" w:eastAsia="宋体" w:cs="宋体"/>
          <w:color w:val="auto"/>
          <w:spacing w:val="5"/>
          <w:sz w:val="21"/>
          <w:szCs w:val="21"/>
          <w:highlight w:val="none"/>
        </w:rPr>
        <w:t xml:space="preserve"> </w:t>
      </w:r>
      <w:r>
        <w:rPr>
          <w:rFonts w:ascii="宋体" w:hAnsi="宋体" w:eastAsia="宋体" w:cs="宋体"/>
          <w:color w:val="auto"/>
          <w:spacing w:val="-2"/>
          <w:sz w:val="21"/>
          <w:szCs w:val="21"/>
          <w:highlight w:val="none"/>
        </w:rPr>
        <w:t>方式、金额及期限等。 履约担保可以采用银行保函或担</w:t>
      </w:r>
      <w:r>
        <w:rPr>
          <w:rFonts w:ascii="宋体" w:hAnsi="宋体" w:eastAsia="宋体" w:cs="宋体"/>
          <w:color w:val="auto"/>
          <w:spacing w:val="-3"/>
          <w:sz w:val="21"/>
          <w:szCs w:val="21"/>
          <w:highlight w:val="none"/>
        </w:rPr>
        <w:t>保公司担保等形式， 具体由合同当</w:t>
      </w:r>
    </w:p>
    <w:p w14:paraId="2CDC938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事人在专用合同条款中约定。</w:t>
      </w:r>
    </w:p>
    <w:p w14:paraId="20FAAD44">
      <w:pPr>
        <w:spacing w:before="147"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因承包人原因导致工期延长的， 继续提供履约担保所增加的费用由承包人承担； 非因</w:t>
      </w:r>
    </w:p>
    <w:p w14:paraId="046D4676">
      <w:pPr>
        <w:spacing w:before="149"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承包人原因导致工期延长的， 继续提供履约担保所增加的费用由发包人承担。</w:t>
      </w:r>
    </w:p>
    <w:p w14:paraId="4058CF81">
      <w:pPr>
        <w:spacing w:before="51" w:line="219" w:lineRule="auto"/>
        <w:ind w:left="19"/>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3.8</w:t>
      </w:r>
      <w:r>
        <w:rPr>
          <w:rFonts w:ascii="黑体" w:hAnsi="黑体" w:eastAsia="黑体" w:cs="黑体"/>
          <w:color w:val="auto"/>
          <w:spacing w:val="11"/>
          <w:sz w:val="24"/>
          <w:szCs w:val="24"/>
          <w:highlight w:val="none"/>
        </w:rPr>
        <w:t xml:space="preserve"> </w:t>
      </w:r>
      <w:r>
        <w:rPr>
          <w:rFonts w:ascii="黑体" w:hAnsi="黑体" w:eastAsia="黑体" w:cs="黑体"/>
          <w:color w:val="auto"/>
          <w:spacing w:val="-3"/>
          <w:sz w:val="24"/>
          <w:szCs w:val="24"/>
          <w:highlight w:val="none"/>
        </w:rPr>
        <w:t>联合体</w:t>
      </w:r>
    </w:p>
    <w:p w14:paraId="4D24B731">
      <w:pPr>
        <w:spacing w:before="129" w:line="39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3.8.1</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联合体各方应共同与发包人签订合同协议书。联合体</w:t>
      </w:r>
      <w:r>
        <w:rPr>
          <w:rFonts w:ascii="宋体" w:hAnsi="宋体" w:eastAsia="宋体" w:cs="宋体"/>
          <w:color w:val="auto"/>
          <w:position w:val="14"/>
          <w:sz w:val="21"/>
          <w:szCs w:val="21"/>
          <w:highlight w:val="none"/>
        </w:rPr>
        <w:t>各方应为履行合同向发包人</w:t>
      </w:r>
    </w:p>
    <w:p w14:paraId="786BE74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承担连带责任。</w:t>
      </w:r>
    </w:p>
    <w:p w14:paraId="2F4CF377">
      <w:pPr>
        <w:spacing w:before="148" w:line="403"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3.8.2</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position w:val="14"/>
          <w:sz w:val="21"/>
          <w:szCs w:val="21"/>
          <w:highlight w:val="none"/>
        </w:rPr>
        <w:t>联合体协议经发包人确认后作为合</w:t>
      </w:r>
      <w:r>
        <w:rPr>
          <w:rFonts w:ascii="宋体" w:hAnsi="宋体" w:eastAsia="宋体" w:cs="宋体"/>
          <w:color w:val="auto"/>
          <w:spacing w:val="-1"/>
          <w:position w:val="14"/>
          <w:sz w:val="21"/>
          <w:szCs w:val="21"/>
          <w:highlight w:val="none"/>
        </w:rPr>
        <w:t>同附件。在履行合同过程中，未经发包人同意，</w:t>
      </w:r>
    </w:p>
    <w:p w14:paraId="320BF1F9">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不得修改联合体协议。</w:t>
      </w:r>
    </w:p>
    <w:p w14:paraId="052435F0">
      <w:pPr>
        <w:spacing w:before="148" w:line="39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3.8.3</w:t>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联合体牵头人负责与发包人和监理人联系，并</w:t>
      </w:r>
      <w:r>
        <w:rPr>
          <w:rFonts w:ascii="宋体" w:hAnsi="宋体" w:eastAsia="宋体" w:cs="宋体"/>
          <w:color w:val="auto"/>
          <w:position w:val="14"/>
          <w:sz w:val="21"/>
          <w:szCs w:val="21"/>
          <w:highlight w:val="none"/>
        </w:rPr>
        <w:t>接受指示，负责组织联合体各成员</w:t>
      </w:r>
    </w:p>
    <w:p w14:paraId="2FAB4202">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全面履行合同。</w:t>
      </w:r>
    </w:p>
    <w:p w14:paraId="7B46D26F">
      <w:pPr>
        <w:spacing w:before="177" w:line="223" w:lineRule="auto"/>
        <w:ind w:left="13"/>
        <w:rPr>
          <w:rFonts w:ascii="黑体" w:hAnsi="黑体" w:eastAsia="黑体" w:cs="黑体"/>
          <w:color w:val="auto"/>
          <w:sz w:val="32"/>
          <w:szCs w:val="32"/>
          <w:highlight w:val="none"/>
        </w:rPr>
      </w:pPr>
      <w:r>
        <w:rPr>
          <w:rFonts w:ascii="黑体" w:hAnsi="黑体" w:eastAsia="黑体" w:cs="黑体"/>
          <w:color w:val="auto"/>
          <w:sz w:val="32"/>
          <w:szCs w:val="32"/>
          <w:highlight w:val="none"/>
        </w:rPr>
        <w:t>4.监理人</w:t>
      </w:r>
    </w:p>
    <w:p w14:paraId="353330B3">
      <w:pPr>
        <w:spacing w:before="140"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4.1</w:t>
      </w:r>
      <w:r>
        <w:rPr>
          <w:rFonts w:ascii="黑体" w:hAnsi="黑体" w:eastAsia="黑体" w:cs="黑体"/>
          <w:color w:val="auto"/>
          <w:spacing w:val="-44"/>
          <w:sz w:val="24"/>
          <w:szCs w:val="24"/>
          <w:highlight w:val="none"/>
        </w:rPr>
        <w:t xml:space="preserve"> </w:t>
      </w:r>
      <w:r>
        <w:rPr>
          <w:rFonts w:ascii="黑体" w:hAnsi="黑体" w:eastAsia="黑体" w:cs="黑体"/>
          <w:color w:val="auto"/>
          <w:spacing w:val="-2"/>
          <w:sz w:val="24"/>
          <w:szCs w:val="24"/>
          <w:highlight w:val="none"/>
        </w:rPr>
        <w:t>监理人的一般规定</w:t>
      </w:r>
    </w:p>
    <w:p w14:paraId="1F2EE209">
      <w:pPr>
        <w:spacing w:before="129" w:line="353" w:lineRule="auto"/>
        <w:ind w:left="17" w:right="161"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工程实行监理的，发包人和承包人应在专用合同条款中明确监理人的监理内容及监理</w:t>
      </w:r>
      <w:r>
        <w:rPr>
          <w:rFonts w:ascii="宋体" w:hAnsi="宋体" w:eastAsia="宋体" w:cs="宋体"/>
          <w:color w:val="auto"/>
          <w:sz w:val="21"/>
          <w:szCs w:val="21"/>
          <w:highlight w:val="none"/>
        </w:rPr>
        <w:t xml:space="preserve"> 权限等事项。监理人应当根据发包人授权及法律规定， 代表发包人对工程施工相关事项进</w:t>
      </w:r>
    </w:p>
    <w:p w14:paraId="312555E6">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行检查、查验、审核、验收，</w:t>
      </w:r>
      <w:r>
        <w:rPr>
          <w:rFonts w:ascii="宋体" w:hAnsi="宋体" w:eastAsia="宋体" w:cs="宋体"/>
          <w:color w:val="auto"/>
          <w:spacing w:val="81"/>
          <w:sz w:val="21"/>
          <w:szCs w:val="21"/>
          <w:highlight w:val="none"/>
        </w:rPr>
        <w:t xml:space="preserve"> </w:t>
      </w:r>
      <w:r>
        <w:rPr>
          <w:rFonts w:ascii="宋体" w:hAnsi="宋体" w:eastAsia="宋体" w:cs="宋体"/>
          <w:color w:val="auto"/>
          <w:spacing w:val="-2"/>
          <w:sz w:val="21"/>
          <w:szCs w:val="21"/>
          <w:highlight w:val="none"/>
        </w:rPr>
        <w:t>并签发相关指示，但监理人无权修改合同，且无权减轻或免</w:t>
      </w:r>
    </w:p>
    <w:p w14:paraId="040DD6A1">
      <w:pPr>
        <w:spacing w:line="220" w:lineRule="auto"/>
        <w:rPr>
          <w:rFonts w:ascii="宋体" w:hAnsi="宋体" w:eastAsia="宋体" w:cs="宋体"/>
          <w:color w:val="auto"/>
          <w:sz w:val="21"/>
          <w:szCs w:val="21"/>
          <w:highlight w:val="none"/>
        </w:rPr>
        <w:sectPr>
          <w:footerReference r:id="rId113" w:type="default"/>
          <w:pgSz w:w="11905" w:h="16839"/>
          <w:pgMar w:top="1431" w:right="1630" w:bottom="1004" w:left="1785" w:header="0" w:footer="828" w:gutter="0"/>
          <w:pgNumType w:fmt="decimal"/>
          <w:cols w:space="720" w:num="1"/>
        </w:sectPr>
      </w:pPr>
    </w:p>
    <w:p w14:paraId="4F833F4B">
      <w:pPr>
        <w:spacing w:before="148" w:line="221" w:lineRule="auto"/>
        <w:ind w:left="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除合同约定的承包人的任何责任与义务。</w:t>
      </w:r>
    </w:p>
    <w:p w14:paraId="05312031">
      <w:pPr>
        <w:spacing w:before="147" w:line="220"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除专用合同条款另有约定外，监理人在施工现场的办公场所、生活场所由承包人提供，</w:t>
      </w:r>
    </w:p>
    <w:p w14:paraId="0A147403">
      <w:pPr>
        <w:spacing w:before="152"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所发生的费用由发包人承担。</w:t>
      </w:r>
    </w:p>
    <w:p w14:paraId="22F9D64F">
      <w:pPr>
        <w:spacing w:before="46"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4.2</w:t>
      </w:r>
      <w:r>
        <w:rPr>
          <w:rFonts w:ascii="黑体" w:hAnsi="黑体" w:eastAsia="黑体" w:cs="黑体"/>
          <w:color w:val="auto"/>
          <w:spacing w:val="-50"/>
          <w:sz w:val="24"/>
          <w:szCs w:val="24"/>
          <w:highlight w:val="none"/>
        </w:rPr>
        <w:t xml:space="preserve"> </w:t>
      </w:r>
      <w:r>
        <w:rPr>
          <w:rFonts w:ascii="黑体" w:hAnsi="黑体" w:eastAsia="黑体" w:cs="黑体"/>
          <w:color w:val="auto"/>
          <w:spacing w:val="-2"/>
          <w:sz w:val="24"/>
          <w:szCs w:val="24"/>
          <w:highlight w:val="none"/>
        </w:rPr>
        <w:t>监理人员</w:t>
      </w:r>
    </w:p>
    <w:p w14:paraId="01454F58">
      <w:pPr>
        <w:spacing w:before="131" w:line="352" w:lineRule="auto"/>
        <w:ind w:left="20" w:right="174" w:firstLine="423"/>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发包人授予监理人对工程实施监理的权利由监理人派驻施工现场的监理人员行使，监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理人员包括总监理工程师及监理工程师。监理人应将授权的总监理工程</w:t>
      </w:r>
      <w:r>
        <w:rPr>
          <w:rFonts w:ascii="宋体" w:hAnsi="宋体" w:eastAsia="宋体" w:cs="宋体"/>
          <w:color w:val="auto"/>
          <w:spacing w:val="2"/>
          <w:sz w:val="21"/>
          <w:szCs w:val="21"/>
          <w:highlight w:val="none"/>
        </w:rPr>
        <w:t>师和监理工程师的</w:t>
      </w:r>
    </w:p>
    <w:p w14:paraId="36F4514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姓名及授权范围以书面形式提前通知承包人。</w:t>
      </w:r>
      <w:r>
        <w:rPr>
          <w:rFonts w:ascii="宋体" w:hAnsi="宋体" w:eastAsia="宋体" w:cs="宋体"/>
          <w:color w:val="auto"/>
          <w:sz w:val="21"/>
          <w:szCs w:val="21"/>
          <w:highlight w:val="none"/>
        </w:rPr>
        <w:t xml:space="preserve">更换总监理工程师的，监理人应提前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天书</w:t>
      </w:r>
    </w:p>
    <w:p w14:paraId="1ED920A1">
      <w:pPr>
        <w:spacing w:before="148"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面通知承包人；更换其他监理人员，监理人应提前</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48 </w:t>
      </w:r>
      <w:r>
        <w:rPr>
          <w:rFonts w:ascii="宋体" w:hAnsi="宋体" w:eastAsia="宋体" w:cs="宋体"/>
          <w:color w:val="auto"/>
          <w:spacing w:val="-1"/>
          <w:sz w:val="21"/>
          <w:szCs w:val="21"/>
          <w:highlight w:val="none"/>
        </w:rPr>
        <w:t>小时书面通知承包</w:t>
      </w:r>
      <w:r>
        <w:rPr>
          <w:rFonts w:ascii="宋体" w:hAnsi="宋体" w:eastAsia="宋体" w:cs="宋体"/>
          <w:color w:val="auto"/>
          <w:spacing w:val="-2"/>
          <w:sz w:val="21"/>
          <w:szCs w:val="21"/>
          <w:highlight w:val="none"/>
        </w:rPr>
        <w:t>人。</w:t>
      </w:r>
    </w:p>
    <w:p w14:paraId="72D8B91A">
      <w:pPr>
        <w:spacing w:before="47" w:line="219"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4.3</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监理人的指示</w:t>
      </w:r>
    </w:p>
    <w:p w14:paraId="67090C33">
      <w:pPr>
        <w:spacing w:before="128" w:line="352" w:lineRule="auto"/>
        <w:ind w:left="17" w:right="174"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监理人应按照发包人的授权发出监理指示。监理人的指示应采用书面形式， 并经其授</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权的监理人员签字。紧急情况下， 为了保证施工人员的安全或避免工程受损，监理人员可</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以口头形式发出指示， 该指示与书面形式的指示具有同等法律效力，但必须在发出口头指</w:t>
      </w:r>
    </w:p>
    <w:p w14:paraId="0218A6CD">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示后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24 </w:t>
      </w:r>
      <w:r>
        <w:rPr>
          <w:rFonts w:ascii="宋体" w:hAnsi="宋体" w:eastAsia="宋体" w:cs="宋体"/>
          <w:color w:val="auto"/>
          <w:spacing w:val="-1"/>
          <w:sz w:val="21"/>
          <w:szCs w:val="21"/>
          <w:highlight w:val="none"/>
        </w:rPr>
        <w:t>小时内补发书面监理指示，补发的书面监理指示应与口头指示</w:t>
      </w:r>
      <w:r>
        <w:rPr>
          <w:rFonts w:ascii="宋体" w:hAnsi="宋体" w:eastAsia="宋体" w:cs="宋体"/>
          <w:color w:val="auto"/>
          <w:spacing w:val="-2"/>
          <w:sz w:val="21"/>
          <w:szCs w:val="21"/>
          <w:highlight w:val="none"/>
        </w:rPr>
        <w:t>一致。</w:t>
      </w:r>
    </w:p>
    <w:p w14:paraId="066BECF1">
      <w:pPr>
        <w:spacing w:before="148" w:line="352" w:lineRule="auto"/>
        <w:ind w:left="19" w:right="174" w:firstLine="422"/>
        <w:rPr>
          <w:rFonts w:ascii="Times New Roman" w:hAnsi="Times New Roman" w:eastAsia="Times New Roman" w:cs="Times New Roman"/>
          <w:color w:val="auto"/>
          <w:sz w:val="21"/>
          <w:szCs w:val="21"/>
          <w:highlight w:val="none"/>
        </w:rPr>
      </w:pPr>
      <w:r>
        <w:rPr>
          <w:rFonts w:ascii="宋体" w:hAnsi="宋体" w:eastAsia="宋体" w:cs="宋体"/>
          <w:color w:val="auto"/>
          <w:spacing w:val="3"/>
          <w:sz w:val="21"/>
          <w:szCs w:val="21"/>
          <w:highlight w:val="none"/>
        </w:rPr>
        <w:t>监理人发出的指示应送达承包人项目经理或经项目经理授权接收的人员。因监理人未</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能按合同约定发出指示、指示延误或发出了错误指示而导致承包人费用增加</w:t>
      </w:r>
      <w:r>
        <w:rPr>
          <w:rFonts w:ascii="宋体" w:hAnsi="宋体" w:eastAsia="宋体" w:cs="宋体"/>
          <w:color w:val="auto"/>
          <w:spacing w:val="2"/>
          <w:sz w:val="21"/>
          <w:szCs w:val="21"/>
          <w:highlight w:val="none"/>
        </w:rPr>
        <w:t>和（或）工期</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延误的，由发包人承担相应责任。除专用合同条款另有约定外，</w:t>
      </w:r>
      <w:r>
        <w:rPr>
          <w:rFonts w:ascii="宋体" w:hAnsi="宋体" w:eastAsia="宋体" w:cs="宋体"/>
          <w:color w:val="auto"/>
          <w:spacing w:val="57"/>
          <w:sz w:val="21"/>
          <w:szCs w:val="21"/>
          <w:highlight w:val="none"/>
        </w:rPr>
        <w:t xml:space="preserve"> </w:t>
      </w:r>
      <w:r>
        <w:rPr>
          <w:rFonts w:ascii="宋体" w:hAnsi="宋体" w:eastAsia="宋体" w:cs="宋体"/>
          <w:color w:val="auto"/>
          <w:spacing w:val="-4"/>
          <w:sz w:val="21"/>
          <w:szCs w:val="21"/>
          <w:highlight w:val="none"/>
        </w:rPr>
        <w:t>总监理工程师</w:t>
      </w:r>
      <w:r>
        <w:rPr>
          <w:rFonts w:ascii="宋体" w:hAnsi="宋体" w:eastAsia="宋体" w:cs="宋体"/>
          <w:color w:val="auto"/>
          <w:spacing w:val="-5"/>
          <w:sz w:val="21"/>
          <w:szCs w:val="21"/>
          <w:highlight w:val="none"/>
        </w:rPr>
        <w:t>不应将第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5"/>
          <w:sz w:val="21"/>
          <w:szCs w:val="21"/>
          <w:highlight w:val="none"/>
        </w:rPr>
        <w:t>4.4</w:t>
      </w:r>
    </w:p>
    <w:p w14:paraId="20F29C77">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款〔商定或确定〕约定应由总监理工程师作出确定的权力授权或委托给其他监理人员。</w:t>
      </w:r>
    </w:p>
    <w:p w14:paraId="7D44DC46">
      <w:pPr>
        <w:spacing w:before="153"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承包人对监理人发出的指示有疑问的， 应向监理人提出书面异议，监理人应在</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48</w:t>
      </w:r>
      <w:r>
        <w:rPr>
          <w:rFonts w:ascii="Times New Roman" w:hAnsi="Times New Roman" w:eastAsia="Times New Roman" w:cs="Times New Roman"/>
          <w:color w:val="auto"/>
          <w:spacing w:val="14"/>
          <w:w w:val="101"/>
          <w:position w:val="14"/>
          <w:sz w:val="21"/>
          <w:szCs w:val="21"/>
          <w:highlight w:val="none"/>
        </w:rPr>
        <w:t xml:space="preserve"> </w:t>
      </w:r>
      <w:r>
        <w:rPr>
          <w:rFonts w:ascii="宋体" w:hAnsi="宋体" w:eastAsia="宋体" w:cs="宋体"/>
          <w:color w:val="auto"/>
          <w:spacing w:val="-4"/>
          <w:position w:val="14"/>
          <w:sz w:val="21"/>
          <w:szCs w:val="21"/>
          <w:highlight w:val="none"/>
        </w:rPr>
        <w:t>小时</w:t>
      </w:r>
    </w:p>
    <w:p w14:paraId="5AF569C4">
      <w:pPr>
        <w:spacing w:before="1" w:line="220"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内对该指示予以确认、更改或撤销， 监理人逾期未回复的， 承包人有权拒绝执行上述指示。</w:t>
      </w:r>
    </w:p>
    <w:p w14:paraId="5181E99C">
      <w:pPr>
        <w:spacing w:before="147" w:line="404"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监理人对承包人的任何工作、工程或其采用的材料和工程设备未在约定的或合理期限</w:t>
      </w:r>
    </w:p>
    <w:p w14:paraId="0BC5BB9C">
      <w:pPr>
        <w:spacing w:line="219"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内提出意见的，视为批准，但不免除或减轻承包人对该工作、工程、材料、工程设备等应</w:t>
      </w:r>
    </w:p>
    <w:p w14:paraId="4D650080">
      <w:pPr>
        <w:spacing w:before="149"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承担的责任和义务。</w:t>
      </w:r>
    </w:p>
    <w:p w14:paraId="203A03D4">
      <w:pPr>
        <w:spacing w:before="45" w:line="219" w:lineRule="auto"/>
        <w:ind w:left="1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4.4</w:t>
      </w:r>
      <w:r>
        <w:rPr>
          <w:rFonts w:ascii="黑体" w:hAnsi="黑体" w:eastAsia="黑体" w:cs="黑体"/>
          <w:color w:val="auto"/>
          <w:spacing w:val="24"/>
          <w:sz w:val="24"/>
          <w:szCs w:val="24"/>
          <w:highlight w:val="none"/>
        </w:rPr>
        <w:t xml:space="preserve"> </w:t>
      </w:r>
      <w:r>
        <w:rPr>
          <w:rFonts w:ascii="黑体" w:hAnsi="黑体" w:eastAsia="黑体" w:cs="黑体"/>
          <w:color w:val="auto"/>
          <w:spacing w:val="-3"/>
          <w:sz w:val="24"/>
          <w:szCs w:val="24"/>
          <w:highlight w:val="none"/>
        </w:rPr>
        <w:t>商定或确定</w:t>
      </w:r>
    </w:p>
    <w:p w14:paraId="5ABA4B82">
      <w:pPr>
        <w:spacing w:before="130" w:line="403"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合同当事人进行商定或确定时， 总监理工程师应当会同合同当事人尽量通过协商达成</w:t>
      </w:r>
    </w:p>
    <w:p w14:paraId="167F231D">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一致，不能达成一致的，由总监理工程师按照合同约定审慎做出公正的确定。</w:t>
      </w:r>
    </w:p>
    <w:p w14:paraId="7CEA44DC">
      <w:pPr>
        <w:spacing w:before="150" w:line="351" w:lineRule="auto"/>
        <w:ind w:left="17" w:right="171"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总监理工程师应将确定以书面形式通知发包人和承包人，并附详细依据。合同</w:t>
      </w:r>
      <w:r>
        <w:rPr>
          <w:rFonts w:ascii="宋体" w:hAnsi="宋体" w:eastAsia="宋体" w:cs="宋体"/>
          <w:color w:val="auto"/>
          <w:spacing w:val="2"/>
          <w:sz w:val="21"/>
          <w:szCs w:val="21"/>
          <w:highlight w:val="none"/>
        </w:rPr>
        <w:t>当事人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对总监理工程师的确定没有异议的，按照总监理工程师的确定执行。任何一方</w:t>
      </w:r>
      <w:r>
        <w:rPr>
          <w:rFonts w:ascii="宋体" w:hAnsi="宋体" w:eastAsia="宋体" w:cs="宋体"/>
          <w:color w:val="auto"/>
          <w:spacing w:val="2"/>
          <w:sz w:val="21"/>
          <w:szCs w:val="21"/>
          <w:highlight w:val="none"/>
        </w:rPr>
        <w:t>合同当事人</w:t>
      </w:r>
      <w:r>
        <w:rPr>
          <w:rFonts w:ascii="宋体" w:hAnsi="宋体" w:eastAsia="宋体" w:cs="宋体"/>
          <w:color w:val="auto"/>
          <w:sz w:val="21"/>
          <w:szCs w:val="21"/>
          <w:highlight w:val="none"/>
        </w:rPr>
        <w:t xml:space="preserve"> 有异议，按照第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宋体" w:hAnsi="宋体" w:eastAsia="宋体" w:cs="宋体"/>
          <w:color w:val="auto"/>
          <w:sz w:val="21"/>
          <w:szCs w:val="21"/>
          <w:highlight w:val="none"/>
        </w:rPr>
        <w:t>条〔争议解决〕约定处理。争议解决前，合同当事人暂按总监</w:t>
      </w:r>
      <w:r>
        <w:rPr>
          <w:rFonts w:ascii="宋体" w:hAnsi="宋体" w:eastAsia="宋体" w:cs="宋体"/>
          <w:color w:val="auto"/>
          <w:spacing w:val="-1"/>
          <w:sz w:val="21"/>
          <w:szCs w:val="21"/>
          <w:highlight w:val="none"/>
        </w:rPr>
        <w:t>理工程师</w:t>
      </w:r>
      <w:r>
        <w:rPr>
          <w:rFonts w:ascii="宋体" w:hAnsi="宋体" w:eastAsia="宋体" w:cs="宋体"/>
          <w:color w:val="auto"/>
          <w:sz w:val="21"/>
          <w:szCs w:val="21"/>
          <w:highlight w:val="none"/>
        </w:rPr>
        <w:t xml:space="preserve"> 的确定执行； 争议解决后，争议解决的结果与总监理工程师的确定不一致的，按照争议解</w:t>
      </w:r>
    </w:p>
    <w:p w14:paraId="1E3B97B7">
      <w:pPr>
        <w:spacing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决的结果执行，由此造成的损失由责任人承担。</w:t>
      </w:r>
    </w:p>
    <w:p w14:paraId="38BC1300">
      <w:pPr>
        <w:spacing w:before="178" w:line="526" w:lineRule="exact"/>
        <w:ind w:left="15"/>
        <w:rPr>
          <w:rFonts w:ascii="黑体" w:hAnsi="黑体" w:eastAsia="黑体" w:cs="黑体"/>
          <w:color w:val="auto"/>
          <w:sz w:val="32"/>
          <w:szCs w:val="32"/>
          <w:highlight w:val="none"/>
        </w:rPr>
      </w:pPr>
      <w:r>
        <w:rPr>
          <w:rFonts w:ascii="黑体" w:hAnsi="黑体" w:eastAsia="黑体" w:cs="黑体"/>
          <w:color w:val="auto"/>
          <w:position w:val="15"/>
          <w:sz w:val="32"/>
          <w:szCs w:val="32"/>
          <w:highlight w:val="none"/>
        </w:rPr>
        <w:t>5.工程质量</w:t>
      </w:r>
    </w:p>
    <w:p w14:paraId="5A823234">
      <w:pPr>
        <w:spacing w:before="1"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5.1</w:t>
      </w:r>
      <w:r>
        <w:rPr>
          <w:rFonts w:ascii="黑体" w:hAnsi="黑体" w:eastAsia="黑体" w:cs="黑体"/>
          <w:color w:val="auto"/>
          <w:spacing w:val="-50"/>
          <w:sz w:val="24"/>
          <w:szCs w:val="24"/>
          <w:highlight w:val="none"/>
        </w:rPr>
        <w:t xml:space="preserve"> </w:t>
      </w:r>
      <w:r>
        <w:rPr>
          <w:rFonts w:ascii="黑体" w:hAnsi="黑体" w:eastAsia="黑体" w:cs="黑体"/>
          <w:color w:val="auto"/>
          <w:spacing w:val="-2"/>
          <w:sz w:val="24"/>
          <w:szCs w:val="24"/>
          <w:highlight w:val="none"/>
        </w:rPr>
        <w:t>质量要求</w:t>
      </w:r>
    </w:p>
    <w:p w14:paraId="591956BD">
      <w:pPr>
        <w:spacing w:before="128" w:line="399" w:lineRule="exact"/>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5.1.1</w:t>
      </w:r>
      <w:r>
        <w:rPr>
          <w:rFonts w:ascii="Times New Roman" w:hAnsi="Times New Roman" w:eastAsia="Times New Roman" w:cs="Times New Roman"/>
          <w:color w:val="auto"/>
          <w:spacing w:val="35"/>
          <w:w w:val="101"/>
          <w:position w:val="14"/>
          <w:sz w:val="21"/>
          <w:szCs w:val="21"/>
          <w:highlight w:val="none"/>
        </w:rPr>
        <w:t xml:space="preserve"> </w:t>
      </w:r>
      <w:r>
        <w:rPr>
          <w:rFonts w:ascii="宋体" w:hAnsi="宋体" w:eastAsia="宋体" w:cs="宋体"/>
          <w:color w:val="auto"/>
          <w:spacing w:val="1"/>
          <w:position w:val="14"/>
          <w:sz w:val="21"/>
          <w:szCs w:val="21"/>
          <w:highlight w:val="none"/>
        </w:rPr>
        <w:t>工程质量标准必须符合现行国家有关工</w:t>
      </w:r>
      <w:r>
        <w:rPr>
          <w:rFonts w:ascii="宋体" w:hAnsi="宋体" w:eastAsia="宋体" w:cs="宋体"/>
          <w:color w:val="auto"/>
          <w:position w:val="14"/>
          <w:sz w:val="21"/>
          <w:szCs w:val="21"/>
          <w:highlight w:val="none"/>
        </w:rPr>
        <w:t>程施工质量验收规范和标准的要求。有关</w:t>
      </w:r>
    </w:p>
    <w:p w14:paraId="6CB8A8B5">
      <w:pPr>
        <w:spacing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工程质量的特殊标准或要求由合同当事人在专用</w:t>
      </w:r>
      <w:r>
        <w:rPr>
          <w:rFonts w:ascii="宋体" w:hAnsi="宋体" w:eastAsia="宋体" w:cs="宋体"/>
          <w:color w:val="auto"/>
          <w:spacing w:val="-1"/>
          <w:sz w:val="21"/>
          <w:szCs w:val="21"/>
          <w:highlight w:val="none"/>
        </w:rPr>
        <w:t>合同条款中约定。</w:t>
      </w:r>
    </w:p>
    <w:p w14:paraId="69EB14C8">
      <w:pPr>
        <w:spacing w:before="153"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5.1.2</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因发包人原因造成工程质量未达到合同约定标准的，由发包人承担由此增加的费</w:t>
      </w:r>
    </w:p>
    <w:p w14:paraId="3D7C0CF1">
      <w:pPr>
        <w:spacing w:line="221" w:lineRule="auto"/>
        <w:rPr>
          <w:rFonts w:ascii="宋体" w:hAnsi="宋体" w:eastAsia="宋体" w:cs="宋体"/>
          <w:color w:val="auto"/>
          <w:sz w:val="21"/>
          <w:szCs w:val="21"/>
          <w:highlight w:val="none"/>
        </w:rPr>
        <w:sectPr>
          <w:footerReference r:id="rId114" w:type="default"/>
          <w:pgSz w:w="11905" w:h="16839"/>
          <w:pgMar w:top="1431" w:right="1617" w:bottom="1004" w:left="1785" w:header="0" w:footer="828" w:gutter="0"/>
          <w:pgNumType w:fmt="decimal"/>
          <w:cols w:space="720" w:num="1"/>
        </w:sectPr>
      </w:pPr>
    </w:p>
    <w:p w14:paraId="03FB7156">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用和（或） 延误的工期，并支付承包人合理的利润。</w:t>
      </w:r>
    </w:p>
    <w:p w14:paraId="0D12CD90">
      <w:pPr>
        <w:spacing w:before="147" w:line="403"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5.1.3</w:t>
      </w:r>
      <w:r>
        <w:rPr>
          <w:rFonts w:ascii="Times New Roman" w:hAnsi="Times New Roman" w:eastAsia="Times New Roman" w:cs="Times New Roman"/>
          <w:color w:val="auto"/>
          <w:spacing w:val="57"/>
          <w:w w:val="101"/>
          <w:position w:val="14"/>
          <w:sz w:val="21"/>
          <w:szCs w:val="21"/>
          <w:highlight w:val="none"/>
        </w:rPr>
        <w:t xml:space="preserve"> </w:t>
      </w:r>
      <w:r>
        <w:rPr>
          <w:rFonts w:ascii="宋体" w:hAnsi="宋体" w:eastAsia="宋体" w:cs="宋体"/>
          <w:color w:val="auto"/>
          <w:position w:val="14"/>
          <w:sz w:val="21"/>
          <w:szCs w:val="21"/>
          <w:highlight w:val="none"/>
        </w:rPr>
        <w:t>因承包人原因造成工程质量未达到合同约定标准的，发包人有权要求承包人返工</w:t>
      </w:r>
    </w:p>
    <w:p w14:paraId="32E0FB6B">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直至工程质量达到合同约定的标准为止， 并由承包</w:t>
      </w:r>
      <w:r>
        <w:rPr>
          <w:rFonts w:ascii="宋体" w:hAnsi="宋体" w:eastAsia="宋体" w:cs="宋体"/>
          <w:color w:val="auto"/>
          <w:spacing w:val="-3"/>
          <w:sz w:val="21"/>
          <w:szCs w:val="21"/>
          <w:highlight w:val="none"/>
        </w:rPr>
        <w:t>人承担由此增加的费用和（或） 延误的</w:t>
      </w:r>
    </w:p>
    <w:p w14:paraId="55CB9D2B">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工期。</w:t>
      </w:r>
    </w:p>
    <w:p w14:paraId="071B8C0B">
      <w:pPr>
        <w:spacing w:before="45" w:line="220"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5.2</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质量保证措施</w:t>
      </w:r>
    </w:p>
    <w:p w14:paraId="4576D5A2">
      <w:pPr>
        <w:spacing w:before="12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5.2.1 </w:t>
      </w:r>
      <w:r>
        <w:rPr>
          <w:rFonts w:ascii="宋体" w:hAnsi="宋体" w:eastAsia="宋体" w:cs="宋体"/>
          <w:color w:val="auto"/>
          <w:spacing w:val="-1"/>
          <w:sz w:val="21"/>
          <w:szCs w:val="21"/>
          <w:highlight w:val="none"/>
        </w:rPr>
        <w:t>发包人的质量管理</w:t>
      </w:r>
    </w:p>
    <w:p w14:paraId="6EFDEE3B">
      <w:pPr>
        <w:spacing w:before="152"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发包人应按照法律规定及合同约定完成与工程质量有关的各项工作。</w:t>
      </w:r>
    </w:p>
    <w:p w14:paraId="50EC3591">
      <w:pPr>
        <w:spacing w:before="148"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5.2.2 </w:t>
      </w:r>
      <w:r>
        <w:rPr>
          <w:rFonts w:ascii="宋体" w:hAnsi="宋体" w:eastAsia="宋体" w:cs="宋体"/>
          <w:color w:val="auto"/>
          <w:spacing w:val="-1"/>
          <w:sz w:val="21"/>
          <w:szCs w:val="21"/>
          <w:highlight w:val="none"/>
        </w:rPr>
        <w:t>承包人的质量管理</w:t>
      </w:r>
    </w:p>
    <w:p w14:paraId="2F213FA0">
      <w:pPr>
        <w:spacing w:before="148" w:line="352" w:lineRule="auto"/>
        <w:ind w:left="18" w:right="2"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承包人按照第</w:t>
      </w:r>
      <w:r>
        <w:rPr>
          <w:rFonts w:ascii="宋体" w:hAnsi="宋体" w:eastAsia="宋体" w:cs="宋体"/>
          <w:color w:val="auto"/>
          <w:spacing w:val="-58"/>
          <w:sz w:val="21"/>
          <w:szCs w:val="21"/>
          <w:highlight w:val="none"/>
        </w:rPr>
        <w:t xml:space="preserve"> </w:t>
      </w:r>
      <w:r>
        <w:rPr>
          <w:rFonts w:ascii="Times New Roman" w:hAnsi="Times New Roman" w:eastAsia="Times New Roman" w:cs="Times New Roman"/>
          <w:color w:val="auto"/>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z w:val="21"/>
          <w:szCs w:val="21"/>
          <w:highlight w:val="none"/>
        </w:rPr>
        <w:t>款〔施工组织设计〕约</w:t>
      </w:r>
      <w:r>
        <w:rPr>
          <w:rFonts w:ascii="宋体" w:hAnsi="宋体" w:eastAsia="宋体" w:cs="宋体"/>
          <w:color w:val="auto"/>
          <w:spacing w:val="-1"/>
          <w:sz w:val="21"/>
          <w:szCs w:val="21"/>
          <w:highlight w:val="none"/>
        </w:rPr>
        <w:t>定向发包人和监理人提交工程质量保证体系及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措施文件，建立完善的质量检查制度，并提交相应的工程质量文件。对于发</w:t>
      </w:r>
      <w:r>
        <w:rPr>
          <w:rFonts w:ascii="宋体" w:hAnsi="宋体" w:eastAsia="宋体" w:cs="宋体"/>
          <w:color w:val="auto"/>
          <w:spacing w:val="2"/>
          <w:sz w:val="21"/>
          <w:szCs w:val="21"/>
          <w:highlight w:val="none"/>
        </w:rPr>
        <w:t>包人和监理人</w:t>
      </w:r>
    </w:p>
    <w:p w14:paraId="188C393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违反法律规定和合同约定的错误指示， 承包人有权拒绝实施。</w:t>
      </w:r>
    </w:p>
    <w:p w14:paraId="48D38147">
      <w:pPr>
        <w:spacing w:before="148"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承包人应对施工人员进行质量教育和技术培训，</w:t>
      </w:r>
      <w:r>
        <w:rPr>
          <w:rFonts w:ascii="宋体" w:hAnsi="宋体" w:eastAsia="宋体" w:cs="宋体"/>
          <w:color w:val="auto"/>
          <w:spacing w:val="-3"/>
          <w:position w:val="14"/>
          <w:sz w:val="21"/>
          <w:szCs w:val="21"/>
          <w:highlight w:val="none"/>
        </w:rPr>
        <w:t xml:space="preserve"> 定期考核施工人员的劳动技能， 严格</w:t>
      </w:r>
    </w:p>
    <w:p w14:paraId="2D4B149E">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执行施工规范和操作规程。</w:t>
      </w:r>
    </w:p>
    <w:p w14:paraId="71D09E0B">
      <w:pPr>
        <w:spacing w:before="147" w:line="352" w:lineRule="auto"/>
        <w:ind w:left="17" w:right="6"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承包人应按照法律规定和发包人的要求， 对材料、工程设备以及工程的所有部位及其</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施工工艺进行全过程的质量检查和检验， 并作详细记录，编制工程质量报表，报送监理人</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审查。此外，</w:t>
      </w:r>
      <w:r>
        <w:rPr>
          <w:rFonts w:ascii="宋体" w:hAnsi="宋体" w:eastAsia="宋体" w:cs="宋体"/>
          <w:color w:val="auto"/>
          <w:spacing w:val="60"/>
          <w:sz w:val="21"/>
          <w:szCs w:val="21"/>
          <w:highlight w:val="none"/>
        </w:rPr>
        <w:t xml:space="preserve"> </w:t>
      </w:r>
      <w:r>
        <w:rPr>
          <w:rFonts w:ascii="宋体" w:hAnsi="宋体" w:eastAsia="宋体" w:cs="宋体"/>
          <w:color w:val="auto"/>
          <w:spacing w:val="-1"/>
          <w:sz w:val="21"/>
          <w:szCs w:val="21"/>
          <w:highlight w:val="none"/>
        </w:rPr>
        <w:t>承包人还应按照法律规定和发包人的要求，</w:t>
      </w:r>
      <w:r>
        <w:rPr>
          <w:rFonts w:ascii="宋体" w:hAnsi="宋体" w:eastAsia="宋体" w:cs="宋体"/>
          <w:color w:val="auto"/>
          <w:spacing w:val="-2"/>
          <w:sz w:val="21"/>
          <w:szCs w:val="21"/>
          <w:highlight w:val="none"/>
        </w:rPr>
        <w:t>进行施工现场取样试验、工程复</w:t>
      </w:r>
    </w:p>
    <w:p w14:paraId="4D905FFC">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核测量和设备性能检测，提供试验样品、提交试验报告和测量成果以及其他工作。</w:t>
      </w:r>
    </w:p>
    <w:p w14:paraId="5F554AC5">
      <w:pPr>
        <w:spacing w:before="149"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5.2.3 </w:t>
      </w:r>
      <w:r>
        <w:rPr>
          <w:rFonts w:ascii="宋体" w:hAnsi="宋体" w:eastAsia="宋体" w:cs="宋体"/>
          <w:color w:val="auto"/>
          <w:spacing w:val="-1"/>
          <w:sz w:val="21"/>
          <w:szCs w:val="21"/>
          <w:highlight w:val="none"/>
        </w:rPr>
        <w:t>监理人的质量检查和检验</w:t>
      </w:r>
    </w:p>
    <w:p w14:paraId="1DA897F2">
      <w:pPr>
        <w:spacing w:before="151" w:line="352" w:lineRule="auto"/>
        <w:ind w:left="16" w:right="6" w:firstLine="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监理人按照法律规定和发包人授权对工程的所有部位及其施工工艺、材料和工程设备</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进行检查和检验。承包人应为监理人的检查和检验提供方便，包括监理人到施工现场， 或</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制造、加工地点， 或合同约定的其他地方进行察看和查阅施工原始记录。监理人为此进行</w:t>
      </w:r>
    </w:p>
    <w:p w14:paraId="0D18C623">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的检查和检验，不免除或减轻承包人按照合同约</w:t>
      </w:r>
      <w:r>
        <w:rPr>
          <w:rFonts w:ascii="宋体" w:hAnsi="宋体" w:eastAsia="宋体" w:cs="宋体"/>
          <w:color w:val="auto"/>
          <w:spacing w:val="-2"/>
          <w:sz w:val="21"/>
          <w:szCs w:val="21"/>
          <w:highlight w:val="none"/>
        </w:rPr>
        <w:t>定应当承担的责任。</w:t>
      </w:r>
    </w:p>
    <w:p w14:paraId="75F47670">
      <w:pPr>
        <w:spacing w:before="148"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监理人的检查和检验不应影响施工正常进行。监理人的检查和检验影响施工正常进行</w:t>
      </w:r>
    </w:p>
    <w:p w14:paraId="1449D98C">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的，且经检查检验不合格的， 影响正常施工的费用由承包人承担， </w:t>
      </w:r>
      <w:r>
        <w:rPr>
          <w:rFonts w:ascii="宋体" w:hAnsi="宋体" w:eastAsia="宋体" w:cs="宋体"/>
          <w:color w:val="auto"/>
          <w:spacing w:val="-6"/>
          <w:sz w:val="21"/>
          <w:szCs w:val="21"/>
          <w:highlight w:val="none"/>
        </w:rPr>
        <w:t>工期不予顺延； 经检查</w:t>
      </w:r>
    </w:p>
    <w:p w14:paraId="207BD108">
      <w:pPr>
        <w:spacing w:before="151" w:line="221"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检验合格的，由此增加的费用和（或） 延误的工期由发包人承担。</w:t>
      </w:r>
    </w:p>
    <w:p w14:paraId="08E608FB">
      <w:pPr>
        <w:spacing w:before="47"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5.3</w:t>
      </w:r>
      <w:r>
        <w:rPr>
          <w:rFonts w:ascii="黑体" w:hAnsi="黑体" w:eastAsia="黑体" w:cs="黑体"/>
          <w:color w:val="auto"/>
          <w:spacing w:val="17"/>
          <w:sz w:val="24"/>
          <w:szCs w:val="24"/>
          <w:highlight w:val="none"/>
        </w:rPr>
        <w:t xml:space="preserve"> </w:t>
      </w:r>
      <w:r>
        <w:rPr>
          <w:rFonts w:ascii="黑体" w:hAnsi="黑体" w:eastAsia="黑体" w:cs="黑体"/>
          <w:color w:val="auto"/>
          <w:spacing w:val="-2"/>
          <w:sz w:val="24"/>
          <w:szCs w:val="24"/>
          <w:highlight w:val="none"/>
        </w:rPr>
        <w:t>隐蔽工程检查</w:t>
      </w:r>
    </w:p>
    <w:p w14:paraId="7E3A1C97">
      <w:pPr>
        <w:spacing w:before="128"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5.3.1 </w:t>
      </w:r>
      <w:r>
        <w:rPr>
          <w:rFonts w:ascii="宋体" w:hAnsi="宋体" w:eastAsia="宋体" w:cs="宋体"/>
          <w:color w:val="auto"/>
          <w:spacing w:val="-2"/>
          <w:sz w:val="21"/>
          <w:szCs w:val="21"/>
          <w:highlight w:val="none"/>
        </w:rPr>
        <w:t>承包人自检</w:t>
      </w:r>
    </w:p>
    <w:p w14:paraId="6172BEEA">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承包人应当对工程隐蔽部位进行自检， 并经自检确认是否具备覆盖条</w:t>
      </w:r>
      <w:r>
        <w:rPr>
          <w:rFonts w:ascii="宋体" w:hAnsi="宋体" w:eastAsia="宋体" w:cs="宋体"/>
          <w:color w:val="auto"/>
          <w:spacing w:val="-5"/>
          <w:sz w:val="21"/>
          <w:szCs w:val="21"/>
          <w:highlight w:val="none"/>
        </w:rPr>
        <w:t>件。</w:t>
      </w:r>
    </w:p>
    <w:p w14:paraId="5B80F534">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5.3.2 </w:t>
      </w:r>
      <w:r>
        <w:rPr>
          <w:rFonts w:ascii="宋体" w:hAnsi="宋体" w:eastAsia="宋体" w:cs="宋体"/>
          <w:color w:val="auto"/>
          <w:spacing w:val="-2"/>
          <w:sz w:val="21"/>
          <w:szCs w:val="21"/>
          <w:highlight w:val="none"/>
        </w:rPr>
        <w:t>检查程序</w:t>
      </w:r>
    </w:p>
    <w:p w14:paraId="47BC8F71">
      <w:pPr>
        <w:spacing w:before="154" w:line="350" w:lineRule="auto"/>
        <w:ind w:left="20" w:right="3"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除专用合同条款另有约定外，工程隐蔽部位经承包人自检确认具备覆盖条件的</w:t>
      </w:r>
      <w:r>
        <w:rPr>
          <w:rFonts w:ascii="宋体" w:hAnsi="宋体" w:eastAsia="宋体" w:cs="宋体"/>
          <w:color w:val="auto"/>
          <w:spacing w:val="-1"/>
          <w:sz w:val="21"/>
          <w:szCs w:val="21"/>
          <w:highlight w:val="none"/>
        </w:rPr>
        <w:t>， 承包</w:t>
      </w:r>
      <w:r>
        <w:rPr>
          <w:rFonts w:ascii="宋体" w:hAnsi="宋体" w:eastAsia="宋体" w:cs="宋体"/>
          <w:color w:val="auto"/>
          <w:sz w:val="21"/>
          <w:szCs w:val="21"/>
          <w:highlight w:val="none"/>
        </w:rPr>
        <w:t xml:space="preserve"> 人应在共同检查前</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小时书面通知监理人检</w:t>
      </w:r>
      <w:r>
        <w:rPr>
          <w:rFonts w:ascii="宋体" w:hAnsi="宋体" w:eastAsia="宋体" w:cs="宋体"/>
          <w:color w:val="auto"/>
          <w:spacing w:val="-1"/>
          <w:sz w:val="21"/>
          <w:szCs w:val="21"/>
          <w:highlight w:val="none"/>
        </w:rPr>
        <w:t>查，通知中应载明隐蔽检查的内容、时间和地</w:t>
      </w:r>
    </w:p>
    <w:p w14:paraId="033CB340">
      <w:pPr>
        <w:spacing w:before="1" w:line="219" w:lineRule="auto"/>
        <w:ind w:left="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点，并应附有自检记录和必要的检查资料。</w:t>
      </w:r>
    </w:p>
    <w:p w14:paraId="3A9BF9F4">
      <w:pPr>
        <w:spacing w:before="154" w:line="350" w:lineRule="auto"/>
        <w:ind w:left="18" w:right="6"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监理人应按时到场并对隐蔽工程及其施工工艺、材料和工程设备进行检查。经监理人</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检查确认质量符合隐蔽要求， 并在验收记录上签字后，</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承包人才能进行覆盖。经监</w:t>
      </w:r>
      <w:r>
        <w:rPr>
          <w:rFonts w:ascii="宋体" w:hAnsi="宋体" w:eastAsia="宋体" w:cs="宋体"/>
          <w:color w:val="auto"/>
          <w:spacing w:val="-4"/>
          <w:sz w:val="21"/>
          <w:szCs w:val="21"/>
          <w:highlight w:val="none"/>
        </w:rPr>
        <w:t>理人检</w:t>
      </w:r>
    </w:p>
    <w:p w14:paraId="16F52829">
      <w:pPr>
        <w:spacing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查质量不合格的， 承包人应在监理人指示的时间内完成修复，并由监理人重新检查，由此</w:t>
      </w:r>
    </w:p>
    <w:p w14:paraId="6A277755">
      <w:pPr>
        <w:spacing w:line="220" w:lineRule="auto"/>
        <w:rPr>
          <w:rFonts w:ascii="宋体" w:hAnsi="宋体" w:eastAsia="宋体" w:cs="宋体"/>
          <w:color w:val="auto"/>
          <w:sz w:val="21"/>
          <w:szCs w:val="21"/>
          <w:highlight w:val="none"/>
        </w:rPr>
        <w:sectPr>
          <w:footerReference r:id="rId115" w:type="default"/>
          <w:pgSz w:w="11905" w:h="16839"/>
          <w:pgMar w:top="1431" w:right="1785" w:bottom="1004" w:left="1785" w:header="0" w:footer="828" w:gutter="0"/>
          <w:pgNumType w:fmt="decimal"/>
          <w:cols w:space="720" w:num="1"/>
        </w:sectPr>
      </w:pPr>
    </w:p>
    <w:p w14:paraId="5CEE6D7F">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增加的费用和（或） 延误的工期由承包人承担。</w:t>
      </w:r>
    </w:p>
    <w:p w14:paraId="12CEC06F">
      <w:pPr>
        <w:spacing w:before="149" w:line="352" w:lineRule="auto"/>
        <w:ind w:left="19" w:right="1" w:firstLine="4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监理人不能按时进行检查的，应在检查前</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4"/>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小时向承包</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人提交书面延期要求，但延期不能超过</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48</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小时，由此导致工期延误的， 工期应予以顺延。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监理人未按时进行检查，也未提出延期要求的，视为隐蔽工程检查合格，承</w:t>
      </w:r>
      <w:r>
        <w:rPr>
          <w:rFonts w:ascii="宋体" w:hAnsi="宋体" w:eastAsia="宋体" w:cs="宋体"/>
          <w:color w:val="auto"/>
          <w:spacing w:val="2"/>
          <w:sz w:val="21"/>
          <w:szCs w:val="21"/>
          <w:highlight w:val="none"/>
        </w:rPr>
        <w:t>包人可自行完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成覆盖工作， 并作相应记录报送监理人， 监理人应</w:t>
      </w:r>
      <w:r>
        <w:rPr>
          <w:rFonts w:ascii="宋体" w:hAnsi="宋体" w:eastAsia="宋体" w:cs="宋体"/>
          <w:color w:val="auto"/>
          <w:spacing w:val="-3"/>
          <w:sz w:val="21"/>
          <w:szCs w:val="21"/>
          <w:highlight w:val="none"/>
        </w:rPr>
        <w:t>签字确认。监理人事后对检查记录有疑</w:t>
      </w:r>
    </w:p>
    <w:p w14:paraId="0DA82EF0">
      <w:pPr>
        <w:spacing w:line="220"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问的，可按第</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5.3.3 </w:t>
      </w:r>
      <w:r>
        <w:rPr>
          <w:rFonts w:ascii="宋体" w:hAnsi="宋体" w:eastAsia="宋体" w:cs="宋体"/>
          <w:color w:val="auto"/>
          <w:spacing w:val="-2"/>
          <w:sz w:val="21"/>
          <w:szCs w:val="21"/>
          <w:highlight w:val="none"/>
        </w:rPr>
        <w:t>项〔重新检查〕的约定重新检查。</w:t>
      </w:r>
    </w:p>
    <w:p w14:paraId="6C2617BC">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5.3.3 </w:t>
      </w:r>
      <w:r>
        <w:rPr>
          <w:rFonts w:ascii="宋体" w:hAnsi="宋体" w:eastAsia="宋体" w:cs="宋体"/>
          <w:color w:val="auto"/>
          <w:spacing w:val="-1"/>
          <w:sz w:val="21"/>
          <w:szCs w:val="21"/>
          <w:highlight w:val="none"/>
        </w:rPr>
        <w:t>重新检查</w:t>
      </w:r>
    </w:p>
    <w:p w14:paraId="34DC6BDD">
      <w:pPr>
        <w:spacing w:before="149"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承包人覆盖工程隐蔽部位后，发包人或监理人对质量有疑问的， 可要求承包人对已覆</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盖的部位进行钻孔探测或揭开重新检查， 承包人应遵照执行，并在检查后重新覆盖恢复原</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状。经检查证明工程质量符合合同要求的，由发包人承担由此增加的费用和（或） 延误的</w:t>
      </w:r>
      <w:r>
        <w:rPr>
          <w:rFonts w:ascii="宋体" w:hAnsi="宋体" w:eastAsia="宋体" w:cs="宋体"/>
          <w:color w:val="auto"/>
          <w:spacing w:val="6"/>
          <w:sz w:val="21"/>
          <w:szCs w:val="21"/>
          <w:highlight w:val="none"/>
        </w:rPr>
        <w:t xml:space="preserve"> </w:t>
      </w:r>
      <w:r>
        <w:rPr>
          <w:rFonts w:ascii="宋体" w:hAnsi="宋体" w:eastAsia="宋体" w:cs="宋体"/>
          <w:color w:val="auto"/>
          <w:spacing w:val="-5"/>
          <w:sz w:val="21"/>
          <w:szCs w:val="21"/>
          <w:highlight w:val="none"/>
        </w:rPr>
        <w:t>工期， 并支付承包人合理的利润； 经检查证明工程质量不符合合同要求的， 由此增加的费</w:t>
      </w:r>
    </w:p>
    <w:p w14:paraId="36B7B76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用和（或） 延误的工期由承包人承担。</w:t>
      </w:r>
    </w:p>
    <w:p w14:paraId="72B5803B">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5.3.4 </w:t>
      </w:r>
      <w:r>
        <w:rPr>
          <w:rFonts w:ascii="宋体" w:hAnsi="宋体" w:eastAsia="宋体" w:cs="宋体"/>
          <w:color w:val="auto"/>
          <w:spacing w:val="-1"/>
          <w:sz w:val="21"/>
          <w:szCs w:val="21"/>
          <w:highlight w:val="none"/>
        </w:rPr>
        <w:t>承包人私自覆盖</w:t>
      </w:r>
    </w:p>
    <w:p w14:paraId="23A870D5">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承包人未通知监理人到场检查， 私自将工程隐蔽部位覆盖的，监理人有权指示承包人</w:t>
      </w:r>
    </w:p>
    <w:p w14:paraId="0EA6D36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钻孔探测或揭开检查， 无论工程隐蔽部位质量是否合</w:t>
      </w:r>
      <w:r>
        <w:rPr>
          <w:rFonts w:ascii="宋体" w:hAnsi="宋体" w:eastAsia="宋体" w:cs="宋体"/>
          <w:color w:val="auto"/>
          <w:spacing w:val="-3"/>
          <w:sz w:val="21"/>
          <w:szCs w:val="21"/>
          <w:highlight w:val="none"/>
        </w:rPr>
        <w:t>格，由此增加的费用和（或） 延误的</w:t>
      </w:r>
    </w:p>
    <w:p w14:paraId="044D65BE">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工期均由承包人承担。</w:t>
      </w:r>
    </w:p>
    <w:p w14:paraId="50915E6F">
      <w:pPr>
        <w:spacing w:before="46"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5.4</w:t>
      </w:r>
      <w:r>
        <w:rPr>
          <w:rFonts w:ascii="黑体" w:hAnsi="黑体" w:eastAsia="黑体" w:cs="黑体"/>
          <w:color w:val="auto"/>
          <w:spacing w:val="-44"/>
          <w:sz w:val="24"/>
          <w:szCs w:val="24"/>
          <w:highlight w:val="none"/>
        </w:rPr>
        <w:t xml:space="preserve"> </w:t>
      </w:r>
      <w:r>
        <w:rPr>
          <w:rFonts w:ascii="黑体" w:hAnsi="黑体" w:eastAsia="黑体" w:cs="黑体"/>
          <w:color w:val="auto"/>
          <w:spacing w:val="-2"/>
          <w:sz w:val="24"/>
          <w:szCs w:val="24"/>
          <w:highlight w:val="none"/>
        </w:rPr>
        <w:t>不合格工程的处理</w:t>
      </w:r>
    </w:p>
    <w:p w14:paraId="23AF00A1">
      <w:pPr>
        <w:spacing w:before="130" w:line="352" w:lineRule="auto"/>
        <w:ind w:left="20" w:right="8" w:firstLine="423"/>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5.4.1</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 xml:space="preserve">因承包人原因造成工程不合格的，发包人有权随时要求承包人采取补救措施，直 </w:t>
      </w:r>
      <w:r>
        <w:rPr>
          <w:rFonts w:ascii="宋体" w:hAnsi="宋体" w:eastAsia="宋体" w:cs="宋体"/>
          <w:color w:val="auto"/>
          <w:spacing w:val="-4"/>
          <w:sz w:val="21"/>
          <w:szCs w:val="21"/>
          <w:highlight w:val="none"/>
        </w:rPr>
        <w:t>至达到合同要求的质量标准，</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由此增加的费用和（或）</w:t>
      </w:r>
      <w:r>
        <w:rPr>
          <w:rFonts w:ascii="宋体" w:hAnsi="宋体" w:eastAsia="宋体" w:cs="宋体"/>
          <w:color w:val="auto"/>
          <w:spacing w:val="29"/>
          <w:sz w:val="21"/>
          <w:szCs w:val="21"/>
          <w:highlight w:val="none"/>
        </w:rPr>
        <w:t xml:space="preserve"> </w:t>
      </w:r>
      <w:r>
        <w:rPr>
          <w:rFonts w:ascii="宋体" w:hAnsi="宋体" w:eastAsia="宋体" w:cs="宋体"/>
          <w:color w:val="auto"/>
          <w:spacing w:val="-4"/>
          <w:sz w:val="21"/>
          <w:szCs w:val="21"/>
          <w:highlight w:val="none"/>
        </w:rPr>
        <w:t>延误的工</w:t>
      </w:r>
      <w:r>
        <w:rPr>
          <w:rFonts w:ascii="宋体" w:hAnsi="宋体" w:eastAsia="宋体" w:cs="宋体"/>
          <w:color w:val="auto"/>
          <w:spacing w:val="-5"/>
          <w:sz w:val="21"/>
          <w:szCs w:val="21"/>
          <w:highlight w:val="none"/>
        </w:rPr>
        <w:t>期由承包人承担。无法补</w:t>
      </w:r>
    </w:p>
    <w:p w14:paraId="038A86E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救的，按照第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13.2.4 </w:t>
      </w:r>
      <w:r>
        <w:rPr>
          <w:rFonts w:ascii="宋体" w:hAnsi="宋体" w:eastAsia="宋体" w:cs="宋体"/>
          <w:color w:val="auto"/>
          <w:spacing w:val="-2"/>
          <w:sz w:val="21"/>
          <w:szCs w:val="21"/>
          <w:highlight w:val="none"/>
        </w:rPr>
        <w:t>项〔拒绝接收全部或部分工程〕约定执行。</w:t>
      </w:r>
    </w:p>
    <w:p w14:paraId="16A94F33">
      <w:pPr>
        <w:spacing w:before="147" w:line="221" w:lineRule="auto"/>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5.4.2</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因发包人原因造成工程不合格的，由此增加的费用和（或）延误的工期由发包人</w:t>
      </w:r>
    </w:p>
    <w:p w14:paraId="1F301B7C">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承担，并支付承包人合理的利润。</w:t>
      </w:r>
    </w:p>
    <w:p w14:paraId="712861A5">
      <w:pPr>
        <w:spacing w:before="45" w:line="219" w:lineRule="auto"/>
        <w:ind w:left="13"/>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5.5 质量争议检测</w:t>
      </w:r>
    </w:p>
    <w:p w14:paraId="6FF0F16E">
      <w:pPr>
        <w:spacing w:before="12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合同当事人对工程质量有争议的，由双方协商确定的工程质量检测机构鉴定，由此产</w:t>
      </w:r>
    </w:p>
    <w:p w14:paraId="028EFD4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生的费用及因此造成的损失，</w:t>
      </w:r>
      <w:r>
        <w:rPr>
          <w:rFonts w:ascii="宋体" w:hAnsi="宋体" w:eastAsia="宋体" w:cs="宋体"/>
          <w:color w:val="auto"/>
          <w:spacing w:val="48"/>
          <w:sz w:val="21"/>
          <w:szCs w:val="21"/>
          <w:highlight w:val="none"/>
        </w:rPr>
        <w:t xml:space="preserve"> </w:t>
      </w:r>
      <w:r>
        <w:rPr>
          <w:rFonts w:ascii="宋体" w:hAnsi="宋体" w:eastAsia="宋体" w:cs="宋体"/>
          <w:color w:val="auto"/>
          <w:spacing w:val="-9"/>
          <w:sz w:val="21"/>
          <w:szCs w:val="21"/>
          <w:highlight w:val="none"/>
        </w:rPr>
        <w:t>由责任方承担。</w:t>
      </w:r>
    </w:p>
    <w:p w14:paraId="4BCC100C">
      <w:pPr>
        <w:spacing w:before="148" w:line="403" w:lineRule="exact"/>
        <w:ind w:right="12"/>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合同当事人均有责任的，由双方根据其责任分别承担。合同当事人无法达成</w:t>
      </w:r>
      <w:r>
        <w:rPr>
          <w:rFonts w:ascii="宋体" w:hAnsi="宋体" w:eastAsia="宋体" w:cs="宋体"/>
          <w:color w:val="auto"/>
          <w:spacing w:val="2"/>
          <w:position w:val="14"/>
          <w:sz w:val="21"/>
          <w:szCs w:val="21"/>
          <w:highlight w:val="none"/>
        </w:rPr>
        <w:t>一致的，</w:t>
      </w:r>
    </w:p>
    <w:p w14:paraId="79FE230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4.4 </w:t>
      </w:r>
      <w:r>
        <w:rPr>
          <w:rFonts w:ascii="宋体" w:hAnsi="宋体" w:eastAsia="宋体" w:cs="宋体"/>
          <w:color w:val="auto"/>
          <w:spacing w:val="-3"/>
          <w:sz w:val="21"/>
          <w:szCs w:val="21"/>
          <w:highlight w:val="none"/>
        </w:rPr>
        <w:t>款〔商定或确定〕执行。</w:t>
      </w:r>
    </w:p>
    <w:p w14:paraId="5E89EE6C">
      <w:pPr>
        <w:spacing w:before="173" w:line="526" w:lineRule="exact"/>
        <w:ind w:left="21"/>
        <w:rPr>
          <w:rFonts w:ascii="黑体" w:hAnsi="黑体" w:eastAsia="黑体" w:cs="黑体"/>
          <w:color w:val="auto"/>
          <w:sz w:val="32"/>
          <w:szCs w:val="32"/>
          <w:highlight w:val="none"/>
        </w:rPr>
      </w:pPr>
      <w:r>
        <w:rPr>
          <w:rFonts w:ascii="黑体" w:hAnsi="黑体" w:eastAsia="黑体" w:cs="黑体"/>
          <w:color w:val="auto"/>
          <w:spacing w:val="-1"/>
          <w:position w:val="14"/>
          <w:sz w:val="32"/>
          <w:szCs w:val="32"/>
          <w:highlight w:val="none"/>
        </w:rPr>
        <w:t>6.安全文明施工与环境保护</w:t>
      </w:r>
    </w:p>
    <w:p w14:paraId="0966398A">
      <w:pPr>
        <w:spacing w:line="218" w:lineRule="auto"/>
        <w:ind w:left="18"/>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6.1</w:t>
      </w:r>
      <w:r>
        <w:rPr>
          <w:rFonts w:ascii="黑体" w:hAnsi="黑体" w:eastAsia="黑体" w:cs="黑体"/>
          <w:color w:val="auto"/>
          <w:spacing w:val="-42"/>
          <w:sz w:val="24"/>
          <w:szCs w:val="24"/>
          <w:highlight w:val="none"/>
        </w:rPr>
        <w:t xml:space="preserve"> </w:t>
      </w:r>
      <w:r>
        <w:rPr>
          <w:rFonts w:ascii="黑体" w:hAnsi="黑体" w:eastAsia="黑体" w:cs="黑体"/>
          <w:color w:val="auto"/>
          <w:spacing w:val="-3"/>
          <w:sz w:val="24"/>
          <w:szCs w:val="24"/>
          <w:highlight w:val="none"/>
        </w:rPr>
        <w:t>安全文明施工</w:t>
      </w:r>
    </w:p>
    <w:p w14:paraId="349F006D">
      <w:pPr>
        <w:spacing w:before="130"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6.1.1 </w:t>
      </w:r>
      <w:r>
        <w:rPr>
          <w:rFonts w:ascii="宋体" w:hAnsi="宋体" w:eastAsia="宋体" w:cs="宋体"/>
          <w:color w:val="auto"/>
          <w:spacing w:val="-2"/>
          <w:sz w:val="21"/>
          <w:szCs w:val="21"/>
          <w:highlight w:val="none"/>
        </w:rPr>
        <w:t>安全生产要求</w:t>
      </w:r>
    </w:p>
    <w:p w14:paraId="058953D4">
      <w:pPr>
        <w:spacing w:before="153" w:line="350" w:lineRule="auto"/>
        <w:ind w:left="31" w:right="6" w:firstLine="41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合同履行期间， 合同当事人均应当遵守国家</w:t>
      </w:r>
      <w:r>
        <w:rPr>
          <w:rFonts w:ascii="宋体" w:hAnsi="宋体" w:eastAsia="宋体" w:cs="宋体"/>
          <w:color w:val="auto"/>
          <w:spacing w:val="-3"/>
          <w:sz w:val="21"/>
          <w:szCs w:val="21"/>
          <w:highlight w:val="none"/>
        </w:rPr>
        <w:t>和工程所在地有关安全生产的要求， 合同</w:t>
      </w:r>
      <w:r>
        <w:rPr>
          <w:rFonts w:ascii="宋体" w:hAnsi="宋体" w:eastAsia="宋体" w:cs="宋体"/>
          <w:color w:val="auto"/>
          <w:sz w:val="21"/>
          <w:szCs w:val="21"/>
          <w:highlight w:val="none"/>
        </w:rPr>
        <w:t xml:space="preserve"> 当事人有特别要求的， 应在专用合同条款中明确施工项目安全生产标准化</w:t>
      </w:r>
      <w:r>
        <w:rPr>
          <w:rFonts w:ascii="宋体" w:hAnsi="宋体" w:eastAsia="宋体" w:cs="宋体"/>
          <w:color w:val="auto"/>
          <w:spacing w:val="-1"/>
          <w:sz w:val="21"/>
          <w:szCs w:val="21"/>
          <w:highlight w:val="none"/>
        </w:rPr>
        <w:t>达标目标及相应</w:t>
      </w:r>
    </w:p>
    <w:p w14:paraId="401D0068">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事项。承包人有权拒绝发包人及监理人强令承包人违章作业、冒险施工的</w:t>
      </w:r>
      <w:r>
        <w:rPr>
          <w:rFonts w:ascii="宋体" w:hAnsi="宋体" w:eastAsia="宋体" w:cs="宋体"/>
          <w:color w:val="auto"/>
          <w:spacing w:val="-1"/>
          <w:sz w:val="21"/>
          <w:szCs w:val="21"/>
          <w:highlight w:val="none"/>
        </w:rPr>
        <w:t>任何指示。</w:t>
      </w:r>
    </w:p>
    <w:p w14:paraId="09ED2F24">
      <w:pPr>
        <w:spacing w:before="153" w:line="221" w:lineRule="auto"/>
        <w:ind w:right="6"/>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在施工过程中， 如遇到突发的地质变动、事先未知的地下施工障碍等影响施工安全的</w:t>
      </w:r>
    </w:p>
    <w:p w14:paraId="71CFAC9E">
      <w:pPr>
        <w:spacing w:line="221" w:lineRule="auto"/>
        <w:rPr>
          <w:rFonts w:ascii="宋体" w:hAnsi="宋体" w:eastAsia="宋体" w:cs="宋体"/>
          <w:color w:val="auto"/>
          <w:sz w:val="21"/>
          <w:szCs w:val="21"/>
          <w:highlight w:val="none"/>
        </w:rPr>
        <w:sectPr>
          <w:footerReference r:id="rId116" w:type="default"/>
          <w:pgSz w:w="11905" w:h="16839"/>
          <w:pgMar w:top="1431" w:right="1785" w:bottom="1004" w:left="1785" w:header="0" w:footer="828" w:gutter="0"/>
          <w:pgNumType w:fmt="decimal"/>
          <w:cols w:space="720" w:num="1"/>
        </w:sectPr>
      </w:pPr>
    </w:p>
    <w:p w14:paraId="0184D330">
      <w:pPr>
        <w:spacing w:before="149" w:line="398" w:lineRule="exact"/>
        <w:ind w:left="2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紧急情况， 承包人应及时报告监理人和发包人，发包人应当及时下令停工并报政府有关行</w:t>
      </w:r>
    </w:p>
    <w:p w14:paraId="076FAE44">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政管理部门采取应急措施。</w:t>
      </w:r>
    </w:p>
    <w:p w14:paraId="50EFE501">
      <w:pPr>
        <w:spacing w:before="152" w:line="221" w:lineRule="auto"/>
        <w:ind w:left="45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因安全生产需要暂停施工的， 按照第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5"/>
          <w:sz w:val="21"/>
          <w:szCs w:val="21"/>
          <w:highlight w:val="none"/>
        </w:rPr>
        <w:t xml:space="preserve">7.8 </w:t>
      </w:r>
      <w:r>
        <w:rPr>
          <w:rFonts w:ascii="宋体" w:hAnsi="宋体" w:eastAsia="宋体" w:cs="宋体"/>
          <w:color w:val="auto"/>
          <w:spacing w:val="-5"/>
          <w:sz w:val="21"/>
          <w:szCs w:val="21"/>
          <w:highlight w:val="none"/>
        </w:rPr>
        <w:t>款〔暂停施工〕的约定执行。</w:t>
      </w:r>
    </w:p>
    <w:p w14:paraId="03025681">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6.1.2 </w:t>
      </w:r>
      <w:r>
        <w:rPr>
          <w:rFonts w:ascii="宋体" w:hAnsi="宋体" w:eastAsia="宋体" w:cs="宋体"/>
          <w:color w:val="auto"/>
          <w:spacing w:val="-1"/>
          <w:sz w:val="21"/>
          <w:szCs w:val="21"/>
          <w:highlight w:val="none"/>
        </w:rPr>
        <w:t>安全生产保证措施</w:t>
      </w:r>
    </w:p>
    <w:p w14:paraId="79231314">
      <w:pPr>
        <w:spacing w:before="147" w:line="352" w:lineRule="auto"/>
        <w:ind w:left="17" w:right="158"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承包人应当按照有关规定编制安全技术措施或者专项施工方案， 建立安全生产责任制</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度、治安保卫制度及安全生产教育培训制度， 并按安全生产法律规定及合同约定履行安全</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职责， 如实编制工程安全生产的有关记录，接受发包人、监理人及政府安全监督部门的检</w:t>
      </w:r>
    </w:p>
    <w:p w14:paraId="31AA284E">
      <w:pPr>
        <w:spacing w:line="222"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查与监督。</w:t>
      </w:r>
    </w:p>
    <w:p w14:paraId="59B40F8C">
      <w:pPr>
        <w:spacing w:before="150"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6.1.3 </w:t>
      </w:r>
      <w:r>
        <w:rPr>
          <w:rFonts w:ascii="宋体" w:hAnsi="宋体" w:eastAsia="宋体" w:cs="宋体"/>
          <w:color w:val="auto"/>
          <w:spacing w:val="-2"/>
          <w:sz w:val="21"/>
          <w:szCs w:val="21"/>
          <w:highlight w:val="none"/>
        </w:rPr>
        <w:t>特别安全生产事项</w:t>
      </w:r>
    </w:p>
    <w:p w14:paraId="428E7B77">
      <w:pPr>
        <w:spacing w:before="149" w:line="352" w:lineRule="auto"/>
        <w:ind w:left="21" w:right="158" w:firstLine="4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承包人应按照法律规定进行施工，开工前做好安全技术交底工作，施工过程中做好各 项安全防护措施。承包人为实施合同而雇用的特殊工种的人员应受过</w:t>
      </w:r>
      <w:r>
        <w:rPr>
          <w:rFonts w:ascii="宋体" w:hAnsi="宋体" w:eastAsia="宋体" w:cs="宋体"/>
          <w:color w:val="auto"/>
          <w:spacing w:val="2"/>
          <w:sz w:val="21"/>
          <w:szCs w:val="21"/>
          <w:highlight w:val="none"/>
        </w:rPr>
        <w:t>专门的培训并已取得</w:t>
      </w:r>
    </w:p>
    <w:p w14:paraId="12C4FD2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政府有关管理机构颁发的上岗证书。</w:t>
      </w:r>
    </w:p>
    <w:p w14:paraId="702886ED">
      <w:pPr>
        <w:spacing w:before="149" w:line="352" w:lineRule="auto"/>
        <w:ind w:left="18" w:right="158"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承包人在动力设备、输电线路、地下管道、密封防震车间、易燃易爆地段以及临街交 通要道附近施工时，施工开始前应向发包人和监理人提出安全防护措施，经</w:t>
      </w:r>
      <w:r>
        <w:rPr>
          <w:rFonts w:ascii="宋体" w:hAnsi="宋体" w:eastAsia="宋体" w:cs="宋体"/>
          <w:color w:val="auto"/>
          <w:spacing w:val="2"/>
          <w:sz w:val="21"/>
          <w:szCs w:val="21"/>
          <w:highlight w:val="none"/>
        </w:rPr>
        <w:t>发包人认可后</w:t>
      </w:r>
    </w:p>
    <w:p w14:paraId="007CCD72">
      <w:pPr>
        <w:spacing w:before="1" w:line="221" w:lineRule="auto"/>
        <w:ind w:left="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实施。</w:t>
      </w:r>
    </w:p>
    <w:p w14:paraId="3B7DEA5E">
      <w:pPr>
        <w:spacing w:before="145" w:line="353" w:lineRule="auto"/>
        <w:ind w:left="18" w:right="159"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实施爆破作业， 在放射、毒害性环境中施工（含储存、运输、使用）</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及使用毒害性、</w:t>
      </w:r>
      <w:r>
        <w:rPr>
          <w:rFonts w:ascii="宋体" w:hAnsi="宋体" w:eastAsia="宋体" w:cs="宋体"/>
          <w:color w:val="auto"/>
          <w:sz w:val="21"/>
          <w:szCs w:val="21"/>
          <w:highlight w:val="none"/>
        </w:rPr>
        <w:t xml:space="preserve"> 腐蚀性物品施工时，承包人应在施工前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63"/>
          <w:w w:val="101"/>
          <w:sz w:val="21"/>
          <w:szCs w:val="21"/>
          <w:highlight w:val="none"/>
        </w:rPr>
        <w:t xml:space="preserve"> </w:t>
      </w:r>
      <w:r>
        <w:rPr>
          <w:rFonts w:ascii="宋体" w:hAnsi="宋体" w:eastAsia="宋体" w:cs="宋体"/>
          <w:color w:val="auto"/>
          <w:sz w:val="21"/>
          <w:szCs w:val="21"/>
          <w:highlight w:val="none"/>
        </w:rPr>
        <w:t>天以书面通知发包人和监理人，并报送相应的安</w:t>
      </w:r>
    </w:p>
    <w:p w14:paraId="5DB84CAB">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全防护措施，经发包人认可后实施。</w:t>
      </w:r>
    </w:p>
    <w:p w14:paraId="7AC7DCB1">
      <w:pPr>
        <w:spacing w:before="146" w:line="399" w:lineRule="exact"/>
        <w:ind w:left="45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需单独编制危险性较大分部分项专项工程施工方案的， 及要求进行专家论证的超过一</w:t>
      </w:r>
    </w:p>
    <w:p w14:paraId="6646EBA5">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定规模的危险性较大的分部分项工程， 承包人应及</w:t>
      </w:r>
      <w:r>
        <w:rPr>
          <w:rFonts w:ascii="宋体" w:hAnsi="宋体" w:eastAsia="宋体" w:cs="宋体"/>
          <w:color w:val="auto"/>
          <w:spacing w:val="-5"/>
          <w:sz w:val="21"/>
          <w:szCs w:val="21"/>
          <w:highlight w:val="none"/>
        </w:rPr>
        <w:t>时编制和组织论证。</w:t>
      </w:r>
    </w:p>
    <w:p w14:paraId="3831B978">
      <w:pPr>
        <w:spacing w:before="153"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6.1.4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治安保卫</w:t>
      </w:r>
    </w:p>
    <w:p w14:paraId="06E43622">
      <w:pPr>
        <w:spacing w:before="147" w:line="398"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除专用合同条款另有约定外，发包人应与当地公安部门协商，</w:t>
      </w:r>
      <w:r>
        <w:rPr>
          <w:rFonts w:ascii="宋体" w:hAnsi="宋体" w:eastAsia="宋体" w:cs="宋体"/>
          <w:color w:val="auto"/>
          <w:spacing w:val="2"/>
          <w:position w:val="14"/>
          <w:sz w:val="21"/>
          <w:szCs w:val="21"/>
          <w:highlight w:val="none"/>
        </w:rPr>
        <w:t>在现场建立治安管理机</w:t>
      </w:r>
    </w:p>
    <w:p w14:paraId="4EBFDE5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构或联防组织，统一管理施工场地的治安保卫事</w:t>
      </w:r>
      <w:r>
        <w:rPr>
          <w:rFonts w:ascii="宋体" w:hAnsi="宋体" w:eastAsia="宋体" w:cs="宋体"/>
          <w:color w:val="auto"/>
          <w:spacing w:val="-3"/>
          <w:sz w:val="21"/>
          <w:szCs w:val="21"/>
          <w:highlight w:val="none"/>
        </w:rPr>
        <w:t>项，</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履行合同工程的治安保卫职责。</w:t>
      </w:r>
    </w:p>
    <w:p w14:paraId="6E2A8FE7">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发包人和承包人除应协助现场治安管理机构或联防组织维护施工场地</w:t>
      </w:r>
      <w:r>
        <w:rPr>
          <w:rFonts w:ascii="宋体" w:hAnsi="宋体" w:eastAsia="宋体" w:cs="宋体"/>
          <w:color w:val="auto"/>
          <w:spacing w:val="2"/>
          <w:position w:val="14"/>
          <w:sz w:val="21"/>
          <w:szCs w:val="21"/>
          <w:highlight w:val="none"/>
        </w:rPr>
        <w:t>的社会治安外，</w:t>
      </w:r>
    </w:p>
    <w:p w14:paraId="4021AFD5">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还应做好包括生活区在内的各自管辖区的治安保卫工作。</w:t>
      </w:r>
    </w:p>
    <w:p w14:paraId="1A28D281">
      <w:pPr>
        <w:spacing w:before="149" w:line="403" w:lineRule="exact"/>
        <w:ind w:left="45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 xml:space="preserve">除专用合同条款另有约定外，发包人和承包人应在工程开工后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天内共同编制施工场</w:t>
      </w:r>
    </w:p>
    <w:p w14:paraId="4E125DA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地治安管理计划， 并制定应对突发治安事件的紧急预案。在工程施工过程中，发生暴乱、</w:t>
      </w:r>
    </w:p>
    <w:p w14:paraId="0B2A75DD">
      <w:pPr>
        <w:spacing w:before="147" w:line="353"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爆炸等恐怖事件， 以及群殴、械斗等群体性突发</w:t>
      </w:r>
      <w:r>
        <w:rPr>
          <w:rFonts w:ascii="宋体" w:hAnsi="宋体" w:eastAsia="宋体" w:cs="宋体"/>
          <w:color w:val="auto"/>
          <w:spacing w:val="-1"/>
          <w:sz w:val="21"/>
          <w:szCs w:val="21"/>
          <w:highlight w:val="none"/>
        </w:rPr>
        <w:t xml:space="preserve">治安事件的，发包人和承包人应立即向当  </w:t>
      </w:r>
      <w:r>
        <w:rPr>
          <w:rFonts w:ascii="宋体" w:hAnsi="宋体" w:eastAsia="宋体" w:cs="宋体"/>
          <w:color w:val="auto"/>
          <w:spacing w:val="2"/>
          <w:sz w:val="21"/>
          <w:szCs w:val="21"/>
          <w:highlight w:val="none"/>
        </w:rPr>
        <w:t>地政府报告。发包人和承包人应积极协助当地有关部门采</w:t>
      </w:r>
      <w:r>
        <w:rPr>
          <w:rFonts w:ascii="宋体" w:hAnsi="宋体" w:eastAsia="宋体" w:cs="宋体"/>
          <w:color w:val="auto"/>
          <w:spacing w:val="1"/>
          <w:sz w:val="21"/>
          <w:szCs w:val="21"/>
          <w:highlight w:val="none"/>
        </w:rPr>
        <w:t>取措施平息事态，防止事态扩大，</w:t>
      </w:r>
    </w:p>
    <w:p w14:paraId="0CEC0EDC">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尽量避免人员伤亡和财产损失。</w:t>
      </w:r>
    </w:p>
    <w:p w14:paraId="65AD7E49">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6.1.5 </w:t>
      </w:r>
      <w:r>
        <w:rPr>
          <w:rFonts w:ascii="宋体" w:hAnsi="宋体" w:eastAsia="宋体" w:cs="宋体"/>
          <w:color w:val="auto"/>
          <w:spacing w:val="-1"/>
          <w:sz w:val="21"/>
          <w:szCs w:val="21"/>
          <w:highlight w:val="none"/>
        </w:rPr>
        <w:t>文明施工</w:t>
      </w:r>
    </w:p>
    <w:p w14:paraId="62304CEB">
      <w:pPr>
        <w:spacing w:before="148" w:line="352" w:lineRule="auto"/>
        <w:ind w:left="18" w:right="158"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承包人在工程施工期间，应当采取措施保持施工现场平整， 物料堆放整齐。工程所在</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 xml:space="preserve">地有关政府行政管理部门有特殊要求的， 按照其要求执行。 </w:t>
      </w:r>
      <w:r>
        <w:rPr>
          <w:rFonts w:ascii="宋体" w:hAnsi="宋体" w:eastAsia="宋体" w:cs="宋体"/>
          <w:color w:val="auto"/>
          <w:spacing w:val="-3"/>
          <w:sz w:val="21"/>
          <w:szCs w:val="21"/>
          <w:highlight w:val="none"/>
        </w:rPr>
        <w:t>合同当事人对文明施工有其他</w:t>
      </w:r>
    </w:p>
    <w:p w14:paraId="32A9932A">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要求的，可以在专用合同条款中明确。</w:t>
      </w:r>
    </w:p>
    <w:p w14:paraId="02AC16BD">
      <w:pPr>
        <w:spacing w:line="220" w:lineRule="auto"/>
        <w:rPr>
          <w:rFonts w:ascii="宋体" w:hAnsi="宋体" w:eastAsia="宋体" w:cs="宋体"/>
          <w:color w:val="auto"/>
          <w:sz w:val="21"/>
          <w:szCs w:val="21"/>
          <w:highlight w:val="none"/>
        </w:rPr>
        <w:sectPr>
          <w:footerReference r:id="rId117" w:type="default"/>
          <w:pgSz w:w="11905" w:h="16839"/>
          <w:pgMar w:top="1431" w:right="1633" w:bottom="1004" w:left="1785" w:header="0" w:footer="828" w:gutter="0"/>
          <w:pgNumType w:fmt="decimal"/>
          <w:cols w:space="720" w:num="1"/>
        </w:sectPr>
      </w:pPr>
    </w:p>
    <w:p w14:paraId="59F273DD">
      <w:pPr>
        <w:spacing w:before="150" w:line="352" w:lineRule="auto"/>
        <w:ind w:left="19" w:right="6"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在工程移交之前，承包人应当从施工现场清除承包人的全部工程设备、多余材料、垃 圾和各种临时工程，并保持施工现场清洁整齐。经发包人书面同意，承包人</w:t>
      </w:r>
      <w:r>
        <w:rPr>
          <w:rFonts w:ascii="宋体" w:hAnsi="宋体" w:eastAsia="宋体" w:cs="宋体"/>
          <w:color w:val="auto"/>
          <w:spacing w:val="2"/>
          <w:sz w:val="21"/>
          <w:szCs w:val="21"/>
          <w:highlight w:val="none"/>
        </w:rPr>
        <w:t>可在发包人指</w:t>
      </w:r>
    </w:p>
    <w:p w14:paraId="34B67593">
      <w:pPr>
        <w:spacing w:line="219"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定的地点保留承包人履行保修期内的各项义务所需要的材料、</w:t>
      </w:r>
      <w:r>
        <w:rPr>
          <w:rFonts w:ascii="宋体" w:hAnsi="宋体" w:eastAsia="宋体" w:cs="宋体"/>
          <w:color w:val="auto"/>
          <w:spacing w:val="-1"/>
          <w:sz w:val="21"/>
          <w:szCs w:val="21"/>
          <w:highlight w:val="none"/>
        </w:rPr>
        <w:t>施工设备和临时工程。</w:t>
      </w:r>
    </w:p>
    <w:p w14:paraId="25AB5382">
      <w:pPr>
        <w:spacing w:before="148"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6.1.6 </w:t>
      </w:r>
      <w:r>
        <w:rPr>
          <w:rFonts w:ascii="宋体" w:hAnsi="宋体" w:eastAsia="宋体" w:cs="宋体"/>
          <w:color w:val="auto"/>
          <w:spacing w:val="-1"/>
          <w:sz w:val="21"/>
          <w:szCs w:val="21"/>
          <w:highlight w:val="none"/>
        </w:rPr>
        <w:t>安全文明施工费</w:t>
      </w:r>
    </w:p>
    <w:p w14:paraId="584CE92B">
      <w:pPr>
        <w:spacing w:before="147"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安全文明施工费由发包人承担， 发包人不得以任何形式扣减该部分费用。因基准日期</w:t>
      </w:r>
    </w:p>
    <w:p w14:paraId="7A5FC174">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后合同所适用的法律或政府有关规定发生变化， 增加的安全</w:t>
      </w:r>
      <w:r>
        <w:rPr>
          <w:rFonts w:ascii="宋体" w:hAnsi="宋体" w:eastAsia="宋体" w:cs="宋体"/>
          <w:color w:val="auto"/>
          <w:spacing w:val="-4"/>
          <w:sz w:val="21"/>
          <w:szCs w:val="21"/>
          <w:highlight w:val="none"/>
        </w:rPr>
        <w:t>文明施工费由发包人承担。</w:t>
      </w:r>
    </w:p>
    <w:p w14:paraId="150171D2">
      <w:pPr>
        <w:spacing w:before="147" w:line="353" w:lineRule="auto"/>
        <w:ind w:left="20" w:right="6"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承包人经发包人同意采取合同约定以外的安全措施所产生的费用，由发包人承担。未 </w:t>
      </w:r>
      <w:r>
        <w:rPr>
          <w:rFonts w:ascii="宋体" w:hAnsi="宋体" w:eastAsia="宋体" w:cs="宋体"/>
          <w:color w:val="auto"/>
          <w:sz w:val="21"/>
          <w:szCs w:val="21"/>
          <w:highlight w:val="none"/>
        </w:rPr>
        <w:t>经发包人同意的， 如果该措施避免了发包人的损失，则发包人在避免损失的额度内承担该</w:t>
      </w:r>
    </w:p>
    <w:p w14:paraId="3B3BED8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措施费。如果该措施避免了承包人的损失，由承包人承担该措施费。</w:t>
      </w:r>
    </w:p>
    <w:p w14:paraId="5506EFB4">
      <w:pPr>
        <w:spacing w:before="146" w:line="352" w:lineRule="auto"/>
        <w:ind w:left="19" w:right="3"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 发包人应在开工后 </w:t>
      </w:r>
      <w:r>
        <w:rPr>
          <w:rFonts w:ascii="Times New Roman" w:hAnsi="Times New Roman" w:eastAsia="Times New Roman" w:cs="Times New Roman"/>
          <w:color w:val="auto"/>
          <w:sz w:val="21"/>
          <w:szCs w:val="21"/>
          <w:highlight w:val="none"/>
        </w:rPr>
        <w:t>28</w:t>
      </w:r>
      <w:r>
        <w:rPr>
          <w:rFonts w:ascii="Times New Roman" w:hAnsi="Times New Roman" w:eastAsia="Times New Roman" w:cs="Times New Roman"/>
          <w:color w:val="auto"/>
          <w:spacing w:val="52"/>
          <w:sz w:val="21"/>
          <w:szCs w:val="21"/>
          <w:highlight w:val="none"/>
        </w:rPr>
        <w:t xml:space="preserve"> </w:t>
      </w:r>
      <w:r>
        <w:rPr>
          <w:rFonts w:ascii="宋体" w:hAnsi="宋体" w:eastAsia="宋体" w:cs="宋体"/>
          <w:color w:val="auto"/>
          <w:sz w:val="21"/>
          <w:szCs w:val="21"/>
          <w:highlight w:val="none"/>
        </w:rPr>
        <w:t xml:space="preserve">天内预付安全文明施工费总额的 </w:t>
      </w:r>
      <w:r>
        <w:rPr>
          <w:rFonts w:ascii="Times New Roman" w:hAnsi="Times New Roman" w:eastAsia="Times New Roman" w:cs="Times New Roman"/>
          <w:color w:val="auto"/>
          <w:spacing w:val="1"/>
          <w:sz w:val="21"/>
          <w:szCs w:val="21"/>
          <w:highlight w:val="none"/>
        </w:rPr>
        <w:t>50%</w:t>
      </w:r>
      <w:r>
        <w:rPr>
          <w:rFonts w:ascii="宋体" w:hAnsi="宋体" w:eastAsia="宋体" w:cs="宋体"/>
          <w:color w:val="auto"/>
          <w:spacing w:val="1"/>
          <w:sz w:val="21"/>
          <w:szCs w:val="21"/>
          <w:highlight w:val="none"/>
        </w:rPr>
        <w:t xml:space="preserve">，其余部分与进度款同期支付。发包人逾期支付安全文明施工费超过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天的，承</w:t>
      </w:r>
      <w:r>
        <w:rPr>
          <w:rFonts w:ascii="宋体" w:hAnsi="宋体" w:eastAsia="宋体" w:cs="宋体"/>
          <w:color w:val="auto"/>
          <w:sz w:val="21"/>
          <w:szCs w:val="21"/>
          <w:highlight w:val="none"/>
        </w:rPr>
        <w:t xml:space="preserve">包人 有权向发包人发出要求预付的催告通知，发包人收到通知后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天内仍未支付的，承包人有</w:t>
      </w:r>
    </w:p>
    <w:p w14:paraId="001C7A1A">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权暂停施工，并按第 </w:t>
      </w:r>
      <w:r>
        <w:rPr>
          <w:rFonts w:ascii="Times New Roman" w:hAnsi="Times New Roman" w:eastAsia="Times New Roman" w:cs="Times New Roman"/>
          <w:color w:val="auto"/>
          <w:spacing w:val="-3"/>
          <w:sz w:val="21"/>
          <w:szCs w:val="21"/>
          <w:highlight w:val="none"/>
        </w:rPr>
        <w:t xml:space="preserve">16.1.1 </w:t>
      </w:r>
      <w:r>
        <w:rPr>
          <w:rFonts w:ascii="宋体" w:hAnsi="宋体" w:eastAsia="宋体" w:cs="宋体"/>
          <w:color w:val="auto"/>
          <w:spacing w:val="-3"/>
          <w:sz w:val="21"/>
          <w:szCs w:val="21"/>
          <w:highlight w:val="none"/>
        </w:rPr>
        <w:t>项〔发包人违约的情形〕执行。</w:t>
      </w:r>
    </w:p>
    <w:p w14:paraId="6DA17622">
      <w:pPr>
        <w:spacing w:before="148" w:line="352" w:lineRule="auto"/>
        <w:ind w:left="19"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承包人对安全文明施工费应专款专用，承包人应在财务账目中单独列项备查，不得挪 </w:t>
      </w:r>
      <w:r>
        <w:rPr>
          <w:rFonts w:ascii="宋体" w:hAnsi="宋体" w:eastAsia="宋体" w:cs="宋体"/>
          <w:color w:val="auto"/>
          <w:spacing w:val="-3"/>
          <w:sz w:val="21"/>
          <w:szCs w:val="21"/>
          <w:highlight w:val="none"/>
        </w:rPr>
        <w:t>作他用，否则发包人有权责令其限期改正；逾期未改</w:t>
      </w:r>
      <w:r>
        <w:rPr>
          <w:rFonts w:ascii="宋体" w:hAnsi="宋体" w:eastAsia="宋体" w:cs="宋体"/>
          <w:color w:val="auto"/>
          <w:spacing w:val="-4"/>
          <w:sz w:val="21"/>
          <w:szCs w:val="21"/>
          <w:highlight w:val="none"/>
        </w:rPr>
        <w:t>正的， 可以责令其暂停施工，</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由此增</w:t>
      </w:r>
    </w:p>
    <w:p w14:paraId="280D43A7">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加的费用和（或）延误的工期由承包人承担。</w:t>
      </w:r>
    </w:p>
    <w:p w14:paraId="073F0751">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6.1.7</w:t>
      </w:r>
      <w:r>
        <w:rPr>
          <w:rFonts w:ascii="Times New Roman" w:hAnsi="Times New Roman" w:eastAsia="Times New Roman" w:cs="Times New Roman"/>
          <w:color w:val="auto"/>
          <w:spacing w:val="17"/>
          <w:sz w:val="21"/>
          <w:szCs w:val="21"/>
          <w:highlight w:val="none"/>
        </w:rPr>
        <w:t xml:space="preserve"> </w:t>
      </w:r>
      <w:r>
        <w:rPr>
          <w:rFonts w:ascii="宋体" w:hAnsi="宋体" w:eastAsia="宋体" w:cs="宋体"/>
          <w:color w:val="auto"/>
          <w:spacing w:val="-2"/>
          <w:sz w:val="21"/>
          <w:szCs w:val="21"/>
          <w:highlight w:val="none"/>
        </w:rPr>
        <w:t>紧急情况处理</w:t>
      </w:r>
    </w:p>
    <w:p w14:paraId="7B90294C">
      <w:pPr>
        <w:spacing w:before="153" w:line="350" w:lineRule="auto"/>
        <w:ind w:left="20" w:right="6"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在工程实施期间或缺陷责任期内发生危及工程安全的事件， 监理人通知承包人进行抢</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救，承包人声明无能力或不愿立即执行的，发包人有权雇佣其他人员进行</w:t>
      </w:r>
      <w:r>
        <w:rPr>
          <w:rFonts w:ascii="宋体" w:hAnsi="宋体" w:eastAsia="宋体" w:cs="宋体"/>
          <w:color w:val="auto"/>
          <w:spacing w:val="2"/>
          <w:sz w:val="21"/>
          <w:szCs w:val="21"/>
          <w:highlight w:val="none"/>
        </w:rPr>
        <w:t>抢救。此类抢救</w:t>
      </w:r>
    </w:p>
    <w:p w14:paraId="2C1680D4">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按合同约定属于承包人义务的，由此增加的费用和（或）延误的工期</w:t>
      </w:r>
      <w:r>
        <w:rPr>
          <w:rFonts w:ascii="宋体" w:hAnsi="宋体" w:eastAsia="宋体" w:cs="宋体"/>
          <w:color w:val="auto"/>
          <w:spacing w:val="-1"/>
          <w:sz w:val="21"/>
          <w:szCs w:val="21"/>
          <w:highlight w:val="none"/>
        </w:rPr>
        <w:t>由承包人承担。</w:t>
      </w:r>
    </w:p>
    <w:p w14:paraId="09149F03">
      <w:pPr>
        <w:spacing w:before="153"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6.1.8 </w:t>
      </w:r>
      <w:r>
        <w:rPr>
          <w:rFonts w:ascii="宋体" w:hAnsi="宋体" w:eastAsia="宋体" w:cs="宋体"/>
          <w:color w:val="auto"/>
          <w:spacing w:val="-1"/>
          <w:sz w:val="21"/>
          <w:szCs w:val="21"/>
          <w:highlight w:val="none"/>
        </w:rPr>
        <w:t>事故处理</w:t>
      </w:r>
    </w:p>
    <w:p w14:paraId="15BC5FB0">
      <w:pPr>
        <w:spacing w:before="149" w:line="351" w:lineRule="auto"/>
        <w:ind w:left="21" w:right="11"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工程施工过程中发生事故的，承包人应立即通知监理人，监理人应立即通知发包人。</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发包人和承包人应立即组织人员和设备进行紧急抢救和</w:t>
      </w:r>
      <w:r>
        <w:rPr>
          <w:rFonts w:ascii="宋体" w:hAnsi="宋体" w:eastAsia="宋体" w:cs="宋体"/>
          <w:color w:val="auto"/>
          <w:spacing w:val="2"/>
          <w:sz w:val="21"/>
          <w:szCs w:val="21"/>
          <w:highlight w:val="none"/>
        </w:rPr>
        <w:t>抢修，减少人员伤亡和财产损失，</w:t>
      </w:r>
      <w:r>
        <w:rPr>
          <w:rFonts w:ascii="宋体" w:hAnsi="宋体" w:eastAsia="宋体" w:cs="宋体"/>
          <w:color w:val="auto"/>
          <w:sz w:val="21"/>
          <w:szCs w:val="21"/>
          <w:highlight w:val="none"/>
        </w:rPr>
        <w:t xml:space="preserve"> 防止事故扩大，并保护事故现场。需要移动现场物品时，应作出标记和书面记录， 妥善保</w:t>
      </w:r>
      <w:r>
        <w:rPr>
          <w:rFonts w:ascii="宋体" w:hAnsi="宋体" w:eastAsia="宋体" w:cs="宋体"/>
          <w:color w:val="auto"/>
          <w:spacing w:val="3"/>
          <w:sz w:val="21"/>
          <w:szCs w:val="21"/>
          <w:highlight w:val="none"/>
        </w:rPr>
        <w:t xml:space="preserve"> 管有关证据。发包人和承包人应按国家有关规定，及时如实地向有关</w:t>
      </w:r>
      <w:r>
        <w:rPr>
          <w:rFonts w:ascii="宋体" w:hAnsi="宋体" w:eastAsia="宋体" w:cs="宋体"/>
          <w:color w:val="auto"/>
          <w:spacing w:val="2"/>
          <w:sz w:val="21"/>
          <w:szCs w:val="21"/>
          <w:highlight w:val="none"/>
        </w:rPr>
        <w:t>部门报告事故发生的</w:t>
      </w:r>
    </w:p>
    <w:p w14:paraId="6E46F0F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情况，以及正在采取的紧急措施等。</w:t>
      </w:r>
    </w:p>
    <w:p w14:paraId="2D90AD6B">
      <w:pPr>
        <w:spacing w:before="152"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6.1.9 </w:t>
      </w:r>
      <w:r>
        <w:rPr>
          <w:rFonts w:ascii="宋体" w:hAnsi="宋体" w:eastAsia="宋体" w:cs="宋体"/>
          <w:color w:val="auto"/>
          <w:spacing w:val="-1"/>
          <w:sz w:val="21"/>
          <w:szCs w:val="21"/>
          <w:highlight w:val="none"/>
        </w:rPr>
        <w:t>安全生产责任</w:t>
      </w:r>
    </w:p>
    <w:p w14:paraId="0283E3E0">
      <w:pPr>
        <w:spacing w:before="147" w:line="221" w:lineRule="auto"/>
        <w:ind w:left="44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"6.1.9.1"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6.1.9.1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发包人的安全责任</w:t>
      </w:r>
    </w:p>
    <w:p w14:paraId="6D0C304F">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发包人应负责赔偿以下各种情况造成的损失：</w:t>
      </w:r>
    </w:p>
    <w:p w14:paraId="0E8BA837">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）工程或工程的任何部分对土地的占用所造成的第三者财产损失；</w:t>
      </w:r>
    </w:p>
    <w:p w14:paraId="51410CFD">
      <w:pPr>
        <w:spacing w:before="148"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）由于发包人原因在施工场地及其毗邻地带造成的第</w:t>
      </w:r>
      <w:r>
        <w:rPr>
          <w:rFonts w:ascii="宋体" w:hAnsi="宋体" w:eastAsia="宋体" w:cs="宋体"/>
          <w:color w:val="auto"/>
          <w:spacing w:val="-1"/>
          <w:position w:val="14"/>
          <w:sz w:val="21"/>
          <w:szCs w:val="21"/>
          <w:highlight w:val="none"/>
        </w:rPr>
        <w:t>三者人身伤亡和财产损失；</w:t>
      </w:r>
    </w:p>
    <w:p w14:paraId="66D5B9E9">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）由于发包人原因对承包人、监理人造成的</w:t>
      </w:r>
      <w:r>
        <w:rPr>
          <w:rFonts w:ascii="宋体" w:hAnsi="宋体" w:eastAsia="宋体" w:cs="宋体"/>
          <w:color w:val="auto"/>
          <w:spacing w:val="-1"/>
          <w:sz w:val="21"/>
          <w:szCs w:val="21"/>
          <w:highlight w:val="none"/>
        </w:rPr>
        <w:t>人员人身伤亡和财产损失；</w:t>
      </w:r>
    </w:p>
    <w:p w14:paraId="31D9162F">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）由于发包人原因造成的发包人自身人员的人身伤害以及财</w:t>
      </w:r>
      <w:r>
        <w:rPr>
          <w:rFonts w:ascii="宋体" w:hAnsi="宋体" w:eastAsia="宋体" w:cs="宋体"/>
          <w:color w:val="auto"/>
          <w:spacing w:val="-2"/>
          <w:sz w:val="21"/>
          <w:szCs w:val="21"/>
          <w:highlight w:val="none"/>
        </w:rPr>
        <w:t>产损失。</w:t>
      </w:r>
    </w:p>
    <w:p w14:paraId="4EAB13B0">
      <w:pPr>
        <w:spacing w:before="147" w:line="221" w:lineRule="auto"/>
        <w:ind w:left="44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"6.1.9.2"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6.1.9.2</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承包人的安全责任</w:t>
      </w:r>
    </w:p>
    <w:p w14:paraId="1F6052E5">
      <w:pPr>
        <w:spacing w:line="221" w:lineRule="auto"/>
        <w:rPr>
          <w:rFonts w:ascii="宋体" w:hAnsi="宋体" w:eastAsia="宋体" w:cs="宋体"/>
          <w:color w:val="auto"/>
          <w:sz w:val="21"/>
          <w:szCs w:val="21"/>
          <w:highlight w:val="none"/>
        </w:rPr>
        <w:sectPr>
          <w:footerReference r:id="rId118" w:type="default"/>
          <w:pgSz w:w="11905" w:h="16839"/>
          <w:pgMar w:top="1431" w:right="1785" w:bottom="1004" w:left="1785" w:header="0" w:footer="828" w:gutter="0"/>
          <w:pgNumType w:fmt="decimal"/>
          <w:cols w:space="720" w:num="1"/>
        </w:sectPr>
      </w:pPr>
    </w:p>
    <w:p w14:paraId="06457046">
      <w:pPr>
        <w:spacing w:before="148" w:line="221" w:lineRule="auto"/>
        <w:ind w:left="46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由于承包人原因在施工场地内及其毗邻地带</w:t>
      </w:r>
      <w:r>
        <w:rPr>
          <w:rFonts w:ascii="宋体" w:hAnsi="宋体" w:eastAsia="宋体" w:cs="宋体"/>
          <w:color w:val="auto"/>
          <w:spacing w:val="2"/>
          <w:sz w:val="21"/>
          <w:szCs w:val="21"/>
          <w:highlight w:val="none"/>
        </w:rPr>
        <w:t>造成的发包人、监理人以及第三者人员伤</w:t>
      </w:r>
    </w:p>
    <w:p w14:paraId="5F21F497">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亡和财产损失，由承包人负责赔偿。</w:t>
      </w:r>
    </w:p>
    <w:p w14:paraId="75998CBB">
      <w:pPr>
        <w:spacing w:before="50" w:line="221" w:lineRule="auto"/>
        <w:ind w:left="18"/>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6.2 职业健康</w:t>
      </w:r>
    </w:p>
    <w:p w14:paraId="18D74DDD">
      <w:pPr>
        <w:spacing w:before="126"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6.2.1</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劳动保护</w:t>
      </w:r>
    </w:p>
    <w:p w14:paraId="22A45B6D">
      <w:pPr>
        <w:spacing w:before="146" w:line="352" w:lineRule="auto"/>
        <w:ind w:left="20"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承包人应按照法律规定安排现场施工人员的劳动和休息时间，保障劳动者的休息时间， 并支付合理的报酬和费用。承包人应依法为其履行合同所雇用的人员办理必要的证件、许  可、保险和注册等，承包人应督促其分包人为分包人所雇用的人员办理必要的证件、许可、</w:t>
      </w:r>
    </w:p>
    <w:p w14:paraId="26EB285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保险和注册等。</w:t>
      </w:r>
    </w:p>
    <w:p w14:paraId="79152EFB">
      <w:pPr>
        <w:spacing w:before="146" w:line="352" w:lineRule="auto"/>
        <w:ind w:left="21" w:right="174"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承包人应按照法律规定保障现场施工人员的劳动安全</w:t>
      </w:r>
      <w:r>
        <w:rPr>
          <w:rFonts w:ascii="宋体" w:hAnsi="宋体" w:eastAsia="宋体" w:cs="宋体"/>
          <w:color w:val="auto"/>
          <w:spacing w:val="1"/>
          <w:sz w:val="21"/>
          <w:szCs w:val="21"/>
          <w:highlight w:val="none"/>
        </w:rPr>
        <w:t>，并提供劳动保护</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并应按国家有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关劳动保护的规定，采取有效的防止粉尘、降低噪声、控制有害气体和保障高温、高寒、</w:t>
      </w:r>
      <w:r>
        <w:rPr>
          <w:rFonts w:ascii="宋体" w:hAnsi="宋体" w:eastAsia="宋体" w:cs="宋体"/>
          <w:color w:val="auto"/>
          <w:sz w:val="21"/>
          <w:szCs w:val="21"/>
          <w:highlight w:val="none"/>
        </w:rPr>
        <w:t xml:space="preserve"> 高空作业安全等劳动保护措施。承包人雇佣人员在施工中受到伤害的， 承包人应立即采取</w:t>
      </w:r>
    </w:p>
    <w:p w14:paraId="34BB9BB5">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有效措施进行抢救和治疗。</w:t>
      </w:r>
    </w:p>
    <w:p w14:paraId="74A296DB">
      <w:pPr>
        <w:spacing w:before="153" w:line="350" w:lineRule="auto"/>
        <w:ind w:left="17" w:right="173"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承包人应按法律规定安排工作时间， 保证其雇佣人员享有休息和休假的权利。因工程</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施工的特殊需要占用休假日或延长工作时间的，应不超过法律规定的限度， 并按法律规定</w:t>
      </w:r>
    </w:p>
    <w:p w14:paraId="4B67EE4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给予补休或付酬。</w:t>
      </w:r>
    </w:p>
    <w:p w14:paraId="7AB26663">
      <w:pPr>
        <w:spacing w:before="152"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6.2.2 </w:t>
      </w:r>
      <w:r>
        <w:rPr>
          <w:rFonts w:ascii="宋体" w:hAnsi="宋体" w:eastAsia="宋体" w:cs="宋体"/>
          <w:color w:val="auto"/>
          <w:spacing w:val="-1"/>
          <w:sz w:val="21"/>
          <w:szCs w:val="21"/>
          <w:highlight w:val="none"/>
        </w:rPr>
        <w:t>生活条件</w:t>
      </w:r>
    </w:p>
    <w:p w14:paraId="1B9D0E09">
      <w:pPr>
        <w:spacing w:before="148" w:line="352"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承包人应为其履行合同所雇用的人员提供必要的膳宿条件和生活环境；承包人应采取 </w:t>
      </w:r>
      <w:r>
        <w:rPr>
          <w:rFonts w:ascii="宋体" w:hAnsi="宋体" w:eastAsia="宋体" w:cs="宋体"/>
          <w:color w:val="auto"/>
          <w:spacing w:val="-2"/>
          <w:sz w:val="21"/>
          <w:szCs w:val="21"/>
          <w:highlight w:val="none"/>
        </w:rPr>
        <w:t>有效措施预防传染病， 保证施工人员的健康， 并定</w:t>
      </w:r>
      <w:r>
        <w:rPr>
          <w:rFonts w:ascii="宋体" w:hAnsi="宋体" w:eastAsia="宋体" w:cs="宋体"/>
          <w:color w:val="auto"/>
          <w:spacing w:val="-3"/>
          <w:sz w:val="21"/>
          <w:szCs w:val="21"/>
          <w:highlight w:val="none"/>
        </w:rPr>
        <w:t>期对施工现场、施工人员生活基地和工</w:t>
      </w:r>
    </w:p>
    <w:p w14:paraId="2746EBD2">
      <w:pPr>
        <w:spacing w:before="1" w:line="213"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程进行防疫和卫生的专业检查和处理</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4"/>
          <w:sz w:val="21"/>
          <w:szCs w:val="21"/>
          <w:highlight w:val="none"/>
        </w:rPr>
        <w:t>在远离城镇的施工场地，</w:t>
      </w:r>
      <w:r>
        <w:rPr>
          <w:rFonts w:ascii="宋体" w:hAnsi="宋体" w:eastAsia="宋体" w:cs="宋体"/>
          <w:color w:val="auto"/>
          <w:spacing w:val="50"/>
          <w:sz w:val="21"/>
          <w:szCs w:val="21"/>
          <w:highlight w:val="none"/>
        </w:rPr>
        <w:t xml:space="preserve"> </w:t>
      </w:r>
      <w:r>
        <w:rPr>
          <w:rFonts w:ascii="宋体" w:hAnsi="宋体" w:eastAsia="宋体" w:cs="宋体"/>
          <w:color w:val="auto"/>
          <w:spacing w:val="-4"/>
          <w:sz w:val="21"/>
          <w:szCs w:val="21"/>
          <w:highlight w:val="none"/>
        </w:rPr>
        <w:t>还应配备必要的伤病防</w:t>
      </w:r>
      <w:r>
        <w:rPr>
          <w:rFonts w:ascii="宋体" w:hAnsi="宋体" w:eastAsia="宋体" w:cs="宋体"/>
          <w:color w:val="auto"/>
          <w:spacing w:val="-5"/>
          <w:sz w:val="21"/>
          <w:szCs w:val="21"/>
          <w:highlight w:val="none"/>
        </w:rPr>
        <w:t>治和</w:t>
      </w:r>
    </w:p>
    <w:p w14:paraId="270A81B4">
      <w:pPr>
        <w:spacing w:before="155" w:line="221" w:lineRule="auto"/>
        <w:ind w:left="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急救的医务人员与医疗设施。</w:t>
      </w:r>
    </w:p>
    <w:p w14:paraId="1658B7D1">
      <w:pPr>
        <w:spacing w:before="46" w:line="219" w:lineRule="auto"/>
        <w:ind w:left="18"/>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6.3 环境保护</w:t>
      </w:r>
    </w:p>
    <w:p w14:paraId="07E9DBF9">
      <w:pPr>
        <w:spacing w:before="130" w:line="352" w:lineRule="auto"/>
        <w:ind w:left="20" w:right="174" w:firstLine="420"/>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承包人应在施工组织设计中列明环境保护的具体措施。在合同履行期间，承包人应采 取合理措施保护施工现场环境。对施工作业过程中可能引起的大气、水</w:t>
      </w:r>
      <w:r>
        <w:rPr>
          <w:rFonts w:ascii="宋体" w:hAnsi="宋体" w:eastAsia="宋体" w:cs="宋体"/>
          <w:color w:val="auto"/>
          <w:spacing w:val="2"/>
          <w:sz w:val="21"/>
          <w:szCs w:val="21"/>
          <w:highlight w:val="none"/>
        </w:rPr>
        <w:t>、噪音以及固体废</w:t>
      </w:r>
    </w:p>
    <w:p w14:paraId="0624485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物污染采取具体可行的防范措施。</w:t>
      </w:r>
    </w:p>
    <w:p w14:paraId="4F1BDC41">
      <w:pPr>
        <w:spacing w:before="148" w:line="399"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承包人应当承担因其原因引起的环境污染侵权损害赔偿责任，因上述环境污染引起纠</w:t>
      </w:r>
    </w:p>
    <w:p w14:paraId="712BFBA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纷而导致暂停施工的，由此增加的费用和（或） 延</w:t>
      </w:r>
      <w:r>
        <w:rPr>
          <w:rFonts w:ascii="宋体" w:hAnsi="宋体" w:eastAsia="宋体" w:cs="宋体"/>
          <w:color w:val="auto"/>
          <w:spacing w:val="-4"/>
          <w:sz w:val="21"/>
          <w:szCs w:val="21"/>
          <w:highlight w:val="none"/>
        </w:rPr>
        <w:t>误的工期由承包人承担。</w:t>
      </w:r>
    </w:p>
    <w:p w14:paraId="06E502FA">
      <w:pPr>
        <w:spacing w:before="177" w:line="526" w:lineRule="exact"/>
        <w:ind w:left="23"/>
        <w:rPr>
          <w:rFonts w:ascii="黑体" w:hAnsi="黑体" w:eastAsia="黑体" w:cs="黑体"/>
          <w:color w:val="auto"/>
          <w:sz w:val="32"/>
          <w:szCs w:val="32"/>
          <w:highlight w:val="none"/>
        </w:rPr>
      </w:pPr>
      <w:r>
        <w:rPr>
          <w:rFonts w:ascii="黑体" w:hAnsi="黑体" w:eastAsia="黑体" w:cs="黑体"/>
          <w:color w:val="auto"/>
          <w:spacing w:val="-2"/>
          <w:position w:val="15"/>
          <w:sz w:val="32"/>
          <w:szCs w:val="32"/>
          <w:highlight w:val="none"/>
        </w:rPr>
        <w:t>7.工期和进度</w:t>
      </w:r>
    </w:p>
    <w:p w14:paraId="26C87156">
      <w:pPr>
        <w:spacing w:before="2" w:line="218" w:lineRule="auto"/>
        <w:ind w:left="20"/>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7.1</w:t>
      </w:r>
      <w:r>
        <w:rPr>
          <w:rFonts w:ascii="黑体" w:hAnsi="黑体" w:eastAsia="黑体" w:cs="黑体"/>
          <w:color w:val="auto"/>
          <w:spacing w:val="-54"/>
          <w:sz w:val="24"/>
          <w:szCs w:val="24"/>
          <w:highlight w:val="none"/>
        </w:rPr>
        <w:t xml:space="preserve"> </w:t>
      </w:r>
      <w:r>
        <w:rPr>
          <w:rFonts w:ascii="黑体" w:hAnsi="黑体" w:eastAsia="黑体" w:cs="黑体"/>
          <w:color w:val="auto"/>
          <w:spacing w:val="-2"/>
          <w:sz w:val="24"/>
          <w:szCs w:val="24"/>
          <w:highlight w:val="none"/>
        </w:rPr>
        <w:t>施工组织设计</w:t>
      </w:r>
    </w:p>
    <w:p w14:paraId="121582EA">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7.1.1 </w:t>
      </w:r>
      <w:r>
        <w:rPr>
          <w:rFonts w:ascii="宋体" w:hAnsi="宋体" w:eastAsia="宋体" w:cs="宋体"/>
          <w:color w:val="auto"/>
          <w:spacing w:val="-1"/>
          <w:sz w:val="21"/>
          <w:szCs w:val="21"/>
          <w:highlight w:val="none"/>
        </w:rPr>
        <w:t>施工组织设计的内容</w:t>
      </w:r>
    </w:p>
    <w:p w14:paraId="35DD0003">
      <w:pPr>
        <w:spacing w:before="148" w:line="403" w:lineRule="exact"/>
        <w:ind w:left="44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施工组织设计应包含以下内容：</w:t>
      </w:r>
    </w:p>
    <w:p w14:paraId="5DA6652A">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）施工方案；</w:t>
      </w:r>
    </w:p>
    <w:p w14:paraId="044A50BF">
      <w:pPr>
        <w:spacing w:before="146"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）施工现场平面布置图；</w:t>
      </w:r>
    </w:p>
    <w:p w14:paraId="5579E3F4">
      <w:pPr>
        <w:spacing w:before="148"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宋体" w:hAnsi="宋体" w:eastAsia="宋体" w:cs="宋体"/>
          <w:color w:val="auto"/>
          <w:spacing w:val="-1"/>
          <w:position w:val="14"/>
          <w:sz w:val="21"/>
          <w:szCs w:val="21"/>
          <w:highlight w:val="none"/>
        </w:rPr>
        <w:t>）施工进度计划和保证措施；</w:t>
      </w:r>
    </w:p>
    <w:p w14:paraId="0ABBB6A6">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4</w:t>
      </w:r>
      <w:r>
        <w:rPr>
          <w:rFonts w:ascii="宋体" w:hAnsi="宋体" w:eastAsia="宋体" w:cs="宋体"/>
          <w:color w:val="auto"/>
          <w:spacing w:val="-4"/>
          <w:sz w:val="21"/>
          <w:szCs w:val="21"/>
          <w:highlight w:val="none"/>
        </w:rPr>
        <w:t>）劳动力及材料供应计划；</w:t>
      </w:r>
    </w:p>
    <w:p w14:paraId="09338DED">
      <w:pPr>
        <w:spacing w:line="219" w:lineRule="auto"/>
        <w:rPr>
          <w:rFonts w:ascii="宋体" w:hAnsi="宋体" w:eastAsia="宋体" w:cs="宋体"/>
          <w:color w:val="auto"/>
          <w:sz w:val="21"/>
          <w:szCs w:val="21"/>
          <w:highlight w:val="none"/>
        </w:rPr>
        <w:sectPr>
          <w:footerReference r:id="rId119" w:type="default"/>
          <w:pgSz w:w="11905" w:h="16839"/>
          <w:pgMar w:top="1431" w:right="1617" w:bottom="1004" w:left="1785" w:header="0" w:footer="829" w:gutter="0"/>
          <w:pgNumType w:fmt="decimal"/>
          <w:cols w:space="720" w:num="1"/>
        </w:sectPr>
      </w:pPr>
    </w:p>
    <w:p w14:paraId="5DE886E0">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5</w:t>
      </w:r>
      <w:r>
        <w:rPr>
          <w:rFonts w:ascii="宋体" w:hAnsi="宋体" w:eastAsia="宋体" w:cs="宋体"/>
          <w:color w:val="auto"/>
          <w:spacing w:val="-4"/>
          <w:position w:val="14"/>
          <w:sz w:val="21"/>
          <w:szCs w:val="21"/>
          <w:highlight w:val="none"/>
        </w:rPr>
        <w:t>）施工机械设备的选用；</w:t>
      </w:r>
    </w:p>
    <w:p w14:paraId="5CE4F7BB">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）质量保证体系及措施；</w:t>
      </w:r>
    </w:p>
    <w:p w14:paraId="671DF808">
      <w:pPr>
        <w:spacing w:before="150"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）安全生产、文明施工措施；</w:t>
      </w:r>
    </w:p>
    <w:p w14:paraId="02BA7D3F">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）环境保护、成本控制措施；</w:t>
      </w:r>
    </w:p>
    <w:p w14:paraId="724EA076">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宋体" w:hAnsi="宋体" w:eastAsia="宋体" w:cs="宋体"/>
          <w:color w:val="auto"/>
          <w:spacing w:val="-1"/>
          <w:sz w:val="21"/>
          <w:szCs w:val="21"/>
          <w:highlight w:val="none"/>
        </w:rPr>
        <w:t>）合同当事人约定的其他内容。</w:t>
      </w:r>
    </w:p>
    <w:p w14:paraId="6FEE45DC">
      <w:pPr>
        <w:spacing w:before="152"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7.1.2 </w:t>
      </w:r>
      <w:r>
        <w:rPr>
          <w:rFonts w:ascii="宋体" w:hAnsi="宋体" w:eastAsia="宋体" w:cs="宋体"/>
          <w:color w:val="auto"/>
          <w:spacing w:val="-1"/>
          <w:sz w:val="21"/>
          <w:szCs w:val="21"/>
          <w:highlight w:val="none"/>
        </w:rPr>
        <w:t>施工组织设计的提交和修改</w:t>
      </w:r>
    </w:p>
    <w:p w14:paraId="21123388">
      <w:pPr>
        <w:spacing w:before="148" w:line="352" w:lineRule="auto"/>
        <w:ind w:left="16" w:right="1" w:firstLine="43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承包人应在合同签订后</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宋体" w:hAnsi="宋体" w:eastAsia="宋体" w:cs="宋体"/>
          <w:color w:val="auto"/>
          <w:spacing w:val="-4"/>
          <w:sz w:val="21"/>
          <w:szCs w:val="21"/>
          <w:highlight w:val="none"/>
        </w:rPr>
        <w:t>天内，但至迟不得晚于第</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4"/>
          <w:sz w:val="21"/>
          <w:szCs w:val="21"/>
          <w:highlight w:val="none"/>
        </w:rPr>
        <w:t>7.3.2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 xml:space="preserve">项〔开工通知〕载明的开工日期前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65"/>
          <w:sz w:val="21"/>
          <w:szCs w:val="21"/>
          <w:highlight w:val="none"/>
        </w:rPr>
        <w:t xml:space="preserve"> </w:t>
      </w:r>
      <w:r>
        <w:rPr>
          <w:rFonts w:ascii="宋体" w:hAnsi="宋体" w:eastAsia="宋体" w:cs="宋体"/>
          <w:color w:val="auto"/>
          <w:sz w:val="21"/>
          <w:szCs w:val="21"/>
          <w:highlight w:val="none"/>
        </w:rPr>
        <w:t>天，向监理人提交详细的施工组织设计，并由监理人 报送发包人。 除专用合同条款另有约定外，发包人和监理人应在监理人收到施工组织设计</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 xml:space="preserve">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天内确认或提出修改意见。对发包人和监理人提出的合理意见和要求，承包人应自费</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修改完善。根据工程实际情况需要修改施工组织设计的，承包人应向发包人和监</w:t>
      </w:r>
      <w:r>
        <w:rPr>
          <w:rFonts w:ascii="宋体" w:hAnsi="宋体" w:eastAsia="宋体" w:cs="宋体"/>
          <w:color w:val="auto"/>
          <w:spacing w:val="2"/>
          <w:sz w:val="21"/>
          <w:szCs w:val="21"/>
          <w:highlight w:val="none"/>
        </w:rPr>
        <w:t>理人提交</w:t>
      </w:r>
    </w:p>
    <w:p w14:paraId="770CC61D">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修改后的施工组织设计。</w:t>
      </w:r>
    </w:p>
    <w:p w14:paraId="6C8B1DE9">
      <w:pPr>
        <w:spacing w:before="148"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施工进度计划的编制和修改按照第</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7.2 </w:t>
      </w:r>
      <w:r>
        <w:rPr>
          <w:rFonts w:ascii="宋体" w:hAnsi="宋体" w:eastAsia="宋体" w:cs="宋体"/>
          <w:color w:val="auto"/>
          <w:spacing w:val="-1"/>
          <w:sz w:val="21"/>
          <w:szCs w:val="21"/>
          <w:highlight w:val="none"/>
        </w:rPr>
        <w:t>款〔施工进度计划〕执行。</w:t>
      </w:r>
    </w:p>
    <w:p w14:paraId="57959DAB">
      <w:pPr>
        <w:spacing w:before="46"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7.2 施工进度计划</w:t>
      </w:r>
    </w:p>
    <w:p w14:paraId="214035AC">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7.2.1 </w:t>
      </w:r>
      <w:r>
        <w:rPr>
          <w:rFonts w:ascii="宋体" w:hAnsi="宋体" w:eastAsia="宋体" w:cs="宋体"/>
          <w:color w:val="auto"/>
          <w:spacing w:val="-1"/>
          <w:sz w:val="21"/>
          <w:szCs w:val="21"/>
          <w:highlight w:val="none"/>
        </w:rPr>
        <w:t>施工进度计划的编制</w:t>
      </w:r>
    </w:p>
    <w:p w14:paraId="05B0C767">
      <w:pPr>
        <w:spacing w:before="152" w:line="352" w:lineRule="auto"/>
        <w:ind w:left="17" w:right="2"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承包人应按照第</w:t>
      </w:r>
      <w:r>
        <w:rPr>
          <w:rFonts w:ascii="宋体" w:hAnsi="宋体" w:eastAsia="宋体" w:cs="宋体"/>
          <w:color w:val="auto"/>
          <w:spacing w:val="-58"/>
          <w:sz w:val="21"/>
          <w:szCs w:val="21"/>
          <w:highlight w:val="none"/>
        </w:rPr>
        <w:t xml:space="preserve"> </w:t>
      </w:r>
      <w:r>
        <w:rPr>
          <w:rFonts w:ascii="Times New Roman" w:hAnsi="Times New Roman" w:eastAsia="Times New Roman" w:cs="Times New Roman"/>
          <w:color w:val="auto"/>
          <w:spacing w:val="-3"/>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3"/>
          <w:sz w:val="21"/>
          <w:szCs w:val="21"/>
          <w:highlight w:val="none"/>
        </w:rPr>
        <w:t>款〔施工组织设计〕约定提交详细的施工进度计划， 施</w:t>
      </w:r>
      <w:r>
        <w:rPr>
          <w:rFonts w:ascii="宋体" w:hAnsi="宋体" w:eastAsia="宋体" w:cs="宋体"/>
          <w:color w:val="auto"/>
          <w:spacing w:val="-4"/>
          <w:sz w:val="21"/>
          <w:szCs w:val="21"/>
          <w:highlight w:val="none"/>
        </w:rPr>
        <w:t>工进度计划</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的编制应当符合国家法律规定和一般工程实践惯例，施工进度计划经发包人批准后实施。</w:t>
      </w:r>
      <w:r>
        <w:rPr>
          <w:rFonts w:ascii="宋体" w:hAnsi="宋体" w:eastAsia="宋体" w:cs="宋体"/>
          <w:color w:val="auto"/>
          <w:spacing w:val="3"/>
          <w:sz w:val="21"/>
          <w:szCs w:val="21"/>
          <w:highlight w:val="none"/>
        </w:rPr>
        <w:t xml:space="preserve"> 施工进度计划是控制工程进度的依据，发包人和监理人有权按照施工进度计划</w:t>
      </w:r>
      <w:r>
        <w:rPr>
          <w:rFonts w:ascii="宋体" w:hAnsi="宋体" w:eastAsia="宋体" w:cs="宋体"/>
          <w:color w:val="auto"/>
          <w:spacing w:val="2"/>
          <w:sz w:val="21"/>
          <w:szCs w:val="21"/>
          <w:highlight w:val="none"/>
        </w:rPr>
        <w:t>检查工程进</w:t>
      </w:r>
    </w:p>
    <w:p w14:paraId="543B8437">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度情况。</w:t>
      </w:r>
    </w:p>
    <w:p w14:paraId="61E7FB26">
      <w:pPr>
        <w:spacing w:before="146"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7.2.2 </w:t>
      </w:r>
      <w:r>
        <w:rPr>
          <w:rFonts w:ascii="宋体" w:hAnsi="宋体" w:eastAsia="宋体" w:cs="宋体"/>
          <w:color w:val="auto"/>
          <w:spacing w:val="-1"/>
          <w:sz w:val="21"/>
          <w:szCs w:val="21"/>
          <w:highlight w:val="none"/>
        </w:rPr>
        <w:t>施工进度计划的修订</w:t>
      </w:r>
    </w:p>
    <w:p w14:paraId="2D5EA4C2">
      <w:pPr>
        <w:spacing w:before="147"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施工进度计划不符合合同要求或与工程的实际进度不一致的，承包人应向监理人提交 </w:t>
      </w:r>
      <w:r>
        <w:rPr>
          <w:rFonts w:ascii="宋体" w:hAnsi="宋体" w:eastAsia="宋体" w:cs="宋体"/>
          <w:color w:val="auto"/>
          <w:sz w:val="21"/>
          <w:szCs w:val="21"/>
          <w:highlight w:val="none"/>
        </w:rPr>
        <w:t>修订的施工进度计划， 并附具有关措施和相关资料，由监理人报送发包人。除专用合同条</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 xml:space="preserve">款另有约定外，发包人和监理人应在收到修订的施工进度计划后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天内完成审核和批准或</w:t>
      </w:r>
    </w:p>
    <w:p w14:paraId="510DE13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提出修改意见。发包人和监理人对承包人提交的施工进度计划的确认， 不能减轻或免除承</w:t>
      </w:r>
    </w:p>
    <w:p w14:paraId="48DBE228">
      <w:pPr>
        <w:spacing w:before="151"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包人根据法律规定和合同约定应承担的任何责任或义务。</w:t>
      </w:r>
    </w:p>
    <w:p w14:paraId="712C0799">
      <w:pPr>
        <w:spacing w:before="47" w:line="222" w:lineRule="auto"/>
        <w:ind w:left="20"/>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7.3</w:t>
      </w:r>
      <w:r>
        <w:rPr>
          <w:rFonts w:ascii="黑体" w:hAnsi="黑体" w:eastAsia="黑体" w:cs="黑体"/>
          <w:color w:val="auto"/>
          <w:spacing w:val="15"/>
          <w:sz w:val="24"/>
          <w:szCs w:val="24"/>
          <w:highlight w:val="none"/>
        </w:rPr>
        <w:t xml:space="preserve"> </w:t>
      </w:r>
      <w:r>
        <w:rPr>
          <w:rFonts w:ascii="黑体" w:hAnsi="黑体" w:eastAsia="黑体" w:cs="黑体"/>
          <w:color w:val="auto"/>
          <w:spacing w:val="-4"/>
          <w:sz w:val="24"/>
          <w:szCs w:val="24"/>
          <w:highlight w:val="none"/>
        </w:rPr>
        <w:t>开工</w:t>
      </w:r>
    </w:p>
    <w:p w14:paraId="0E8FEA05">
      <w:pPr>
        <w:spacing w:before="125" w:line="222"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7.3.1 </w:t>
      </w:r>
      <w:r>
        <w:rPr>
          <w:rFonts w:ascii="宋体" w:hAnsi="宋体" w:eastAsia="宋体" w:cs="宋体"/>
          <w:color w:val="auto"/>
          <w:spacing w:val="-1"/>
          <w:sz w:val="21"/>
          <w:szCs w:val="21"/>
          <w:highlight w:val="none"/>
        </w:rPr>
        <w:t>开工准备</w:t>
      </w:r>
    </w:p>
    <w:p w14:paraId="04F5EAA1">
      <w:pPr>
        <w:spacing w:before="145" w:line="352" w:lineRule="auto"/>
        <w:ind w:left="19" w:right="11" w:firstLine="4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承包人应按照第</w:t>
      </w:r>
      <w:r>
        <w:rPr>
          <w:rFonts w:ascii="宋体" w:hAnsi="宋体" w:eastAsia="宋体" w:cs="宋体"/>
          <w:color w:val="auto"/>
          <w:spacing w:val="-56"/>
          <w:sz w:val="21"/>
          <w:szCs w:val="21"/>
          <w:highlight w:val="none"/>
        </w:rPr>
        <w:t xml:space="preserve"> </w:t>
      </w:r>
      <w:r>
        <w:rPr>
          <w:rFonts w:ascii="Times New Roman" w:hAnsi="Times New Roman" w:eastAsia="Times New Roman" w:cs="Times New Roman"/>
          <w:color w:val="auto"/>
          <w:spacing w:val="-4"/>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款〔施工组织设计〕约定的期限，向</w:t>
      </w:r>
      <w:r>
        <w:rPr>
          <w:rFonts w:ascii="宋体" w:hAnsi="宋体" w:eastAsia="宋体" w:cs="宋体"/>
          <w:color w:val="auto"/>
          <w:sz w:val="21"/>
          <w:szCs w:val="21"/>
          <w:highlight w:val="none"/>
        </w:rPr>
        <w:t xml:space="preserve"> 监理人提交工程开工报审表， 经监理人报发包人批准后执行。开工报审表应详细说明按施</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工进度计划正常施工所需的施工道路、临时设施、材料、工程设备、施工设</w:t>
      </w:r>
      <w:r>
        <w:rPr>
          <w:rFonts w:ascii="宋体" w:hAnsi="宋体" w:eastAsia="宋体" w:cs="宋体"/>
          <w:color w:val="auto"/>
          <w:spacing w:val="2"/>
          <w:sz w:val="21"/>
          <w:szCs w:val="21"/>
          <w:highlight w:val="none"/>
        </w:rPr>
        <w:t>备、施工人员</w:t>
      </w:r>
    </w:p>
    <w:p w14:paraId="190030E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等落实情况以及工程的进度安排。</w:t>
      </w:r>
    </w:p>
    <w:p w14:paraId="691A1CCE">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合同当事人应按约定完成开工准备工作。</w:t>
      </w:r>
    </w:p>
    <w:p w14:paraId="23372E11">
      <w:pPr>
        <w:spacing w:before="152" w:line="222"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7.3.2 </w:t>
      </w:r>
      <w:r>
        <w:rPr>
          <w:rFonts w:ascii="宋体" w:hAnsi="宋体" w:eastAsia="宋体" w:cs="宋体"/>
          <w:color w:val="auto"/>
          <w:spacing w:val="-1"/>
          <w:sz w:val="21"/>
          <w:szCs w:val="21"/>
          <w:highlight w:val="none"/>
        </w:rPr>
        <w:t>开工通知</w:t>
      </w:r>
    </w:p>
    <w:p w14:paraId="5B0AE88B">
      <w:pPr>
        <w:spacing w:before="146"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发包人应按照法律规定获得工程施工所需的许可。经发包人同意后， 监理人发出的开</w:t>
      </w:r>
    </w:p>
    <w:p w14:paraId="7C6B887B">
      <w:pPr>
        <w:spacing w:line="220" w:lineRule="auto"/>
        <w:ind w:right="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工通知应符合法律规定。监理人应在计划开</w:t>
      </w:r>
      <w:r>
        <w:rPr>
          <w:rFonts w:ascii="宋体" w:hAnsi="宋体" w:eastAsia="宋体" w:cs="宋体"/>
          <w:color w:val="auto"/>
          <w:sz w:val="21"/>
          <w:szCs w:val="21"/>
          <w:highlight w:val="none"/>
        </w:rPr>
        <w:t xml:space="preserve">工日期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z w:val="21"/>
          <w:szCs w:val="21"/>
          <w:highlight w:val="none"/>
        </w:rPr>
        <w:t>天前向承包人发出开工通知，工期自</w:t>
      </w:r>
    </w:p>
    <w:p w14:paraId="49CC7086">
      <w:pPr>
        <w:spacing w:line="220" w:lineRule="auto"/>
        <w:rPr>
          <w:rFonts w:ascii="宋体" w:hAnsi="宋体" w:eastAsia="宋体" w:cs="宋体"/>
          <w:color w:val="auto"/>
          <w:sz w:val="21"/>
          <w:szCs w:val="21"/>
          <w:highlight w:val="none"/>
        </w:rPr>
        <w:sectPr>
          <w:footerReference r:id="rId120" w:type="default"/>
          <w:pgSz w:w="11905" w:h="16839"/>
          <w:pgMar w:top="1431" w:right="1785" w:bottom="1004" w:left="1785" w:header="0" w:footer="829" w:gutter="0"/>
          <w:pgNumType w:fmt="decimal"/>
          <w:cols w:space="720" w:num="1"/>
        </w:sectPr>
      </w:pPr>
    </w:p>
    <w:p w14:paraId="3DE9E4FF">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开工通知中载明的开工日期起算。</w:t>
      </w:r>
    </w:p>
    <w:p w14:paraId="6ACE5CD3">
      <w:pPr>
        <w:spacing w:before="147" w:line="403" w:lineRule="exact"/>
        <w:ind w:left="453"/>
        <w:rPr>
          <w:rFonts w:ascii="Times New Roman" w:hAnsi="Times New Roman" w:eastAsia="Times New Roman" w:cs="Times New Roman"/>
          <w:color w:val="auto"/>
          <w:sz w:val="21"/>
          <w:szCs w:val="21"/>
          <w:highlight w:val="none"/>
        </w:rPr>
      </w:pPr>
      <w:r>
        <w:rPr>
          <w:rFonts w:ascii="宋体" w:hAnsi="宋体" w:eastAsia="宋体" w:cs="宋体"/>
          <w:color w:val="auto"/>
          <w:position w:val="14"/>
          <w:sz w:val="21"/>
          <w:szCs w:val="21"/>
          <w:highlight w:val="none"/>
        </w:rPr>
        <w:t xml:space="preserve">除专用合同条款另有约定外，因发包人原因造成监理人未能在计划开工日期之日起 </w:t>
      </w:r>
      <w:r>
        <w:rPr>
          <w:rFonts w:ascii="Times New Roman" w:hAnsi="Times New Roman" w:eastAsia="Times New Roman" w:cs="Times New Roman"/>
          <w:color w:val="auto"/>
          <w:position w:val="14"/>
          <w:sz w:val="21"/>
          <w:szCs w:val="21"/>
          <w:highlight w:val="none"/>
        </w:rPr>
        <w:t>90</w:t>
      </w:r>
    </w:p>
    <w:p w14:paraId="29194900">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天内发出开工通知的， 承包人有权提出价格调整要求，</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或者解除合</w:t>
      </w:r>
      <w:r>
        <w:rPr>
          <w:rFonts w:ascii="宋体" w:hAnsi="宋体" w:eastAsia="宋体" w:cs="宋体"/>
          <w:color w:val="auto"/>
          <w:spacing w:val="-4"/>
          <w:sz w:val="21"/>
          <w:szCs w:val="21"/>
          <w:highlight w:val="none"/>
        </w:rPr>
        <w:t>同。发包人应当承担由</w:t>
      </w:r>
    </w:p>
    <w:p w14:paraId="5938B759">
      <w:pPr>
        <w:spacing w:before="149"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此增加的费用和（或）延误的工期，并向承包人支付合理</w:t>
      </w:r>
      <w:r>
        <w:rPr>
          <w:rFonts w:ascii="宋体" w:hAnsi="宋体" w:eastAsia="宋体" w:cs="宋体"/>
          <w:color w:val="auto"/>
          <w:spacing w:val="-2"/>
          <w:sz w:val="21"/>
          <w:szCs w:val="21"/>
          <w:highlight w:val="none"/>
        </w:rPr>
        <w:t>利润。</w:t>
      </w:r>
    </w:p>
    <w:p w14:paraId="72E68327">
      <w:pPr>
        <w:spacing w:before="45" w:line="217" w:lineRule="auto"/>
        <w:ind w:left="2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7.4</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测量放线</w:t>
      </w:r>
    </w:p>
    <w:p w14:paraId="7A4F87E3">
      <w:pPr>
        <w:spacing w:before="131" w:line="352" w:lineRule="auto"/>
        <w:ind w:left="21"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7.4.1 </w:t>
      </w:r>
      <w:r>
        <w:rPr>
          <w:rFonts w:ascii="宋体" w:hAnsi="宋体" w:eastAsia="宋体" w:cs="宋体"/>
          <w:color w:val="auto"/>
          <w:spacing w:val="-1"/>
          <w:sz w:val="21"/>
          <w:szCs w:val="21"/>
          <w:highlight w:val="none"/>
        </w:rPr>
        <w:t>除专用合同条款另有约定外，发包人应在至迟不得晚于第</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7.3.2 </w:t>
      </w:r>
      <w:r>
        <w:rPr>
          <w:rFonts w:ascii="宋体" w:hAnsi="宋体" w:eastAsia="宋体" w:cs="宋体"/>
          <w:color w:val="auto"/>
          <w:spacing w:val="-1"/>
          <w:sz w:val="21"/>
          <w:szCs w:val="21"/>
          <w:highlight w:val="none"/>
        </w:rPr>
        <w:t>项</w:t>
      </w:r>
      <w:r>
        <w:rPr>
          <w:rFonts w:ascii="宋体" w:hAnsi="宋体" w:eastAsia="宋体" w:cs="宋体"/>
          <w:color w:val="auto"/>
          <w:spacing w:val="-2"/>
          <w:sz w:val="21"/>
          <w:szCs w:val="21"/>
          <w:highlight w:val="none"/>
        </w:rPr>
        <w:t xml:space="preserve">〔开工通知〕载  </w:t>
      </w:r>
      <w:r>
        <w:rPr>
          <w:rFonts w:ascii="宋体" w:hAnsi="宋体" w:eastAsia="宋体" w:cs="宋体"/>
          <w:color w:val="auto"/>
          <w:sz w:val="21"/>
          <w:szCs w:val="21"/>
          <w:highlight w:val="none"/>
        </w:rPr>
        <w:t xml:space="preserve">明的开工日期前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天通过监理人向承</w:t>
      </w:r>
      <w:r>
        <w:rPr>
          <w:rFonts w:ascii="宋体" w:hAnsi="宋体" w:eastAsia="宋体" w:cs="宋体"/>
          <w:color w:val="auto"/>
          <w:spacing w:val="-1"/>
          <w:sz w:val="21"/>
          <w:szCs w:val="21"/>
          <w:highlight w:val="none"/>
        </w:rPr>
        <w:t>包人提供测量基准点、基准线和水准点及其书面资料。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发包人应对其提供的测量基准点、基准线和水准点及其书面资料的真</w:t>
      </w:r>
      <w:r>
        <w:rPr>
          <w:rFonts w:ascii="宋体" w:hAnsi="宋体" w:eastAsia="宋体" w:cs="宋体"/>
          <w:color w:val="auto"/>
          <w:spacing w:val="2"/>
          <w:sz w:val="21"/>
          <w:szCs w:val="21"/>
          <w:highlight w:val="none"/>
        </w:rPr>
        <w:t>实性、准确性和完整</w:t>
      </w:r>
    </w:p>
    <w:p w14:paraId="28BA74B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性负责。</w:t>
      </w:r>
    </w:p>
    <w:p w14:paraId="116EB29D">
      <w:pPr>
        <w:spacing w:before="153" w:line="350" w:lineRule="auto"/>
        <w:ind w:left="35" w:right="178"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承包人发现发包人提供的测量基准点、基准线和水准点及其书面资料存在错误或疏漏 </w:t>
      </w:r>
      <w:r>
        <w:rPr>
          <w:rFonts w:ascii="宋体" w:hAnsi="宋体" w:eastAsia="宋体" w:cs="宋体"/>
          <w:color w:val="auto"/>
          <w:spacing w:val="2"/>
          <w:sz w:val="21"/>
          <w:szCs w:val="21"/>
          <w:highlight w:val="none"/>
        </w:rPr>
        <w:t>的，应及时通知监理人。监理人应及时报告发包人，并会同发包人和承包人予以核实。发</w:t>
      </w:r>
    </w:p>
    <w:p w14:paraId="3752F73C">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包人应就如何处理和是否继续施工作出决定，并通知监理人和承包人。</w:t>
      </w:r>
    </w:p>
    <w:p w14:paraId="07DACF23">
      <w:pPr>
        <w:spacing w:before="154" w:line="350" w:lineRule="auto"/>
        <w:ind w:left="19" w:right="183" w:firstLine="42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7.4.2</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z w:val="21"/>
          <w:szCs w:val="21"/>
          <w:highlight w:val="none"/>
        </w:rPr>
        <w:t>承包人负责施工过程中的全部施工测量放线工作，并配置具有相应资质</w:t>
      </w:r>
      <w:r>
        <w:rPr>
          <w:rFonts w:ascii="宋体" w:hAnsi="宋体" w:eastAsia="宋体" w:cs="宋体"/>
          <w:color w:val="auto"/>
          <w:spacing w:val="-1"/>
          <w:sz w:val="21"/>
          <w:szCs w:val="21"/>
          <w:highlight w:val="none"/>
        </w:rPr>
        <w:t>的人员、</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合格的仪器、设备和其他物品。承包人应矫正工程的位置、标高、尺寸或准</w:t>
      </w:r>
      <w:r>
        <w:rPr>
          <w:rFonts w:ascii="宋体" w:hAnsi="宋体" w:eastAsia="宋体" w:cs="宋体"/>
          <w:color w:val="auto"/>
          <w:spacing w:val="2"/>
          <w:sz w:val="21"/>
          <w:szCs w:val="21"/>
          <w:highlight w:val="none"/>
        </w:rPr>
        <w:t>线中出现的任</w:t>
      </w:r>
    </w:p>
    <w:p w14:paraId="12C21346">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何差错，并对工程各部分的定位负责。</w:t>
      </w:r>
    </w:p>
    <w:p w14:paraId="5D26271D">
      <w:pPr>
        <w:spacing w:before="152"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施工过程中对施工现场内水准点等测量标志物的保护工作由承包人负责。</w:t>
      </w:r>
    </w:p>
    <w:p w14:paraId="7EF54A11">
      <w:pPr>
        <w:spacing w:before="46"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7.5 工期延误</w:t>
      </w:r>
    </w:p>
    <w:p w14:paraId="7BD3349F">
      <w:pPr>
        <w:spacing w:before="130"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7.5.1</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2"/>
          <w:sz w:val="21"/>
          <w:szCs w:val="21"/>
          <w:highlight w:val="none"/>
        </w:rPr>
        <w:t>因发包人原因导致工期延误</w:t>
      </w:r>
    </w:p>
    <w:p w14:paraId="6EDDE4E7">
      <w:pPr>
        <w:spacing w:before="146" w:line="221"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在合同履行过程中，因下列情况导致工期延误和</w:t>
      </w:r>
      <w:r>
        <w:rPr>
          <w:rFonts w:ascii="宋体" w:hAnsi="宋体" w:eastAsia="宋体" w:cs="宋体"/>
          <w:color w:val="auto"/>
          <w:spacing w:val="-3"/>
          <w:sz w:val="21"/>
          <w:szCs w:val="21"/>
          <w:highlight w:val="none"/>
        </w:rPr>
        <w:t>（或） 费用增加的， 由发包人承担由</w:t>
      </w:r>
    </w:p>
    <w:p w14:paraId="10565F86">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此延误的工期和（或）增加的费用，且发包人应</w:t>
      </w:r>
      <w:r>
        <w:rPr>
          <w:rFonts w:ascii="宋体" w:hAnsi="宋体" w:eastAsia="宋体" w:cs="宋体"/>
          <w:color w:val="auto"/>
          <w:spacing w:val="-2"/>
          <w:sz w:val="21"/>
          <w:szCs w:val="21"/>
          <w:highlight w:val="none"/>
        </w:rPr>
        <w:t>支付承包人合理的利润：</w:t>
      </w:r>
    </w:p>
    <w:p w14:paraId="01C4E301">
      <w:pPr>
        <w:spacing w:before="152"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）发包人未能按合同约定提供图纸或所提供图纸不符合合同约定的；</w:t>
      </w:r>
    </w:p>
    <w:p w14:paraId="2263F171">
      <w:pPr>
        <w:spacing w:before="149"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）发包人未能按合同约定提供施工现场、施工条件、基础资料、许可、</w:t>
      </w:r>
      <w:r>
        <w:rPr>
          <w:rFonts w:ascii="宋体" w:hAnsi="宋体" w:eastAsia="宋体" w:cs="宋体"/>
          <w:color w:val="auto"/>
          <w:spacing w:val="-1"/>
          <w:sz w:val="21"/>
          <w:szCs w:val="21"/>
          <w:highlight w:val="none"/>
        </w:rPr>
        <w:t>批准等开工</w:t>
      </w:r>
    </w:p>
    <w:p w14:paraId="618D380D">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条件的；</w:t>
      </w:r>
    </w:p>
    <w:p w14:paraId="10A6B144">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）发包人提供的测量基准点、基准线和水准点及其书</w:t>
      </w:r>
      <w:r>
        <w:rPr>
          <w:rFonts w:ascii="宋体" w:hAnsi="宋体" w:eastAsia="宋体" w:cs="宋体"/>
          <w:color w:val="auto"/>
          <w:spacing w:val="-1"/>
          <w:position w:val="14"/>
          <w:sz w:val="21"/>
          <w:szCs w:val="21"/>
          <w:highlight w:val="none"/>
        </w:rPr>
        <w:t>面资料存在错误或疏漏的；</w:t>
      </w:r>
    </w:p>
    <w:p w14:paraId="017B1A1A">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）发包人未能在计划开工日期之日起</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天内同意下达开工通知的；</w:t>
      </w:r>
    </w:p>
    <w:p w14:paraId="52CFAA2B">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5</w:t>
      </w:r>
      <w:r>
        <w:rPr>
          <w:rFonts w:ascii="宋体" w:hAnsi="宋体" w:eastAsia="宋体" w:cs="宋体"/>
          <w:color w:val="auto"/>
          <w:spacing w:val="-1"/>
          <w:position w:val="14"/>
          <w:sz w:val="21"/>
          <w:szCs w:val="21"/>
          <w:highlight w:val="none"/>
        </w:rPr>
        <w:t>）发包人未能按合同约定日期支付工程预付款、进度款或竣工结</w:t>
      </w:r>
      <w:r>
        <w:rPr>
          <w:rFonts w:ascii="宋体" w:hAnsi="宋体" w:eastAsia="宋体" w:cs="宋体"/>
          <w:color w:val="auto"/>
          <w:spacing w:val="-2"/>
          <w:position w:val="14"/>
          <w:sz w:val="21"/>
          <w:szCs w:val="21"/>
          <w:highlight w:val="none"/>
        </w:rPr>
        <w:t>算款的；</w:t>
      </w:r>
    </w:p>
    <w:p w14:paraId="39F593EF">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）监理人未按合同约定发出指示、批准等文件的；</w:t>
      </w:r>
    </w:p>
    <w:p w14:paraId="204534C0">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）专用合同条款中约定的其他情形。</w:t>
      </w:r>
    </w:p>
    <w:p w14:paraId="27DA3186">
      <w:pPr>
        <w:spacing w:before="146" w:line="353" w:lineRule="auto"/>
        <w:ind w:left="19" w:right="178"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因发包人原因未按计划开工日期开工的， 发包人应按实际开工日期</w:t>
      </w:r>
      <w:r>
        <w:rPr>
          <w:rFonts w:ascii="宋体" w:hAnsi="宋体" w:eastAsia="宋体" w:cs="宋体"/>
          <w:color w:val="auto"/>
          <w:spacing w:val="-1"/>
          <w:sz w:val="21"/>
          <w:szCs w:val="21"/>
          <w:highlight w:val="none"/>
        </w:rPr>
        <w:t>顺延竣工日期，确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保实际工期不低于合同约定的工期总日历天数。因发包人原因导致工期延误</w:t>
      </w:r>
      <w:r>
        <w:rPr>
          <w:rFonts w:ascii="宋体" w:hAnsi="宋体" w:eastAsia="宋体" w:cs="宋体"/>
          <w:color w:val="auto"/>
          <w:spacing w:val="2"/>
          <w:sz w:val="21"/>
          <w:szCs w:val="21"/>
          <w:highlight w:val="none"/>
        </w:rPr>
        <w:t>需要修订施工</w:t>
      </w:r>
    </w:p>
    <w:p w14:paraId="2D9C4AA1">
      <w:pPr>
        <w:spacing w:before="1" w:line="220"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进度计划的，按照第</w:t>
      </w:r>
      <w:r>
        <w:rPr>
          <w:rFonts w:ascii="宋体" w:hAnsi="宋体" w:eastAsia="宋体" w:cs="宋体"/>
          <w:color w:val="auto"/>
          <w:spacing w:val="-2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7.2.2 </w:t>
      </w:r>
      <w:r>
        <w:rPr>
          <w:rFonts w:ascii="宋体" w:hAnsi="宋体" w:eastAsia="宋体" w:cs="宋体"/>
          <w:color w:val="auto"/>
          <w:spacing w:val="-2"/>
          <w:sz w:val="21"/>
          <w:szCs w:val="21"/>
          <w:highlight w:val="none"/>
        </w:rPr>
        <w:t>项〔施工进度计划的修订〕执行。</w:t>
      </w:r>
    </w:p>
    <w:p w14:paraId="2705250A">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7.5.2</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2"/>
          <w:sz w:val="21"/>
          <w:szCs w:val="21"/>
          <w:highlight w:val="none"/>
        </w:rPr>
        <w:t>因承包人原因导致工期延误</w:t>
      </w:r>
    </w:p>
    <w:p w14:paraId="19939308">
      <w:pPr>
        <w:spacing w:before="153" w:line="350" w:lineRule="auto"/>
        <w:ind w:left="19" w:right="178"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因承包人原因造成工期延误的， 可以在专用合同条款中约定逾期竣</w:t>
      </w:r>
      <w:r>
        <w:rPr>
          <w:rFonts w:ascii="宋体" w:hAnsi="宋体" w:eastAsia="宋体" w:cs="宋体"/>
          <w:color w:val="auto"/>
          <w:spacing w:val="-1"/>
          <w:sz w:val="21"/>
          <w:szCs w:val="21"/>
          <w:highlight w:val="none"/>
        </w:rPr>
        <w:t>工违约金的计算方</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法和逾期竣工违约金的上限。承包人支付逾期竣工违约金后，不免除承包人</w:t>
      </w:r>
      <w:r>
        <w:rPr>
          <w:rFonts w:ascii="宋体" w:hAnsi="宋体" w:eastAsia="宋体" w:cs="宋体"/>
          <w:color w:val="auto"/>
          <w:spacing w:val="2"/>
          <w:sz w:val="21"/>
          <w:szCs w:val="21"/>
          <w:highlight w:val="none"/>
        </w:rPr>
        <w:t>继续完成工程</w:t>
      </w:r>
    </w:p>
    <w:p w14:paraId="1E91A4E5">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及修补缺陷的义务。</w:t>
      </w:r>
    </w:p>
    <w:p w14:paraId="382BE771">
      <w:pPr>
        <w:spacing w:line="220" w:lineRule="auto"/>
        <w:rPr>
          <w:rFonts w:ascii="宋体" w:hAnsi="宋体" w:eastAsia="宋体" w:cs="宋体"/>
          <w:color w:val="auto"/>
          <w:sz w:val="21"/>
          <w:szCs w:val="21"/>
          <w:highlight w:val="none"/>
        </w:rPr>
        <w:sectPr>
          <w:footerReference r:id="rId121" w:type="default"/>
          <w:pgSz w:w="11905" w:h="16839"/>
          <w:pgMar w:top="1431" w:right="1613" w:bottom="1004" w:left="1785" w:header="0" w:footer="828" w:gutter="0"/>
          <w:pgNumType w:fmt="decimal"/>
          <w:cols w:space="720" w:num="1"/>
        </w:sectPr>
      </w:pPr>
    </w:p>
    <w:p w14:paraId="4233CCD2">
      <w:pPr>
        <w:spacing w:before="47"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7.6 不利物质条件</w:t>
      </w:r>
    </w:p>
    <w:p w14:paraId="1E60000A">
      <w:pPr>
        <w:spacing w:before="128" w:line="353" w:lineRule="auto"/>
        <w:ind w:left="19" w:right="180" w:firstLine="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不利物质条件是指有经验的承包人在施工现场遇到的不可预见的自然物质条件、非自</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然的物质障碍和污染物，包括地表以下物质条件和水文条件以及专用合同条</w:t>
      </w:r>
      <w:r>
        <w:rPr>
          <w:rFonts w:ascii="宋体" w:hAnsi="宋体" w:eastAsia="宋体" w:cs="宋体"/>
          <w:color w:val="auto"/>
          <w:spacing w:val="2"/>
          <w:sz w:val="21"/>
          <w:szCs w:val="21"/>
          <w:highlight w:val="none"/>
        </w:rPr>
        <w:t>款约定的其他</w:t>
      </w:r>
    </w:p>
    <w:p w14:paraId="1FE7B68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情形，但不包括气候条件。</w:t>
      </w:r>
    </w:p>
    <w:p w14:paraId="4F3C155D">
      <w:pPr>
        <w:spacing w:before="147"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承包人遇到不利物质条件时，应采取克服不利物质条件的合理措施继续施工，并及时</w:t>
      </w:r>
    </w:p>
    <w:p w14:paraId="7995F10F">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通知发包人和监理人。通知应载明不利物质条件的内容以及承包</w:t>
      </w:r>
      <w:r>
        <w:rPr>
          <w:rFonts w:ascii="宋体" w:hAnsi="宋体" w:eastAsia="宋体" w:cs="宋体"/>
          <w:color w:val="auto"/>
          <w:spacing w:val="2"/>
          <w:sz w:val="21"/>
          <w:szCs w:val="21"/>
          <w:highlight w:val="none"/>
        </w:rPr>
        <w:t>人认为不可预见的理由。</w:t>
      </w:r>
    </w:p>
    <w:p w14:paraId="7851A950">
      <w:pPr>
        <w:spacing w:before="151" w:line="221"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监理人经发包人同意后应当及时发出指示，指示构成变更的，按第 </w:t>
      </w:r>
      <w:r>
        <w:rPr>
          <w:rFonts w:ascii="Times New Roman" w:hAnsi="Times New Roman" w:eastAsia="Times New Roman" w:cs="Times New Roman"/>
          <w:color w:val="auto"/>
          <w:spacing w:val="-2"/>
          <w:sz w:val="21"/>
          <w:szCs w:val="21"/>
          <w:highlight w:val="none"/>
        </w:rPr>
        <w:t xml:space="preserve">10 </w:t>
      </w:r>
      <w:r>
        <w:rPr>
          <w:rFonts w:ascii="宋体" w:hAnsi="宋体" w:eastAsia="宋体" w:cs="宋体"/>
          <w:color w:val="auto"/>
          <w:spacing w:val="-2"/>
          <w:sz w:val="21"/>
          <w:szCs w:val="21"/>
          <w:highlight w:val="none"/>
        </w:rPr>
        <w:t>条〔变更〕约定执行。</w:t>
      </w:r>
    </w:p>
    <w:p w14:paraId="5510B73D">
      <w:pPr>
        <w:spacing w:before="148"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承包人因采取合理措施而增加的费用和（或）延误的工期由发包人承担。</w:t>
      </w:r>
    </w:p>
    <w:p w14:paraId="4957FBC1">
      <w:pPr>
        <w:spacing w:before="47" w:line="218"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7.7 异常恶劣的气候条件</w:t>
      </w:r>
    </w:p>
    <w:p w14:paraId="148CAAC3">
      <w:pPr>
        <w:spacing w:before="131" w:line="352" w:lineRule="auto"/>
        <w:ind w:left="21" w:right="180"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异常恶劣的气候条件是指在施工过程中遇到的， 有经验的承包人在签订合同时不可预</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见的， 对合同履行造成实质性影响的，但尚未构成不可抗力事件的恶劣气候条件。合同当</w:t>
      </w:r>
    </w:p>
    <w:p w14:paraId="44BFDA5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事人可以在专用合同条款中约定异常恶劣的气候条件的</w:t>
      </w:r>
      <w:r>
        <w:rPr>
          <w:rFonts w:ascii="宋体" w:hAnsi="宋体" w:eastAsia="宋体" w:cs="宋体"/>
          <w:color w:val="auto"/>
          <w:spacing w:val="-1"/>
          <w:sz w:val="21"/>
          <w:szCs w:val="21"/>
          <w:highlight w:val="none"/>
        </w:rPr>
        <w:t>具体情形。</w:t>
      </w:r>
    </w:p>
    <w:p w14:paraId="54C2E081">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承包人应采取克服异常恶劣的气候条件的合理措施继续施工，并及时通知发包人和监</w:t>
      </w:r>
    </w:p>
    <w:p w14:paraId="2A61CB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理人。监理人经发包人同意后应当及时发出指示，指示构成变更的，按第 </w:t>
      </w:r>
      <w:r>
        <w:rPr>
          <w:rFonts w:ascii="Times New Roman" w:hAnsi="Times New Roman" w:eastAsia="Times New Roman" w:cs="Times New Roman"/>
          <w:color w:val="auto"/>
          <w:spacing w:val="-1"/>
          <w:sz w:val="21"/>
          <w:szCs w:val="21"/>
          <w:highlight w:val="none"/>
        </w:rPr>
        <w:t xml:space="preserve">10 </w:t>
      </w:r>
      <w:r>
        <w:rPr>
          <w:rFonts w:ascii="宋体" w:hAnsi="宋体" w:eastAsia="宋体" w:cs="宋体"/>
          <w:color w:val="auto"/>
          <w:spacing w:val="-1"/>
          <w:sz w:val="21"/>
          <w:szCs w:val="21"/>
          <w:highlight w:val="none"/>
        </w:rPr>
        <w:t>条〔变更〕约</w:t>
      </w:r>
    </w:p>
    <w:p w14:paraId="6808F0D8">
      <w:pPr>
        <w:spacing w:before="152"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定办理。承包人因采取合理措施而增加的费用和（或）延误的工期由发包人承担。</w:t>
      </w:r>
    </w:p>
    <w:p w14:paraId="153B74D6">
      <w:pPr>
        <w:spacing w:before="47" w:line="220" w:lineRule="auto"/>
        <w:ind w:left="20"/>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7.8</w:t>
      </w:r>
      <w:r>
        <w:rPr>
          <w:rFonts w:ascii="黑体" w:hAnsi="黑体" w:eastAsia="黑体" w:cs="黑体"/>
          <w:color w:val="auto"/>
          <w:spacing w:val="21"/>
          <w:sz w:val="24"/>
          <w:szCs w:val="24"/>
          <w:highlight w:val="none"/>
        </w:rPr>
        <w:t xml:space="preserve"> </w:t>
      </w:r>
      <w:r>
        <w:rPr>
          <w:rFonts w:ascii="黑体" w:hAnsi="黑体" w:eastAsia="黑体" w:cs="黑体"/>
          <w:color w:val="auto"/>
          <w:spacing w:val="-4"/>
          <w:sz w:val="24"/>
          <w:szCs w:val="24"/>
          <w:highlight w:val="none"/>
        </w:rPr>
        <w:t>暂停施工</w:t>
      </w:r>
    </w:p>
    <w:p w14:paraId="5D4F9B0C">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7.8.1 </w:t>
      </w:r>
      <w:r>
        <w:rPr>
          <w:rFonts w:ascii="宋体" w:hAnsi="宋体" w:eastAsia="宋体" w:cs="宋体"/>
          <w:color w:val="auto"/>
          <w:spacing w:val="-1"/>
          <w:sz w:val="21"/>
          <w:szCs w:val="21"/>
          <w:highlight w:val="none"/>
        </w:rPr>
        <w:t>发包人原因引起的暂停施工</w:t>
      </w:r>
    </w:p>
    <w:p w14:paraId="76547EA9">
      <w:pPr>
        <w:spacing w:before="147" w:line="352" w:lineRule="auto"/>
        <w:ind w:left="19" w:right="211" w:firstLine="4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因发包人原因引起暂停施工的， 监理人经发包人同意后，应及时下达暂停施工指示。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 xml:space="preserve">情况紧急且监理人未及时下达暂停施工指示的， </w:t>
      </w:r>
      <w:r>
        <w:rPr>
          <w:rFonts w:ascii="宋体" w:hAnsi="宋体" w:eastAsia="宋体" w:cs="宋体"/>
          <w:color w:val="auto"/>
          <w:spacing w:val="-4"/>
          <w:sz w:val="21"/>
          <w:szCs w:val="21"/>
          <w:highlight w:val="none"/>
        </w:rPr>
        <w:t>按照第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7.8.4 </w:t>
      </w:r>
      <w:r>
        <w:rPr>
          <w:rFonts w:ascii="宋体" w:hAnsi="宋体" w:eastAsia="宋体" w:cs="宋体"/>
          <w:color w:val="auto"/>
          <w:spacing w:val="-4"/>
          <w:sz w:val="21"/>
          <w:szCs w:val="21"/>
          <w:highlight w:val="none"/>
        </w:rPr>
        <w:t>项〔紧急情况下的暂停施工〕</w:t>
      </w:r>
    </w:p>
    <w:p w14:paraId="4BF04590">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执行。</w:t>
      </w:r>
    </w:p>
    <w:p w14:paraId="137ED106">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因发包人原因引起的暂停施工， 发包人应承担由此增</w:t>
      </w:r>
      <w:r>
        <w:rPr>
          <w:rFonts w:ascii="宋体" w:hAnsi="宋体" w:eastAsia="宋体" w:cs="宋体"/>
          <w:color w:val="auto"/>
          <w:spacing w:val="-1"/>
          <w:position w:val="14"/>
          <w:sz w:val="21"/>
          <w:szCs w:val="21"/>
          <w:highlight w:val="none"/>
        </w:rPr>
        <w:t>加的费用和（或）延误的工期，</w:t>
      </w:r>
    </w:p>
    <w:p w14:paraId="111082B8">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并支付承包人合理的利润。</w:t>
      </w:r>
    </w:p>
    <w:p w14:paraId="73CB7F70">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7.8.2 </w:t>
      </w:r>
      <w:r>
        <w:rPr>
          <w:rFonts w:ascii="宋体" w:hAnsi="宋体" w:eastAsia="宋体" w:cs="宋体"/>
          <w:color w:val="auto"/>
          <w:spacing w:val="-1"/>
          <w:sz w:val="21"/>
          <w:szCs w:val="21"/>
          <w:highlight w:val="none"/>
        </w:rPr>
        <w:t>承包人原因引起的暂停施工</w:t>
      </w:r>
    </w:p>
    <w:p w14:paraId="0353C1C7">
      <w:pPr>
        <w:spacing w:before="148" w:line="352" w:lineRule="auto"/>
        <w:ind w:left="18" w:right="180" w:firstLine="439"/>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因承包人原因引起的暂停施工， 承包人应承担由此增</w:t>
      </w:r>
      <w:r>
        <w:rPr>
          <w:rFonts w:ascii="宋体" w:hAnsi="宋体" w:eastAsia="宋体" w:cs="宋体"/>
          <w:color w:val="auto"/>
          <w:spacing w:val="-1"/>
          <w:sz w:val="21"/>
          <w:szCs w:val="21"/>
          <w:highlight w:val="none"/>
        </w:rPr>
        <w:t>加的费用和（或）延误的工期，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且承包人在收到监理人复工指示后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84 </w:t>
      </w:r>
      <w:r>
        <w:rPr>
          <w:rFonts w:ascii="宋体" w:hAnsi="宋体" w:eastAsia="宋体" w:cs="宋体"/>
          <w:color w:val="auto"/>
          <w:spacing w:val="-1"/>
          <w:sz w:val="21"/>
          <w:szCs w:val="21"/>
          <w:highlight w:val="none"/>
        </w:rPr>
        <w:t>天内仍未复工的，视</w:t>
      </w:r>
      <w:r>
        <w:rPr>
          <w:rFonts w:ascii="宋体" w:hAnsi="宋体" w:eastAsia="宋体" w:cs="宋体"/>
          <w:color w:val="auto"/>
          <w:spacing w:val="-2"/>
          <w:sz w:val="21"/>
          <w:szCs w:val="21"/>
          <w:highlight w:val="none"/>
        </w:rPr>
        <w:t xml:space="preserve">为第 </w:t>
      </w:r>
      <w:r>
        <w:rPr>
          <w:rFonts w:ascii="Times New Roman" w:hAnsi="Times New Roman" w:eastAsia="Times New Roman" w:cs="Times New Roman"/>
          <w:color w:val="auto"/>
          <w:spacing w:val="-2"/>
          <w:sz w:val="21"/>
          <w:szCs w:val="21"/>
          <w:highlight w:val="none"/>
        </w:rPr>
        <w:t xml:space="preserve">16.2.1 </w:t>
      </w:r>
      <w:r>
        <w:rPr>
          <w:rFonts w:ascii="宋体" w:hAnsi="宋体" w:eastAsia="宋体" w:cs="宋体"/>
          <w:color w:val="auto"/>
          <w:spacing w:val="-2"/>
          <w:sz w:val="21"/>
          <w:szCs w:val="21"/>
          <w:highlight w:val="none"/>
        </w:rPr>
        <w:t>项〔承包人违约的情</w:t>
      </w:r>
    </w:p>
    <w:p w14:paraId="242BDC6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形〕第（</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目约定的承包人无法继续履行合同的情形。</w:t>
      </w:r>
    </w:p>
    <w:p w14:paraId="79325084">
      <w:pPr>
        <w:spacing w:before="14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7.8.3 </w:t>
      </w:r>
      <w:r>
        <w:rPr>
          <w:rFonts w:ascii="宋体" w:hAnsi="宋体" w:eastAsia="宋体" w:cs="宋体"/>
          <w:color w:val="auto"/>
          <w:spacing w:val="-1"/>
          <w:sz w:val="21"/>
          <w:szCs w:val="21"/>
          <w:highlight w:val="none"/>
        </w:rPr>
        <w:t>指示暂停施工</w:t>
      </w:r>
    </w:p>
    <w:p w14:paraId="42D3ED3D">
      <w:pPr>
        <w:spacing w:before="152" w:line="398"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监理人认为有必要时， 并经发包人批准后，可向承包人作出暂停施工的指示，承包人</w:t>
      </w:r>
    </w:p>
    <w:p w14:paraId="5500FD8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应按监理人指示暂停施工。</w:t>
      </w:r>
    </w:p>
    <w:p w14:paraId="1BCE282D">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7.8.4</w:t>
      </w:r>
      <w:r>
        <w:rPr>
          <w:rFonts w:ascii="Times New Roman" w:hAnsi="Times New Roman" w:eastAsia="Times New Roman" w:cs="Times New Roman"/>
          <w:color w:val="auto"/>
          <w:spacing w:val="26"/>
          <w:w w:val="101"/>
          <w:sz w:val="21"/>
          <w:szCs w:val="21"/>
          <w:highlight w:val="none"/>
        </w:rPr>
        <w:t xml:space="preserve"> </w:t>
      </w:r>
      <w:r>
        <w:rPr>
          <w:rFonts w:ascii="宋体" w:hAnsi="宋体" w:eastAsia="宋体" w:cs="宋体"/>
          <w:color w:val="auto"/>
          <w:spacing w:val="-2"/>
          <w:sz w:val="21"/>
          <w:szCs w:val="21"/>
          <w:highlight w:val="none"/>
        </w:rPr>
        <w:t>紧急情况下的暂停施工</w:t>
      </w:r>
    </w:p>
    <w:p w14:paraId="57C43DB4">
      <w:pPr>
        <w:spacing w:before="151" w:line="352" w:lineRule="auto"/>
        <w:ind w:left="23" w:right="17" w:firstLine="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因紧急情况需暂停施工，且监理人未及时下达暂停施工</w:t>
      </w:r>
      <w:r>
        <w:rPr>
          <w:rFonts w:ascii="宋体" w:hAnsi="宋体" w:eastAsia="宋体" w:cs="宋体"/>
          <w:color w:val="auto"/>
          <w:spacing w:val="-2"/>
          <w:sz w:val="21"/>
          <w:szCs w:val="21"/>
          <w:highlight w:val="none"/>
        </w:rPr>
        <w:t>指示的， 承包人可先暂停施工，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并及时通知监理人。监理人应在接到通知后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小时内发出指示</w:t>
      </w:r>
      <w:r>
        <w:rPr>
          <w:rFonts w:ascii="宋体" w:hAnsi="宋体" w:eastAsia="宋体" w:cs="宋体"/>
          <w:color w:val="auto"/>
          <w:spacing w:val="-2"/>
          <w:sz w:val="21"/>
          <w:szCs w:val="21"/>
          <w:highlight w:val="none"/>
        </w:rPr>
        <w:t xml:space="preserve">，逾期未发出指示，视为同  </w:t>
      </w:r>
      <w:r>
        <w:rPr>
          <w:rFonts w:ascii="宋体" w:hAnsi="宋体" w:eastAsia="宋体" w:cs="宋体"/>
          <w:color w:val="auto"/>
          <w:sz w:val="21"/>
          <w:szCs w:val="21"/>
          <w:highlight w:val="none"/>
        </w:rPr>
        <w:t>意承包人暂停施工。监理人不同意承包人暂停施工的， 应说明理由，承包人对监理人的答</w:t>
      </w:r>
    </w:p>
    <w:p w14:paraId="44FBC7CC">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复有异议， 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6"/>
          <w:sz w:val="21"/>
          <w:szCs w:val="21"/>
          <w:highlight w:val="none"/>
        </w:rPr>
        <w:t xml:space="preserve">20 </w:t>
      </w:r>
      <w:r>
        <w:rPr>
          <w:rFonts w:ascii="宋体" w:hAnsi="宋体" w:eastAsia="宋体" w:cs="宋体"/>
          <w:color w:val="auto"/>
          <w:spacing w:val="-6"/>
          <w:sz w:val="21"/>
          <w:szCs w:val="21"/>
          <w:highlight w:val="none"/>
        </w:rPr>
        <w:t>条〔争议解决〕约定处理。</w:t>
      </w:r>
    </w:p>
    <w:p w14:paraId="72CA90BB">
      <w:pPr>
        <w:spacing w:before="14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7.8.5</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2"/>
          <w:sz w:val="21"/>
          <w:szCs w:val="21"/>
          <w:highlight w:val="none"/>
        </w:rPr>
        <w:t>暂停施工后的复工</w:t>
      </w:r>
    </w:p>
    <w:p w14:paraId="6A2831D1">
      <w:pPr>
        <w:spacing w:line="221" w:lineRule="auto"/>
        <w:rPr>
          <w:rFonts w:ascii="宋体" w:hAnsi="宋体" w:eastAsia="宋体" w:cs="宋体"/>
          <w:color w:val="auto"/>
          <w:sz w:val="21"/>
          <w:szCs w:val="21"/>
          <w:highlight w:val="none"/>
        </w:rPr>
        <w:sectPr>
          <w:footerReference r:id="rId122" w:type="default"/>
          <w:pgSz w:w="11905" w:h="16839"/>
          <w:pgMar w:top="1431" w:right="1611" w:bottom="1004" w:left="1785" w:header="0" w:footer="829" w:gutter="0"/>
          <w:pgNumType w:fmt="decimal"/>
          <w:cols w:space="720" w:num="1"/>
        </w:sectPr>
      </w:pPr>
    </w:p>
    <w:p w14:paraId="3BD8F7BC">
      <w:pPr>
        <w:spacing w:before="148" w:line="352" w:lineRule="auto"/>
        <w:ind w:left="17" w:right="161" w:firstLine="4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暂停施工后，发包人和承包人应采取有效措施积极消除暂停施工的影响。在</w:t>
      </w:r>
      <w:r>
        <w:rPr>
          <w:rFonts w:ascii="宋体" w:hAnsi="宋体" w:eastAsia="宋体" w:cs="宋体"/>
          <w:color w:val="auto"/>
          <w:spacing w:val="2"/>
          <w:sz w:val="21"/>
          <w:szCs w:val="21"/>
          <w:highlight w:val="none"/>
        </w:rPr>
        <w:t>工程复工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前，监理人会同发包人和承包人确定因暂停施工造成的损失，并确定工程复工</w:t>
      </w:r>
      <w:r>
        <w:rPr>
          <w:rFonts w:ascii="宋体" w:hAnsi="宋体" w:eastAsia="宋体" w:cs="宋体"/>
          <w:color w:val="auto"/>
          <w:spacing w:val="2"/>
          <w:sz w:val="21"/>
          <w:szCs w:val="21"/>
          <w:highlight w:val="none"/>
        </w:rPr>
        <w:t>条件。当工</w:t>
      </w:r>
      <w:r>
        <w:rPr>
          <w:rFonts w:ascii="宋体" w:hAnsi="宋体" w:eastAsia="宋体" w:cs="宋体"/>
          <w:color w:val="auto"/>
          <w:sz w:val="21"/>
          <w:szCs w:val="21"/>
          <w:highlight w:val="none"/>
        </w:rPr>
        <w:t xml:space="preserve"> 程具备复工条件时，监理人应经发包人批准后向承包人发出复工通知， 承包人应按照复工</w:t>
      </w:r>
    </w:p>
    <w:p w14:paraId="21ECD5CF">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通知要求复工。</w:t>
      </w:r>
    </w:p>
    <w:p w14:paraId="7B316014">
      <w:pPr>
        <w:spacing w:before="146" w:line="403" w:lineRule="exact"/>
        <w:ind w:left="441"/>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承包人无故拖延和拒绝复工的， 承包人承担由此增加的费用和（或） 延误的工期；因</w:t>
      </w:r>
    </w:p>
    <w:p w14:paraId="248F50EB">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发包人原因无法按时复工的， 按照第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3"/>
          <w:sz w:val="21"/>
          <w:szCs w:val="21"/>
          <w:highlight w:val="none"/>
        </w:rPr>
        <w:t>7.5</w:t>
      </w:r>
      <w:r>
        <w:rPr>
          <w:rFonts w:ascii="Times New Roman" w:hAnsi="Times New Roman" w:eastAsia="Times New Roman" w:cs="Times New Roman"/>
          <w:color w:val="auto"/>
          <w:spacing w:val="-4"/>
          <w:sz w:val="21"/>
          <w:szCs w:val="21"/>
          <w:highlight w:val="none"/>
        </w:rPr>
        <w:t xml:space="preserve">.1 </w:t>
      </w:r>
      <w:r>
        <w:rPr>
          <w:rFonts w:ascii="宋体" w:hAnsi="宋体" w:eastAsia="宋体" w:cs="宋体"/>
          <w:color w:val="auto"/>
          <w:spacing w:val="-4"/>
          <w:sz w:val="21"/>
          <w:szCs w:val="21"/>
          <w:highlight w:val="none"/>
        </w:rPr>
        <w:t>项〔因发包人原因导致工期延误〕约定办理。</w:t>
      </w:r>
    </w:p>
    <w:p w14:paraId="246D6B6D">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7.8.6</w:t>
      </w:r>
      <w:r>
        <w:rPr>
          <w:rFonts w:ascii="Times New Roman" w:hAnsi="Times New Roman" w:eastAsia="Times New Roman" w:cs="Times New Roman"/>
          <w:color w:val="auto"/>
          <w:spacing w:val="30"/>
          <w:w w:val="101"/>
          <w:sz w:val="21"/>
          <w:szCs w:val="21"/>
          <w:highlight w:val="none"/>
        </w:rPr>
        <w:t xml:space="preserve"> </w:t>
      </w:r>
      <w:r>
        <w:rPr>
          <w:rFonts w:ascii="宋体" w:hAnsi="宋体" w:eastAsia="宋体" w:cs="宋体"/>
          <w:color w:val="auto"/>
          <w:spacing w:val="-3"/>
          <w:sz w:val="21"/>
          <w:szCs w:val="21"/>
          <w:highlight w:val="none"/>
        </w:rPr>
        <w:t>暂停施工持续</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56 </w:t>
      </w:r>
      <w:r>
        <w:rPr>
          <w:rFonts w:ascii="宋体" w:hAnsi="宋体" w:eastAsia="宋体" w:cs="宋体"/>
          <w:color w:val="auto"/>
          <w:spacing w:val="-3"/>
          <w:sz w:val="21"/>
          <w:szCs w:val="21"/>
          <w:highlight w:val="none"/>
        </w:rPr>
        <w:t>天以上</w:t>
      </w:r>
    </w:p>
    <w:p w14:paraId="4316CCB4">
      <w:pPr>
        <w:spacing w:before="150" w:line="352" w:lineRule="auto"/>
        <w:ind w:left="20" w:right="157"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监理人发出暂停施工指示后</w:t>
      </w:r>
      <w:r>
        <w:rPr>
          <w:rFonts w:ascii="宋体" w:hAnsi="宋体" w:eastAsia="宋体" w:cs="宋体"/>
          <w:color w:val="auto"/>
          <w:spacing w:val="-5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56 </w:t>
      </w:r>
      <w:r>
        <w:rPr>
          <w:rFonts w:ascii="宋体" w:hAnsi="宋体" w:eastAsia="宋体" w:cs="宋体"/>
          <w:color w:val="auto"/>
          <w:spacing w:val="-1"/>
          <w:sz w:val="21"/>
          <w:szCs w:val="21"/>
          <w:highlight w:val="none"/>
        </w:rPr>
        <w:t>天内未向承包人发出复工通知，除该项停工属于第</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2"/>
          <w:sz w:val="21"/>
          <w:szCs w:val="21"/>
          <w:highlight w:val="none"/>
        </w:rPr>
        <w:t>7.8.2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1"/>
          <w:sz w:val="21"/>
          <w:szCs w:val="21"/>
          <w:highlight w:val="none"/>
        </w:rPr>
        <w:t xml:space="preserve">项〔承包人原因引起的暂停施工〕及第 </w:t>
      </w:r>
      <w:r>
        <w:rPr>
          <w:rFonts w:ascii="Times New Roman" w:hAnsi="Times New Roman" w:eastAsia="Times New Roman" w:cs="Times New Roman"/>
          <w:color w:val="auto"/>
          <w:spacing w:val="-1"/>
          <w:sz w:val="21"/>
          <w:szCs w:val="21"/>
          <w:highlight w:val="none"/>
        </w:rPr>
        <w:t xml:space="preserve">17 </w:t>
      </w:r>
      <w:r>
        <w:rPr>
          <w:rFonts w:ascii="宋体" w:hAnsi="宋体" w:eastAsia="宋体" w:cs="宋体"/>
          <w:color w:val="auto"/>
          <w:spacing w:val="-1"/>
          <w:sz w:val="21"/>
          <w:szCs w:val="21"/>
          <w:highlight w:val="none"/>
        </w:rPr>
        <w:t>条〔不可抗力〕约定的情形外，承包人可向发包</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rPr>
        <w:t>人提交书面通知，要求发包人在收到书面通知后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天内准许已暂停施工</w:t>
      </w:r>
      <w:r>
        <w:rPr>
          <w:rFonts w:ascii="宋体" w:hAnsi="宋体" w:eastAsia="宋体" w:cs="宋体"/>
          <w:color w:val="auto"/>
          <w:spacing w:val="-1"/>
          <w:sz w:val="21"/>
          <w:szCs w:val="21"/>
          <w:highlight w:val="none"/>
        </w:rPr>
        <w:t>的部分或全部工程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继续施工。发包人逾期不予批准的，则承包人可以通知发包人，将工程受</w:t>
      </w:r>
      <w:r>
        <w:rPr>
          <w:rFonts w:ascii="宋体" w:hAnsi="宋体" w:eastAsia="宋体" w:cs="宋体"/>
          <w:color w:val="auto"/>
          <w:spacing w:val="2"/>
          <w:sz w:val="21"/>
          <w:szCs w:val="21"/>
          <w:highlight w:val="none"/>
        </w:rPr>
        <w:t>影响的部分视为</w:t>
      </w:r>
    </w:p>
    <w:p w14:paraId="299A0D7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按第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10.1 </w:t>
      </w:r>
      <w:r>
        <w:rPr>
          <w:rFonts w:ascii="宋体" w:hAnsi="宋体" w:eastAsia="宋体" w:cs="宋体"/>
          <w:color w:val="auto"/>
          <w:spacing w:val="-2"/>
          <w:sz w:val="21"/>
          <w:szCs w:val="21"/>
          <w:highlight w:val="none"/>
        </w:rPr>
        <w:t>款〔变更的范围〕第（</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）项的可取消工作。</w:t>
      </w:r>
    </w:p>
    <w:p w14:paraId="04B15645">
      <w:pPr>
        <w:spacing w:before="147" w:line="352" w:lineRule="auto"/>
        <w:ind w:left="17" w:right="158"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暂停施工持续</w:t>
      </w:r>
      <w:r>
        <w:rPr>
          <w:rFonts w:ascii="宋体" w:hAnsi="宋体" w:eastAsia="宋体" w:cs="宋体"/>
          <w:color w:val="auto"/>
          <w:spacing w:val="-63"/>
          <w:sz w:val="21"/>
          <w:szCs w:val="21"/>
          <w:highlight w:val="none"/>
        </w:rPr>
        <w:t xml:space="preserve"> </w:t>
      </w:r>
      <w:r>
        <w:rPr>
          <w:rFonts w:ascii="Times New Roman" w:hAnsi="Times New Roman" w:eastAsia="Times New Roman" w:cs="Times New Roman"/>
          <w:color w:val="auto"/>
          <w:sz w:val="21"/>
          <w:szCs w:val="21"/>
          <w:highlight w:val="none"/>
        </w:rPr>
        <w:t>84</w:t>
      </w:r>
      <w:r>
        <w:rPr>
          <w:rFonts w:ascii="Times New Roman" w:hAnsi="Times New Roman" w:eastAsia="Times New Roman" w:cs="Times New Roman"/>
          <w:color w:val="auto"/>
          <w:spacing w:val="-11"/>
          <w:sz w:val="21"/>
          <w:szCs w:val="21"/>
          <w:highlight w:val="none"/>
        </w:rPr>
        <w:t xml:space="preserve"> </w:t>
      </w:r>
      <w:r>
        <w:rPr>
          <w:rFonts w:ascii="宋体" w:hAnsi="宋体" w:eastAsia="宋体" w:cs="宋体"/>
          <w:color w:val="auto"/>
          <w:sz w:val="21"/>
          <w:szCs w:val="21"/>
          <w:highlight w:val="none"/>
        </w:rPr>
        <w:t>天以上不复工的，且不属于第</w:t>
      </w:r>
      <w:r>
        <w:rPr>
          <w:rFonts w:ascii="Times New Roman" w:hAnsi="Times New Roman" w:eastAsia="Times New Roman" w:cs="Times New Roman"/>
          <w:color w:val="auto"/>
          <w:sz w:val="21"/>
          <w:szCs w:val="21"/>
          <w:highlight w:val="none"/>
        </w:rPr>
        <w:t>7.8.2</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z w:val="21"/>
          <w:szCs w:val="21"/>
          <w:highlight w:val="none"/>
        </w:rPr>
        <w:t>项〔承包人</w:t>
      </w:r>
      <w:r>
        <w:rPr>
          <w:rFonts w:ascii="宋体" w:hAnsi="宋体" w:eastAsia="宋体" w:cs="宋体"/>
          <w:color w:val="auto"/>
          <w:spacing w:val="-1"/>
          <w:sz w:val="21"/>
          <w:szCs w:val="21"/>
          <w:highlight w:val="none"/>
        </w:rPr>
        <w:t>原因引起的暂停施工〕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及第 </w:t>
      </w:r>
      <w:r>
        <w:rPr>
          <w:rFonts w:ascii="Times New Roman" w:hAnsi="Times New Roman" w:eastAsia="Times New Roman" w:cs="Times New Roman"/>
          <w:color w:val="auto"/>
          <w:spacing w:val="-1"/>
          <w:sz w:val="21"/>
          <w:szCs w:val="21"/>
          <w:highlight w:val="none"/>
        </w:rPr>
        <w:t xml:space="preserve">17 </w:t>
      </w:r>
      <w:r>
        <w:rPr>
          <w:rFonts w:ascii="宋体" w:hAnsi="宋体" w:eastAsia="宋体" w:cs="宋体"/>
          <w:color w:val="auto"/>
          <w:spacing w:val="-1"/>
          <w:sz w:val="21"/>
          <w:szCs w:val="21"/>
          <w:highlight w:val="none"/>
        </w:rPr>
        <w:t>条〔不可抗力〕约定的情形，并影响到整个工程以及合同目的实现的，承包人有权</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提出价格调整要求，或者解除合同。解除合同的，按照第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16.1.3</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z w:val="21"/>
          <w:szCs w:val="21"/>
          <w:highlight w:val="none"/>
        </w:rPr>
        <w:t>项〔因</w:t>
      </w:r>
      <w:r>
        <w:rPr>
          <w:rFonts w:ascii="宋体" w:hAnsi="宋体" w:eastAsia="宋体" w:cs="宋体"/>
          <w:color w:val="auto"/>
          <w:spacing w:val="-1"/>
          <w:sz w:val="21"/>
          <w:szCs w:val="21"/>
          <w:highlight w:val="none"/>
        </w:rPr>
        <w:t>发包人违约解除合</w:t>
      </w:r>
    </w:p>
    <w:p w14:paraId="2AF4D306">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同〕执行。</w:t>
      </w:r>
    </w:p>
    <w:p w14:paraId="36797FD7">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7.8.7</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2"/>
          <w:sz w:val="21"/>
          <w:szCs w:val="21"/>
          <w:highlight w:val="none"/>
        </w:rPr>
        <w:t>暂停施工期间的工程照管</w:t>
      </w:r>
    </w:p>
    <w:p w14:paraId="02181867">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暂停施工期间， 承包人应负责妥善照管工程并提供安全保障，由此增加的费用由责任</w:t>
      </w:r>
    </w:p>
    <w:p w14:paraId="6194A215">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方承担。</w:t>
      </w:r>
    </w:p>
    <w:p w14:paraId="1772DA21">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7.8.8</w:t>
      </w:r>
      <w:r>
        <w:rPr>
          <w:rFonts w:ascii="Times New Roman" w:hAnsi="Times New Roman" w:eastAsia="Times New Roman" w:cs="Times New Roman"/>
          <w:color w:val="auto"/>
          <w:spacing w:val="21"/>
          <w:sz w:val="21"/>
          <w:szCs w:val="21"/>
          <w:highlight w:val="none"/>
        </w:rPr>
        <w:t xml:space="preserve"> </w:t>
      </w:r>
      <w:r>
        <w:rPr>
          <w:rFonts w:ascii="宋体" w:hAnsi="宋体" w:eastAsia="宋体" w:cs="宋体"/>
          <w:color w:val="auto"/>
          <w:spacing w:val="-2"/>
          <w:sz w:val="21"/>
          <w:szCs w:val="21"/>
          <w:highlight w:val="none"/>
        </w:rPr>
        <w:t>暂停施工的措施</w:t>
      </w:r>
    </w:p>
    <w:p w14:paraId="2D28FD22">
      <w:pPr>
        <w:spacing w:before="152"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暂停施工期间， 发包人和承包人均应采取必要的措</w:t>
      </w:r>
      <w:r>
        <w:rPr>
          <w:rFonts w:ascii="宋体" w:hAnsi="宋体" w:eastAsia="宋体" w:cs="宋体"/>
          <w:color w:val="auto"/>
          <w:spacing w:val="-4"/>
          <w:sz w:val="21"/>
          <w:szCs w:val="21"/>
          <w:highlight w:val="none"/>
        </w:rPr>
        <w:t>施确保工程质量及安全，</w:t>
      </w:r>
      <w:r>
        <w:rPr>
          <w:rFonts w:ascii="宋体" w:hAnsi="宋体" w:eastAsia="宋体" w:cs="宋体"/>
          <w:color w:val="auto"/>
          <w:spacing w:val="26"/>
          <w:sz w:val="21"/>
          <w:szCs w:val="21"/>
          <w:highlight w:val="none"/>
        </w:rPr>
        <w:t xml:space="preserve"> </w:t>
      </w:r>
      <w:r>
        <w:rPr>
          <w:rFonts w:ascii="宋体" w:hAnsi="宋体" w:eastAsia="宋体" w:cs="宋体"/>
          <w:color w:val="auto"/>
          <w:spacing w:val="-4"/>
          <w:sz w:val="21"/>
          <w:szCs w:val="21"/>
          <w:highlight w:val="none"/>
        </w:rPr>
        <w:t>防止因暂</w:t>
      </w:r>
    </w:p>
    <w:p w14:paraId="5CFECB45">
      <w:pPr>
        <w:spacing w:before="149" w:line="221"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停施工扩大损失。</w:t>
      </w:r>
    </w:p>
    <w:p w14:paraId="21B2C038">
      <w:pPr>
        <w:spacing w:before="45" w:line="218" w:lineRule="auto"/>
        <w:ind w:left="2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7.9</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提前竣工</w:t>
      </w:r>
    </w:p>
    <w:p w14:paraId="4A88E80A">
      <w:pPr>
        <w:spacing w:before="130" w:line="352" w:lineRule="auto"/>
        <w:ind w:left="18"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7.9.1</w:t>
      </w:r>
      <w:r>
        <w:rPr>
          <w:rFonts w:ascii="Times New Roman" w:hAnsi="Times New Roman" w:eastAsia="Times New Roman" w:cs="Times New Roman"/>
          <w:color w:val="auto"/>
          <w:spacing w:val="54"/>
          <w:sz w:val="21"/>
          <w:szCs w:val="21"/>
          <w:highlight w:val="none"/>
        </w:rPr>
        <w:t xml:space="preserve"> </w:t>
      </w:r>
      <w:r>
        <w:rPr>
          <w:rFonts w:ascii="宋体" w:hAnsi="宋体" w:eastAsia="宋体" w:cs="宋体"/>
          <w:color w:val="auto"/>
          <w:spacing w:val="-1"/>
          <w:sz w:val="21"/>
          <w:szCs w:val="21"/>
          <w:highlight w:val="none"/>
        </w:rPr>
        <w:t>发包人要求承包人提前竣工的，发包人应通过监理人向承包人下达提前竣工指示，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承包人应向发包人和监理人提交提前竣工建议书，提前竣工建议书应包括实施的方案、缩  </w:t>
      </w:r>
      <w:r>
        <w:rPr>
          <w:rFonts w:ascii="宋体" w:hAnsi="宋体" w:eastAsia="宋体" w:cs="宋体"/>
          <w:color w:val="auto"/>
          <w:sz w:val="21"/>
          <w:szCs w:val="21"/>
          <w:highlight w:val="none"/>
        </w:rPr>
        <w:t>短的时间、增加的合同价格等内容。发包人接受该提前竣</w:t>
      </w:r>
      <w:r>
        <w:rPr>
          <w:rFonts w:ascii="宋体" w:hAnsi="宋体" w:eastAsia="宋体" w:cs="宋体"/>
          <w:color w:val="auto"/>
          <w:spacing w:val="-1"/>
          <w:sz w:val="21"/>
          <w:szCs w:val="21"/>
          <w:highlight w:val="none"/>
        </w:rPr>
        <w:t xml:space="preserve">工建议书的， 监理人应与发包人  </w:t>
      </w:r>
      <w:r>
        <w:rPr>
          <w:rFonts w:ascii="宋体" w:hAnsi="宋体" w:eastAsia="宋体" w:cs="宋体"/>
          <w:color w:val="auto"/>
          <w:sz w:val="21"/>
          <w:szCs w:val="21"/>
          <w:highlight w:val="none"/>
        </w:rPr>
        <w:t>和承包人协商采取加快工程进度的措施， 并修订施工进</w:t>
      </w:r>
      <w:r>
        <w:rPr>
          <w:rFonts w:ascii="宋体" w:hAnsi="宋体" w:eastAsia="宋体" w:cs="宋体"/>
          <w:color w:val="auto"/>
          <w:spacing w:val="-1"/>
          <w:sz w:val="21"/>
          <w:szCs w:val="21"/>
          <w:highlight w:val="none"/>
        </w:rPr>
        <w:t xml:space="preserve">度计划，由此增加的费用由发包人  </w:t>
      </w:r>
      <w:r>
        <w:rPr>
          <w:rFonts w:ascii="宋体" w:hAnsi="宋体" w:eastAsia="宋体" w:cs="宋体"/>
          <w:color w:val="auto"/>
          <w:spacing w:val="-5"/>
          <w:sz w:val="21"/>
          <w:szCs w:val="21"/>
          <w:highlight w:val="none"/>
        </w:rPr>
        <w:t>承担。 承包人认为提前竣工指示无法执行的， 应向监理人和发包人提出书面异议， 发包人</w:t>
      </w:r>
    </w:p>
    <w:p w14:paraId="39CB7F52">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和监理人应在收到异议后</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天内予以答复。任何情况下，发包人不得压缩合理工期。</w:t>
      </w:r>
    </w:p>
    <w:p w14:paraId="235CEE90">
      <w:pPr>
        <w:spacing w:before="149" w:line="403" w:lineRule="exact"/>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7.9.2</w:t>
      </w:r>
      <w:r>
        <w:rPr>
          <w:rFonts w:ascii="Times New Roman" w:hAnsi="Times New Roman" w:eastAsia="Times New Roman" w:cs="Times New Roman"/>
          <w:color w:val="auto"/>
          <w:spacing w:val="36"/>
          <w:w w:val="101"/>
          <w:position w:val="14"/>
          <w:sz w:val="21"/>
          <w:szCs w:val="21"/>
          <w:highlight w:val="none"/>
        </w:rPr>
        <w:t xml:space="preserve"> </w:t>
      </w:r>
      <w:r>
        <w:rPr>
          <w:rFonts w:ascii="宋体" w:hAnsi="宋体" w:eastAsia="宋体" w:cs="宋体"/>
          <w:color w:val="auto"/>
          <w:spacing w:val="1"/>
          <w:position w:val="14"/>
          <w:sz w:val="21"/>
          <w:szCs w:val="21"/>
          <w:highlight w:val="none"/>
        </w:rPr>
        <w:t>发包人要求承包人提前竣工，或承包人提</w:t>
      </w:r>
      <w:r>
        <w:rPr>
          <w:rFonts w:ascii="宋体" w:hAnsi="宋体" w:eastAsia="宋体" w:cs="宋体"/>
          <w:color w:val="auto"/>
          <w:position w:val="14"/>
          <w:sz w:val="21"/>
          <w:szCs w:val="21"/>
          <w:highlight w:val="none"/>
        </w:rPr>
        <w:t>出提前竣工的建议能够给发包人带来效</w:t>
      </w:r>
    </w:p>
    <w:p w14:paraId="0AA2EBD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益的，合同当事人可以在专用合同条款中约定提前竣工</w:t>
      </w:r>
      <w:r>
        <w:rPr>
          <w:rFonts w:ascii="宋体" w:hAnsi="宋体" w:eastAsia="宋体" w:cs="宋体"/>
          <w:color w:val="auto"/>
          <w:spacing w:val="-2"/>
          <w:sz w:val="21"/>
          <w:szCs w:val="21"/>
          <w:highlight w:val="none"/>
        </w:rPr>
        <w:t>的奖励。</w:t>
      </w:r>
    </w:p>
    <w:p w14:paraId="2DD1CC6F">
      <w:pPr>
        <w:spacing w:before="172" w:line="220" w:lineRule="auto"/>
        <w:ind w:left="18"/>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8.材料与设备</w:t>
      </w:r>
    </w:p>
    <w:p w14:paraId="1F61C126">
      <w:pPr>
        <w:spacing w:before="145" w:line="218"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8.1</w:t>
      </w:r>
      <w:r>
        <w:rPr>
          <w:rFonts w:ascii="黑体" w:hAnsi="黑体" w:eastAsia="黑体" w:cs="黑体"/>
          <w:color w:val="auto"/>
          <w:spacing w:val="-39"/>
          <w:sz w:val="24"/>
          <w:szCs w:val="24"/>
          <w:highlight w:val="none"/>
        </w:rPr>
        <w:t xml:space="preserve"> </w:t>
      </w:r>
      <w:r>
        <w:rPr>
          <w:rFonts w:ascii="黑体" w:hAnsi="黑体" w:eastAsia="黑体" w:cs="黑体"/>
          <w:color w:val="auto"/>
          <w:spacing w:val="-2"/>
          <w:sz w:val="24"/>
          <w:szCs w:val="24"/>
          <w:highlight w:val="none"/>
        </w:rPr>
        <w:t>发包人供应材料与工程设备</w:t>
      </w:r>
    </w:p>
    <w:p w14:paraId="74820142">
      <w:pPr>
        <w:spacing w:before="130" w:line="220"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发包人自行供应材料、工程设备的， 应在签订合同时在专用合同条款的附件《发包人</w:t>
      </w:r>
    </w:p>
    <w:p w14:paraId="1DB9CC36">
      <w:pPr>
        <w:spacing w:line="220" w:lineRule="auto"/>
        <w:rPr>
          <w:rFonts w:ascii="宋体" w:hAnsi="宋体" w:eastAsia="宋体" w:cs="宋体"/>
          <w:color w:val="auto"/>
          <w:sz w:val="21"/>
          <w:szCs w:val="21"/>
          <w:highlight w:val="none"/>
        </w:rPr>
        <w:sectPr>
          <w:footerReference r:id="rId123" w:type="default"/>
          <w:pgSz w:w="11905" w:h="16839"/>
          <w:pgMar w:top="1431" w:right="1630" w:bottom="1004" w:left="1785" w:header="0" w:footer="828" w:gutter="0"/>
          <w:pgNumType w:fmt="decimal"/>
          <w:cols w:space="720" w:num="1"/>
        </w:sectPr>
      </w:pPr>
    </w:p>
    <w:p w14:paraId="48767621">
      <w:pPr>
        <w:spacing w:before="149" w:line="398" w:lineRule="exact"/>
        <w:ind w:left="18"/>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供应材料设备一览表》中明确材料、工程设备的品种、规格、型号、数量、</w:t>
      </w:r>
      <w:r>
        <w:rPr>
          <w:rFonts w:ascii="宋体" w:hAnsi="宋体" w:eastAsia="宋体" w:cs="宋体"/>
          <w:color w:val="auto"/>
          <w:spacing w:val="2"/>
          <w:position w:val="14"/>
          <w:sz w:val="21"/>
          <w:szCs w:val="21"/>
          <w:highlight w:val="none"/>
        </w:rPr>
        <w:t>单价、质量等</w:t>
      </w:r>
    </w:p>
    <w:p w14:paraId="3BBB3B00">
      <w:pPr>
        <w:spacing w:line="222"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级和送达地点。</w:t>
      </w:r>
    </w:p>
    <w:p w14:paraId="3DB97D63">
      <w:pPr>
        <w:spacing w:before="149"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承包人应提前</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30 </w:t>
      </w:r>
      <w:r>
        <w:rPr>
          <w:rFonts w:ascii="宋体" w:hAnsi="宋体" w:eastAsia="宋体" w:cs="宋体"/>
          <w:color w:val="auto"/>
          <w:position w:val="14"/>
          <w:sz w:val="21"/>
          <w:szCs w:val="21"/>
          <w:highlight w:val="none"/>
        </w:rPr>
        <w:t>天通过监理人以书面形式通知发包人供应材料与工</w:t>
      </w:r>
      <w:r>
        <w:rPr>
          <w:rFonts w:ascii="宋体" w:hAnsi="宋体" w:eastAsia="宋体" w:cs="宋体"/>
          <w:color w:val="auto"/>
          <w:spacing w:val="-1"/>
          <w:position w:val="14"/>
          <w:sz w:val="21"/>
          <w:szCs w:val="21"/>
          <w:highlight w:val="none"/>
        </w:rPr>
        <w:t>程设备进场。承包</w:t>
      </w:r>
    </w:p>
    <w:p w14:paraId="20DB973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人按照第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z w:val="21"/>
          <w:szCs w:val="21"/>
          <w:highlight w:val="none"/>
        </w:rPr>
        <w:t xml:space="preserve">7.2.2 </w:t>
      </w:r>
      <w:r>
        <w:rPr>
          <w:rFonts w:ascii="宋体" w:hAnsi="宋体" w:eastAsia="宋体" w:cs="宋体"/>
          <w:color w:val="auto"/>
          <w:sz w:val="21"/>
          <w:szCs w:val="21"/>
          <w:highlight w:val="none"/>
        </w:rPr>
        <w:t>项〔施工进度计划的修订〕约定修订施工进度计划时，</w:t>
      </w:r>
      <w:r>
        <w:rPr>
          <w:rFonts w:ascii="宋体" w:hAnsi="宋体" w:eastAsia="宋体" w:cs="宋体"/>
          <w:color w:val="auto"/>
          <w:spacing w:val="-1"/>
          <w:sz w:val="21"/>
          <w:szCs w:val="21"/>
          <w:highlight w:val="none"/>
        </w:rPr>
        <w:t>需同时提交经修订后</w:t>
      </w:r>
    </w:p>
    <w:p w14:paraId="57D4346E">
      <w:pPr>
        <w:spacing w:before="147"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的发包人供应材料与工程设备的进场计划。</w:t>
      </w:r>
    </w:p>
    <w:p w14:paraId="5F0DF80E">
      <w:pPr>
        <w:spacing w:before="51"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8.2</w:t>
      </w:r>
      <w:r>
        <w:rPr>
          <w:rFonts w:ascii="黑体" w:hAnsi="黑体" w:eastAsia="黑体" w:cs="黑体"/>
          <w:color w:val="auto"/>
          <w:spacing w:val="-54"/>
          <w:sz w:val="24"/>
          <w:szCs w:val="24"/>
          <w:highlight w:val="none"/>
        </w:rPr>
        <w:t xml:space="preserve"> </w:t>
      </w:r>
      <w:r>
        <w:rPr>
          <w:rFonts w:ascii="黑体" w:hAnsi="黑体" w:eastAsia="黑体" w:cs="黑体"/>
          <w:color w:val="auto"/>
          <w:spacing w:val="-1"/>
          <w:sz w:val="24"/>
          <w:szCs w:val="24"/>
          <w:highlight w:val="none"/>
        </w:rPr>
        <w:t>承包人采购材料与工程设备</w:t>
      </w:r>
    </w:p>
    <w:p w14:paraId="1284F8D1">
      <w:pPr>
        <w:spacing w:before="130" w:line="350" w:lineRule="auto"/>
        <w:ind w:left="18" w:right="158"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承包人负责采购材料、工程设备的， 应按照设计和有关标准要求采购，并提供产品合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格证明及出厂证明，对材料、工程设备质量负责。合同约定由承包人采购的</w:t>
      </w:r>
      <w:r>
        <w:rPr>
          <w:rFonts w:ascii="宋体" w:hAnsi="宋体" w:eastAsia="宋体" w:cs="宋体"/>
          <w:color w:val="auto"/>
          <w:spacing w:val="2"/>
          <w:sz w:val="21"/>
          <w:szCs w:val="21"/>
          <w:highlight w:val="none"/>
        </w:rPr>
        <w:t>材料、工程设</w:t>
      </w:r>
    </w:p>
    <w:p w14:paraId="74036CB3">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备，发包人不得指定生产厂家或供应商， 发包人违反本款约定指定生产厂家或供应商</w:t>
      </w:r>
      <w:r>
        <w:rPr>
          <w:rFonts w:ascii="宋体" w:hAnsi="宋体" w:eastAsia="宋体" w:cs="宋体"/>
          <w:color w:val="auto"/>
          <w:spacing w:val="-1"/>
          <w:sz w:val="21"/>
          <w:szCs w:val="21"/>
          <w:highlight w:val="none"/>
        </w:rPr>
        <w:t>的，</w:t>
      </w:r>
    </w:p>
    <w:p w14:paraId="37FE7A41">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承包人有权拒绝，并由发包人承担相应责任。</w:t>
      </w:r>
    </w:p>
    <w:p w14:paraId="37AD170E">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8.3</w:t>
      </w:r>
      <w:r>
        <w:rPr>
          <w:rFonts w:ascii="黑体" w:hAnsi="黑体" w:eastAsia="黑体" w:cs="黑体"/>
          <w:color w:val="auto"/>
          <w:spacing w:val="-53"/>
          <w:sz w:val="24"/>
          <w:szCs w:val="24"/>
          <w:highlight w:val="none"/>
        </w:rPr>
        <w:t xml:space="preserve"> </w:t>
      </w:r>
      <w:r>
        <w:rPr>
          <w:rFonts w:ascii="黑体" w:hAnsi="黑体" w:eastAsia="黑体" w:cs="黑体"/>
          <w:color w:val="auto"/>
          <w:spacing w:val="-1"/>
          <w:sz w:val="24"/>
          <w:szCs w:val="24"/>
          <w:highlight w:val="none"/>
        </w:rPr>
        <w:t>材料与工程设备的接收与拒收</w:t>
      </w:r>
    </w:p>
    <w:p w14:paraId="25FE2B08">
      <w:pPr>
        <w:spacing w:before="128" w:line="352" w:lineRule="auto"/>
        <w:ind w:left="18" w:right="158" w:firstLine="42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8.3.1</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z w:val="21"/>
          <w:szCs w:val="21"/>
          <w:highlight w:val="none"/>
        </w:rPr>
        <w:t xml:space="preserve">发包人应按《发包人供应材料设备一览表》约定的内容提供材料和工程设备，并 </w:t>
      </w:r>
      <w:r>
        <w:rPr>
          <w:rFonts w:ascii="宋体" w:hAnsi="宋体" w:eastAsia="宋体" w:cs="宋体"/>
          <w:color w:val="auto"/>
          <w:spacing w:val="-1"/>
          <w:sz w:val="21"/>
          <w:szCs w:val="21"/>
          <w:highlight w:val="none"/>
        </w:rPr>
        <w:t>向承包人提供产品合格证明及出厂证明，对其质量负责。发包人应提前</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小时以书面形式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通知承包人、监理人材料和工程设备到货时间，承包人负责材料和工程设备</w:t>
      </w:r>
      <w:r>
        <w:rPr>
          <w:rFonts w:ascii="宋体" w:hAnsi="宋体" w:eastAsia="宋体" w:cs="宋体"/>
          <w:color w:val="auto"/>
          <w:spacing w:val="2"/>
          <w:sz w:val="21"/>
          <w:szCs w:val="21"/>
          <w:highlight w:val="none"/>
        </w:rPr>
        <w:t>的清点、检验</w:t>
      </w:r>
    </w:p>
    <w:p w14:paraId="5F203024">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和接收。</w:t>
      </w:r>
    </w:p>
    <w:p w14:paraId="2D4D73A2">
      <w:pPr>
        <w:spacing w:before="147"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发包人提供的材料和工程设备的规格、数量或质量不符合合同约定的，或因发包人原</w:t>
      </w:r>
    </w:p>
    <w:p w14:paraId="63CCA45A">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因导致交货日期延误或交货地点变更等情况的， 按照第</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16.1 </w:t>
      </w:r>
      <w:r>
        <w:rPr>
          <w:rFonts w:ascii="宋体" w:hAnsi="宋体" w:eastAsia="宋体" w:cs="宋体"/>
          <w:color w:val="auto"/>
          <w:spacing w:val="-5"/>
          <w:sz w:val="21"/>
          <w:szCs w:val="21"/>
          <w:highlight w:val="none"/>
        </w:rPr>
        <w:t>款〔发包人违约〕约定办理。</w:t>
      </w:r>
    </w:p>
    <w:p w14:paraId="67331E04">
      <w:pPr>
        <w:spacing w:before="152" w:line="352" w:lineRule="auto"/>
        <w:ind w:left="20" w:right="156"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8.3.2</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1"/>
          <w:sz w:val="21"/>
          <w:szCs w:val="21"/>
          <w:highlight w:val="none"/>
        </w:rPr>
        <w:t>承包人采购的材料和工程设备，应保证</w:t>
      </w:r>
      <w:r>
        <w:rPr>
          <w:rFonts w:ascii="宋体" w:hAnsi="宋体" w:eastAsia="宋体" w:cs="宋体"/>
          <w:color w:val="auto"/>
          <w:sz w:val="21"/>
          <w:szCs w:val="21"/>
          <w:highlight w:val="none"/>
        </w:rPr>
        <w:t xml:space="preserve">产品质量合格，承包人应在材料和工程设 </w:t>
      </w:r>
      <w:r>
        <w:rPr>
          <w:rFonts w:ascii="宋体" w:hAnsi="宋体" w:eastAsia="宋体" w:cs="宋体"/>
          <w:color w:val="auto"/>
          <w:spacing w:val="-3"/>
          <w:sz w:val="21"/>
          <w:szCs w:val="21"/>
          <w:highlight w:val="none"/>
        </w:rPr>
        <w:t>备到货前</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3"/>
          <w:sz w:val="21"/>
          <w:szCs w:val="21"/>
          <w:highlight w:val="none"/>
        </w:rPr>
        <w:t>小时通知监理人检验。承包人进行永久设备、材料的制造和生产的，</w:t>
      </w:r>
      <w:r>
        <w:rPr>
          <w:rFonts w:ascii="宋体" w:hAnsi="宋体" w:eastAsia="宋体" w:cs="宋体"/>
          <w:color w:val="auto"/>
          <w:spacing w:val="-4"/>
          <w:sz w:val="21"/>
          <w:szCs w:val="21"/>
          <w:highlight w:val="none"/>
        </w:rPr>
        <w:t xml:space="preserve"> 应符合相</w:t>
      </w:r>
      <w:r>
        <w:rPr>
          <w:rFonts w:ascii="宋体" w:hAnsi="宋体" w:eastAsia="宋体" w:cs="宋体"/>
          <w:color w:val="auto"/>
          <w:sz w:val="21"/>
          <w:szCs w:val="21"/>
          <w:highlight w:val="none"/>
        </w:rPr>
        <w:t xml:space="preserve"> 关质量标准， 并向监理人提交材料的样本以及有关资料，并应在使用该材料或工程设备之</w:t>
      </w:r>
    </w:p>
    <w:p w14:paraId="47E1EC8A">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前获得监理人同意。</w:t>
      </w:r>
    </w:p>
    <w:p w14:paraId="46A25676">
      <w:pPr>
        <w:spacing w:before="147" w:line="399" w:lineRule="exact"/>
        <w:ind w:left="49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承包人采购的材料和工程设备不符合设计或有关标准要求时，承包人应在监理人要求</w:t>
      </w:r>
    </w:p>
    <w:p w14:paraId="1DB91815">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的合理期限内将不符合设计或有关标准要求的材料、工程设备运出施工现场，并重新采购</w:t>
      </w:r>
    </w:p>
    <w:p w14:paraId="4D3C4EEC">
      <w:pPr>
        <w:spacing w:before="153"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符合要求的材料、工程设备，</w:t>
      </w:r>
      <w:r>
        <w:rPr>
          <w:rFonts w:ascii="宋体" w:hAnsi="宋体" w:eastAsia="宋体" w:cs="宋体"/>
          <w:color w:val="auto"/>
          <w:spacing w:val="39"/>
          <w:sz w:val="21"/>
          <w:szCs w:val="21"/>
          <w:highlight w:val="none"/>
        </w:rPr>
        <w:t xml:space="preserve"> </w:t>
      </w:r>
      <w:r>
        <w:rPr>
          <w:rFonts w:ascii="宋体" w:hAnsi="宋体" w:eastAsia="宋体" w:cs="宋体"/>
          <w:color w:val="auto"/>
          <w:spacing w:val="-4"/>
          <w:sz w:val="21"/>
          <w:szCs w:val="21"/>
          <w:highlight w:val="none"/>
        </w:rPr>
        <w:t>由此增加的费用和（或）延误的工期，由承包人</w:t>
      </w:r>
      <w:r>
        <w:rPr>
          <w:rFonts w:ascii="宋体" w:hAnsi="宋体" w:eastAsia="宋体" w:cs="宋体"/>
          <w:color w:val="auto"/>
          <w:spacing w:val="-5"/>
          <w:sz w:val="21"/>
          <w:szCs w:val="21"/>
          <w:highlight w:val="none"/>
        </w:rPr>
        <w:t>承担。</w:t>
      </w:r>
    </w:p>
    <w:p w14:paraId="346DAF59">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8.4</w:t>
      </w:r>
      <w:r>
        <w:rPr>
          <w:rFonts w:ascii="黑体" w:hAnsi="黑体" w:eastAsia="黑体" w:cs="黑体"/>
          <w:color w:val="auto"/>
          <w:spacing w:val="-53"/>
          <w:sz w:val="24"/>
          <w:szCs w:val="24"/>
          <w:highlight w:val="none"/>
        </w:rPr>
        <w:t xml:space="preserve"> </w:t>
      </w:r>
      <w:r>
        <w:rPr>
          <w:rFonts w:ascii="黑体" w:hAnsi="黑体" w:eastAsia="黑体" w:cs="黑体"/>
          <w:color w:val="auto"/>
          <w:spacing w:val="-1"/>
          <w:sz w:val="24"/>
          <w:szCs w:val="24"/>
          <w:highlight w:val="none"/>
        </w:rPr>
        <w:t>材料与工程设备的保管与使用</w:t>
      </w:r>
    </w:p>
    <w:p w14:paraId="50F3DD96">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8.4.1 </w:t>
      </w:r>
      <w:r>
        <w:rPr>
          <w:rFonts w:ascii="宋体" w:hAnsi="宋体" w:eastAsia="宋体" w:cs="宋体"/>
          <w:color w:val="auto"/>
          <w:spacing w:val="-1"/>
          <w:sz w:val="21"/>
          <w:szCs w:val="21"/>
          <w:highlight w:val="none"/>
        </w:rPr>
        <w:t>发包人供应材料与工程设备的保管与使用</w:t>
      </w:r>
    </w:p>
    <w:p w14:paraId="35FF057B">
      <w:pPr>
        <w:spacing w:before="148" w:line="352" w:lineRule="auto"/>
        <w:ind w:left="18" w:right="158"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发包人供应的材料和工程设备， 承包人清点后由承包人妥善保管，保管费用由发包人</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承担， 但已标价工程量清单或预算书已经列支或专用合同条款另有约定除外。因承包人原</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因发生丢失毁损的，由承包人负责赔偿； 监理人未通</w:t>
      </w:r>
      <w:r>
        <w:rPr>
          <w:rFonts w:ascii="宋体" w:hAnsi="宋体" w:eastAsia="宋体" w:cs="宋体"/>
          <w:color w:val="auto"/>
          <w:spacing w:val="-3"/>
          <w:sz w:val="21"/>
          <w:szCs w:val="21"/>
          <w:highlight w:val="none"/>
        </w:rPr>
        <w:t>知承包人清点的， 承包人不负责材料</w:t>
      </w:r>
    </w:p>
    <w:p w14:paraId="3B6BD230">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和工程设备的保管，</w:t>
      </w:r>
      <w:r>
        <w:rPr>
          <w:rFonts w:ascii="宋体" w:hAnsi="宋体" w:eastAsia="宋体" w:cs="宋体"/>
          <w:color w:val="auto"/>
          <w:spacing w:val="46"/>
          <w:sz w:val="21"/>
          <w:szCs w:val="21"/>
          <w:highlight w:val="none"/>
        </w:rPr>
        <w:t xml:space="preserve"> </w:t>
      </w:r>
      <w:r>
        <w:rPr>
          <w:rFonts w:ascii="宋体" w:hAnsi="宋体" w:eastAsia="宋体" w:cs="宋体"/>
          <w:color w:val="auto"/>
          <w:spacing w:val="-7"/>
          <w:sz w:val="21"/>
          <w:szCs w:val="21"/>
          <w:highlight w:val="none"/>
        </w:rPr>
        <w:t>由此导致丢失毁损的由发包人负责。</w:t>
      </w:r>
    </w:p>
    <w:p w14:paraId="2781B24E">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发包人供应的材料和工程设备使用前，由承包人负责检验， 检验费用由发包人承担，</w:t>
      </w:r>
    </w:p>
    <w:p w14:paraId="38870449">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不合格的不得使用。</w:t>
      </w:r>
    </w:p>
    <w:p w14:paraId="084607D8">
      <w:pPr>
        <w:spacing w:before="148"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8.4.2 </w:t>
      </w:r>
      <w:r>
        <w:rPr>
          <w:rFonts w:ascii="宋体" w:hAnsi="宋体" w:eastAsia="宋体" w:cs="宋体"/>
          <w:color w:val="auto"/>
          <w:spacing w:val="-1"/>
          <w:sz w:val="21"/>
          <w:szCs w:val="21"/>
          <w:highlight w:val="none"/>
        </w:rPr>
        <w:t>承包人采购材料与工程设备的保管与使用</w:t>
      </w:r>
    </w:p>
    <w:p w14:paraId="7A40B1E4">
      <w:pPr>
        <w:spacing w:before="153" w:line="399"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承包人采购的材料和工程设备由承包人妥善保管，保管费用由承包人承担。法律规定</w:t>
      </w:r>
    </w:p>
    <w:p w14:paraId="1EE4EFC1">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材料和工程设备使用前必须进行检验或试验的， 承包人应按监理人的要求进行检验或试验，</w:t>
      </w:r>
    </w:p>
    <w:p w14:paraId="38D1F71D">
      <w:pPr>
        <w:spacing w:line="219" w:lineRule="auto"/>
        <w:rPr>
          <w:rFonts w:ascii="宋体" w:hAnsi="宋体" w:eastAsia="宋体" w:cs="宋体"/>
          <w:color w:val="auto"/>
          <w:sz w:val="21"/>
          <w:szCs w:val="21"/>
          <w:highlight w:val="none"/>
        </w:rPr>
        <w:sectPr>
          <w:footerReference r:id="rId124" w:type="default"/>
          <w:pgSz w:w="11905" w:h="16839"/>
          <w:pgMar w:top="1431" w:right="1633" w:bottom="1004" w:left="1785" w:header="0" w:footer="828" w:gutter="0"/>
          <w:pgNumType w:fmt="decimal"/>
          <w:cols w:space="720" w:num="1"/>
        </w:sectPr>
      </w:pPr>
    </w:p>
    <w:p w14:paraId="189FBC6C">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检验或试验费用由承包人承担，不合格的不得使用。</w:t>
      </w:r>
    </w:p>
    <w:p w14:paraId="4CD75BB7">
      <w:pPr>
        <w:spacing w:before="147" w:line="403"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发包人或监理人发现承包人使用不符合设计或有关标准要求的材料和工程设备时，有</w:t>
      </w:r>
    </w:p>
    <w:p w14:paraId="77C7150D">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权要求承包人进行修复、拆除或重新采购，由此增加的费用和（或）延误的工期，</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由承包</w:t>
      </w:r>
    </w:p>
    <w:p w14:paraId="30F9C29F">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人承担。</w:t>
      </w:r>
    </w:p>
    <w:p w14:paraId="4676DB84">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8.5</w:t>
      </w:r>
      <w:r>
        <w:rPr>
          <w:rFonts w:ascii="黑体" w:hAnsi="黑体" w:eastAsia="黑体" w:cs="黑体"/>
          <w:color w:val="auto"/>
          <w:spacing w:val="-50"/>
          <w:sz w:val="24"/>
          <w:szCs w:val="24"/>
          <w:highlight w:val="none"/>
        </w:rPr>
        <w:t xml:space="preserve"> </w:t>
      </w:r>
      <w:r>
        <w:rPr>
          <w:rFonts w:ascii="黑体" w:hAnsi="黑体" w:eastAsia="黑体" w:cs="黑体"/>
          <w:color w:val="auto"/>
          <w:spacing w:val="-1"/>
          <w:sz w:val="24"/>
          <w:szCs w:val="24"/>
          <w:highlight w:val="none"/>
        </w:rPr>
        <w:t>禁止使用不合格的材料和工程设备</w:t>
      </w:r>
    </w:p>
    <w:p w14:paraId="551592F0">
      <w:pPr>
        <w:spacing w:before="128" w:line="353" w:lineRule="auto"/>
        <w:ind w:left="20" w:right="182"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8.5.1</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监理人有权拒绝承包人提供的不合格</w:t>
      </w:r>
      <w:r>
        <w:rPr>
          <w:rFonts w:ascii="宋体" w:hAnsi="宋体" w:eastAsia="宋体" w:cs="宋体"/>
          <w:color w:val="auto"/>
          <w:sz w:val="21"/>
          <w:szCs w:val="21"/>
          <w:highlight w:val="none"/>
        </w:rPr>
        <w:t xml:space="preserve">材料或工程设备，并要求承包人立即进行更 </w:t>
      </w:r>
      <w:r>
        <w:rPr>
          <w:rFonts w:ascii="宋体" w:hAnsi="宋体" w:eastAsia="宋体" w:cs="宋体"/>
          <w:color w:val="auto"/>
          <w:spacing w:val="-2"/>
          <w:sz w:val="21"/>
          <w:szCs w:val="21"/>
          <w:highlight w:val="none"/>
        </w:rPr>
        <w:t>换。监理人应在更换后再次进行检查和检验， 由此</w:t>
      </w:r>
      <w:r>
        <w:rPr>
          <w:rFonts w:ascii="宋体" w:hAnsi="宋体" w:eastAsia="宋体" w:cs="宋体"/>
          <w:color w:val="auto"/>
          <w:spacing w:val="-3"/>
          <w:sz w:val="21"/>
          <w:szCs w:val="21"/>
          <w:highlight w:val="none"/>
        </w:rPr>
        <w:t>增加的费用和（或） 延误的工期由承包</w:t>
      </w:r>
    </w:p>
    <w:p w14:paraId="17A36CB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人承担。</w:t>
      </w:r>
    </w:p>
    <w:p w14:paraId="0FA01089">
      <w:pPr>
        <w:spacing w:before="147" w:line="404" w:lineRule="exact"/>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8.5.2</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监理人发现承包人使用了不合格的材</w:t>
      </w:r>
      <w:r>
        <w:rPr>
          <w:rFonts w:ascii="宋体" w:hAnsi="宋体" w:eastAsia="宋体" w:cs="宋体"/>
          <w:color w:val="auto"/>
          <w:position w:val="14"/>
          <w:sz w:val="21"/>
          <w:szCs w:val="21"/>
          <w:highlight w:val="none"/>
        </w:rPr>
        <w:t>料和工程设备，承包人应按照监理人的指示</w:t>
      </w:r>
    </w:p>
    <w:p w14:paraId="7FD7F6F4">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立即改正，</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并禁止在工程中继续使用不合格的材料和工程设备。</w:t>
      </w:r>
    </w:p>
    <w:p w14:paraId="6BF5CE0D">
      <w:pPr>
        <w:spacing w:before="149" w:line="275" w:lineRule="auto"/>
        <w:ind w:left="16" w:firstLine="429"/>
        <w:rPr>
          <w:rFonts w:ascii="黑体" w:hAnsi="黑体" w:eastAsia="黑体" w:cs="黑体"/>
          <w:color w:val="auto"/>
          <w:sz w:val="24"/>
          <w:szCs w:val="24"/>
          <w:highlight w:val="none"/>
        </w:rPr>
      </w:pPr>
      <w:r>
        <w:rPr>
          <w:rFonts w:ascii="Times New Roman" w:hAnsi="Times New Roman" w:eastAsia="Times New Roman" w:cs="Times New Roman"/>
          <w:color w:val="auto"/>
          <w:sz w:val="21"/>
          <w:szCs w:val="21"/>
          <w:highlight w:val="none"/>
        </w:rPr>
        <w:t>8.5.3</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z w:val="21"/>
          <w:szCs w:val="21"/>
          <w:highlight w:val="none"/>
        </w:rPr>
        <w:t>发包人提供的材料或工程设备不符合合同要求的，承包人有权拒绝，并可要求发  包人更换，由此增加的费用和（或） 延误的工期由发包</w:t>
      </w:r>
      <w:r>
        <w:rPr>
          <w:rFonts w:ascii="宋体" w:hAnsi="宋体" w:eastAsia="宋体" w:cs="宋体"/>
          <w:color w:val="auto"/>
          <w:spacing w:val="-1"/>
          <w:sz w:val="21"/>
          <w:szCs w:val="21"/>
          <w:highlight w:val="none"/>
        </w:rPr>
        <w:t>人承担，并支付承包人合理的利润。</w:t>
      </w:r>
      <w:r>
        <w:rPr>
          <w:rFonts w:ascii="宋体" w:hAnsi="宋体" w:eastAsia="宋体" w:cs="宋体"/>
          <w:color w:val="auto"/>
          <w:sz w:val="21"/>
          <w:szCs w:val="21"/>
          <w:highlight w:val="none"/>
        </w:rPr>
        <w:t xml:space="preserve"> </w:t>
      </w:r>
      <w:r>
        <w:rPr>
          <w:rFonts w:ascii="黑体" w:hAnsi="黑体" w:eastAsia="黑体" w:cs="黑体"/>
          <w:color w:val="auto"/>
          <w:spacing w:val="-3"/>
          <w:sz w:val="24"/>
          <w:szCs w:val="24"/>
          <w:highlight w:val="none"/>
        </w:rPr>
        <w:t>8.6</w:t>
      </w:r>
      <w:r>
        <w:rPr>
          <w:rFonts w:ascii="黑体" w:hAnsi="黑体" w:eastAsia="黑体" w:cs="黑体"/>
          <w:color w:val="auto"/>
          <w:spacing w:val="12"/>
          <w:sz w:val="24"/>
          <w:szCs w:val="24"/>
          <w:highlight w:val="none"/>
        </w:rPr>
        <w:t xml:space="preserve"> </w:t>
      </w:r>
      <w:r>
        <w:rPr>
          <w:rFonts w:ascii="黑体" w:hAnsi="黑体" w:eastAsia="黑体" w:cs="黑体"/>
          <w:color w:val="auto"/>
          <w:spacing w:val="-3"/>
          <w:sz w:val="24"/>
          <w:szCs w:val="24"/>
          <w:highlight w:val="none"/>
        </w:rPr>
        <w:t>样品</w:t>
      </w:r>
    </w:p>
    <w:p w14:paraId="38E4B417">
      <w:pPr>
        <w:spacing w:before="126"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8.6.1 </w:t>
      </w:r>
      <w:r>
        <w:rPr>
          <w:rFonts w:ascii="宋体" w:hAnsi="宋体" w:eastAsia="宋体" w:cs="宋体"/>
          <w:color w:val="auto"/>
          <w:spacing w:val="-2"/>
          <w:sz w:val="21"/>
          <w:szCs w:val="21"/>
          <w:highlight w:val="none"/>
        </w:rPr>
        <w:t>样品的报送与封存</w:t>
      </w:r>
    </w:p>
    <w:p w14:paraId="3FEDFB7B">
      <w:pPr>
        <w:spacing w:before="152" w:line="398" w:lineRule="exact"/>
        <w:ind w:left="45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需要承包人报送样品的材料或工程设备， 样品的种类、名称、规格、数量等要</w:t>
      </w:r>
      <w:r>
        <w:rPr>
          <w:rFonts w:ascii="宋体" w:hAnsi="宋体" w:eastAsia="宋体" w:cs="宋体"/>
          <w:color w:val="auto"/>
          <w:spacing w:val="-1"/>
          <w:position w:val="14"/>
          <w:sz w:val="21"/>
          <w:szCs w:val="21"/>
          <w:highlight w:val="none"/>
        </w:rPr>
        <w:t>求均应</w:t>
      </w:r>
    </w:p>
    <w:p w14:paraId="1B734B6D">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在专用合同条款中约定。样品的报送程序如下：</w:t>
      </w:r>
    </w:p>
    <w:p w14:paraId="3CC8BD47">
      <w:pPr>
        <w:spacing w:before="149" w:line="352" w:lineRule="auto"/>
        <w:ind w:left="18" w:right="5"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）承包人应在计划采购前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天向监理人报送样品。承包</w:t>
      </w:r>
      <w:r>
        <w:rPr>
          <w:rFonts w:ascii="宋体" w:hAnsi="宋体" w:eastAsia="宋体" w:cs="宋体"/>
          <w:color w:val="auto"/>
          <w:spacing w:val="-1"/>
          <w:sz w:val="21"/>
          <w:szCs w:val="21"/>
          <w:highlight w:val="none"/>
        </w:rPr>
        <w:t xml:space="preserve">人报送的样品均应来自供  </w:t>
      </w:r>
      <w:r>
        <w:rPr>
          <w:rFonts w:ascii="宋体" w:hAnsi="宋体" w:eastAsia="宋体" w:cs="宋体"/>
          <w:color w:val="auto"/>
          <w:spacing w:val="2"/>
          <w:sz w:val="21"/>
          <w:szCs w:val="21"/>
          <w:highlight w:val="none"/>
        </w:rPr>
        <w:t>应材料的实际生产地，且提供的样品的规格、数量足以表明材料或工程设备的质量、型号、</w:t>
      </w:r>
    </w:p>
    <w:p w14:paraId="1713E6B7">
      <w:pPr>
        <w:spacing w:line="220" w:lineRule="auto"/>
        <w:ind w:left="17"/>
        <w:rPr>
          <w:rFonts w:ascii="宋体" w:hAnsi="宋体" w:eastAsia="宋体" w:cs="宋体"/>
          <w:color w:val="auto"/>
          <w:sz w:val="21"/>
          <w:szCs w:val="21"/>
          <w:highlight w:val="none"/>
        </w:rPr>
      </w:pPr>
      <w:r>
        <w:rPr>
          <w:rFonts w:ascii="宋体" w:hAnsi="宋体" w:eastAsia="宋体" w:cs="宋体"/>
          <w:color w:val="auto"/>
          <w:sz w:val="21"/>
          <w:szCs w:val="21"/>
          <w:highlight w:val="none"/>
        </w:rPr>
        <w:t>颜色、表面处理、质地、误差和其他要求的</w:t>
      </w:r>
      <w:r>
        <w:rPr>
          <w:rFonts w:ascii="宋体" w:hAnsi="宋体" w:eastAsia="宋体" w:cs="宋体"/>
          <w:color w:val="auto"/>
          <w:spacing w:val="-1"/>
          <w:sz w:val="21"/>
          <w:szCs w:val="21"/>
          <w:highlight w:val="none"/>
        </w:rPr>
        <w:t>特征。</w:t>
      </w:r>
    </w:p>
    <w:p w14:paraId="39826C01">
      <w:pPr>
        <w:spacing w:before="147" w:line="353" w:lineRule="auto"/>
        <w:ind w:left="23" w:right="19" w:firstLine="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）承包人每次报送样品时应随附申报单，申报单应载明报送样品的</w:t>
      </w:r>
      <w:r>
        <w:rPr>
          <w:rFonts w:ascii="宋体" w:hAnsi="宋体" w:eastAsia="宋体" w:cs="宋体"/>
          <w:color w:val="auto"/>
          <w:spacing w:val="-2"/>
          <w:sz w:val="21"/>
          <w:szCs w:val="21"/>
          <w:highlight w:val="none"/>
        </w:rPr>
        <w:t>相关数据和资料，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并标明每件样品对应的图纸号，预留监理人批复意见栏。监理人</w:t>
      </w:r>
      <w:r>
        <w:rPr>
          <w:rFonts w:ascii="宋体" w:hAnsi="宋体" w:eastAsia="宋体" w:cs="宋体"/>
          <w:color w:val="auto"/>
          <w:spacing w:val="2"/>
          <w:sz w:val="21"/>
          <w:szCs w:val="21"/>
          <w:highlight w:val="none"/>
        </w:rPr>
        <w:t>应在收到承包人报送的样</w:t>
      </w:r>
    </w:p>
    <w:p w14:paraId="467B31BC">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品后</w:t>
      </w:r>
      <w:r>
        <w:rPr>
          <w:rFonts w:ascii="宋体" w:hAnsi="宋体" w:eastAsia="宋体" w:cs="宋体"/>
          <w:color w:val="auto"/>
          <w:spacing w:val="-3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天向承包人回复经发包人签认的样品审批意见。</w:t>
      </w:r>
    </w:p>
    <w:p w14:paraId="52857895">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）经发包人和监理人审批确认的样品应按约定的方法封样，封存的样品作为检验工</w:t>
      </w:r>
    </w:p>
    <w:p w14:paraId="1F6496C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程相关部分的标准之一。承包人在施工过程中不得使用与样品不符的材料或工程设备。</w:t>
      </w:r>
    </w:p>
    <w:p w14:paraId="381DFF89">
      <w:pPr>
        <w:spacing w:before="147" w:line="353" w:lineRule="auto"/>
        <w:ind w:left="21" w:right="180"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）发包人和监理人对样品的审批确认仅为确认相关材料或工程设备的特</w:t>
      </w:r>
      <w:r>
        <w:rPr>
          <w:rFonts w:ascii="宋体" w:hAnsi="宋体" w:eastAsia="宋体" w:cs="宋体"/>
          <w:color w:val="auto"/>
          <w:spacing w:val="-2"/>
          <w:sz w:val="21"/>
          <w:szCs w:val="21"/>
          <w:highlight w:val="none"/>
        </w:rPr>
        <w:t>征或用途，</w:t>
      </w:r>
      <w:r>
        <w:rPr>
          <w:rFonts w:ascii="宋体" w:hAnsi="宋体" w:eastAsia="宋体" w:cs="宋体"/>
          <w:color w:val="auto"/>
          <w:sz w:val="21"/>
          <w:szCs w:val="21"/>
          <w:highlight w:val="none"/>
        </w:rPr>
        <w:t xml:space="preserve"> 不得被理解为对合同的修改或改变，也并不减轻或免除承包人任何的责任和义务。 如果封</w:t>
      </w:r>
    </w:p>
    <w:p w14:paraId="06C2F565">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存的样品修改或改变了合同约定，合同当事人应当以书面协议予以确认。</w:t>
      </w:r>
    </w:p>
    <w:p w14:paraId="6159CD42">
      <w:pPr>
        <w:spacing w:before="148"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8.6.2 </w:t>
      </w:r>
      <w:r>
        <w:rPr>
          <w:rFonts w:ascii="宋体" w:hAnsi="宋体" w:eastAsia="宋体" w:cs="宋体"/>
          <w:color w:val="auto"/>
          <w:spacing w:val="-1"/>
          <w:sz w:val="21"/>
          <w:szCs w:val="21"/>
          <w:highlight w:val="none"/>
        </w:rPr>
        <w:t>样品的保管</w:t>
      </w:r>
    </w:p>
    <w:p w14:paraId="5A67AA47">
      <w:pPr>
        <w:spacing w:before="148"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经批准的样品应由监理人负责封存于现场，承包人应在现场为保存样品提供适当和固</w:t>
      </w:r>
    </w:p>
    <w:p w14:paraId="51F74AD7">
      <w:pPr>
        <w:spacing w:before="152" w:line="221"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定的场所并保持适当和良好的存储环境条件。</w:t>
      </w:r>
    </w:p>
    <w:p w14:paraId="0EB02352">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8.7</w:t>
      </w:r>
      <w:r>
        <w:rPr>
          <w:rFonts w:ascii="黑体" w:hAnsi="黑体" w:eastAsia="黑体" w:cs="黑体"/>
          <w:color w:val="auto"/>
          <w:spacing w:val="-43"/>
          <w:sz w:val="24"/>
          <w:szCs w:val="24"/>
          <w:highlight w:val="none"/>
        </w:rPr>
        <w:t xml:space="preserve"> </w:t>
      </w:r>
      <w:r>
        <w:rPr>
          <w:rFonts w:ascii="黑体" w:hAnsi="黑体" w:eastAsia="黑体" w:cs="黑体"/>
          <w:color w:val="auto"/>
          <w:spacing w:val="-2"/>
          <w:sz w:val="24"/>
          <w:szCs w:val="24"/>
          <w:highlight w:val="none"/>
        </w:rPr>
        <w:t>材料与工程设备的替代</w:t>
      </w:r>
    </w:p>
    <w:p w14:paraId="429A55D4">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8.7.1 </w:t>
      </w:r>
      <w:r>
        <w:rPr>
          <w:rFonts w:ascii="宋体" w:hAnsi="宋体" w:eastAsia="宋体" w:cs="宋体"/>
          <w:color w:val="auto"/>
          <w:spacing w:val="-1"/>
          <w:sz w:val="21"/>
          <w:szCs w:val="21"/>
          <w:highlight w:val="none"/>
        </w:rPr>
        <w:t>出现下列情况需要使用替代材料和工程设备的，承包人应按照第</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8</w:t>
      </w:r>
      <w:r>
        <w:rPr>
          <w:rFonts w:ascii="Times New Roman" w:hAnsi="Times New Roman" w:eastAsia="Times New Roman" w:cs="Times New Roman"/>
          <w:color w:val="auto"/>
          <w:spacing w:val="-2"/>
          <w:sz w:val="21"/>
          <w:szCs w:val="21"/>
          <w:highlight w:val="none"/>
        </w:rPr>
        <w:t xml:space="preserve">.7.2 </w:t>
      </w:r>
      <w:r>
        <w:rPr>
          <w:rFonts w:ascii="宋体" w:hAnsi="宋体" w:eastAsia="宋体" w:cs="宋体"/>
          <w:color w:val="auto"/>
          <w:spacing w:val="-2"/>
          <w:sz w:val="21"/>
          <w:szCs w:val="21"/>
          <w:highlight w:val="none"/>
        </w:rPr>
        <w:t>项约定的程</w:t>
      </w:r>
    </w:p>
    <w:p w14:paraId="73D7C6BC">
      <w:pPr>
        <w:spacing w:before="148" w:line="221" w:lineRule="auto"/>
        <w:ind w:left="1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序执行：</w:t>
      </w:r>
    </w:p>
    <w:p w14:paraId="2C351E55">
      <w:pPr>
        <w:spacing w:before="152"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）基准日期后生效的法律规定禁止使用的；</w:t>
      </w:r>
    </w:p>
    <w:p w14:paraId="37375E2D">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）发包人要求使用替代品的；</w:t>
      </w:r>
    </w:p>
    <w:p w14:paraId="630ED855">
      <w:pPr>
        <w:spacing w:line="220" w:lineRule="auto"/>
        <w:rPr>
          <w:rFonts w:ascii="宋体" w:hAnsi="宋体" w:eastAsia="宋体" w:cs="宋体"/>
          <w:color w:val="auto"/>
          <w:sz w:val="21"/>
          <w:szCs w:val="21"/>
          <w:highlight w:val="none"/>
        </w:rPr>
        <w:sectPr>
          <w:footerReference r:id="rId125" w:type="default"/>
          <w:pgSz w:w="11905" w:h="16839"/>
          <w:pgMar w:top="1431" w:right="1611" w:bottom="1004" w:left="1785" w:header="0" w:footer="828" w:gutter="0"/>
          <w:pgNumType w:fmt="decimal"/>
          <w:cols w:space="720" w:num="1"/>
        </w:sectPr>
      </w:pPr>
    </w:p>
    <w:p w14:paraId="57F484E3">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）因其他原因必须使用替代品的。</w:t>
      </w:r>
    </w:p>
    <w:p w14:paraId="345BE7E3">
      <w:pPr>
        <w:spacing w:before="147"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8.7.2 </w:t>
      </w:r>
      <w:r>
        <w:rPr>
          <w:rFonts w:ascii="宋体" w:hAnsi="宋体" w:eastAsia="宋体" w:cs="宋体"/>
          <w:color w:val="auto"/>
          <w:spacing w:val="-1"/>
          <w:sz w:val="21"/>
          <w:szCs w:val="21"/>
          <w:highlight w:val="none"/>
        </w:rPr>
        <w:t>承包人应在使用替代材料和工程设备</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宋体" w:hAnsi="宋体" w:eastAsia="宋体" w:cs="宋体"/>
          <w:color w:val="auto"/>
          <w:spacing w:val="-1"/>
          <w:sz w:val="21"/>
          <w:szCs w:val="21"/>
          <w:highlight w:val="none"/>
        </w:rPr>
        <w:t>天前书面通知监理人，并附下列文件：</w:t>
      </w:r>
    </w:p>
    <w:p w14:paraId="04E697C9">
      <w:pPr>
        <w:spacing w:before="153" w:line="219" w:lineRule="auto"/>
        <w:ind w:right="1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）被替代的材料和工程设备的名称、数量、规格、型号、品牌、性能、价</w:t>
      </w:r>
      <w:r>
        <w:rPr>
          <w:rFonts w:ascii="宋体" w:hAnsi="宋体" w:eastAsia="宋体" w:cs="宋体"/>
          <w:color w:val="auto"/>
          <w:spacing w:val="-1"/>
          <w:sz w:val="21"/>
          <w:szCs w:val="21"/>
          <w:highlight w:val="none"/>
        </w:rPr>
        <w:t>格及其他</w:t>
      </w:r>
    </w:p>
    <w:p w14:paraId="0AA38B8A">
      <w:pPr>
        <w:spacing w:before="150" w:line="221" w:lineRule="auto"/>
        <w:ind w:left="1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相关资料；</w:t>
      </w:r>
    </w:p>
    <w:p w14:paraId="61FC5957">
      <w:pPr>
        <w:spacing w:before="146"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）替代品的名称、数量、规格、型号、品牌、性能</w:t>
      </w:r>
      <w:r>
        <w:rPr>
          <w:rFonts w:ascii="宋体" w:hAnsi="宋体" w:eastAsia="宋体" w:cs="宋体"/>
          <w:color w:val="auto"/>
          <w:spacing w:val="-2"/>
          <w:position w:val="14"/>
          <w:sz w:val="21"/>
          <w:szCs w:val="21"/>
          <w:highlight w:val="none"/>
        </w:rPr>
        <w:t>、价格及其他相关资料；</w:t>
      </w:r>
    </w:p>
    <w:p w14:paraId="7D102984">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）替代品与被替代产品之间的差异以及使用替代品</w:t>
      </w:r>
      <w:r>
        <w:rPr>
          <w:rFonts w:ascii="宋体" w:hAnsi="宋体" w:eastAsia="宋体" w:cs="宋体"/>
          <w:color w:val="auto"/>
          <w:spacing w:val="-2"/>
          <w:sz w:val="21"/>
          <w:szCs w:val="21"/>
          <w:highlight w:val="none"/>
        </w:rPr>
        <w:t>可能对工程产生的影响；</w:t>
      </w:r>
    </w:p>
    <w:p w14:paraId="28950A41">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4</w:t>
      </w:r>
      <w:r>
        <w:rPr>
          <w:rFonts w:ascii="宋体" w:hAnsi="宋体" w:eastAsia="宋体" w:cs="宋体"/>
          <w:color w:val="auto"/>
          <w:spacing w:val="-3"/>
          <w:position w:val="14"/>
          <w:sz w:val="21"/>
          <w:szCs w:val="21"/>
          <w:highlight w:val="none"/>
        </w:rPr>
        <w:t>）替代品与被替代产品的价格差异；</w:t>
      </w:r>
    </w:p>
    <w:p w14:paraId="68C4C7A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）使用替代品的理由和原因说明；</w:t>
      </w:r>
    </w:p>
    <w:p w14:paraId="1A3886BD">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）监理人要求的其他文件。</w:t>
      </w:r>
    </w:p>
    <w:p w14:paraId="7562BBA7">
      <w:pPr>
        <w:spacing w:before="148" w:line="398" w:lineRule="exact"/>
        <w:ind w:right="1"/>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 xml:space="preserve">监理人应在收到通知后 </w:t>
      </w:r>
      <w:r>
        <w:rPr>
          <w:rFonts w:ascii="Times New Roman" w:hAnsi="Times New Roman" w:eastAsia="Times New Roman" w:cs="Times New Roman"/>
          <w:color w:val="auto"/>
          <w:spacing w:val="-4"/>
          <w:position w:val="14"/>
          <w:sz w:val="21"/>
          <w:szCs w:val="21"/>
          <w:highlight w:val="none"/>
        </w:rPr>
        <w:t>14</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4"/>
          <w:position w:val="14"/>
          <w:sz w:val="21"/>
          <w:szCs w:val="21"/>
          <w:highlight w:val="none"/>
        </w:rPr>
        <w:t>天内向承包人发出经发包人签认的书面指示； 监理人逾期发</w:t>
      </w:r>
    </w:p>
    <w:p w14:paraId="2FB2B626">
      <w:pPr>
        <w:spacing w:before="1" w:line="219" w:lineRule="auto"/>
        <w:ind w:left="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出书面指示的，视为发包人和监理人同意使用替代品。</w:t>
      </w:r>
    </w:p>
    <w:p w14:paraId="2D2F76A9">
      <w:pPr>
        <w:spacing w:before="152" w:line="351" w:lineRule="auto"/>
        <w:ind w:left="19" w:right="5" w:firstLine="426"/>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8.7.3</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z w:val="21"/>
          <w:szCs w:val="21"/>
          <w:highlight w:val="none"/>
        </w:rPr>
        <w:t xml:space="preserve">发包人认可使用替代材料和工程设备的，替代材料和工程设备的价格，按照已标 </w:t>
      </w:r>
      <w:r>
        <w:rPr>
          <w:rFonts w:ascii="宋体" w:hAnsi="宋体" w:eastAsia="宋体" w:cs="宋体"/>
          <w:color w:val="auto"/>
          <w:spacing w:val="-2"/>
          <w:sz w:val="21"/>
          <w:szCs w:val="21"/>
          <w:highlight w:val="none"/>
        </w:rPr>
        <w:t>价工程量清单或预算书相同项目的价格认定； 无相同项目的，参</w:t>
      </w:r>
      <w:r>
        <w:rPr>
          <w:rFonts w:ascii="宋体" w:hAnsi="宋体" w:eastAsia="宋体" w:cs="宋体"/>
          <w:color w:val="auto"/>
          <w:spacing w:val="-3"/>
          <w:sz w:val="21"/>
          <w:szCs w:val="21"/>
          <w:highlight w:val="none"/>
        </w:rPr>
        <w:t>考相似项目价格认定； 既</w:t>
      </w:r>
    </w:p>
    <w:p w14:paraId="1380CA48">
      <w:pPr>
        <w:spacing w:before="1" w:line="219" w:lineRule="auto"/>
        <w:ind w:left="20"/>
        <w:rPr>
          <w:rFonts w:ascii="Times New Roman" w:hAnsi="Times New Roman" w:eastAsia="Times New Roman" w:cs="Times New Roman"/>
          <w:color w:val="auto"/>
          <w:sz w:val="21"/>
          <w:szCs w:val="21"/>
          <w:highlight w:val="none"/>
        </w:rPr>
      </w:pPr>
      <w:r>
        <w:rPr>
          <w:rFonts w:ascii="宋体" w:hAnsi="宋体" w:eastAsia="宋体" w:cs="宋体"/>
          <w:color w:val="auto"/>
          <w:spacing w:val="-3"/>
          <w:sz w:val="21"/>
          <w:szCs w:val="21"/>
          <w:highlight w:val="none"/>
        </w:rPr>
        <w:t>无相同项目也无相似项目的， 按照合理的成本与利润构成的原则，由合同当事人按照第</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pacing w:val="-3"/>
          <w:sz w:val="21"/>
          <w:szCs w:val="21"/>
          <w:highlight w:val="none"/>
        </w:rPr>
        <w:t>4.4</w:t>
      </w:r>
    </w:p>
    <w:p w14:paraId="20C704A3">
      <w:pPr>
        <w:spacing w:before="153"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款〔商定或确定〕确定价格。</w:t>
      </w:r>
    </w:p>
    <w:p w14:paraId="1D213601">
      <w:pPr>
        <w:spacing w:before="48"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8.8</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施工设备和临时设施</w:t>
      </w:r>
    </w:p>
    <w:p w14:paraId="1D0EB1A4">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8.8.1 </w:t>
      </w:r>
      <w:r>
        <w:rPr>
          <w:rFonts w:ascii="宋体" w:hAnsi="宋体" w:eastAsia="宋体" w:cs="宋体"/>
          <w:color w:val="auto"/>
          <w:spacing w:val="-1"/>
          <w:sz w:val="21"/>
          <w:szCs w:val="21"/>
          <w:highlight w:val="none"/>
        </w:rPr>
        <w:t>承包人提供的施工设备和临时设施</w:t>
      </w:r>
    </w:p>
    <w:p w14:paraId="6FAB61F0">
      <w:pPr>
        <w:spacing w:before="149" w:line="352" w:lineRule="auto"/>
        <w:ind w:left="35" w:right="6"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承包人应按合同进度计划的要求，及时配置施工设备和修建临时设施。进入施工场地 </w:t>
      </w:r>
      <w:r>
        <w:rPr>
          <w:rFonts w:ascii="宋体" w:hAnsi="宋体" w:eastAsia="宋体" w:cs="宋体"/>
          <w:color w:val="auto"/>
          <w:sz w:val="21"/>
          <w:szCs w:val="21"/>
          <w:highlight w:val="none"/>
        </w:rPr>
        <w:t>的承包人设备需经监理人核查后才能投入使用。承包人更换合同约</w:t>
      </w:r>
      <w:r>
        <w:rPr>
          <w:rFonts w:ascii="宋体" w:hAnsi="宋体" w:eastAsia="宋体" w:cs="宋体"/>
          <w:color w:val="auto"/>
          <w:spacing w:val="-1"/>
          <w:sz w:val="21"/>
          <w:szCs w:val="21"/>
          <w:highlight w:val="none"/>
        </w:rPr>
        <w:t>定的承包人设备的， 应</w:t>
      </w:r>
    </w:p>
    <w:p w14:paraId="5E757202">
      <w:pPr>
        <w:spacing w:before="1" w:line="220" w:lineRule="auto"/>
        <w:ind w:left="1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报监理人批准。</w:t>
      </w:r>
    </w:p>
    <w:p w14:paraId="095730C2">
      <w:pPr>
        <w:spacing w:before="147"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除专用合同条款另有约定外，承包人应自行承担修建临时设施</w:t>
      </w:r>
      <w:r>
        <w:rPr>
          <w:rFonts w:ascii="宋体" w:hAnsi="宋体" w:eastAsia="宋体" w:cs="宋体"/>
          <w:color w:val="auto"/>
          <w:spacing w:val="2"/>
          <w:position w:val="14"/>
          <w:sz w:val="21"/>
          <w:szCs w:val="21"/>
          <w:highlight w:val="none"/>
        </w:rPr>
        <w:t>的费用，需要临时占地</w:t>
      </w:r>
    </w:p>
    <w:p w14:paraId="61F9C0FC">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的，应由发包人办理申请手续并承担相应费用。</w:t>
      </w:r>
    </w:p>
    <w:p w14:paraId="5BF93E70">
      <w:pPr>
        <w:spacing w:before="147"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8.8.2 </w:t>
      </w:r>
      <w:r>
        <w:rPr>
          <w:rFonts w:ascii="宋体" w:hAnsi="宋体" w:eastAsia="宋体" w:cs="宋体"/>
          <w:color w:val="auto"/>
          <w:spacing w:val="-1"/>
          <w:sz w:val="21"/>
          <w:szCs w:val="21"/>
          <w:highlight w:val="none"/>
        </w:rPr>
        <w:t>发包人提供的施工设备和临时设施</w:t>
      </w:r>
    </w:p>
    <w:p w14:paraId="0201FF84">
      <w:pPr>
        <w:spacing w:before="148"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发包人提供的施工设备或临时设施在专用合同条</w:t>
      </w:r>
      <w:r>
        <w:rPr>
          <w:rFonts w:ascii="宋体" w:hAnsi="宋体" w:eastAsia="宋体" w:cs="宋体"/>
          <w:color w:val="auto"/>
          <w:spacing w:val="-2"/>
          <w:sz w:val="21"/>
          <w:szCs w:val="21"/>
          <w:highlight w:val="none"/>
        </w:rPr>
        <w:t>款中约定。</w:t>
      </w:r>
    </w:p>
    <w:p w14:paraId="735C37E3">
      <w:pPr>
        <w:spacing w:before="153"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8.8.3 </w:t>
      </w:r>
      <w:r>
        <w:rPr>
          <w:rFonts w:ascii="宋体" w:hAnsi="宋体" w:eastAsia="宋体" w:cs="宋体"/>
          <w:color w:val="auto"/>
          <w:spacing w:val="-1"/>
          <w:sz w:val="21"/>
          <w:szCs w:val="21"/>
          <w:highlight w:val="none"/>
        </w:rPr>
        <w:t>要求承包人增加或更换施工设备</w:t>
      </w:r>
    </w:p>
    <w:p w14:paraId="51092A4F">
      <w:pPr>
        <w:spacing w:before="148"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承包人使用的施工设备不能满足合同进度计划和</w:t>
      </w:r>
      <w:r>
        <w:rPr>
          <w:rFonts w:ascii="宋体" w:hAnsi="宋体" w:eastAsia="宋体" w:cs="宋体"/>
          <w:color w:val="auto"/>
          <w:spacing w:val="-3"/>
          <w:position w:val="14"/>
          <w:sz w:val="21"/>
          <w:szCs w:val="21"/>
          <w:highlight w:val="none"/>
        </w:rPr>
        <w:t>（或） 质量要求时， 监理人有权要求</w:t>
      </w:r>
    </w:p>
    <w:p w14:paraId="4EB4F3B8">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承包人增加或更换施工设备， 承包人应及时增加或更</w:t>
      </w:r>
      <w:r>
        <w:rPr>
          <w:rFonts w:ascii="宋体" w:hAnsi="宋体" w:eastAsia="宋体" w:cs="宋体"/>
          <w:color w:val="auto"/>
          <w:spacing w:val="-3"/>
          <w:sz w:val="21"/>
          <w:szCs w:val="21"/>
          <w:highlight w:val="none"/>
        </w:rPr>
        <w:t>换，由此增加的费用和（或） 延误的</w:t>
      </w:r>
    </w:p>
    <w:p w14:paraId="1C5AF7B2">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工期由承包人承担。</w:t>
      </w:r>
    </w:p>
    <w:p w14:paraId="495E018A">
      <w:pPr>
        <w:spacing w:before="45"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8.9</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材料与设备专用要求</w:t>
      </w:r>
    </w:p>
    <w:p w14:paraId="1FF2AF77">
      <w:pPr>
        <w:spacing w:before="129" w:line="352" w:lineRule="auto"/>
        <w:ind w:left="18" w:right="11"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承包人运入施工现场的材料、工程设备、施工设备以及在施工场地建设的临时</w:t>
      </w:r>
      <w:r>
        <w:rPr>
          <w:rFonts w:ascii="宋体" w:hAnsi="宋体" w:eastAsia="宋体" w:cs="宋体"/>
          <w:color w:val="auto"/>
          <w:spacing w:val="2"/>
          <w:sz w:val="21"/>
          <w:szCs w:val="21"/>
          <w:highlight w:val="none"/>
        </w:rPr>
        <w:t>设施，</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包括备品备件、安装工具与资料， 必须专用于工程。</w:t>
      </w:r>
      <w:r>
        <w:rPr>
          <w:rFonts w:ascii="宋体" w:hAnsi="宋体" w:eastAsia="宋体" w:cs="宋体"/>
          <w:color w:val="auto"/>
          <w:spacing w:val="-3"/>
          <w:sz w:val="21"/>
          <w:szCs w:val="21"/>
          <w:highlight w:val="none"/>
        </w:rPr>
        <w:t>未经发包人批准， 承包人不得运出施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工现场或挪作他用；经发包人批准，承包人可以根据施工进度计划撤走闲置</w:t>
      </w:r>
      <w:r>
        <w:rPr>
          <w:rFonts w:ascii="宋体" w:hAnsi="宋体" w:eastAsia="宋体" w:cs="宋体"/>
          <w:color w:val="auto"/>
          <w:spacing w:val="2"/>
          <w:sz w:val="21"/>
          <w:szCs w:val="21"/>
          <w:highlight w:val="none"/>
        </w:rPr>
        <w:t>的施工设备和</w:t>
      </w:r>
    </w:p>
    <w:p w14:paraId="709EDBDF">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其他物品。</w:t>
      </w:r>
    </w:p>
    <w:p w14:paraId="7974CEA3">
      <w:pPr>
        <w:spacing w:before="172" w:line="219" w:lineRule="auto"/>
        <w:ind w:left="13"/>
        <w:rPr>
          <w:rFonts w:ascii="黑体" w:hAnsi="黑体" w:eastAsia="黑体" w:cs="黑体"/>
          <w:color w:val="auto"/>
          <w:sz w:val="32"/>
          <w:szCs w:val="32"/>
          <w:highlight w:val="none"/>
        </w:rPr>
      </w:pPr>
      <w:r>
        <w:rPr>
          <w:rFonts w:ascii="黑体" w:hAnsi="黑体" w:eastAsia="黑体" w:cs="黑体"/>
          <w:color w:val="auto"/>
          <w:sz w:val="32"/>
          <w:szCs w:val="32"/>
          <w:highlight w:val="none"/>
        </w:rPr>
        <w:t>9.试验与检验</w:t>
      </w:r>
    </w:p>
    <w:p w14:paraId="0500A922">
      <w:pPr>
        <w:spacing w:line="219" w:lineRule="auto"/>
        <w:rPr>
          <w:rFonts w:ascii="黑体" w:hAnsi="黑体" w:eastAsia="黑体" w:cs="黑体"/>
          <w:color w:val="auto"/>
          <w:sz w:val="32"/>
          <w:szCs w:val="32"/>
          <w:highlight w:val="none"/>
        </w:rPr>
        <w:sectPr>
          <w:footerReference r:id="rId126" w:type="default"/>
          <w:pgSz w:w="11905" w:h="16839"/>
          <w:pgMar w:top="1431" w:right="1785" w:bottom="1004" w:left="1785" w:header="0" w:footer="828" w:gutter="0"/>
          <w:pgNumType w:fmt="decimal"/>
          <w:cols w:space="720" w:num="1"/>
        </w:sectPr>
      </w:pPr>
    </w:p>
    <w:p w14:paraId="4AB79D37">
      <w:pPr>
        <w:spacing w:before="48"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9.1</w:t>
      </w:r>
      <w:r>
        <w:rPr>
          <w:rFonts w:ascii="黑体" w:hAnsi="黑体" w:eastAsia="黑体" w:cs="黑体"/>
          <w:color w:val="auto"/>
          <w:spacing w:val="-41"/>
          <w:sz w:val="24"/>
          <w:szCs w:val="24"/>
          <w:highlight w:val="none"/>
        </w:rPr>
        <w:t xml:space="preserve"> </w:t>
      </w:r>
      <w:r>
        <w:rPr>
          <w:rFonts w:ascii="黑体" w:hAnsi="黑体" w:eastAsia="黑体" w:cs="黑体"/>
          <w:color w:val="auto"/>
          <w:spacing w:val="-2"/>
          <w:sz w:val="24"/>
          <w:szCs w:val="24"/>
          <w:highlight w:val="none"/>
        </w:rPr>
        <w:t>试验设备与试验人员</w:t>
      </w:r>
    </w:p>
    <w:p w14:paraId="10A2A3E2">
      <w:pPr>
        <w:spacing w:before="129" w:line="352" w:lineRule="auto"/>
        <w:ind w:left="18" w:right="176"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9.1.1</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承包人根据合同约定或监理人指示进行的现场材</w:t>
      </w:r>
      <w:r>
        <w:rPr>
          <w:rFonts w:ascii="宋体" w:hAnsi="宋体" w:eastAsia="宋体" w:cs="宋体"/>
          <w:color w:val="auto"/>
          <w:sz w:val="21"/>
          <w:szCs w:val="21"/>
          <w:highlight w:val="none"/>
        </w:rPr>
        <w:t xml:space="preserve">料试验，应由承包人提供试验场 </w:t>
      </w:r>
      <w:r>
        <w:rPr>
          <w:rFonts w:ascii="宋体" w:hAnsi="宋体" w:eastAsia="宋体" w:cs="宋体"/>
          <w:color w:val="auto"/>
          <w:spacing w:val="3"/>
          <w:sz w:val="21"/>
          <w:szCs w:val="21"/>
          <w:highlight w:val="none"/>
        </w:rPr>
        <w:t>所、试验人员、试验设备以及其他必要的试验条件。监理人在必要时可以使</w:t>
      </w:r>
      <w:r>
        <w:rPr>
          <w:rFonts w:ascii="宋体" w:hAnsi="宋体" w:eastAsia="宋体" w:cs="宋体"/>
          <w:color w:val="auto"/>
          <w:spacing w:val="2"/>
          <w:sz w:val="21"/>
          <w:szCs w:val="21"/>
          <w:highlight w:val="none"/>
        </w:rPr>
        <w:t>用承包人提供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的试验场所、试验设备以及其他试验条件，进行以工程质量检查</w:t>
      </w:r>
      <w:r>
        <w:rPr>
          <w:rFonts w:ascii="宋体" w:hAnsi="宋体" w:eastAsia="宋体" w:cs="宋体"/>
          <w:color w:val="auto"/>
          <w:spacing w:val="2"/>
          <w:sz w:val="21"/>
          <w:szCs w:val="21"/>
          <w:highlight w:val="none"/>
        </w:rPr>
        <w:t>为目的的材料复核试验，</w:t>
      </w:r>
    </w:p>
    <w:p w14:paraId="6333326D">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承包人应予以协助。</w:t>
      </w:r>
    </w:p>
    <w:p w14:paraId="2EC215FC">
      <w:pPr>
        <w:spacing w:before="147" w:line="403" w:lineRule="exact"/>
        <w:ind w:right="13"/>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9.1.2</w:t>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position w:val="14"/>
          <w:sz w:val="21"/>
          <w:szCs w:val="21"/>
          <w:highlight w:val="none"/>
        </w:rPr>
        <w:t>承包人应按专用合同条款的约定提供</w:t>
      </w:r>
      <w:r>
        <w:rPr>
          <w:rFonts w:ascii="宋体" w:hAnsi="宋体" w:eastAsia="宋体" w:cs="宋体"/>
          <w:color w:val="auto"/>
          <w:spacing w:val="-1"/>
          <w:position w:val="14"/>
          <w:sz w:val="21"/>
          <w:szCs w:val="21"/>
          <w:highlight w:val="none"/>
        </w:rPr>
        <w:t>试验设备、取样装置、试验场所和试验条件，</w:t>
      </w:r>
    </w:p>
    <w:p w14:paraId="32EE166C">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并向监理人提交相应进场计划表。</w:t>
      </w:r>
    </w:p>
    <w:p w14:paraId="71BC5036">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承包人配置的试验设备要符合相应试验规程的要求并经过具有资质的检测单位</w:t>
      </w:r>
      <w:r>
        <w:rPr>
          <w:rFonts w:ascii="宋体" w:hAnsi="宋体" w:eastAsia="宋体" w:cs="宋体"/>
          <w:color w:val="auto"/>
          <w:spacing w:val="2"/>
          <w:position w:val="14"/>
          <w:sz w:val="21"/>
          <w:szCs w:val="21"/>
          <w:highlight w:val="none"/>
        </w:rPr>
        <w:t>检测，</w:t>
      </w:r>
    </w:p>
    <w:p w14:paraId="626E238D">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且在正式使用该试验设备前，</w:t>
      </w:r>
      <w:r>
        <w:rPr>
          <w:rFonts w:ascii="宋体" w:hAnsi="宋体" w:eastAsia="宋体" w:cs="宋体"/>
          <w:color w:val="auto"/>
          <w:spacing w:val="35"/>
          <w:sz w:val="21"/>
          <w:szCs w:val="21"/>
          <w:highlight w:val="none"/>
        </w:rPr>
        <w:t xml:space="preserve"> </w:t>
      </w:r>
      <w:r>
        <w:rPr>
          <w:rFonts w:ascii="宋体" w:hAnsi="宋体" w:eastAsia="宋体" w:cs="宋体"/>
          <w:color w:val="auto"/>
          <w:spacing w:val="-5"/>
          <w:sz w:val="21"/>
          <w:szCs w:val="21"/>
          <w:highlight w:val="none"/>
        </w:rPr>
        <w:t>需要经过监理人与承包人共同校定。</w:t>
      </w:r>
    </w:p>
    <w:p w14:paraId="066008D0">
      <w:pPr>
        <w:spacing w:before="151" w:line="274" w:lineRule="auto"/>
        <w:ind w:left="12" w:firstLine="428"/>
        <w:rPr>
          <w:rFonts w:ascii="黑体" w:hAnsi="黑体" w:eastAsia="黑体" w:cs="黑体"/>
          <w:color w:val="auto"/>
          <w:sz w:val="24"/>
          <w:szCs w:val="24"/>
          <w:highlight w:val="none"/>
        </w:rPr>
      </w:pPr>
      <w:r>
        <w:rPr>
          <w:rFonts w:ascii="Times New Roman" w:hAnsi="Times New Roman" w:eastAsia="Times New Roman" w:cs="Times New Roman"/>
          <w:color w:val="auto"/>
          <w:sz w:val="21"/>
          <w:szCs w:val="21"/>
          <w:highlight w:val="none"/>
        </w:rPr>
        <w:t>9.1.3</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z w:val="21"/>
          <w:szCs w:val="21"/>
          <w:highlight w:val="none"/>
        </w:rPr>
        <w:t xml:space="preserve">承包人应向监理人提交试验人员的名单及其岗位、资格等证明资料，试验人员必  </w:t>
      </w:r>
      <w:r>
        <w:rPr>
          <w:rFonts w:ascii="宋体" w:hAnsi="宋体" w:eastAsia="宋体" w:cs="宋体"/>
          <w:color w:val="auto"/>
          <w:spacing w:val="2"/>
          <w:sz w:val="21"/>
          <w:szCs w:val="21"/>
          <w:highlight w:val="none"/>
        </w:rPr>
        <w:t>须能够熟练进行相应的检测试验，承包人对试验人员的试验程序和试验结果的正确性负责。</w:t>
      </w:r>
      <w:r>
        <w:rPr>
          <w:rFonts w:ascii="宋体" w:hAnsi="宋体" w:eastAsia="宋体" w:cs="宋体"/>
          <w:color w:val="auto"/>
          <w:spacing w:val="7"/>
          <w:sz w:val="21"/>
          <w:szCs w:val="21"/>
          <w:highlight w:val="none"/>
        </w:rPr>
        <w:t xml:space="preserve"> </w:t>
      </w:r>
      <w:r>
        <w:rPr>
          <w:rFonts w:ascii="黑体" w:hAnsi="黑体" w:eastAsia="黑体" w:cs="黑体"/>
          <w:color w:val="auto"/>
          <w:spacing w:val="-2"/>
          <w:sz w:val="24"/>
          <w:szCs w:val="24"/>
          <w:highlight w:val="none"/>
        </w:rPr>
        <w:t>9.2</w:t>
      </w:r>
      <w:r>
        <w:rPr>
          <w:rFonts w:ascii="黑体" w:hAnsi="黑体" w:eastAsia="黑体" w:cs="黑体"/>
          <w:color w:val="auto"/>
          <w:spacing w:val="-48"/>
          <w:sz w:val="24"/>
          <w:szCs w:val="24"/>
          <w:highlight w:val="none"/>
        </w:rPr>
        <w:t xml:space="preserve"> </w:t>
      </w:r>
      <w:r>
        <w:rPr>
          <w:rFonts w:ascii="黑体" w:hAnsi="黑体" w:eastAsia="黑体" w:cs="黑体"/>
          <w:color w:val="auto"/>
          <w:spacing w:val="-2"/>
          <w:sz w:val="24"/>
          <w:szCs w:val="24"/>
          <w:highlight w:val="none"/>
        </w:rPr>
        <w:t>取样</w:t>
      </w:r>
    </w:p>
    <w:p w14:paraId="3F5D417B">
      <w:pPr>
        <w:spacing w:before="131" w:line="221"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试验属于自检性质的， 承包人可以单独取样。</w:t>
      </w:r>
      <w:r>
        <w:rPr>
          <w:rFonts w:ascii="宋体" w:hAnsi="宋体" w:eastAsia="宋体" w:cs="宋体"/>
          <w:color w:val="auto"/>
          <w:spacing w:val="-3"/>
          <w:sz w:val="21"/>
          <w:szCs w:val="21"/>
          <w:highlight w:val="none"/>
        </w:rPr>
        <w:t>试验属于监理人抽检性质的， 可由监理</w:t>
      </w:r>
    </w:p>
    <w:p w14:paraId="5CF7EF4B">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人取样，也可由承包人的试验人员在监理人的监督</w:t>
      </w:r>
      <w:r>
        <w:rPr>
          <w:rFonts w:ascii="宋体" w:hAnsi="宋体" w:eastAsia="宋体" w:cs="宋体"/>
          <w:color w:val="auto"/>
          <w:spacing w:val="-2"/>
          <w:sz w:val="21"/>
          <w:szCs w:val="21"/>
          <w:highlight w:val="none"/>
        </w:rPr>
        <w:t>下取样。</w:t>
      </w:r>
    </w:p>
    <w:p w14:paraId="285A3977">
      <w:pPr>
        <w:spacing w:before="51" w:line="218" w:lineRule="auto"/>
        <w:ind w:left="1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9.3</w:t>
      </w:r>
      <w:r>
        <w:rPr>
          <w:rFonts w:ascii="黑体" w:hAnsi="黑体" w:eastAsia="黑体" w:cs="黑体"/>
          <w:color w:val="auto"/>
          <w:spacing w:val="-47"/>
          <w:sz w:val="24"/>
          <w:szCs w:val="24"/>
          <w:highlight w:val="none"/>
        </w:rPr>
        <w:t xml:space="preserve"> </w:t>
      </w:r>
      <w:r>
        <w:rPr>
          <w:rFonts w:ascii="黑体" w:hAnsi="黑体" w:eastAsia="黑体" w:cs="黑体"/>
          <w:color w:val="auto"/>
          <w:spacing w:val="-1"/>
          <w:sz w:val="24"/>
          <w:szCs w:val="24"/>
          <w:highlight w:val="none"/>
        </w:rPr>
        <w:t>材料、工程设备和工程的试验和检验</w:t>
      </w:r>
    </w:p>
    <w:p w14:paraId="11095AD8">
      <w:pPr>
        <w:spacing w:before="131" w:line="350" w:lineRule="auto"/>
        <w:ind w:left="18" w:right="172"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9.3.1</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pacing w:val="1"/>
          <w:sz w:val="21"/>
          <w:szCs w:val="21"/>
          <w:highlight w:val="none"/>
        </w:rPr>
        <w:t>承包人应按合同约定进行材料、工程</w:t>
      </w:r>
      <w:r>
        <w:rPr>
          <w:rFonts w:ascii="宋体" w:hAnsi="宋体" w:eastAsia="宋体" w:cs="宋体"/>
          <w:color w:val="auto"/>
          <w:sz w:val="21"/>
          <w:szCs w:val="21"/>
          <w:highlight w:val="none"/>
        </w:rPr>
        <w:t xml:space="preserve">设备和工程的试验和检验，并为监理人对上 </w:t>
      </w:r>
      <w:r>
        <w:rPr>
          <w:rFonts w:ascii="宋体" w:hAnsi="宋体" w:eastAsia="宋体" w:cs="宋体"/>
          <w:color w:val="auto"/>
          <w:spacing w:val="3"/>
          <w:sz w:val="21"/>
          <w:szCs w:val="21"/>
          <w:highlight w:val="none"/>
        </w:rPr>
        <w:t>述材料、工程设备和工程的质量检查提供必要的试验资料和原始记录。按合</w:t>
      </w:r>
      <w:r>
        <w:rPr>
          <w:rFonts w:ascii="宋体" w:hAnsi="宋体" w:eastAsia="宋体" w:cs="宋体"/>
          <w:color w:val="auto"/>
          <w:spacing w:val="2"/>
          <w:sz w:val="21"/>
          <w:szCs w:val="21"/>
          <w:highlight w:val="none"/>
        </w:rPr>
        <w:t>同约定应由监</w:t>
      </w:r>
    </w:p>
    <w:p w14:paraId="7A98FFD5">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理人与承包人共同进行试验和检验的，</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由承包人负</w:t>
      </w:r>
      <w:r>
        <w:rPr>
          <w:rFonts w:ascii="宋体" w:hAnsi="宋体" w:eastAsia="宋体" w:cs="宋体"/>
          <w:color w:val="auto"/>
          <w:spacing w:val="-5"/>
          <w:sz w:val="21"/>
          <w:szCs w:val="21"/>
          <w:highlight w:val="none"/>
        </w:rPr>
        <w:t>责提供必要的试验资料和原始记录。</w:t>
      </w:r>
    </w:p>
    <w:p w14:paraId="5B2D8AB2">
      <w:pPr>
        <w:spacing w:before="155" w:line="351" w:lineRule="auto"/>
        <w:ind w:left="19" w:right="17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9.3.2</w:t>
      </w:r>
      <w:r>
        <w:rPr>
          <w:rFonts w:ascii="Times New Roman" w:hAnsi="Times New Roman" w:eastAsia="Times New Roman" w:cs="Times New Roman"/>
          <w:color w:val="auto"/>
          <w:spacing w:val="56"/>
          <w:sz w:val="21"/>
          <w:szCs w:val="21"/>
          <w:highlight w:val="none"/>
        </w:rPr>
        <w:t xml:space="preserve"> </w:t>
      </w:r>
      <w:r>
        <w:rPr>
          <w:rFonts w:ascii="宋体" w:hAnsi="宋体" w:eastAsia="宋体" w:cs="宋体"/>
          <w:color w:val="auto"/>
          <w:spacing w:val="-1"/>
          <w:sz w:val="21"/>
          <w:szCs w:val="21"/>
          <w:highlight w:val="none"/>
        </w:rPr>
        <w:t>试验属于自检性质的，承包人可以单独进行试验。试验属于监理人抽检性质的，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监理人可以单独进行试验，也可由承包人与监理人共同进行。承包人对由监</w:t>
      </w:r>
      <w:r>
        <w:rPr>
          <w:rFonts w:ascii="宋体" w:hAnsi="宋体" w:eastAsia="宋体" w:cs="宋体"/>
          <w:color w:val="auto"/>
          <w:spacing w:val="2"/>
          <w:sz w:val="21"/>
          <w:szCs w:val="21"/>
          <w:highlight w:val="none"/>
        </w:rPr>
        <w:t>理人单独进行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的试验结果有异议的， 可以申请重新共同进行试验。</w:t>
      </w:r>
      <w:r>
        <w:rPr>
          <w:rFonts w:ascii="宋体" w:hAnsi="宋体" w:eastAsia="宋体" w:cs="宋体"/>
          <w:color w:val="auto"/>
          <w:spacing w:val="-3"/>
          <w:sz w:val="21"/>
          <w:szCs w:val="21"/>
          <w:highlight w:val="none"/>
        </w:rPr>
        <w:t>约定共同进行试验的， 监理人未按照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约定参加试验的， 承包人可自行试验，并将试验结果</w:t>
      </w:r>
      <w:r>
        <w:rPr>
          <w:rFonts w:ascii="宋体" w:hAnsi="宋体" w:eastAsia="宋体" w:cs="宋体"/>
          <w:color w:val="auto"/>
          <w:spacing w:val="-3"/>
          <w:sz w:val="21"/>
          <w:szCs w:val="21"/>
          <w:highlight w:val="none"/>
        </w:rPr>
        <w:t>报送监理人， 监理人应承认该试验结</w:t>
      </w:r>
    </w:p>
    <w:p w14:paraId="053F40D7">
      <w:pPr>
        <w:spacing w:before="1" w:line="221"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果。</w:t>
      </w:r>
    </w:p>
    <w:p w14:paraId="6A44BB05">
      <w:pPr>
        <w:spacing w:before="146" w:line="352" w:lineRule="auto"/>
        <w:ind w:left="20" w:right="172"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9.3.3</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3"/>
          <w:sz w:val="21"/>
          <w:szCs w:val="21"/>
          <w:highlight w:val="none"/>
        </w:rPr>
        <w:t>监理人对承包人的试验和检验结果有异</w:t>
      </w:r>
      <w:r>
        <w:rPr>
          <w:rFonts w:ascii="宋体" w:hAnsi="宋体" w:eastAsia="宋体" w:cs="宋体"/>
          <w:color w:val="auto"/>
          <w:spacing w:val="-4"/>
          <w:sz w:val="21"/>
          <w:szCs w:val="21"/>
          <w:highlight w:val="none"/>
        </w:rPr>
        <w:t>议的，</w:t>
      </w:r>
      <w:r>
        <w:rPr>
          <w:rFonts w:ascii="宋体" w:hAnsi="宋体" w:eastAsia="宋体" w:cs="宋体"/>
          <w:color w:val="auto"/>
          <w:spacing w:val="53"/>
          <w:sz w:val="21"/>
          <w:szCs w:val="21"/>
          <w:highlight w:val="none"/>
        </w:rPr>
        <w:t xml:space="preserve"> </w:t>
      </w:r>
      <w:r>
        <w:rPr>
          <w:rFonts w:ascii="宋体" w:hAnsi="宋体" w:eastAsia="宋体" w:cs="宋体"/>
          <w:color w:val="auto"/>
          <w:spacing w:val="-4"/>
          <w:sz w:val="21"/>
          <w:szCs w:val="21"/>
          <w:highlight w:val="none"/>
        </w:rPr>
        <w:t>或为查清承包人试验和检验成果的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可靠性要求承包人重新试验和检验的，可由监理人与承包人共同进行。重</w:t>
      </w:r>
      <w:r>
        <w:rPr>
          <w:rFonts w:ascii="宋体" w:hAnsi="宋体" w:eastAsia="宋体" w:cs="宋体"/>
          <w:color w:val="auto"/>
          <w:spacing w:val="2"/>
          <w:sz w:val="21"/>
          <w:szCs w:val="21"/>
          <w:highlight w:val="none"/>
        </w:rPr>
        <w:t>新试验和检验的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结果证明该项材料、工程设备或工程的质量不符合合同要求的，由此增加的费用和（或）</w:t>
      </w:r>
    </w:p>
    <w:p w14:paraId="1CF738BB">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延误的工期由承包人承担；重新试验和检验结果证明该项材料、工程设备和</w:t>
      </w:r>
      <w:r>
        <w:rPr>
          <w:rFonts w:ascii="宋体" w:hAnsi="宋体" w:eastAsia="宋体" w:cs="宋体"/>
          <w:color w:val="auto"/>
          <w:spacing w:val="2"/>
          <w:sz w:val="21"/>
          <w:szCs w:val="21"/>
          <w:highlight w:val="none"/>
        </w:rPr>
        <w:t>工程符合合同</w:t>
      </w:r>
    </w:p>
    <w:p w14:paraId="2830A7AD">
      <w:pPr>
        <w:spacing w:before="152"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要求的，由此增加的费用和（或）延误的工期由发包</w:t>
      </w:r>
      <w:r>
        <w:rPr>
          <w:rFonts w:ascii="宋体" w:hAnsi="宋体" w:eastAsia="宋体" w:cs="宋体"/>
          <w:color w:val="auto"/>
          <w:spacing w:val="-2"/>
          <w:sz w:val="21"/>
          <w:szCs w:val="21"/>
          <w:highlight w:val="none"/>
        </w:rPr>
        <w:t>人承担。</w:t>
      </w:r>
    </w:p>
    <w:p w14:paraId="3FFF6F41">
      <w:pPr>
        <w:spacing w:before="46"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9.4</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现场工艺试验</w:t>
      </w:r>
    </w:p>
    <w:p w14:paraId="3156248E">
      <w:pPr>
        <w:spacing w:before="131" w:line="350" w:lineRule="auto"/>
        <w:ind w:left="20" w:right="174" w:firstLine="42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承包人应按合同约定或监理人指示进行现场工艺试验。对大型的现场工艺试验， 监理</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人认为必要时，承包人应根据监理人提出的工艺试验要求， 编制工艺试验措施计划，报送</w:t>
      </w:r>
    </w:p>
    <w:p w14:paraId="6D13DC7F">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监理人审查。</w:t>
      </w:r>
    </w:p>
    <w:p w14:paraId="5FA4B5B4">
      <w:pPr>
        <w:spacing w:before="176"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10.变更</w:t>
      </w:r>
    </w:p>
    <w:p w14:paraId="02D4965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10.1</w:t>
      </w:r>
      <w:r>
        <w:rPr>
          <w:rFonts w:ascii="黑体" w:hAnsi="黑体" w:eastAsia="黑体" w:cs="黑体"/>
          <w:color w:val="auto"/>
          <w:spacing w:val="-46"/>
          <w:sz w:val="24"/>
          <w:szCs w:val="24"/>
          <w:highlight w:val="none"/>
        </w:rPr>
        <w:t xml:space="preserve"> </w:t>
      </w:r>
      <w:r>
        <w:rPr>
          <w:rFonts w:ascii="黑体" w:hAnsi="黑体" w:eastAsia="黑体" w:cs="黑体"/>
          <w:color w:val="auto"/>
          <w:spacing w:val="-4"/>
          <w:sz w:val="24"/>
          <w:szCs w:val="24"/>
          <w:highlight w:val="none"/>
        </w:rPr>
        <w:t>变更的范围</w:t>
      </w:r>
    </w:p>
    <w:p w14:paraId="1AE746C6">
      <w:pPr>
        <w:spacing w:before="129"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除专用合同条款另有约定外，合同履行过程中发生以下情形的， 应按照本条</w:t>
      </w:r>
      <w:r>
        <w:rPr>
          <w:rFonts w:ascii="宋体" w:hAnsi="宋体" w:eastAsia="宋体" w:cs="宋体"/>
          <w:color w:val="auto"/>
          <w:spacing w:val="-1"/>
          <w:sz w:val="21"/>
          <w:szCs w:val="21"/>
          <w:highlight w:val="none"/>
        </w:rPr>
        <w:t>约定进行</w:t>
      </w:r>
    </w:p>
    <w:p w14:paraId="082AE376">
      <w:pPr>
        <w:spacing w:line="220" w:lineRule="auto"/>
        <w:rPr>
          <w:rFonts w:ascii="宋体" w:hAnsi="宋体" w:eastAsia="宋体" w:cs="宋体"/>
          <w:color w:val="auto"/>
          <w:sz w:val="21"/>
          <w:szCs w:val="21"/>
          <w:highlight w:val="none"/>
        </w:rPr>
        <w:sectPr>
          <w:footerReference r:id="rId127" w:type="default"/>
          <w:pgSz w:w="11905" w:h="16839"/>
          <w:pgMar w:top="1431" w:right="1617" w:bottom="1004" w:left="1785" w:header="0" w:footer="828" w:gutter="0"/>
          <w:pgNumType w:fmt="decimal"/>
          <w:cols w:space="720" w:num="1"/>
        </w:sectPr>
      </w:pPr>
    </w:p>
    <w:p w14:paraId="10F1A920">
      <w:pPr>
        <w:spacing w:before="149" w:line="222"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变更：</w:t>
      </w:r>
    </w:p>
    <w:p w14:paraId="7D7E48A8">
      <w:pPr>
        <w:spacing w:before="145"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）增加或减少合同中任何工作，或追加额外的工作；</w:t>
      </w:r>
    </w:p>
    <w:p w14:paraId="4F4CBD6E">
      <w:pPr>
        <w:spacing w:before="15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）取消合同中任何工作，但转由他人实施的工作除外；</w:t>
      </w:r>
    </w:p>
    <w:p w14:paraId="1F1026B1">
      <w:pPr>
        <w:spacing w:before="148"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）改变合同中任何工作的质量标准或其他特性；</w:t>
      </w:r>
    </w:p>
    <w:p w14:paraId="6D146B26">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）改变工程的基线、标高、位置和尺寸；</w:t>
      </w:r>
    </w:p>
    <w:p w14:paraId="0557D211">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）改变工程的时间安排或实施顺序。</w:t>
      </w:r>
    </w:p>
    <w:p w14:paraId="33D33E59">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10.2</w:t>
      </w:r>
      <w:r>
        <w:rPr>
          <w:rFonts w:ascii="黑体" w:hAnsi="黑体" w:eastAsia="黑体" w:cs="黑体"/>
          <w:color w:val="auto"/>
          <w:spacing w:val="-45"/>
          <w:sz w:val="24"/>
          <w:szCs w:val="24"/>
          <w:highlight w:val="none"/>
        </w:rPr>
        <w:t xml:space="preserve"> </w:t>
      </w:r>
      <w:r>
        <w:rPr>
          <w:rFonts w:ascii="黑体" w:hAnsi="黑体" w:eastAsia="黑体" w:cs="黑体"/>
          <w:color w:val="auto"/>
          <w:spacing w:val="-5"/>
          <w:sz w:val="24"/>
          <w:szCs w:val="24"/>
          <w:highlight w:val="none"/>
        </w:rPr>
        <w:t>变更权</w:t>
      </w:r>
    </w:p>
    <w:p w14:paraId="0466483C">
      <w:pPr>
        <w:spacing w:before="130" w:line="352" w:lineRule="auto"/>
        <w:ind w:left="21" w:firstLine="422"/>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发包人和监理人均可以提出变更。变更指示均通过监理人发出， 监理人发出变更指示  </w:t>
      </w:r>
      <w:r>
        <w:rPr>
          <w:rFonts w:ascii="宋体" w:hAnsi="宋体" w:eastAsia="宋体" w:cs="宋体"/>
          <w:color w:val="auto"/>
          <w:spacing w:val="2"/>
          <w:sz w:val="21"/>
          <w:szCs w:val="21"/>
          <w:highlight w:val="none"/>
        </w:rPr>
        <w:t>前应征得发包人同意。承包人收到经发包人签认的</w:t>
      </w:r>
      <w:r>
        <w:rPr>
          <w:rFonts w:ascii="宋体" w:hAnsi="宋体" w:eastAsia="宋体" w:cs="宋体"/>
          <w:color w:val="auto"/>
          <w:spacing w:val="1"/>
          <w:sz w:val="21"/>
          <w:szCs w:val="21"/>
          <w:highlight w:val="none"/>
        </w:rPr>
        <w:t>变更指示后，方可实施变更。未经许可，</w:t>
      </w:r>
    </w:p>
    <w:p w14:paraId="3809BABD">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承包人不得擅自对工程的任何部分进行变更。</w:t>
      </w:r>
    </w:p>
    <w:p w14:paraId="5F63B5C1">
      <w:pPr>
        <w:spacing w:before="147"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涉及设计变更的，应由设计人提供变更后的图纸和说明。如变更超过原设计标准或批</w:t>
      </w:r>
    </w:p>
    <w:p w14:paraId="58124FD7">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准的建设规模时，发包人应及时办理规划、设计变更等审</w:t>
      </w:r>
      <w:r>
        <w:rPr>
          <w:rFonts w:ascii="宋体" w:hAnsi="宋体" w:eastAsia="宋体" w:cs="宋体"/>
          <w:color w:val="auto"/>
          <w:spacing w:val="-1"/>
          <w:sz w:val="21"/>
          <w:szCs w:val="21"/>
          <w:highlight w:val="none"/>
        </w:rPr>
        <w:t>批手续。</w:t>
      </w:r>
    </w:p>
    <w:p w14:paraId="0335FBF4">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10.3</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变更程序</w:t>
      </w:r>
    </w:p>
    <w:p w14:paraId="11DD3CE7">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10.3.1 </w:t>
      </w:r>
      <w:r>
        <w:rPr>
          <w:rFonts w:ascii="宋体" w:hAnsi="宋体" w:eastAsia="宋体" w:cs="宋体"/>
          <w:color w:val="auto"/>
          <w:spacing w:val="-2"/>
          <w:sz w:val="21"/>
          <w:szCs w:val="21"/>
          <w:highlight w:val="none"/>
        </w:rPr>
        <w:t>发包人提出变更</w:t>
      </w:r>
    </w:p>
    <w:p w14:paraId="3E8BDB13">
      <w:pPr>
        <w:spacing w:before="151" w:line="399"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发包人提出变更的，应通过监理人向承包人发出变更指示， 变更指示应说明计划变更</w:t>
      </w:r>
    </w:p>
    <w:p w14:paraId="59FFD6FB">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的工程范围和变更的内容。</w:t>
      </w:r>
    </w:p>
    <w:p w14:paraId="790BF1FC">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10.3.2 </w:t>
      </w:r>
      <w:r>
        <w:rPr>
          <w:rFonts w:ascii="宋体" w:hAnsi="宋体" w:eastAsia="宋体" w:cs="宋体"/>
          <w:color w:val="auto"/>
          <w:spacing w:val="-2"/>
          <w:sz w:val="21"/>
          <w:szCs w:val="21"/>
          <w:highlight w:val="none"/>
        </w:rPr>
        <w:t>监理人提出变更建议</w:t>
      </w:r>
    </w:p>
    <w:p w14:paraId="5A2641CF">
      <w:pPr>
        <w:spacing w:before="152" w:line="350" w:lineRule="auto"/>
        <w:ind w:left="23"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监理人提出变更建议的，需要向发包人以书面形式提出变更计划，说明计划变更工程  范围和变更的内容、理由，以及实施该变更对</w:t>
      </w:r>
      <w:r>
        <w:rPr>
          <w:rFonts w:ascii="宋体" w:hAnsi="宋体" w:eastAsia="宋体" w:cs="宋体"/>
          <w:color w:val="auto"/>
          <w:spacing w:val="1"/>
          <w:sz w:val="21"/>
          <w:szCs w:val="21"/>
          <w:highlight w:val="none"/>
        </w:rPr>
        <w:t>合同价格和工期的影响。发包人同意变更的，</w:t>
      </w:r>
    </w:p>
    <w:p w14:paraId="5E594177">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由监理人向承包人发出变更指示。发包人不同意变更的，</w:t>
      </w:r>
      <w:r>
        <w:rPr>
          <w:rFonts w:ascii="宋体" w:hAnsi="宋体" w:eastAsia="宋体" w:cs="宋体"/>
          <w:color w:val="auto"/>
          <w:spacing w:val="-2"/>
          <w:sz w:val="21"/>
          <w:szCs w:val="21"/>
          <w:highlight w:val="none"/>
        </w:rPr>
        <w:t>监理人无权擅自发出变更指示。</w:t>
      </w:r>
    </w:p>
    <w:p w14:paraId="65828CFB">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10.3.3 </w:t>
      </w:r>
      <w:r>
        <w:rPr>
          <w:rFonts w:ascii="宋体" w:hAnsi="宋体" w:eastAsia="宋体" w:cs="宋体"/>
          <w:color w:val="auto"/>
          <w:spacing w:val="-2"/>
          <w:sz w:val="21"/>
          <w:szCs w:val="21"/>
          <w:highlight w:val="none"/>
        </w:rPr>
        <w:t>变更执行</w:t>
      </w:r>
    </w:p>
    <w:p w14:paraId="3BC73892">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承包人收到监理人下达的变更指示后，认为不能执行， 应立即提出不能执行该变更指</w:t>
      </w:r>
    </w:p>
    <w:p w14:paraId="1299060C">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示的理由。承包人认为可以执行变更的， 应当书面说明实施该变更指示对合同价格和工期</w:t>
      </w:r>
    </w:p>
    <w:p w14:paraId="610E3C94">
      <w:pPr>
        <w:spacing w:before="154"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的影响，且合同当事人应当按照第</w:t>
      </w:r>
      <w:r>
        <w:rPr>
          <w:rFonts w:ascii="宋体" w:hAnsi="宋体" w:eastAsia="宋体" w:cs="宋体"/>
          <w:color w:val="auto"/>
          <w:spacing w:val="-11"/>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10.4 </w:t>
      </w:r>
      <w:r>
        <w:rPr>
          <w:rFonts w:ascii="宋体" w:hAnsi="宋体" w:eastAsia="宋体" w:cs="宋体"/>
          <w:color w:val="auto"/>
          <w:spacing w:val="-2"/>
          <w:sz w:val="21"/>
          <w:szCs w:val="21"/>
          <w:highlight w:val="none"/>
        </w:rPr>
        <w:t>款〔变更估价〕约定确定变更估价。</w:t>
      </w:r>
    </w:p>
    <w:p w14:paraId="650D0722">
      <w:pPr>
        <w:spacing w:before="48"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10.4</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变更估价</w:t>
      </w:r>
    </w:p>
    <w:p w14:paraId="33744377">
      <w:pPr>
        <w:spacing w:before="12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10.4.1 </w:t>
      </w:r>
      <w:r>
        <w:rPr>
          <w:rFonts w:ascii="宋体" w:hAnsi="宋体" w:eastAsia="宋体" w:cs="宋体"/>
          <w:color w:val="auto"/>
          <w:spacing w:val="-2"/>
          <w:sz w:val="21"/>
          <w:szCs w:val="21"/>
          <w:highlight w:val="none"/>
        </w:rPr>
        <w:t>变更估价原则</w:t>
      </w:r>
    </w:p>
    <w:p w14:paraId="453ABFE5">
      <w:pPr>
        <w:spacing w:before="150" w:line="219" w:lineRule="auto"/>
        <w:ind w:left="45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除专用合同条款另有约定外， 变更估价按照本款约定处理：</w:t>
      </w:r>
    </w:p>
    <w:p w14:paraId="0A1D5842">
      <w:pPr>
        <w:spacing w:before="154" w:line="219"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）已标价工程量清单或预算书有相同项目的</w:t>
      </w:r>
      <w:r>
        <w:rPr>
          <w:rFonts w:ascii="宋体" w:hAnsi="宋体" w:eastAsia="宋体" w:cs="宋体"/>
          <w:color w:val="auto"/>
          <w:spacing w:val="-1"/>
          <w:sz w:val="21"/>
          <w:szCs w:val="21"/>
          <w:highlight w:val="none"/>
        </w:rPr>
        <w:t>，按照相同项目单价认定；</w:t>
      </w:r>
    </w:p>
    <w:p w14:paraId="2DC5FF1C">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）已标价工程量清单或预算书中无相同项目，</w:t>
      </w:r>
      <w:r>
        <w:rPr>
          <w:rFonts w:ascii="宋体" w:hAnsi="宋体" w:eastAsia="宋体" w:cs="宋体"/>
          <w:color w:val="auto"/>
          <w:spacing w:val="50"/>
          <w:position w:val="14"/>
          <w:sz w:val="21"/>
          <w:szCs w:val="21"/>
          <w:highlight w:val="none"/>
        </w:rPr>
        <w:t xml:space="preserve"> </w:t>
      </w:r>
      <w:r>
        <w:rPr>
          <w:rFonts w:ascii="宋体" w:hAnsi="宋体" w:eastAsia="宋体" w:cs="宋体"/>
          <w:color w:val="auto"/>
          <w:spacing w:val="-4"/>
          <w:position w:val="14"/>
          <w:sz w:val="21"/>
          <w:szCs w:val="21"/>
          <w:highlight w:val="none"/>
        </w:rPr>
        <w:t>但有类似项目的，参照</w:t>
      </w:r>
      <w:r>
        <w:rPr>
          <w:rFonts w:ascii="宋体" w:hAnsi="宋体" w:eastAsia="宋体" w:cs="宋体"/>
          <w:color w:val="auto"/>
          <w:spacing w:val="-5"/>
          <w:position w:val="14"/>
          <w:sz w:val="21"/>
          <w:szCs w:val="21"/>
          <w:highlight w:val="none"/>
        </w:rPr>
        <w:t>类似项目的单</w:t>
      </w:r>
    </w:p>
    <w:p w14:paraId="3AE2C9C1">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价认定；</w:t>
      </w:r>
    </w:p>
    <w:p w14:paraId="5ECE9EDE">
      <w:pPr>
        <w:spacing w:before="153" w:line="352" w:lineRule="auto"/>
        <w:ind w:left="17" w:right="157"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）变更导致实际完成的变更工程量与已标价工程量清单或预算书中列明的该项目工</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 xml:space="preserve">程量的变化幅度超过 </w:t>
      </w:r>
      <w:r>
        <w:rPr>
          <w:rFonts w:ascii="Times New Roman" w:hAnsi="Times New Roman" w:eastAsia="Times New Roman" w:cs="Times New Roman"/>
          <w:color w:val="auto"/>
          <w:spacing w:val="1"/>
          <w:sz w:val="21"/>
          <w:szCs w:val="21"/>
          <w:highlight w:val="none"/>
        </w:rPr>
        <w:t>15%</w:t>
      </w:r>
      <w:r>
        <w:rPr>
          <w:rFonts w:ascii="宋体" w:hAnsi="宋体" w:eastAsia="宋体" w:cs="宋体"/>
          <w:color w:val="auto"/>
          <w:spacing w:val="1"/>
          <w:sz w:val="21"/>
          <w:szCs w:val="21"/>
          <w:highlight w:val="none"/>
        </w:rPr>
        <w:t>的，或已标价工程量清单或预算书中无相同项目及类似项目单价</w:t>
      </w:r>
      <w:r>
        <w:rPr>
          <w:rFonts w:ascii="宋体" w:hAnsi="宋体" w:eastAsia="宋体" w:cs="宋体"/>
          <w:color w:val="auto"/>
          <w:sz w:val="21"/>
          <w:szCs w:val="21"/>
          <w:highlight w:val="none"/>
        </w:rPr>
        <w:t xml:space="preserve"> 的，按照合理的成本与利润构成的原则，由合同当事人</w:t>
      </w:r>
      <w:r>
        <w:rPr>
          <w:rFonts w:ascii="宋体" w:hAnsi="宋体" w:eastAsia="宋体" w:cs="宋体"/>
          <w:color w:val="auto"/>
          <w:spacing w:val="-1"/>
          <w:sz w:val="21"/>
          <w:szCs w:val="21"/>
          <w:highlight w:val="none"/>
        </w:rPr>
        <w:t>按照第</w:t>
      </w:r>
      <w:r>
        <w:rPr>
          <w:rFonts w:ascii="宋体" w:hAnsi="宋体" w:eastAsia="宋体" w:cs="宋体"/>
          <w:color w:val="auto"/>
          <w:spacing w:val="-60"/>
          <w:sz w:val="21"/>
          <w:szCs w:val="21"/>
          <w:highlight w:val="none"/>
        </w:rPr>
        <w:t xml:space="preserve"> </w:t>
      </w:r>
      <w:r>
        <w:rPr>
          <w:rFonts w:ascii="Times New Roman" w:hAnsi="Times New Roman" w:eastAsia="Times New Roman" w:cs="Times New Roman"/>
          <w:color w:val="auto"/>
          <w:spacing w:val="-1"/>
          <w:sz w:val="21"/>
          <w:szCs w:val="21"/>
          <w:highlight w:val="none"/>
        </w:rPr>
        <w:t>4.4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款〔商定或确定〕确定变</w:t>
      </w:r>
    </w:p>
    <w:p w14:paraId="3FC2BB48">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更工作的单价。</w:t>
      </w:r>
    </w:p>
    <w:p w14:paraId="6B99630B">
      <w:pPr>
        <w:spacing w:before="15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10.4.2 </w:t>
      </w:r>
      <w:r>
        <w:rPr>
          <w:rFonts w:ascii="宋体" w:hAnsi="宋体" w:eastAsia="宋体" w:cs="宋体"/>
          <w:color w:val="auto"/>
          <w:spacing w:val="-2"/>
          <w:sz w:val="21"/>
          <w:szCs w:val="21"/>
          <w:highlight w:val="none"/>
        </w:rPr>
        <w:t>变更估价程序</w:t>
      </w:r>
    </w:p>
    <w:p w14:paraId="1509E816">
      <w:pPr>
        <w:spacing w:line="219" w:lineRule="auto"/>
        <w:rPr>
          <w:rFonts w:ascii="宋体" w:hAnsi="宋体" w:eastAsia="宋体" w:cs="宋体"/>
          <w:color w:val="auto"/>
          <w:sz w:val="21"/>
          <w:szCs w:val="21"/>
          <w:highlight w:val="none"/>
        </w:rPr>
        <w:sectPr>
          <w:footerReference r:id="rId128" w:type="default"/>
          <w:pgSz w:w="11905" w:h="16839"/>
          <w:pgMar w:top="1431" w:right="1633" w:bottom="1004" w:left="1785" w:header="0" w:footer="828" w:gutter="0"/>
          <w:pgNumType w:fmt="decimal"/>
          <w:cols w:space="720" w:num="1"/>
        </w:sectPr>
      </w:pPr>
    </w:p>
    <w:p w14:paraId="322336A0">
      <w:pPr>
        <w:spacing w:before="148" w:line="352" w:lineRule="auto"/>
        <w:ind w:left="18" w:right="15" w:firstLine="42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承包人应在收到变更指示后 </w:t>
      </w:r>
      <w:r>
        <w:rPr>
          <w:rFonts w:ascii="Times New Roman" w:hAnsi="Times New Roman" w:eastAsia="Times New Roman" w:cs="Times New Roman"/>
          <w:color w:val="auto"/>
          <w:spacing w:val="-2"/>
          <w:sz w:val="21"/>
          <w:szCs w:val="21"/>
          <w:highlight w:val="none"/>
        </w:rPr>
        <w:t xml:space="preserve">14 </w:t>
      </w:r>
      <w:r>
        <w:rPr>
          <w:rFonts w:ascii="宋体" w:hAnsi="宋体" w:eastAsia="宋体" w:cs="宋体"/>
          <w:color w:val="auto"/>
          <w:spacing w:val="-2"/>
          <w:sz w:val="21"/>
          <w:szCs w:val="21"/>
          <w:highlight w:val="none"/>
        </w:rPr>
        <w:t xml:space="preserve">天内，向监理人提交变更估价申请。监理人应在收到承  </w:t>
      </w:r>
      <w:r>
        <w:rPr>
          <w:rFonts w:ascii="宋体" w:hAnsi="宋体" w:eastAsia="宋体" w:cs="宋体"/>
          <w:color w:val="auto"/>
          <w:spacing w:val="-1"/>
          <w:sz w:val="21"/>
          <w:szCs w:val="21"/>
          <w:highlight w:val="none"/>
        </w:rPr>
        <w:t xml:space="preserve">包人提交的变更估价申请后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59"/>
          <w:w w:val="101"/>
          <w:sz w:val="21"/>
          <w:szCs w:val="21"/>
          <w:highlight w:val="none"/>
        </w:rPr>
        <w:t xml:space="preserve"> </w:t>
      </w:r>
      <w:r>
        <w:rPr>
          <w:rFonts w:ascii="宋体" w:hAnsi="宋体" w:eastAsia="宋体" w:cs="宋体"/>
          <w:color w:val="auto"/>
          <w:spacing w:val="-1"/>
          <w:sz w:val="21"/>
          <w:szCs w:val="21"/>
          <w:highlight w:val="none"/>
        </w:rPr>
        <w:t>天内审查完毕并报送发包人，监理人对变更估价申请有异议，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通知承包人修改后重新提交。发包人应在承包</w:t>
      </w:r>
      <w:r>
        <w:rPr>
          <w:rFonts w:ascii="宋体" w:hAnsi="宋体" w:eastAsia="宋体" w:cs="宋体"/>
          <w:color w:val="auto"/>
          <w:spacing w:val="-4"/>
          <w:sz w:val="21"/>
          <w:szCs w:val="21"/>
          <w:highlight w:val="none"/>
        </w:rPr>
        <w:t xml:space="preserve">人提交变更估价申请后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4"/>
          <w:sz w:val="21"/>
          <w:szCs w:val="21"/>
          <w:highlight w:val="none"/>
        </w:rPr>
        <w:t>天内审批完毕。 发</w:t>
      </w:r>
    </w:p>
    <w:p w14:paraId="56E1CD4E">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包人逾期未完成审批或未提出异议的， 视为认可承包人提交的变更估价申请。</w:t>
      </w:r>
    </w:p>
    <w:p w14:paraId="663D7D77">
      <w:pPr>
        <w:spacing w:before="149" w:line="219"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因变更引起的价格调整应计入最近一期的进度款中支付。</w:t>
      </w:r>
    </w:p>
    <w:p w14:paraId="62FF3708">
      <w:pPr>
        <w:spacing w:before="52"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10.5</w:t>
      </w:r>
      <w:r>
        <w:rPr>
          <w:rFonts w:ascii="黑体" w:hAnsi="黑体" w:eastAsia="黑体" w:cs="黑体"/>
          <w:color w:val="auto"/>
          <w:spacing w:val="-45"/>
          <w:sz w:val="24"/>
          <w:szCs w:val="24"/>
          <w:highlight w:val="none"/>
        </w:rPr>
        <w:t xml:space="preserve"> </w:t>
      </w:r>
      <w:r>
        <w:rPr>
          <w:rFonts w:ascii="黑体" w:hAnsi="黑体" w:eastAsia="黑体" w:cs="黑体"/>
          <w:color w:val="auto"/>
          <w:spacing w:val="-3"/>
          <w:sz w:val="24"/>
          <w:szCs w:val="24"/>
          <w:highlight w:val="none"/>
        </w:rPr>
        <w:t>承包人的合理化建议</w:t>
      </w:r>
    </w:p>
    <w:p w14:paraId="67D5892A">
      <w:pPr>
        <w:spacing w:before="12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承包人提出合理化建议的， 应向监理人提交合理化建议说明，说明建议的内容和理由，</w:t>
      </w:r>
    </w:p>
    <w:p w14:paraId="77608D63">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以及实施该建议对合同价格和工期的影响。</w:t>
      </w:r>
    </w:p>
    <w:p w14:paraId="193E9390">
      <w:pPr>
        <w:spacing w:before="151" w:line="352" w:lineRule="auto"/>
        <w:ind w:left="20" w:right="174"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除专用合同条款另有约定外，监理人应在收到承包人提交的合理化建议后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1"/>
          <w:sz w:val="21"/>
          <w:szCs w:val="21"/>
          <w:highlight w:val="none"/>
        </w:rPr>
        <w:t>内审查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完毕并报送发包人，发现其中存在技术上的缺陷，应通知承包人修改。发</w:t>
      </w:r>
      <w:r>
        <w:rPr>
          <w:rFonts w:ascii="宋体" w:hAnsi="宋体" w:eastAsia="宋体" w:cs="宋体"/>
          <w:color w:val="auto"/>
          <w:spacing w:val="2"/>
          <w:sz w:val="21"/>
          <w:szCs w:val="21"/>
          <w:highlight w:val="none"/>
        </w:rPr>
        <w:t>包人应在收到监</w:t>
      </w:r>
      <w:r>
        <w:rPr>
          <w:rFonts w:ascii="宋体" w:hAnsi="宋体" w:eastAsia="宋体" w:cs="宋体"/>
          <w:color w:val="auto"/>
          <w:sz w:val="21"/>
          <w:szCs w:val="21"/>
          <w:highlight w:val="none"/>
        </w:rPr>
        <w:t xml:space="preserve"> 理人报送的合理化建议后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天内审批完毕。合理化建议经发包人批准的，监理人应及时发</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 xml:space="preserve">出变更指示，由此引起的合同价格调整按照第 </w:t>
      </w:r>
      <w:r>
        <w:rPr>
          <w:rFonts w:ascii="Times New Roman" w:hAnsi="Times New Roman" w:eastAsia="Times New Roman" w:cs="Times New Roman"/>
          <w:color w:val="auto"/>
          <w:sz w:val="21"/>
          <w:szCs w:val="21"/>
          <w:highlight w:val="none"/>
        </w:rPr>
        <w:t>10.4</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z w:val="21"/>
          <w:szCs w:val="21"/>
          <w:highlight w:val="none"/>
        </w:rPr>
        <w:t>款〔变</w:t>
      </w:r>
      <w:r>
        <w:rPr>
          <w:rFonts w:ascii="宋体" w:hAnsi="宋体" w:eastAsia="宋体" w:cs="宋体"/>
          <w:color w:val="auto"/>
          <w:spacing w:val="-1"/>
          <w:sz w:val="21"/>
          <w:szCs w:val="21"/>
          <w:highlight w:val="none"/>
        </w:rPr>
        <w:t>更估价〕约定执行。发包人不同</w:t>
      </w:r>
    </w:p>
    <w:p w14:paraId="30B8A853">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意变更的， 监理人应书面通知承包人。</w:t>
      </w:r>
    </w:p>
    <w:p w14:paraId="7CF0AEC6">
      <w:pPr>
        <w:spacing w:before="149" w:line="219"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合理化建议降低了合同价格或者提高了工程经济效益的，发包人</w:t>
      </w:r>
      <w:r>
        <w:rPr>
          <w:rFonts w:ascii="宋体" w:hAnsi="宋体" w:eastAsia="宋体" w:cs="宋体"/>
          <w:color w:val="auto"/>
          <w:spacing w:val="1"/>
          <w:sz w:val="21"/>
          <w:szCs w:val="21"/>
          <w:highlight w:val="none"/>
        </w:rPr>
        <w:t>可对承包人给予奖励，</w:t>
      </w:r>
    </w:p>
    <w:p w14:paraId="7BFF1D76">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奖励的方法和金额在专用合同条款中约定。</w:t>
      </w:r>
    </w:p>
    <w:p w14:paraId="3B7CCCB5">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10.6</w:t>
      </w:r>
      <w:r>
        <w:rPr>
          <w:rFonts w:ascii="黑体" w:hAnsi="黑体" w:eastAsia="黑体" w:cs="黑体"/>
          <w:color w:val="auto"/>
          <w:spacing w:val="-44"/>
          <w:sz w:val="24"/>
          <w:szCs w:val="24"/>
          <w:highlight w:val="none"/>
        </w:rPr>
        <w:t xml:space="preserve"> </w:t>
      </w:r>
      <w:r>
        <w:rPr>
          <w:rFonts w:ascii="黑体" w:hAnsi="黑体" w:eastAsia="黑体" w:cs="黑体"/>
          <w:color w:val="auto"/>
          <w:spacing w:val="-3"/>
          <w:sz w:val="24"/>
          <w:szCs w:val="24"/>
          <w:highlight w:val="none"/>
        </w:rPr>
        <w:t>变更引起的工期调整</w:t>
      </w:r>
    </w:p>
    <w:p w14:paraId="236D1B37">
      <w:pPr>
        <w:spacing w:before="129" w:line="221" w:lineRule="auto"/>
        <w:ind w:left="457"/>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因变更引起工期变化的，合同当事人均可要求调整合同工期，由合同当事人按照第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1"/>
          <w:sz w:val="21"/>
          <w:szCs w:val="21"/>
          <w:highlight w:val="none"/>
        </w:rPr>
        <w:t>4.4</w:t>
      </w:r>
    </w:p>
    <w:p w14:paraId="54A061CB">
      <w:pPr>
        <w:spacing w:before="152"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款〔商定或确定〕并参考工程所在地的工期定额标准确定增减工期天数。</w:t>
      </w:r>
    </w:p>
    <w:p w14:paraId="4731CB96">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10.7</w:t>
      </w:r>
      <w:r>
        <w:rPr>
          <w:rFonts w:ascii="黑体" w:hAnsi="黑体" w:eastAsia="黑体" w:cs="黑体"/>
          <w:color w:val="auto"/>
          <w:spacing w:val="-44"/>
          <w:sz w:val="24"/>
          <w:szCs w:val="24"/>
          <w:highlight w:val="none"/>
        </w:rPr>
        <w:t xml:space="preserve"> </w:t>
      </w:r>
      <w:r>
        <w:rPr>
          <w:rFonts w:ascii="黑体" w:hAnsi="黑体" w:eastAsia="黑体" w:cs="黑体"/>
          <w:color w:val="auto"/>
          <w:spacing w:val="-5"/>
          <w:sz w:val="24"/>
          <w:szCs w:val="24"/>
          <w:highlight w:val="none"/>
        </w:rPr>
        <w:t>暂估价</w:t>
      </w:r>
    </w:p>
    <w:p w14:paraId="726016BA">
      <w:pPr>
        <w:spacing w:before="130"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暂估价专业分包工程、 服务、材料和工程设备的明细由合同当事人在专用合同条款中</w:t>
      </w:r>
    </w:p>
    <w:p w14:paraId="772E8E43">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约定。</w:t>
      </w:r>
    </w:p>
    <w:p w14:paraId="6A570A70">
      <w:pPr>
        <w:spacing w:before="152"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10.7.1 </w:t>
      </w:r>
      <w:r>
        <w:rPr>
          <w:rFonts w:ascii="宋体" w:hAnsi="宋体" w:eastAsia="宋体" w:cs="宋体"/>
          <w:color w:val="auto"/>
          <w:spacing w:val="-2"/>
          <w:sz w:val="21"/>
          <w:szCs w:val="21"/>
          <w:highlight w:val="none"/>
        </w:rPr>
        <w:t>依法必须招标的暂估价项目</w:t>
      </w:r>
    </w:p>
    <w:p w14:paraId="01531097">
      <w:pPr>
        <w:spacing w:before="149" w:line="399" w:lineRule="exact"/>
        <w:ind w:left="44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对于依法必须招标的暂估价项目，采取以下第</w:t>
      </w:r>
      <w:r>
        <w:rPr>
          <w:rFonts w:ascii="宋体" w:hAnsi="宋体" w:eastAsia="宋体" w:cs="宋体"/>
          <w:color w:val="auto"/>
          <w:spacing w:val="26"/>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1</w:t>
      </w:r>
      <w:r>
        <w:rPr>
          <w:rFonts w:ascii="Times New Roman" w:hAnsi="Times New Roman" w:eastAsia="Times New Roman" w:cs="Times New Roman"/>
          <w:color w:val="auto"/>
          <w:spacing w:val="42"/>
          <w:position w:val="14"/>
          <w:sz w:val="21"/>
          <w:szCs w:val="21"/>
          <w:highlight w:val="none"/>
        </w:rPr>
        <w:t xml:space="preserve"> </w:t>
      </w:r>
      <w:r>
        <w:rPr>
          <w:rFonts w:ascii="宋体" w:hAnsi="宋体" w:eastAsia="宋体" w:cs="宋体"/>
          <w:color w:val="auto"/>
          <w:position w:val="14"/>
          <w:sz w:val="21"/>
          <w:szCs w:val="21"/>
          <w:highlight w:val="none"/>
        </w:rPr>
        <w:t>种方式确定。合同当事人也可以在专</w:t>
      </w:r>
    </w:p>
    <w:p w14:paraId="0FFE6CD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用合同条款中选择其他招标方式。</w:t>
      </w:r>
    </w:p>
    <w:p w14:paraId="2DA496F4">
      <w:pPr>
        <w:spacing w:before="152"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 xml:space="preserve">第 </w:t>
      </w:r>
      <w:r>
        <w:rPr>
          <w:rFonts w:ascii="Times New Roman" w:hAnsi="Times New Roman" w:eastAsia="Times New Roman" w:cs="Times New Roman"/>
          <w:color w:val="auto"/>
          <w:position w:val="14"/>
          <w:sz w:val="21"/>
          <w:szCs w:val="21"/>
          <w:highlight w:val="none"/>
        </w:rPr>
        <w:t xml:space="preserve">1  </w:t>
      </w:r>
      <w:r>
        <w:rPr>
          <w:rFonts w:ascii="宋体" w:hAnsi="宋体" w:eastAsia="宋体" w:cs="宋体"/>
          <w:color w:val="auto"/>
          <w:position w:val="14"/>
          <w:sz w:val="21"/>
          <w:szCs w:val="21"/>
          <w:highlight w:val="none"/>
        </w:rPr>
        <w:t>种方式：对于依法必须招标的暂估价项目，由承包人招标，对该暂估价项目的确</w:t>
      </w:r>
    </w:p>
    <w:p w14:paraId="4D4A533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认和批准按照以下约定执行：</w:t>
      </w:r>
    </w:p>
    <w:p w14:paraId="5F9F5B92">
      <w:pPr>
        <w:spacing w:before="149" w:line="352" w:lineRule="auto"/>
        <w:ind w:left="16" w:firstLine="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）承包人应当根据施工进度计划，在招标工作启动前</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6"/>
          <w:w w:val="101"/>
          <w:sz w:val="21"/>
          <w:szCs w:val="21"/>
          <w:highlight w:val="none"/>
        </w:rPr>
        <w:t xml:space="preserve"> </w:t>
      </w:r>
      <w:r>
        <w:rPr>
          <w:rFonts w:ascii="宋体" w:hAnsi="宋体" w:eastAsia="宋体" w:cs="宋体"/>
          <w:color w:val="auto"/>
          <w:spacing w:val="-1"/>
          <w:sz w:val="21"/>
          <w:szCs w:val="21"/>
          <w:highlight w:val="none"/>
        </w:rPr>
        <w:t xml:space="preserve">天将招标方案通过监理人  </w:t>
      </w:r>
      <w:r>
        <w:rPr>
          <w:rFonts w:ascii="宋体" w:hAnsi="宋体" w:eastAsia="宋体" w:cs="宋体"/>
          <w:color w:val="auto"/>
          <w:sz w:val="21"/>
          <w:szCs w:val="21"/>
          <w:highlight w:val="none"/>
        </w:rPr>
        <w:t>报送发包人审查，发包人应当在收到承包人报送的招标方案</w:t>
      </w:r>
      <w:r>
        <w:rPr>
          <w:rFonts w:ascii="宋体" w:hAnsi="宋体" w:eastAsia="宋体" w:cs="宋体"/>
          <w:color w:val="auto"/>
          <w:spacing w:val="-1"/>
          <w:sz w:val="21"/>
          <w:szCs w:val="21"/>
          <w:highlight w:val="none"/>
        </w:rPr>
        <w:t xml:space="preserve">后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天内批准或提出修改意见。</w:t>
      </w:r>
    </w:p>
    <w:p w14:paraId="5AB4793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承包人应当按照经过发包人批准的招标方案开展招标工作；</w:t>
      </w:r>
    </w:p>
    <w:p w14:paraId="41F6410C">
      <w:pPr>
        <w:spacing w:before="147" w:line="353" w:lineRule="auto"/>
        <w:ind w:left="17" w:right="180" w:firstLine="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）承包人应当根据施工进度计划，提前</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pacing w:val="-1"/>
          <w:sz w:val="21"/>
          <w:szCs w:val="21"/>
          <w:highlight w:val="none"/>
        </w:rPr>
        <w:t>天将招标文件通过监理人报送发包人审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批，发包人应当在收到承包人报送的相关文件后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z w:val="21"/>
          <w:szCs w:val="21"/>
          <w:highlight w:val="none"/>
        </w:rPr>
        <w:t>天内完成审批或提出修改意见；发包人</w:t>
      </w:r>
    </w:p>
    <w:p w14:paraId="60ABC3EA">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有权确定招标控制价并按照法律规定参加评标；</w:t>
      </w:r>
    </w:p>
    <w:p w14:paraId="2AEDA560">
      <w:pPr>
        <w:spacing w:before="148" w:line="353" w:lineRule="auto"/>
        <w:ind w:left="18" w:right="174"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 xml:space="preserve">）承包人与供应商、分包人在签订暂估价合同前，应当提前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天将确定</w:t>
      </w:r>
      <w:r>
        <w:rPr>
          <w:rFonts w:ascii="宋体" w:hAnsi="宋体" w:eastAsia="宋体" w:cs="宋体"/>
          <w:color w:val="auto"/>
          <w:spacing w:val="-2"/>
          <w:sz w:val="21"/>
          <w:szCs w:val="21"/>
          <w:highlight w:val="none"/>
        </w:rPr>
        <w:t>的中标候选</w:t>
      </w:r>
      <w:r>
        <w:rPr>
          <w:rFonts w:ascii="宋体" w:hAnsi="宋体" w:eastAsia="宋体" w:cs="宋体"/>
          <w:color w:val="auto"/>
          <w:sz w:val="21"/>
          <w:szCs w:val="21"/>
          <w:highlight w:val="none"/>
        </w:rPr>
        <w:t xml:space="preserve"> 供应商或中标候选分包人的资料报送发包人，发包人应在收到资料后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天内与承包人共同</w:t>
      </w:r>
    </w:p>
    <w:p w14:paraId="786D3705">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确定中标人；承包人应当在签订合同后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1"/>
          <w:sz w:val="21"/>
          <w:szCs w:val="21"/>
          <w:highlight w:val="none"/>
        </w:rPr>
        <w:t>内，将暂估价合同副本报送发包人留存。</w:t>
      </w:r>
    </w:p>
    <w:p w14:paraId="1E148B70">
      <w:pPr>
        <w:spacing w:line="219" w:lineRule="auto"/>
        <w:rPr>
          <w:rFonts w:ascii="宋体" w:hAnsi="宋体" w:eastAsia="宋体" w:cs="宋体"/>
          <w:color w:val="auto"/>
          <w:sz w:val="21"/>
          <w:szCs w:val="21"/>
          <w:highlight w:val="none"/>
        </w:rPr>
        <w:sectPr>
          <w:footerReference r:id="rId129" w:type="default"/>
          <w:pgSz w:w="11905" w:h="16839"/>
          <w:pgMar w:top="1431" w:right="1612" w:bottom="1004" w:left="1785" w:header="0" w:footer="828" w:gutter="0"/>
          <w:pgNumType w:fmt="decimal"/>
          <w:cols w:space="720" w:num="1"/>
        </w:sectPr>
      </w:pPr>
    </w:p>
    <w:p w14:paraId="35546B38">
      <w:pPr>
        <w:spacing w:before="148" w:line="352" w:lineRule="auto"/>
        <w:ind w:left="19" w:right="3"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第 </w:t>
      </w: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1"/>
          <w:sz w:val="21"/>
          <w:szCs w:val="21"/>
          <w:highlight w:val="none"/>
        </w:rPr>
        <w:t>种方式：对于依法必须招标的暂估价项目，</w:t>
      </w:r>
      <w:r>
        <w:rPr>
          <w:rFonts w:ascii="宋体" w:hAnsi="宋体" w:eastAsia="宋体" w:cs="宋体"/>
          <w:color w:val="auto"/>
          <w:sz w:val="21"/>
          <w:szCs w:val="21"/>
          <w:highlight w:val="none"/>
        </w:rPr>
        <w:t xml:space="preserve">由发包人和承包人共同招标确定暂估 </w:t>
      </w:r>
      <w:r>
        <w:rPr>
          <w:rFonts w:ascii="宋体" w:hAnsi="宋体" w:eastAsia="宋体" w:cs="宋体"/>
          <w:color w:val="auto"/>
          <w:spacing w:val="-3"/>
          <w:sz w:val="21"/>
          <w:szCs w:val="21"/>
          <w:highlight w:val="none"/>
        </w:rPr>
        <w:t>价供应商或分包人的，承包人应按照施工进度计划，</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 xml:space="preserve">在招标工作启动前 </w:t>
      </w:r>
      <w:r>
        <w:rPr>
          <w:rFonts w:ascii="Times New Roman" w:hAnsi="Times New Roman" w:eastAsia="Times New Roman" w:cs="Times New Roman"/>
          <w:color w:val="auto"/>
          <w:spacing w:val="-3"/>
          <w:sz w:val="21"/>
          <w:szCs w:val="21"/>
          <w:highlight w:val="none"/>
        </w:rPr>
        <w:t>14</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4"/>
          <w:sz w:val="21"/>
          <w:szCs w:val="21"/>
          <w:highlight w:val="none"/>
        </w:rPr>
        <w:t>天通知发包人，</w:t>
      </w:r>
      <w:r>
        <w:rPr>
          <w:rFonts w:ascii="宋体" w:hAnsi="宋体" w:eastAsia="宋体" w:cs="宋体"/>
          <w:color w:val="auto"/>
          <w:sz w:val="21"/>
          <w:szCs w:val="21"/>
          <w:highlight w:val="none"/>
        </w:rPr>
        <w:t xml:space="preserve"> 并提交暂估价招标方案和工作分工。发包人应在收到后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天内确认。确定中标人后，由发</w:t>
      </w:r>
    </w:p>
    <w:p w14:paraId="23CF8D70">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包人、承包人与中标人共同签订暂估价合同。</w:t>
      </w:r>
    </w:p>
    <w:p w14:paraId="74B3AF93">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10.7.2 </w:t>
      </w:r>
      <w:r>
        <w:rPr>
          <w:rFonts w:ascii="宋体" w:hAnsi="宋体" w:eastAsia="宋体" w:cs="宋体"/>
          <w:color w:val="auto"/>
          <w:spacing w:val="-2"/>
          <w:sz w:val="21"/>
          <w:szCs w:val="21"/>
          <w:highlight w:val="none"/>
        </w:rPr>
        <w:t>不属于依法必须招标的暂估价项目</w:t>
      </w:r>
    </w:p>
    <w:p w14:paraId="687CB79D">
      <w:pPr>
        <w:spacing w:before="153" w:line="399" w:lineRule="exact"/>
        <w:jc w:val="right"/>
        <w:rPr>
          <w:rFonts w:ascii="Times New Roman" w:hAnsi="Times New Roman" w:eastAsia="Times New Roman" w:cs="Times New Roman"/>
          <w:color w:val="auto"/>
          <w:sz w:val="21"/>
          <w:szCs w:val="21"/>
          <w:highlight w:val="none"/>
        </w:rPr>
      </w:pPr>
      <w:r>
        <w:rPr>
          <w:rFonts w:ascii="宋体" w:hAnsi="宋体" w:eastAsia="宋体" w:cs="宋体"/>
          <w:color w:val="auto"/>
          <w:spacing w:val="-1"/>
          <w:position w:val="14"/>
          <w:sz w:val="21"/>
          <w:szCs w:val="21"/>
          <w:highlight w:val="none"/>
        </w:rPr>
        <w:t>除专用合同条款另有约定外， 对于不属于依法必须招标的暂估价项目，采取以下第</w:t>
      </w:r>
      <w:r>
        <w:rPr>
          <w:rFonts w:ascii="宋体" w:hAnsi="宋体" w:eastAsia="宋体" w:cs="宋体"/>
          <w:color w:val="auto"/>
          <w:spacing w:val="40"/>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w:t>
      </w:r>
    </w:p>
    <w:p w14:paraId="3439BED9">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种方式确定：</w:t>
      </w:r>
    </w:p>
    <w:p w14:paraId="0DF31A26">
      <w:pPr>
        <w:spacing w:before="147"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 </w:t>
      </w:r>
      <w:r>
        <w:rPr>
          <w:rFonts w:ascii="宋体" w:hAnsi="宋体" w:eastAsia="宋体" w:cs="宋体"/>
          <w:color w:val="auto"/>
          <w:spacing w:val="-2"/>
          <w:sz w:val="21"/>
          <w:szCs w:val="21"/>
          <w:highlight w:val="none"/>
        </w:rPr>
        <w:t>种方式：对于不属于依法必须招标的暂估价项目，按本项约定确认和批</w:t>
      </w:r>
      <w:r>
        <w:rPr>
          <w:rFonts w:ascii="宋体" w:hAnsi="宋体" w:eastAsia="宋体" w:cs="宋体"/>
          <w:color w:val="auto"/>
          <w:spacing w:val="-3"/>
          <w:sz w:val="21"/>
          <w:szCs w:val="21"/>
          <w:highlight w:val="none"/>
        </w:rPr>
        <w:t>准：</w:t>
      </w:r>
    </w:p>
    <w:p w14:paraId="1D2EDD89">
      <w:pPr>
        <w:spacing w:before="152" w:line="352" w:lineRule="auto"/>
        <w:ind w:left="39" w:right="1" w:firstLine="40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）承包人应根据施工进度计划，在签订暂估价项目的采购合同、分包合同前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 xml:space="preserve">向监理人提出书面申请。监理人应当在收到申请后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天内报送发包人，发包</w:t>
      </w:r>
      <w:r>
        <w:rPr>
          <w:rFonts w:ascii="宋体" w:hAnsi="宋体" w:eastAsia="宋体" w:cs="宋体"/>
          <w:color w:val="auto"/>
          <w:spacing w:val="-1"/>
          <w:sz w:val="21"/>
          <w:szCs w:val="21"/>
          <w:highlight w:val="none"/>
        </w:rPr>
        <w:t>人应当在收到</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申请后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天内给予批准或提出修改意见，发包人逾期未予批准或提出修改意见的，视为该</w:t>
      </w:r>
    </w:p>
    <w:p w14:paraId="08ACF729">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书面申请已获得同意；</w:t>
      </w:r>
    </w:p>
    <w:p w14:paraId="6D7BE81B">
      <w:pPr>
        <w:spacing w:before="149"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）发包人认为承包人确定的供应商、分包人无法满足工程质量或合同要求</w:t>
      </w:r>
      <w:r>
        <w:rPr>
          <w:rFonts w:ascii="宋体" w:hAnsi="宋体" w:eastAsia="宋体" w:cs="宋体"/>
          <w:color w:val="auto"/>
          <w:spacing w:val="-1"/>
          <w:position w:val="14"/>
          <w:sz w:val="21"/>
          <w:szCs w:val="21"/>
          <w:highlight w:val="none"/>
        </w:rPr>
        <w:t>的，发包</w:t>
      </w:r>
    </w:p>
    <w:p w14:paraId="63C779A7">
      <w:pPr>
        <w:spacing w:line="222" w:lineRule="auto"/>
        <w:ind w:left="20"/>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人可以要求承包人重新确定暂估价项目的供应商、分包人</w:t>
      </w:r>
      <w:r>
        <w:rPr>
          <w:rFonts w:ascii="Times New Roman" w:hAnsi="Times New Roman" w:eastAsia="Times New Roman" w:cs="Times New Roman"/>
          <w:color w:val="auto"/>
          <w:spacing w:val="-1"/>
          <w:sz w:val="21"/>
          <w:szCs w:val="21"/>
          <w:highlight w:val="none"/>
        </w:rPr>
        <w:t>;</w:t>
      </w:r>
    </w:p>
    <w:p w14:paraId="2AA9020C">
      <w:pPr>
        <w:spacing w:before="150"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）承包人应当在签订暂估价合同后</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 </w:t>
      </w:r>
      <w:r>
        <w:rPr>
          <w:rFonts w:ascii="宋体" w:hAnsi="宋体" w:eastAsia="宋体" w:cs="宋体"/>
          <w:color w:val="auto"/>
          <w:spacing w:val="-3"/>
          <w:sz w:val="21"/>
          <w:szCs w:val="21"/>
          <w:highlight w:val="none"/>
        </w:rPr>
        <w:t>天内， 将暂估</w:t>
      </w:r>
      <w:r>
        <w:rPr>
          <w:rFonts w:ascii="宋体" w:hAnsi="宋体" w:eastAsia="宋体" w:cs="宋体"/>
          <w:color w:val="auto"/>
          <w:spacing w:val="-4"/>
          <w:sz w:val="21"/>
          <w:szCs w:val="21"/>
          <w:highlight w:val="none"/>
        </w:rPr>
        <w:t>价合同副本报送发包人留存。</w:t>
      </w:r>
    </w:p>
    <w:p w14:paraId="3141793E">
      <w:pPr>
        <w:spacing w:before="150"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第</w:t>
      </w:r>
      <w:r>
        <w:rPr>
          <w:rFonts w:ascii="宋体" w:hAnsi="宋体" w:eastAsia="宋体" w:cs="宋体"/>
          <w:color w:val="auto"/>
          <w:spacing w:val="-58"/>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Times New Roman" w:hAnsi="Times New Roman" w:eastAsia="Times New Roman" w:cs="Times New Roman"/>
          <w:color w:val="auto"/>
          <w:spacing w:val="-10"/>
          <w:position w:val="14"/>
          <w:sz w:val="21"/>
          <w:szCs w:val="21"/>
          <w:highlight w:val="none"/>
        </w:rPr>
        <w:t xml:space="preserve"> </w:t>
      </w:r>
      <w:r>
        <w:rPr>
          <w:rFonts w:ascii="宋体" w:hAnsi="宋体" w:eastAsia="宋体" w:cs="宋体"/>
          <w:color w:val="auto"/>
          <w:spacing w:val="-2"/>
          <w:position w:val="14"/>
          <w:sz w:val="21"/>
          <w:szCs w:val="21"/>
          <w:highlight w:val="none"/>
        </w:rPr>
        <w:t>种方式：承包人按照第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10.7.1 </w:t>
      </w:r>
      <w:r>
        <w:rPr>
          <w:rFonts w:ascii="宋体" w:hAnsi="宋体" w:eastAsia="宋体" w:cs="宋体"/>
          <w:color w:val="auto"/>
          <w:spacing w:val="-2"/>
          <w:position w:val="14"/>
          <w:sz w:val="21"/>
          <w:szCs w:val="21"/>
          <w:highlight w:val="none"/>
        </w:rPr>
        <w:t>项〔依法必须招标的暂估价项目〕</w:t>
      </w:r>
      <w:r>
        <w:rPr>
          <w:rFonts w:ascii="宋体" w:hAnsi="宋体" w:eastAsia="宋体" w:cs="宋体"/>
          <w:color w:val="auto"/>
          <w:spacing w:val="-3"/>
          <w:position w:val="14"/>
          <w:sz w:val="21"/>
          <w:szCs w:val="21"/>
          <w:highlight w:val="none"/>
        </w:rPr>
        <w:t>约定的第</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1</w:t>
      </w:r>
      <w:r>
        <w:rPr>
          <w:rFonts w:ascii="Times New Roman" w:hAnsi="Times New Roman" w:eastAsia="Times New Roman" w:cs="Times New Roman"/>
          <w:color w:val="auto"/>
          <w:spacing w:val="-10"/>
          <w:position w:val="14"/>
          <w:sz w:val="21"/>
          <w:szCs w:val="21"/>
          <w:highlight w:val="none"/>
        </w:rPr>
        <w:t xml:space="preserve"> </w:t>
      </w:r>
      <w:r>
        <w:rPr>
          <w:rFonts w:ascii="宋体" w:hAnsi="宋体" w:eastAsia="宋体" w:cs="宋体"/>
          <w:color w:val="auto"/>
          <w:spacing w:val="-3"/>
          <w:position w:val="14"/>
          <w:sz w:val="21"/>
          <w:szCs w:val="21"/>
          <w:highlight w:val="none"/>
        </w:rPr>
        <w:t>种方式</w:t>
      </w:r>
    </w:p>
    <w:p w14:paraId="3A3A9CCF">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确定暂估价项目。</w:t>
      </w:r>
    </w:p>
    <w:p w14:paraId="627C9891">
      <w:pPr>
        <w:spacing w:before="155"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种方式：承包人直接实施的暂估价项目</w:t>
      </w:r>
    </w:p>
    <w:p w14:paraId="05A76904">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承包人具备实施暂估价项目的资格和条件的，经发包人和承包人协商一致后，可由承</w:t>
      </w:r>
    </w:p>
    <w:p w14:paraId="2EEBC98D">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包人自行实施暂估价项目，合同当事人可以在专用合同条款约定</w:t>
      </w:r>
      <w:r>
        <w:rPr>
          <w:rFonts w:ascii="宋体" w:hAnsi="宋体" w:eastAsia="宋体" w:cs="宋体"/>
          <w:color w:val="auto"/>
          <w:spacing w:val="-1"/>
          <w:sz w:val="21"/>
          <w:szCs w:val="21"/>
          <w:highlight w:val="none"/>
        </w:rPr>
        <w:t>具体事项。</w:t>
      </w:r>
    </w:p>
    <w:p w14:paraId="78FF48CA">
      <w:pPr>
        <w:spacing w:before="155" w:line="398" w:lineRule="exact"/>
        <w:ind w:right="2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10.7.3  </w:t>
      </w:r>
      <w:r>
        <w:rPr>
          <w:rFonts w:ascii="宋体" w:hAnsi="宋体" w:eastAsia="宋体" w:cs="宋体"/>
          <w:color w:val="auto"/>
          <w:spacing w:val="1"/>
          <w:position w:val="14"/>
          <w:sz w:val="21"/>
          <w:szCs w:val="21"/>
          <w:highlight w:val="none"/>
        </w:rPr>
        <w:t>因发包人原因导致暂估价合同订立和履行迟延的，</w:t>
      </w:r>
      <w:r>
        <w:rPr>
          <w:rFonts w:ascii="宋体" w:hAnsi="宋体" w:eastAsia="宋体" w:cs="宋体"/>
          <w:color w:val="auto"/>
          <w:spacing w:val="-61"/>
          <w:position w:val="14"/>
          <w:sz w:val="21"/>
          <w:szCs w:val="21"/>
          <w:highlight w:val="none"/>
        </w:rPr>
        <w:t xml:space="preserve"> </w:t>
      </w:r>
      <w:r>
        <w:rPr>
          <w:rFonts w:ascii="宋体" w:hAnsi="宋体" w:eastAsia="宋体" w:cs="宋体"/>
          <w:color w:val="auto"/>
          <w:spacing w:val="1"/>
          <w:position w:val="14"/>
          <w:sz w:val="21"/>
          <w:szCs w:val="21"/>
          <w:highlight w:val="none"/>
        </w:rPr>
        <w:t>由此增加的费用和</w:t>
      </w:r>
      <w:r>
        <w:rPr>
          <w:rFonts w:ascii="宋体" w:hAnsi="宋体" w:eastAsia="宋体" w:cs="宋体"/>
          <w:color w:val="auto"/>
          <w:position w:val="14"/>
          <w:sz w:val="21"/>
          <w:szCs w:val="21"/>
          <w:highlight w:val="none"/>
        </w:rPr>
        <w:t>（或）延</w:t>
      </w:r>
    </w:p>
    <w:p w14:paraId="02E531FE">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误的工期由发包人承担，并支付承包人合理的利润。因承包人原因导致</w:t>
      </w:r>
      <w:r>
        <w:rPr>
          <w:rFonts w:ascii="宋体" w:hAnsi="宋体" w:eastAsia="宋体" w:cs="宋体"/>
          <w:color w:val="auto"/>
          <w:spacing w:val="2"/>
          <w:sz w:val="21"/>
          <w:szCs w:val="21"/>
          <w:highlight w:val="none"/>
        </w:rPr>
        <w:t>暂估价合同订立和</w:t>
      </w:r>
    </w:p>
    <w:p w14:paraId="295A7220">
      <w:pPr>
        <w:spacing w:before="149" w:line="221"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履行迟延的，由此增加的费用和（或） 延误的工期由承包人承担。</w:t>
      </w:r>
    </w:p>
    <w:p w14:paraId="060486B7">
      <w:pPr>
        <w:spacing w:before="50"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10.8</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暂列金额</w:t>
      </w:r>
    </w:p>
    <w:p w14:paraId="414A4389">
      <w:pPr>
        <w:spacing w:before="129" w:line="221" w:lineRule="auto"/>
        <w:ind w:right="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暂列金额应按照发包人的要求使用， 发包人的要求应通过监理人发出。合同当事人可</w:t>
      </w:r>
    </w:p>
    <w:p w14:paraId="35AC6CE9">
      <w:pPr>
        <w:spacing w:before="148" w:line="221"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以在专用合同条款中协商确定有关事项。</w:t>
      </w:r>
    </w:p>
    <w:p w14:paraId="3AD02AA0">
      <w:pPr>
        <w:spacing w:before="45" w:line="222"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10.9</w:t>
      </w:r>
      <w:r>
        <w:rPr>
          <w:rFonts w:ascii="黑体" w:hAnsi="黑体" w:eastAsia="黑体" w:cs="黑体"/>
          <w:color w:val="auto"/>
          <w:spacing w:val="-47"/>
          <w:sz w:val="24"/>
          <w:szCs w:val="24"/>
          <w:highlight w:val="none"/>
        </w:rPr>
        <w:t xml:space="preserve"> </w:t>
      </w:r>
      <w:r>
        <w:rPr>
          <w:rFonts w:ascii="黑体" w:hAnsi="黑体" w:eastAsia="黑体" w:cs="黑体"/>
          <w:color w:val="auto"/>
          <w:spacing w:val="-5"/>
          <w:sz w:val="24"/>
          <w:szCs w:val="24"/>
          <w:highlight w:val="none"/>
        </w:rPr>
        <w:t>计日工</w:t>
      </w:r>
    </w:p>
    <w:p w14:paraId="125D4CA7">
      <w:pPr>
        <w:spacing w:before="125" w:line="352" w:lineRule="auto"/>
        <w:ind w:left="17" w:right="10" w:firstLine="43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需要采用计日工方式的，经发包人同意后，由监理人通</w:t>
      </w:r>
      <w:r>
        <w:rPr>
          <w:rFonts w:ascii="宋体" w:hAnsi="宋体" w:eastAsia="宋体" w:cs="宋体"/>
          <w:color w:val="auto"/>
          <w:spacing w:val="2"/>
          <w:sz w:val="21"/>
          <w:szCs w:val="21"/>
          <w:highlight w:val="none"/>
        </w:rPr>
        <w:t>知承包人以计日工计价方式实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施相应的工作，其价款按列入已标价工程量清单或预算书中的计日工计价项目及</w:t>
      </w:r>
      <w:r>
        <w:rPr>
          <w:rFonts w:ascii="宋体" w:hAnsi="宋体" w:eastAsia="宋体" w:cs="宋体"/>
          <w:color w:val="auto"/>
          <w:spacing w:val="2"/>
          <w:sz w:val="21"/>
          <w:szCs w:val="21"/>
          <w:highlight w:val="none"/>
        </w:rPr>
        <w:t>其单价进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行计算；已标价工程量清单或预算书中无相应的计日工单价的，按照合理的成</w:t>
      </w:r>
      <w:r>
        <w:rPr>
          <w:rFonts w:ascii="宋体" w:hAnsi="宋体" w:eastAsia="宋体" w:cs="宋体"/>
          <w:color w:val="auto"/>
          <w:spacing w:val="2"/>
          <w:sz w:val="21"/>
          <w:szCs w:val="21"/>
          <w:highlight w:val="none"/>
        </w:rPr>
        <w:t>本与利润构</w:t>
      </w:r>
    </w:p>
    <w:p w14:paraId="505A9E90">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成的原则，</w:t>
      </w:r>
      <w:r>
        <w:rPr>
          <w:rFonts w:ascii="宋体" w:hAnsi="宋体" w:eastAsia="宋体" w:cs="宋体"/>
          <w:color w:val="auto"/>
          <w:spacing w:val="85"/>
          <w:sz w:val="21"/>
          <w:szCs w:val="21"/>
          <w:highlight w:val="none"/>
        </w:rPr>
        <w:t xml:space="preserve"> </w:t>
      </w:r>
      <w:r>
        <w:rPr>
          <w:rFonts w:ascii="宋体" w:hAnsi="宋体" w:eastAsia="宋体" w:cs="宋体"/>
          <w:color w:val="auto"/>
          <w:spacing w:val="-6"/>
          <w:sz w:val="21"/>
          <w:szCs w:val="21"/>
          <w:highlight w:val="none"/>
        </w:rPr>
        <w:t>由合同当事人按照第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6"/>
          <w:sz w:val="21"/>
          <w:szCs w:val="21"/>
          <w:highlight w:val="none"/>
        </w:rPr>
        <w:t xml:space="preserve">4.4 </w:t>
      </w:r>
      <w:r>
        <w:rPr>
          <w:rFonts w:ascii="宋体" w:hAnsi="宋体" w:eastAsia="宋体" w:cs="宋体"/>
          <w:color w:val="auto"/>
          <w:spacing w:val="-6"/>
          <w:sz w:val="21"/>
          <w:szCs w:val="21"/>
          <w:highlight w:val="none"/>
        </w:rPr>
        <w:t>款〔商定或确定〕确定计日工的单价。</w:t>
      </w:r>
    </w:p>
    <w:p w14:paraId="4BECCD8E">
      <w:pPr>
        <w:spacing w:before="149"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采用计日工计价的任何一项工作，承包人应在该项工作实施过程中， 每天提交以下报</w:t>
      </w:r>
    </w:p>
    <w:p w14:paraId="2938F430">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表和有关凭证报送监理人审查：</w:t>
      </w:r>
    </w:p>
    <w:p w14:paraId="661D32F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）工作名称、内容和数量；</w:t>
      </w:r>
    </w:p>
    <w:p w14:paraId="62D5DA41">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）投入该工作的所有人员的姓名、专业、工种、级别和耗用工时；</w:t>
      </w:r>
    </w:p>
    <w:p w14:paraId="6435131F">
      <w:pPr>
        <w:spacing w:line="221" w:lineRule="auto"/>
        <w:rPr>
          <w:rFonts w:ascii="宋体" w:hAnsi="宋体" w:eastAsia="宋体" w:cs="宋体"/>
          <w:color w:val="auto"/>
          <w:sz w:val="21"/>
          <w:szCs w:val="21"/>
          <w:highlight w:val="none"/>
        </w:rPr>
        <w:sectPr>
          <w:footerReference r:id="rId130" w:type="default"/>
          <w:pgSz w:w="11905" w:h="16839"/>
          <w:pgMar w:top="1431" w:right="1785" w:bottom="1004" w:left="1785" w:header="0" w:footer="828" w:gutter="0"/>
          <w:pgNumType w:fmt="decimal"/>
          <w:cols w:space="720" w:num="1"/>
        </w:sectPr>
      </w:pPr>
    </w:p>
    <w:p w14:paraId="5ADB7AC3">
      <w:pPr>
        <w:spacing w:before="149"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）投入该工作的材料类别和数量；</w:t>
      </w:r>
    </w:p>
    <w:p w14:paraId="1DC1D197">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4</w:t>
      </w:r>
      <w:r>
        <w:rPr>
          <w:rFonts w:ascii="宋体" w:hAnsi="宋体" w:eastAsia="宋体" w:cs="宋体"/>
          <w:color w:val="auto"/>
          <w:spacing w:val="-1"/>
          <w:position w:val="14"/>
          <w:sz w:val="21"/>
          <w:szCs w:val="21"/>
          <w:highlight w:val="none"/>
        </w:rPr>
        <w:t>）投入该工作的施工设备型号、台数和耗用台时；</w:t>
      </w:r>
    </w:p>
    <w:p w14:paraId="759FD1D9">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）其他有关资料和凭证。</w:t>
      </w:r>
    </w:p>
    <w:p w14:paraId="7D878EA9">
      <w:pPr>
        <w:spacing w:before="148" w:line="398" w:lineRule="exact"/>
        <w:ind w:right="14"/>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计日工由承包人汇总后，列入最近一期进度付款申请单，由监理人审查并经发包人批</w:t>
      </w:r>
    </w:p>
    <w:p w14:paraId="2348CFF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准后列入进度付款。</w:t>
      </w:r>
    </w:p>
    <w:p w14:paraId="646B816D">
      <w:pPr>
        <w:spacing w:before="177" w:line="220"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11.价格调整</w:t>
      </w:r>
    </w:p>
    <w:p w14:paraId="7B72343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11.1</w:t>
      </w:r>
      <w:r>
        <w:rPr>
          <w:rFonts w:ascii="黑体" w:hAnsi="黑体" w:eastAsia="黑体" w:cs="黑体"/>
          <w:color w:val="auto"/>
          <w:spacing w:val="-39"/>
          <w:sz w:val="24"/>
          <w:szCs w:val="24"/>
          <w:highlight w:val="none"/>
        </w:rPr>
        <w:t xml:space="preserve"> </w:t>
      </w:r>
      <w:r>
        <w:rPr>
          <w:rFonts w:ascii="黑体" w:hAnsi="黑体" w:eastAsia="黑体" w:cs="黑体"/>
          <w:color w:val="auto"/>
          <w:spacing w:val="-3"/>
          <w:sz w:val="24"/>
          <w:szCs w:val="24"/>
          <w:highlight w:val="none"/>
        </w:rPr>
        <w:t>市场价格波动引起的调整</w:t>
      </w:r>
    </w:p>
    <w:p w14:paraId="1FAB13F1">
      <w:pPr>
        <w:spacing w:before="12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除专用合同条款另有约定外，市场价格波动超过合同当事人约</w:t>
      </w:r>
      <w:r>
        <w:rPr>
          <w:rFonts w:ascii="宋体" w:hAnsi="宋体" w:eastAsia="宋体" w:cs="宋体"/>
          <w:color w:val="auto"/>
          <w:spacing w:val="2"/>
          <w:position w:val="14"/>
          <w:sz w:val="21"/>
          <w:szCs w:val="21"/>
          <w:highlight w:val="none"/>
        </w:rPr>
        <w:t>定的范围，合同价格应</w:t>
      </w:r>
    </w:p>
    <w:p w14:paraId="040B036B">
      <w:pPr>
        <w:spacing w:line="219" w:lineRule="auto"/>
        <w:ind w:left="3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当调整。合同当事人可以在专用合同条款中约定选择以下一</w:t>
      </w:r>
      <w:r>
        <w:rPr>
          <w:rFonts w:ascii="宋体" w:hAnsi="宋体" w:eastAsia="宋体" w:cs="宋体"/>
          <w:color w:val="auto"/>
          <w:spacing w:val="-2"/>
          <w:sz w:val="21"/>
          <w:szCs w:val="21"/>
          <w:highlight w:val="none"/>
        </w:rPr>
        <w:t>种方式对合同价格进行调整：</w:t>
      </w:r>
    </w:p>
    <w:p w14:paraId="276D8184">
      <w:pPr>
        <w:spacing w:before="154"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第</w:t>
      </w:r>
      <w:r>
        <w:rPr>
          <w:rFonts w:ascii="宋体" w:hAnsi="宋体" w:eastAsia="宋体" w:cs="宋体"/>
          <w:color w:val="auto"/>
          <w:spacing w:val="-27"/>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 xml:space="preserve">1 </w:t>
      </w:r>
      <w:r>
        <w:rPr>
          <w:rFonts w:ascii="宋体" w:hAnsi="宋体" w:eastAsia="宋体" w:cs="宋体"/>
          <w:color w:val="auto"/>
          <w:spacing w:val="-3"/>
          <w:position w:val="14"/>
          <w:sz w:val="21"/>
          <w:szCs w:val="21"/>
          <w:highlight w:val="none"/>
        </w:rPr>
        <w:t>种方式：采用价格指数进行价格调整。</w:t>
      </w:r>
    </w:p>
    <w:p w14:paraId="2E1803E3">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）价格调整公式</w:t>
      </w:r>
    </w:p>
    <w:p w14:paraId="5636794A">
      <w:pPr>
        <w:spacing w:before="150" w:line="403" w:lineRule="exact"/>
        <w:ind w:right="12"/>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因人工、材料和设备等价格波动影响合同价格时，根据专用合同条款中约定的数据，</w:t>
      </w:r>
    </w:p>
    <w:p w14:paraId="1A055C04">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按以下公式计算差额并调整合同价格：</w:t>
      </w:r>
    </w:p>
    <w:p w14:paraId="0584B3D5">
      <w:pPr>
        <w:spacing w:before="61" w:line="284" w:lineRule="exact"/>
        <w:ind w:left="1753"/>
        <w:rPr>
          <w:rFonts w:ascii="微软雅黑" w:hAnsi="微软雅黑" w:eastAsia="微软雅黑" w:cs="微软雅黑"/>
          <w:color w:val="auto"/>
          <w:sz w:val="25"/>
          <w:szCs w:val="25"/>
          <w:highlight w:val="none"/>
        </w:rPr>
      </w:pPr>
      <w:r>
        <w:rPr>
          <w:color w:val="auto"/>
          <w:highlight w:val="none"/>
        </w:rPr>
        <w:pict>
          <v:shape id="_x0000_s2051" o:spid="_x0000_s2051" o:spt="202" type="#_x0000_t202" style="position:absolute;left:0pt;margin-left:54.15pt;margin-top:11.45pt;height:20.8pt;width:307.15pt;z-index:-251654144;mso-width-relative:page;mso-height-relative:page;" filled="f" stroked="f" coordsize="21600,21600">
            <v:path/>
            <v:fill on="f" focussize="0,0"/>
            <v:stroke on="f"/>
            <v:imagedata o:title=""/>
            <o:lock v:ext="edit" aspectratio="f"/>
            <v:textbox inset="0mm,0mm,0mm,0mm">
              <w:txbxContent>
                <w:p w14:paraId="4BB0BB5A">
                  <w:pPr>
                    <w:spacing w:before="19" w:line="199" w:lineRule="auto"/>
                    <w:jc w:val="right"/>
                    <w:rPr>
                      <w:rFonts w:ascii="微软雅黑" w:hAnsi="微软雅黑" w:eastAsia="微软雅黑" w:cs="微软雅黑"/>
                      <w:sz w:val="25"/>
                      <w:szCs w:val="25"/>
                    </w:rPr>
                  </w:pPr>
                  <w:r>
                    <w:rPr>
                      <w:rFonts w:ascii="微软雅黑" w:hAnsi="微软雅黑" w:eastAsia="微软雅黑" w:cs="微软雅黑"/>
                      <w:spacing w:val="-14"/>
                      <w:w w:val="94"/>
                      <w:sz w:val="25"/>
                      <w:szCs w:val="25"/>
                    </w:rPr>
                    <w:t>Δ</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i/>
                      <w:iCs/>
                      <w:spacing w:val="6"/>
                      <w:sz w:val="25"/>
                      <w:szCs w:val="25"/>
                    </w:rPr>
                    <w:t xml:space="preserve"> </w:t>
                  </w:r>
                  <w:r>
                    <w:rPr>
                      <w:rFonts w:ascii="微软雅黑" w:hAnsi="微软雅黑" w:eastAsia="微软雅黑" w:cs="微软雅黑"/>
                      <w:spacing w:val="-14"/>
                      <w:w w:val="94"/>
                      <w:sz w:val="25"/>
                      <w:szCs w:val="25"/>
                    </w:rPr>
                    <w:t>=</w:t>
                  </w:r>
                  <w:r>
                    <w:rPr>
                      <w:rFonts w:ascii="微软雅黑" w:hAnsi="微软雅黑" w:eastAsia="微软雅黑" w:cs="微软雅黑"/>
                      <w:spacing w:val="-14"/>
                      <w:sz w:val="25"/>
                      <w:szCs w:val="25"/>
                    </w:rPr>
                    <w:t xml:space="preserve"> </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spacing w:val="-14"/>
                      <w:w w:val="94"/>
                      <w:position w:val="-6"/>
                      <w:sz w:val="15"/>
                      <w:szCs w:val="15"/>
                    </w:rPr>
                    <w:t xml:space="preserve">0 </w:t>
                  </w:r>
                  <w:r>
                    <w:rPr>
                      <w:rFonts w:ascii="微软雅黑" w:hAnsi="微软雅黑" w:eastAsia="微软雅黑" w:cs="微软雅黑"/>
                      <w:spacing w:val="11"/>
                      <w:position w:val="-2"/>
                      <w:sz w:val="25"/>
                      <w:szCs w:val="25"/>
                    </w:rPr>
                    <w:t>|</w:t>
                  </w:r>
                  <w:r>
                    <w:rPr>
                      <w:rFonts w:ascii="Times New Roman" w:hAnsi="Times New Roman" w:eastAsia="Times New Roman" w:cs="Times New Roman"/>
                      <w:i/>
                      <w:iCs/>
                      <w:spacing w:val="11"/>
                      <w:position w:val="-2"/>
                      <w:sz w:val="25"/>
                      <w:szCs w:val="25"/>
                    </w:rPr>
                    <w:t>A</w:t>
                  </w:r>
                  <w:r>
                    <w:rPr>
                      <w:rFonts w:ascii="微软雅黑" w:hAnsi="微软雅黑" w:eastAsia="微软雅黑" w:cs="微软雅黑"/>
                      <w:spacing w:val="11"/>
                      <w:position w:val="-2"/>
                      <w:sz w:val="25"/>
                      <w:szCs w:val="25"/>
                    </w:rPr>
                    <w:t>+</w:t>
                  </w:r>
                  <w:r>
                    <w:rPr>
                      <w:rFonts w:ascii="微软雅黑" w:hAnsi="微软雅黑" w:eastAsia="微软雅黑" w:cs="微软雅黑"/>
                      <w:spacing w:val="-23"/>
                      <w:position w:val="-2"/>
                      <w:sz w:val="25"/>
                      <w:szCs w:val="25"/>
                    </w:rPr>
                    <w:t xml:space="preserve"> </w:t>
                  </w:r>
                  <w:r>
                    <w:rPr>
                      <w:rFonts w:ascii="Symbol" w:hAnsi="Symbol" w:eastAsia="Symbol" w:cs="Symbol"/>
                      <w:spacing w:val="11"/>
                      <w:sz w:val="25"/>
                      <w:szCs w:val="25"/>
                      <w14:textOutline w14:w="3175" w14:cap="flat" w14:cmpd="sng">
                        <w14:solidFill>
                          <w14:srgbClr w14:val="000000"/>
                        </w14:solidFill>
                        <w14:prstDash w14:val="solid"/>
                        <w14:miter w14:val="0"/>
                      </w14:textOutline>
                    </w:rPr>
                    <w:t>|</w:t>
                  </w:r>
                  <w:r>
                    <w:rPr>
                      <w:rFonts w:ascii="Times New Roman" w:hAnsi="Times New Roman" w:eastAsia="Times New Roman" w:cs="Times New Roman"/>
                      <w:i/>
                      <w:iCs/>
                      <w:spacing w:val="11"/>
                      <w:sz w:val="25"/>
                      <w:szCs w:val="25"/>
                    </w:rPr>
                    <w:t>B</w:t>
                  </w:r>
                  <w:r>
                    <w:rPr>
                      <w:rFonts w:ascii="Times New Roman" w:hAnsi="Times New Roman" w:eastAsia="Times New Roman" w:cs="Times New Roman"/>
                      <w:spacing w:val="11"/>
                      <w:position w:val="-6"/>
                      <w:sz w:val="15"/>
                      <w:szCs w:val="15"/>
                    </w:rPr>
                    <w:t>1</w:t>
                  </w:r>
                  <w:r>
                    <w:rPr>
                      <w:rFonts w:ascii="Times New Roman" w:hAnsi="Times New Roman" w:eastAsia="Times New Roman" w:cs="Times New Roman"/>
                      <w:spacing w:val="27"/>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6"/>
                      <w:position w:val="9"/>
                      <w:sz w:val="15"/>
                      <w:szCs w:val="15"/>
                      <w:u w:val="single" w:color="auto"/>
                    </w:rPr>
                    <w:t xml:space="preserve">    </w:t>
                  </w:r>
                  <w:r>
                    <w:rPr>
                      <w:rFonts w:ascii="Times New Roman" w:hAnsi="Times New Roman" w:eastAsia="Times New Roman" w:cs="Times New Roman"/>
                      <w:i/>
                      <w:iCs/>
                      <w:spacing w:val="-4"/>
                      <w:position w:val="9"/>
                      <w:sz w:val="15"/>
                      <w:szCs w:val="15"/>
                      <w:u w:val="single" w:color="auto"/>
                    </w:rPr>
                    <w:t>t</w:t>
                  </w:r>
                  <w:r>
                    <w:rPr>
                      <w:rFonts w:ascii="Times New Roman" w:hAnsi="Times New Roman" w:eastAsia="Times New Roman" w:cs="Times New Roman"/>
                      <w:spacing w:val="-4"/>
                      <w:position w:val="9"/>
                      <w:sz w:val="15"/>
                      <w:szCs w:val="15"/>
                      <w:u w:val="single" w:color="auto"/>
                    </w:rPr>
                    <w:t>1</w:t>
                  </w:r>
                  <w:r>
                    <w:rPr>
                      <w:rFonts w:ascii="Times New Roman" w:hAnsi="Times New Roman" w:eastAsia="Times New Roman" w:cs="Times New Roman"/>
                      <w:spacing w:val="7"/>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3"/>
                      <w:position w:val="-6"/>
                      <w:sz w:val="15"/>
                      <w:szCs w:val="15"/>
                    </w:rPr>
                    <w:t>2</w:t>
                  </w:r>
                  <w:r>
                    <w:rPr>
                      <w:rFonts w:ascii="Times New Roman" w:hAnsi="Times New Roman" w:eastAsia="Times New Roman" w:cs="Times New Roman"/>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4"/>
                      <w:position w:val="9"/>
                      <w:sz w:val="15"/>
                      <w:szCs w:val="15"/>
                      <w:u w:val="single" w:color="auto"/>
                    </w:rPr>
                    <w:t xml:space="preserve">    </w:t>
                  </w:r>
                  <w:r>
                    <w:rPr>
                      <w:rFonts w:ascii="Times New Roman" w:hAnsi="Times New Roman" w:eastAsia="Times New Roman" w:cs="Times New Roman"/>
                      <w:i/>
                      <w:iCs/>
                      <w:spacing w:val="2"/>
                      <w:position w:val="9"/>
                      <w:sz w:val="15"/>
                      <w:szCs w:val="15"/>
                      <w:u w:val="single" w:color="auto"/>
                    </w:rPr>
                    <w:t>t</w:t>
                  </w:r>
                  <w:r>
                    <w:rPr>
                      <w:rFonts w:ascii="Times New Roman" w:hAnsi="Times New Roman" w:eastAsia="Times New Roman" w:cs="Times New Roman"/>
                      <w:spacing w:val="2"/>
                      <w:position w:val="9"/>
                      <w:sz w:val="15"/>
                      <w:szCs w:val="15"/>
                      <w:u w:val="single" w:color="auto"/>
                    </w:rPr>
                    <w:t>2</w:t>
                  </w:r>
                  <w:r>
                    <w:rPr>
                      <w:rFonts w:ascii="Times New Roman" w:hAnsi="Times New Roman" w:eastAsia="Times New Roman" w:cs="Times New Roman"/>
                      <w:spacing w:val="13"/>
                      <w:w w:val="101"/>
                      <w:position w:val="9"/>
                      <w:sz w:val="15"/>
                      <w:szCs w:val="15"/>
                      <w:u w:val="single" w:color="auto"/>
                    </w:rPr>
                    <w:t xml:space="preserve"> </w:t>
                  </w:r>
                  <w:r>
                    <w:rPr>
                      <w:rFonts w:ascii="Times New Roman" w:hAnsi="Times New Roman" w:eastAsia="Times New Roman" w:cs="Times New Roman"/>
                      <w:spacing w:val="16"/>
                      <w:w w:val="101"/>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31"/>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5"/>
                      <w:position w:val="9"/>
                      <w:sz w:val="15"/>
                      <w:szCs w:val="15"/>
                      <w:u w:val="single" w:color="auto"/>
                    </w:rPr>
                    <w:t xml:space="preserve">    </w:t>
                  </w:r>
                  <w:r>
                    <w:rPr>
                      <w:rFonts w:ascii="Times New Roman" w:hAnsi="Times New Roman" w:eastAsia="Times New Roman" w:cs="Times New Roman"/>
                      <w:i/>
                      <w:iCs/>
                      <w:spacing w:val="1"/>
                      <w:position w:val="9"/>
                      <w:sz w:val="15"/>
                      <w:szCs w:val="15"/>
                      <w:u w:val="single" w:color="auto"/>
                    </w:rPr>
                    <w:t>t</w:t>
                  </w:r>
                  <w:r>
                    <w:rPr>
                      <w:rFonts w:ascii="Times New Roman" w:hAnsi="Times New Roman" w:eastAsia="Times New Roman" w:cs="Times New Roman"/>
                      <w:spacing w:val="1"/>
                      <w:position w:val="9"/>
                      <w:sz w:val="15"/>
                      <w:szCs w:val="15"/>
                      <w:u w:val="single" w:color="auto"/>
                    </w:rPr>
                    <w:t>3</w:t>
                  </w:r>
                  <w:r>
                    <w:rPr>
                      <w:rFonts w:ascii="Times New Roman" w:hAnsi="Times New Roman" w:eastAsia="Times New Roman" w:cs="Times New Roman"/>
                      <w:spacing w:val="4"/>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23"/>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7"/>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8"/>
                      <w:sz w:val="25"/>
                      <w:szCs w:val="25"/>
                    </w:rPr>
                    <w:t>B</w:t>
                  </w:r>
                  <w:r>
                    <w:rPr>
                      <w:rFonts w:ascii="Times New Roman" w:hAnsi="Times New Roman" w:eastAsia="Times New Roman" w:cs="Times New Roman"/>
                      <w:i/>
                      <w:iCs/>
                      <w:spacing w:val="-3"/>
                      <w:position w:val="-6"/>
                      <w:sz w:val="15"/>
                      <w:szCs w:val="15"/>
                    </w:rPr>
                    <w:t>n</w:t>
                  </w:r>
                  <w:r>
                    <w:rPr>
                      <w:rFonts w:ascii="Times New Roman" w:hAnsi="Times New Roman" w:eastAsia="Times New Roman" w:cs="Times New Roman"/>
                      <w:i/>
                      <w:iCs/>
                      <w:spacing w:val="2"/>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8"/>
                      <w:position w:val="9"/>
                      <w:sz w:val="15"/>
                      <w:szCs w:val="15"/>
                      <w:u w:val="single" w:color="auto"/>
                    </w:rPr>
                    <w:t xml:space="preserve">    </w:t>
                  </w:r>
                  <w:r>
                    <w:rPr>
                      <w:rFonts w:ascii="Times New Roman" w:hAnsi="Times New Roman" w:eastAsia="Times New Roman" w:cs="Times New Roman"/>
                      <w:i/>
                      <w:iCs/>
                      <w:spacing w:val="-3"/>
                      <w:position w:val="9"/>
                      <w:sz w:val="15"/>
                      <w:szCs w:val="15"/>
                      <w:u w:val="single" w:color="auto"/>
                    </w:rPr>
                    <w:t>tn</w:t>
                  </w:r>
                  <w:r>
                    <w:rPr>
                      <w:rFonts w:ascii="Times New Roman" w:hAnsi="Times New Roman" w:eastAsia="Times New Roman" w:cs="Times New Roman"/>
                      <w:i/>
                      <w:iCs/>
                      <w:spacing w:val="18"/>
                      <w:w w:val="102"/>
                      <w:position w:val="9"/>
                      <w:sz w:val="15"/>
                      <w:szCs w:val="15"/>
                      <w:u w:val="single" w:color="auto"/>
                    </w:rPr>
                    <w:t xml:space="preserve"> </w:t>
                  </w:r>
                  <w:r>
                    <w:rPr>
                      <w:rFonts w:ascii="Times New Roman" w:hAnsi="Times New Roman" w:eastAsia="Times New Roman" w:cs="Times New Roman"/>
                      <w:i/>
                      <w:iCs/>
                      <w:spacing w:val="11"/>
                      <w:w w:val="101"/>
                      <w:position w:val="9"/>
                      <w:sz w:val="15"/>
                      <w:szCs w:val="15"/>
                    </w:rPr>
                    <w:t xml:space="preserve">  </w:t>
                  </w:r>
                  <w:r>
                    <w:rPr>
                      <w:rFonts w:ascii="Symbol" w:hAnsi="Symbol" w:eastAsia="Symbol" w:cs="Symbol"/>
                      <w:spacing w:val="-30"/>
                      <w:sz w:val="25"/>
                      <w:szCs w:val="25"/>
                      <w14:textOutline w14:w="3175" w14:cap="flat" w14:cmpd="sng">
                        <w14:solidFill>
                          <w14:srgbClr w14:val="000000"/>
                        </w14:solidFill>
                        <w14:prstDash w14:val="solid"/>
                        <w14:miter w14:val="0"/>
                      </w14:textOutline>
                    </w:rPr>
                    <w:t>|</w:t>
                  </w:r>
                  <w:r>
                    <w:rPr>
                      <w:rFonts w:ascii="Symbol" w:hAnsi="Symbol" w:eastAsia="Symbol" w:cs="Symbol"/>
                      <w:spacing w:val="-29"/>
                      <w:sz w:val="25"/>
                      <w:szCs w:val="25"/>
                    </w:rPr>
                    <w:t xml:space="preserve"> </w:t>
                  </w:r>
                  <w:r>
                    <w:rPr>
                      <w:rFonts w:ascii="微软雅黑" w:hAnsi="微软雅黑" w:eastAsia="微软雅黑" w:cs="微软雅黑"/>
                      <w:spacing w:val="-29"/>
                      <w:position w:val="-2"/>
                      <w:sz w:val="25"/>
                      <w:szCs w:val="25"/>
                    </w:rPr>
                    <w:t>−</w:t>
                  </w:r>
                  <w:r>
                    <w:rPr>
                      <w:rFonts w:ascii="Times New Roman" w:hAnsi="Times New Roman" w:eastAsia="Times New Roman" w:cs="Times New Roman"/>
                      <w:spacing w:val="-29"/>
                      <w:position w:val="-2"/>
                      <w:sz w:val="25"/>
                      <w:szCs w:val="25"/>
                    </w:rPr>
                    <w:t>1</w:t>
                  </w:r>
                  <w:r>
                    <w:rPr>
                      <w:rFonts w:ascii="Times New Roman" w:hAnsi="Times New Roman" w:eastAsia="Times New Roman" w:cs="Times New Roman"/>
                      <w:spacing w:val="-1"/>
                      <w:position w:val="-2"/>
                      <w:sz w:val="25"/>
                      <w:szCs w:val="25"/>
                    </w:rPr>
                    <w:t xml:space="preserve"> </w:t>
                  </w:r>
                  <w:r>
                    <w:rPr>
                      <w:rFonts w:ascii="微软雅黑" w:hAnsi="微软雅黑" w:eastAsia="微软雅黑" w:cs="微软雅黑"/>
                      <w:spacing w:val="-23"/>
                      <w:position w:val="-2"/>
                      <w:sz w:val="25"/>
                      <w:szCs w:val="25"/>
                    </w:rPr>
                    <w:t>|</w:t>
                  </w:r>
                </w:p>
              </w:txbxContent>
            </v:textbox>
          </v:shape>
        </w:pict>
      </w:r>
      <w:r>
        <w:rPr>
          <w:rFonts w:ascii="微软雅黑" w:hAnsi="微软雅黑" w:eastAsia="微软雅黑" w:cs="微软雅黑"/>
          <w:color w:val="auto"/>
          <w:spacing w:val="6"/>
          <w:position w:val="1"/>
          <w:sz w:val="25"/>
          <w:szCs w:val="25"/>
          <w:highlight w:val="none"/>
        </w:rPr>
        <w:t>「</w:t>
      </w:r>
      <w:r>
        <w:rPr>
          <w:rFonts w:ascii="微软雅黑" w:hAnsi="微软雅黑" w:eastAsia="微软雅黑" w:cs="微软雅黑"/>
          <w:color w:val="auto"/>
          <w:spacing w:val="1"/>
          <w:position w:val="1"/>
          <w:sz w:val="25"/>
          <w:szCs w:val="25"/>
          <w:highlight w:val="none"/>
        </w:rPr>
        <w:t xml:space="preserve">     </w:t>
      </w:r>
      <w:r>
        <w:rPr>
          <w:rFonts w:ascii="微软雅黑" w:hAnsi="微软雅黑" w:eastAsia="微软雅黑" w:cs="微软雅黑"/>
          <w:color w:val="auto"/>
          <w:spacing w:val="6"/>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1"/>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3"/>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6"/>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19"/>
          <w:w w:val="101"/>
          <w:position w:val="-1"/>
          <w:sz w:val="25"/>
          <w:szCs w:val="25"/>
          <w:highlight w:val="none"/>
        </w:rPr>
        <w:t xml:space="preserve">  </w:t>
      </w:r>
      <w:r>
        <w:rPr>
          <w:rFonts w:ascii="微软雅黑" w:hAnsi="微软雅黑" w:eastAsia="微软雅黑" w:cs="微软雅黑"/>
          <w:color w:val="auto"/>
          <w:spacing w:val="6"/>
          <w:sz w:val="25"/>
          <w:szCs w:val="25"/>
          <w:highlight w:val="none"/>
        </w:rPr>
        <w:t xml:space="preserve">)   </w:t>
      </w:r>
      <w:r>
        <w:rPr>
          <w:rFonts w:ascii="微软雅黑" w:hAnsi="微软雅黑" w:eastAsia="微软雅黑" w:cs="微软雅黑"/>
          <w:color w:val="auto"/>
          <w:spacing w:val="5"/>
          <w:sz w:val="25"/>
          <w:szCs w:val="25"/>
          <w:highlight w:val="none"/>
        </w:rPr>
        <w:t xml:space="preserve"> </w:t>
      </w:r>
      <w:r>
        <w:rPr>
          <w:rFonts w:ascii="微软雅黑" w:hAnsi="微软雅黑" w:eastAsia="微软雅黑" w:cs="微软雅黑"/>
          <w:color w:val="auto"/>
          <w:spacing w:val="5"/>
          <w:position w:val="1"/>
          <w:sz w:val="25"/>
          <w:szCs w:val="25"/>
          <w:highlight w:val="none"/>
        </w:rPr>
        <w:t>]</w:t>
      </w:r>
    </w:p>
    <w:p w14:paraId="0D8F63A3">
      <w:pPr>
        <w:spacing w:before="183" w:line="194" w:lineRule="auto"/>
        <w:ind w:left="1878"/>
        <w:rPr>
          <w:rFonts w:ascii="微软雅黑" w:hAnsi="微软雅黑" w:eastAsia="微软雅黑" w:cs="微软雅黑"/>
          <w:color w:val="auto"/>
          <w:sz w:val="25"/>
          <w:szCs w:val="25"/>
          <w:highlight w:val="none"/>
        </w:rPr>
      </w:pPr>
      <w:r>
        <w:rPr>
          <w:rFonts w:ascii="微软雅黑" w:hAnsi="微软雅黑" w:eastAsia="微软雅黑" w:cs="微软雅黑"/>
          <w:color w:val="auto"/>
          <w:spacing w:val="-2"/>
          <w:position w:val="-3"/>
          <w:sz w:val="25"/>
          <w:szCs w:val="25"/>
          <w:highlight w:val="none"/>
        </w:rPr>
        <w:t xml:space="preserve">L   </w:t>
      </w:r>
      <w:r>
        <w:rPr>
          <w:rFonts w:ascii="微软雅黑" w:hAnsi="微软雅黑" w:eastAsia="微软雅黑" w:cs="微软雅黑"/>
          <w:color w:val="auto"/>
          <w:spacing w:val="-2"/>
          <w:position w:val="-1"/>
          <w:sz w:val="25"/>
          <w:szCs w:val="25"/>
          <w:highlight w:val="none"/>
        </w:rPr>
        <w:t>（</w:t>
      </w:r>
      <w:r>
        <w:rPr>
          <w:rFonts w:ascii="微软雅黑" w:hAnsi="微软雅黑" w:eastAsia="微软雅黑" w:cs="微软雅黑"/>
          <w:color w:val="auto"/>
          <w:spacing w:val="3"/>
          <w:position w:val="-1"/>
          <w:sz w:val="25"/>
          <w:szCs w:val="25"/>
          <w:highlight w:val="none"/>
        </w:rPr>
        <w:t xml:space="preserve">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01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02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03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0</w:t>
      </w:r>
      <w:r>
        <w:rPr>
          <w:rFonts w:ascii="Times New Roman" w:hAnsi="Times New Roman" w:eastAsia="Times New Roman" w:cs="Times New Roman"/>
          <w:i/>
          <w:iCs/>
          <w:color w:val="auto"/>
          <w:spacing w:val="-2"/>
          <w:sz w:val="15"/>
          <w:szCs w:val="15"/>
          <w:highlight w:val="none"/>
        </w:rPr>
        <w:t>n</w:t>
      </w:r>
      <w:r>
        <w:rPr>
          <w:rFonts w:ascii="Times New Roman" w:hAnsi="Times New Roman" w:eastAsia="Times New Roman" w:cs="Times New Roman"/>
          <w:i/>
          <w:iCs/>
          <w:color w:val="auto"/>
          <w:spacing w:val="22"/>
          <w:w w:val="102"/>
          <w:sz w:val="15"/>
          <w:szCs w:val="15"/>
          <w:highlight w:val="none"/>
        </w:rPr>
        <w:t xml:space="preserve"> </w:t>
      </w:r>
      <w:r>
        <w:rPr>
          <w:rFonts w:ascii="微软雅黑" w:hAnsi="微软雅黑" w:eastAsia="微软雅黑" w:cs="微软雅黑"/>
          <w:color w:val="auto"/>
          <w:spacing w:val="-2"/>
          <w:position w:val="-1"/>
          <w:sz w:val="25"/>
          <w:szCs w:val="25"/>
          <w:highlight w:val="none"/>
        </w:rPr>
        <w:t>)</w:t>
      </w:r>
      <w:r>
        <w:rPr>
          <w:rFonts w:ascii="微软雅黑" w:hAnsi="微软雅黑" w:eastAsia="微软雅黑" w:cs="微软雅黑"/>
          <w:color w:val="auto"/>
          <w:spacing w:val="-3"/>
          <w:position w:val="-1"/>
          <w:sz w:val="25"/>
          <w:szCs w:val="25"/>
          <w:highlight w:val="none"/>
        </w:rPr>
        <w:t xml:space="preserve">    </w:t>
      </w:r>
      <w:r>
        <w:rPr>
          <w:rFonts w:ascii="微软雅黑" w:hAnsi="微软雅黑" w:eastAsia="微软雅黑" w:cs="微软雅黑"/>
          <w:color w:val="auto"/>
          <w:spacing w:val="-3"/>
          <w:position w:val="-3"/>
          <w:sz w:val="25"/>
          <w:szCs w:val="25"/>
          <w:highlight w:val="none"/>
        </w:rPr>
        <w:t>」</w:t>
      </w:r>
    </w:p>
    <w:p w14:paraId="2C6FF98D">
      <w:pPr>
        <w:pStyle w:val="3"/>
        <w:spacing w:line="265" w:lineRule="auto"/>
        <w:rPr>
          <w:color w:val="auto"/>
          <w:highlight w:val="none"/>
        </w:rPr>
      </w:pPr>
    </w:p>
    <w:p w14:paraId="673F9F5A">
      <w:pPr>
        <w:pStyle w:val="3"/>
        <w:spacing w:line="266" w:lineRule="auto"/>
        <w:rPr>
          <w:color w:val="auto"/>
          <w:highlight w:val="none"/>
        </w:rPr>
      </w:pPr>
    </w:p>
    <w:p w14:paraId="78AC6F73">
      <w:pPr>
        <w:spacing w:before="69" w:line="219" w:lineRule="auto"/>
        <w:ind w:left="447"/>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 xml:space="preserve">公式中：   </w:t>
      </w:r>
      <w:r>
        <w:rPr>
          <w:rFonts w:ascii="Times New Roman" w:hAnsi="Times New Roman" w:eastAsia="Times New Roman" w:cs="Times New Roman"/>
          <w:color w:val="auto"/>
          <w:spacing w:val="-9"/>
          <w:sz w:val="21"/>
          <w:szCs w:val="21"/>
          <w:highlight w:val="none"/>
        </w:rPr>
        <w:t>ΔP——</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9"/>
          <w:sz w:val="21"/>
          <w:szCs w:val="21"/>
          <w:highlight w:val="none"/>
        </w:rPr>
        <w:t>需调整的价格差额；</w:t>
      </w:r>
    </w:p>
    <w:p w14:paraId="614E1940">
      <w:pPr>
        <w:spacing w:before="150" w:line="352" w:lineRule="auto"/>
        <w:ind w:left="18" w:right="11" w:firstLine="1781"/>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P</w:t>
      </w:r>
      <w:r>
        <w:rPr>
          <w:rFonts w:ascii="Times New Roman" w:hAnsi="Times New Roman" w:eastAsia="Times New Roman" w:cs="Times New Roman"/>
          <w:color w:val="auto"/>
          <w:spacing w:val="1"/>
          <w:position w:val="-1"/>
          <w:sz w:val="13"/>
          <w:szCs w:val="13"/>
          <w:highlight w:val="none"/>
        </w:rPr>
        <w:t>0</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约定的付款证书中承包人应得到的已完成工程量的金额。此项金</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额应不包括价格调整、不计质量保证金的扣留和支付、预付款的支付和扣回</w:t>
      </w:r>
      <w:r>
        <w:rPr>
          <w:rFonts w:ascii="宋体" w:hAnsi="宋体" w:eastAsia="宋体" w:cs="宋体"/>
          <w:color w:val="auto"/>
          <w:spacing w:val="2"/>
          <w:sz w:val="21"/>
          <w:szCs w:val="21"/>
          <w:highlight w:val="none"/>
        </w:rPr>
        <w:t>。约定的变更</w:t>
      </w:r>
    </w:p>
    <w:p w14:paraId="63E5C7E8">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及其他金额已按现行价格计价的，也不计在内；</w:t>
      </w:r>
    </w:p>
    <w:p w14:paraId="1A3BBC39">
      <w:pPr>
        <w:spacing w:before="149" w:line="221" w:lineRule="auto"/>
        <w:ind w:left="1798"/>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A——</w:t>
      </w:r>
      <w:r>
        <w:rPr>
          <w:rFonts w:ascii="宋体" w:hAnsi="宋体" w:eastAsia="宋体" w:cs="宋体"/>
          <w:color w:val="auto"/>
          <w:spacing w:val="-6"/>
          <w:sz w:val="21"/>
          <w:szCs w:val="21"/>
          <w:highlight w:val="none"/>
        </w:rPr>
        <w:t>定值权重（即不调部分的权重</w:t>
      </w:r>
      <w:r>
        <w:rPr>
          <w:rFonts w:ascii="宋体" w:hAnsi="宋体" w:eastAsia="宋体" w:cs="宋体"/>
          <w:color w:val="auto"/>
          <w:spacing w:val="-10"/>
          <w:sz w:val="21"/>
          <w:szCs w:val="21"/>
          <w:highlight w:val="none"/>
        </w:rPr>
        <w:t>）；</w:t>
      </w:r>
    </w:p>
    <w:p w14:paraId="0AEFA31E">
      <w:pPr>
        <w:spacing w:before="148" w:line="403"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4"/>
          <w:sz w:val="13"/>
          <w:szCs w:val="13"/>
          <w:highlight w:val="none"/>
        </w:rPr>
        <w:t>1</w:t>
      </w:r>
      <w:r>
        <w:rPr>
          <w:rFonts w:ascii="Times New Roman" w:hAnsi="Times New Roman" w:eastAsia="Times New Roman" w:cs="Times New Roman"/>
          <w:color w:val="auto"/>
          <w:spacing w:val="-18"/>
          <w:position w:val="14"/>
          <w:sz w:val="14"/>
          <w:szCs w:val="14"/>
          <w:highlight w:val="none"/>
        </w:rPr>
        <w:t>;</w:t>
      </w:r>
      <w:r>
        <w:rPr>
          <w:rFonts w:ascii="Times New Roman" w:hAnsi="Times New Roman" w:eastAsia="Times New Roman" w:cs="Times New Roman"/>
          <w:color w:val="auto"/>
          <w:spacing w:val="18"/>
          <w:w w:val="101"/>
          <w:position w:val="14"/>
          <w:sz w:val="14"/>
          <w:szCs w:val="14"/>
          <w:highlight w:val="none"/>
        </w:rPr>
        <w:t xml:space="preserve"> </w:t>
      </w: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3"/>
          <w:sz w:val="13"/>
          <w:szCs w:val="13"/>
          <w:highlight w:val="none"/>
        </w:rPr>
        <w:t xml:space="preserve">2  </w:t>
      </w: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4"/>
          <w:sz w:val="13"/>
          <w:szCs w:val="13"/>
          <w:highlight w:val="none"/>
        </w:rPr>
        <w:t>3</w:t>
      </w:r>
      <w:r>
        <w:rPr>
          <w:rFonts w:ascii="宋体" w:hAnsi="宋体" w:eastAsia="宋体" w:cs="宋体"/>
          <w:color w:val="auto"/>
          <w:spacing w:val="-18"/>
          <w:position w:val="14"/>
          <w:sz w:val="14"/>
          <w:szCs w:val="14"/>
          <w:highlight w:val="none"/>
        </w:rPr>
        <w:t>·····</w:t>
      </w:r>
      <w:r>
        <w:rPr>
          <w:rFonts w:ascii="Times New Roman" w:hAnsi="Times New Roman" w:eastAsia="Times New Roman" w:cs="Times New Roman"/>
          <w:color w:val="auto"/>
          <w:spacing w:val="-2"/>
          <w:position w:val="14"/>
          <w:sz w:val="21"/>
          <w:szCs w:val="21"/>
          <w:highlight w:val="none"/>
        </w:rPr>
        <w:t>B</w:t>
      </w:r>
      <w:r>
        <w:rPr>
          <w:rFonts w:ascii="Times New Roman" w:hAnsi="Times New Roman" w:eastAsia="Times New Roman" w:cs="Times New Roman"/>
          <w:color w:val="auto"/>
          <w:spacing w:val="-2"/>
          <w:position w:val="13"/>
          <w:sz w:val="13"/>
          <w:szCs w:val="13"/>
          <w:highlight w:val="none"/>
        </w:rPr>
        <w:t>n</w:t>
      </w:r>
      <w:r>
        <w:rPr>
          <w:rFonts w:ascii="Times New Roman" w:hAnsi="Times New Roman" w:eastAsia="Times New Roman" w:cs="Times New Roman"/>
          <w:color w:val="auto"/>
          <w:spacing w:val="-2"/>
          <w:position w:val="14"/>
          <w:sz w:val="21"/>
          <w:szCs w:val="21"/>
          <w:highlight w:val="none"/>
        </w:rPr>
        <w:t>——</w:t>
      </w:r>
      <w:r>
        <w:rPr>
          <w:rFonts w:ascii="宋体" w:hAnsi="宋体" w:eastAsia="宋体" w:cs="宋体"/>
          <w:color w:val="auto"/>
          <w:spacing w:val="-2"/>
          <w:position w:val="14"/>
          <w:sz w:val="21"/>
          <w:szCs w:val="21"/>
          <w:highlight w:val="none"/>
        </w:rPr>
        <w:t>各可调因子的变值权重（即可调部分的权重</w:t>
      </w:r>
      <w:r>
        <w:rPr>
          <w:rFonts w:ascii="宋体" w:hAnsi="宋体" w:eastAsia="宋体" w:cs="宋体"/>
          <w:color w:val="auto"/>
          <w:spacing w:val="-7"/>
          <w:position w:val="14"/>
          <w:sz w:val="21"/>
          <w:szCs w:val="21"/>
          <w:highlight w:val="none"/>
        </w:rPr>
        <w:t>），</w:t>
      </w:r>
      <w:r>
        <w:rPr>
          <w:rFonts w:ascii="宋体" w:hAnsi="宋体" w:eastAsia="宋体" w:cs="宋体"/>
          <w:color w:val="auto"/>
          <w:spacing w:val="-2"/>
          <w:position w:val="14"/>
          <w:sz w:val="21"/>
          <w:szCs w:val="21"/>
          <w:highlight w:val="none"/>
        </w:rPr>
        <w:t>为各可</w:t>
      </w:r>
      <w:r>
        <w:rPr>
          <w:rFonts w:ascii="宋体" w:hAnsi="宋体" w:eastAsia="宋体" w:cs="宋体"/>
          <w:color w:val="auto"/>
          <w:spacing w:val="-3"/>
          <w:position w:val="14"/>
          <w:sz w:val="21"/>
          <w:szCs w:val="21"/>
          <w:highlight w:val="none"/>
        </w:rPr>
        <w:t>调因子在签</w:t>
      </w:r>
    </w:p>
    <w:p w14:paraId="66B07A93">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约合同价中所占的比例；</w:t>
      </w:r>
    </w:p>
    <w:p w14:paraId="33B2FD34">
      <w:pPr>
        <w:spacing w:before="149" w:line="399"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2"/>
          <w:sz w:val="13"/>
          <w:szCs w:val="13"/>
          <w:highlight w:val="none"/>
        </w:rPr>
        <w:t>t1</w:t>
      </w:r>
      <w:r>
        <w:rPr>
          <w:rFonts w:ascii="Times New Roman" w:hAnsi="Times New Roman" w:eastAsia="Times New Roman" w:cs="Times New Roman"/>
          <w:color w:val="auto"/>
          <w:spacing w:val="13"/>
          <w:w w:val="103"/>
          <w:position w:val="12"/>
          <w:sz w:val="13"/>
          <w:szCs w:val="13"/>
          <w:highlight w:val="none"/>
        </w:rPr>
        <w:t xml:space="preserve">  </w:t>
      </w: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2"/>
          <w:sz w:val="13"/>
          <w:szCs w:val="13"/>
          <w:highlight w:val="none"/>
        </w:rPr>
        <w:t>t2</w:t>
      </w:r>
      <w:r>
        <w:rPr>
          <w:rFonts w:ascii="Times New Roman" w:hAnsi="Times New Roman" w:eastAsia="Times New Roman" w:cs="Times New Roman"/>
          <w:color w:val="auto"/>
          <w:spacing w:val="7"/>
          <w:position w:val="12"/>
          <w:sz w:val="13"/>
          <w:szCs w:val="13"/>
          <w:highlight w:val="none"/>
        </w:rPr>
        <w:t xml:space="preserve">  </w:t>
      </w: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3"/>
          <w:sz w:val="13"/>
          <w:szCs w:val="13"/>
          <w:highlight w:val="none"/>
        </w:rPr>
        <w:t>t3</w:t>
      </w:r>
      <w:r>
        <w:rPr>
          <w:rFonts w:ascii="宋体" w:hAnsi="宋体" w:eastAsia="宋体" w:cs="宋体"/>
          <w:color w:val="auto"/>
          <w:spacing w:val="-17"/>
          <w:position w:val="13"/>
          <w:sz w:val="14"/>
          <w:szCs w:val="14"/>
          <w:highlight w:val="none"/>
        </w:rPr>
        <w:t>·····</w:t>
      </w:r>
      <w:r>
        <w:rPr>
          <w:rFonts w:ascii="Times New Roman" w:hAnsi="Times New Roman" w:eastAsia="Times New Roman" w:cs="Times New Roman"/>
          <w:color w:val="auto"/>
          <w:spacing w:val="-3"/>
          <w:position w:val="13"/>
          <w:sz w:val="21"/>
          <w:szCs w:val="21"/>
          <w:highlight w:val="none"/>
        </w:rPr>
        <w:t>F</w:t>
      </w:r>
      <w:r>
        <w:rPr>
          <w:rFonts w:ascii="Times New Roman" w:hAnsi="Times New Roman" w:eastAsia="Times New Roman" w:cs="Times New Roman"/>
          <w:color w:val="auto"/>
          <w:spacing w:val="-3"/>
          <w:position w:val="12"/>
          <w:sz w:val="13"/>
          <w:szCs w:val="13"/>
          <w:highlight w:val="none"/>
        </w:rPr>
        <w:t>tn</w:t>
      </w:r>
      <w:r>
        <w:rPr>
          <w:rFonts w:ascii="Times New Roman" w:hAnsi="Times New Roman" w:eastAsia="Times New Roman" w:cs="Times New Roman"/>
          <w:color w:val="auto"/>
          <w:spacing w:val="-3"/>
          <w:position w:val="13"/>
          <w:sz w:val="21"/>
          <w:szCs w:val="21"/>
          <w:highlight w:val="none"/>
        </w:rPr>
        <w:t>——</w:t>
      </w:r>
      <w:r>
        <w:rPr>
          <w:rFonts w:ascii="宋体" w:hAnsi="宋体" w:eastAsia="宋体" w:cs="宋体"/>
          <w:color w:val="auto"/>
          <w:spacing w:val="-3"/>
          <w:position w:val="13"/>
          <w:sz w:val="21"/>
          <w:szCs w:val="21"/>
          <w:highlight w:val="none"/>
        </w:rPr>
        <w:t>各可调因子的现行价格指数， 指约定的付款证书相关周期最后一</w:t>
      </w:r>
    </w:p>
    <w:p w14:paraId="25975CE0">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天的前</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42 </w:t>
      </w:r>
      <w:r>
        <w:rPr>
          <w:rFonts w:ascii="宋体" w:hAnsi="宋体" w:eastAsia="宋体" w:cs="宋体"/>
          <w:color w:val="auto"/>
          <w:spacing w:val="-2"/>
          <w:sz w:val="21"/>
          <w:szCs w:val="21"/>
          <w:highlight w:val="none"/>
        </w:rPr>
        <w:t>天的各可调因子的价格指数；</w:t>
      </w:r>
    </w:p>
    <w:p w14:paraId="09F806B8">
      <w:pPr>
        <w:spacing w:before="154" w:line="399"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2"/>
          <w:position w:val="13"/>
          <w:sz w:val="21"/>
          <w:szCs w:val="21"/>
          <w:highlight w:val="none"/>
        </w:rPr>
        <w:t>F</w:t>
      </w:r>
      <w:r>
        <w:rPr>
          <w:rFonts w:ascii="Times New Roman" w:hAnsi="Times New Roman" w:eastAsia="Times New Roman" w:cs="Times New Roman"/>
          <w:color w:val="auto"/>
          <w:spacing w:val="-12"/>
          <w:position w:val="12"/>
          <w:sz w:val="13"/>
          <w:szCs w:val="13"/>
          <w:highlight w:val="none"/>
        </w:rPr>
        <w:t>o1</w:t>
      </w:r>
      <w:r>
        <w:rPr>
          <w:rFonts w:ascii="Times New Roman" w:hAnsi="Times New Roman" w:eastAsia="Times New Roman" w:cs="Times New Roman"/>
          <w:color w:val="auto"/>
          <w:spacing w:val="4"/>
          <w:position w:val="12"/>
          <w:sz w:val="13"/>
          <w:szCs w:val="13"/>
          <w:highlight w:val="none"/>
        </w:rPr>
        <w:t xml:space="preserve"> </w:t>
      </w:r>
      <w:r>
        <w:rPr>
          <w:rFonts w:ascii="Times New Roman" w:hAnsi="Times New Roman" w:eastAsia="Times New Roman" w:cs="Times New Roman"/>
          <w:color w:val="auto"/>
          <w:spacing w:val="-12"/>
          <w:position w:val="13"/>
          <w:sz w:val="21"/>
          <w:szCs w:val="21"/>
          <w:highlight w:val="none"/>
        </w:rPr>
        <w:t>; F</w:t>
      </w:r>
      <w:r>
        <w:rPr>
          <w:rFonts w:ascii="Times New Roman" w:hAnsi="Times New Roman" w:eastAsia="Times New Roman" w:cs="Times New Roman"/>
          <w:color w:val="auto"/>
          <w:spacing w:val="-12"/>
          <w:position w:val="13"/>
          <w:sz w:val="13"/>
          <w:szCs w:val="13"/>
          <w:highlight w:val="none"/>
        </w:rPr>
        <w:t>o2</w:t>
      </w:r>
      <w:r>
        <w:rPr>
          <w:rFonts w:ascii="Times New Roman" w:hAnsi="Times New Roman" w:eastAsia="Times New Roman" w:cs="Times New Roman"/>
          <w:color w:val="auto"/>
          <w:spacing w:val="-12"/>
          <w:position w:val="13"/>
          <w:sz w:val="14"/>
          <w:szCs w:val="14"/>
          <w:highlight w:val="none"/>
        </w:rPr>
        <w:t>;</w:t>
      </w:r>
      <w:r>
        <w:rPr>
          <w:rFonts w:ascii="Times New Roman" w:hAnsi="Times New Roman" w:eastAsia="Times New Roman" w:cs="Times New Roman"/>
          <w:color w:val="auto"/>
          <w:spacing w:val="13"/>
          <w:w w:val="101"/>
          <w:position w:val="13"/>
          <w:sz w:val="14"/>
          <w:szCs w:val="14"/>
          <w:highlight w:val="none"/>
        </w:rPr>
        <w:t xml:space="preserve"> </w:t>
      </w:r>
      <w:r>
        <w:rPr>
          <w:rFonts w:ascii="Times New Roman" w:hAnsi="Times New Roman" w:eastAsia="Times New Roman" w:cs="Times New Roman"/>
          <w:color w:val="auto"/>
          <w:spacing w:val="-12"/>
          <w:position w:val="13"/>
          <w:sz w:val="21"/>
          <w:szCs w:val="21"/>
          <w:highlight w:val="none"/>
        </w:rPr>
        <w:t>F</w:t>
      </w:r>
      <w:r>
        <w:rPr>
          <w:rFonts w:ascii="Times New Roman" w:hAnsi="Times New Roman" w:eastAsia="Times New Roman" w:cs="Times New Roman"/>
          <w:color w:val="auto"/>
          <w:spacing w:val="-12"/>
          <w:position w:val="13"/>
          <w:sz w:val="13"/>
          <w:szCs w:val="13"/>
          <w:highlight w:val="none"/>
        </w:rPr>
        <w:t>o3</w:t>
      </w:r>
      <w:r>
        <w:rPr>
          <w:rFonts w:ascii="宋体" w:hAnsi="宋体" w:eastAsia="宋体" w:cs="宋体"/>
          <w:color w:val="auto"/>
          <w:spacing w:val="-12"/>
          <w:position w:val="13"/>
          <w:sz w:val="14"/>
          <w:szCs w:val="14"/>
          <w:highlight w:val="none"/>
        </w:rPr>
        <w:t>····</w:t>
      </w:r>
      <w:r>
        <w:rPr>
          <w:rFonts w:ascii="Times New Roman" w:hAnsi="Times New Roman" w:eastAsia="Times New Roman" w:cs="Times New Roman"/>
          <w:color w:val="auto"/>
          <w:spacing w:val="-3"/>
          <w:position w:val="13"/>
          <w:sz w:val="21"/>
          <w:szCs w:val="21"/>
          <w:highlight w:val="none"/>
        </w:rPr>
        <w:t>F</w:t>
      </w:r>
      <w:r>
        <w:rPr>
          <w:rFonts w:ascii="Times New Roman" w:hAnsi="Times New Roman" w:eastAsia="Times New Roman" w:cs="Times New Roman"/>
          <w:color w:val="auto"/>
          <w:spacing w:val="-3"/>
          <w:position w:val="12"/>
          <w:sz w:val="13"/>
          <w:szCs w:val="13"/>
          <w:highlight w:val="none"/>
        </w:rPr>
        <w:t>on</w:t>
      </w:r>
      <w:r>
        <w:rPr>
          <w:rFonts w:ascii="Times New Roman" w:hAnsi="Times New Roman" w:eastAsia="Times New Roman" w:cs="Times New Roman"/>
          <w:color w:val="auto"/>
          <w:spacing w:val="-3"/>
          <w:position w:val="13"/>
          <w:sz w:val="21"/>
          <w:szCs w:val="21"/>
          <w:highlight w:val="none"/>
        </w:rPr>
        <w:t>——</w:t>
      </w:r>
      <w:r>
        <w:rPr>
          <w:rFonts w:ascii="宋体" w:hAnsi="宋体" w:eastAsia="宋体" w:cs="宋体"/>
          <w:color w:val="auto"/>
          <w:spacing w:val="-3"/>
          <w:position w:val="13"/>
          <w:sz w:val="21"/>
          <w:szCs w:val="21"/>
          <w:highlight w:val="none"/>
        </w:rPr>
        <w:t>各可调因子的基本价格指数， 指基准日期的各可调因子的价格指</w:t>
      </w:r>
    </w:p>
    <w:p w14:paraId="5D3ED2CC">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数。</w:t>
      </w:r>
    </w:p>
    <w:p w14:paraId="77759718">
      <w:pPr>
        <w:spacing w:before="147" w:line="352" w:lineRule="auto"/>
        <w:ind w:left="20" w:right="6" w:firstLine="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以上价格调整公式中的各可调因子、定值和变值权</w:t>
      </w:r>
      <w:r>
        <w:rPr>
          <w:rFonts w:ascii="宋体" w:hAnsi="宋体" w:eastAsia="宋体" w:cs="宋体"/>
          <w:color w:val="auto"/>
          <w:spacing w:val="-2"/>
          <w:sz w:val="21"/>
          <w:szCs w:val="21"/>
          <w:highlight w:val="none"/>
        </w:rPr>
        <w:t>重，</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以及基本价格指数及其来源在</w:t>
      </w:r>
      <w:r>
        <w:rPr>
          <w:rFonts w:ascii="宋体" w:hAnsi="宋体" w:eastAsia="宋体" w:cs="宋体"/>
          <w:color w:val="auto"/>
          <w:sz w:val="21"/>
          <w:szCs w:val="21"/>
          <w:highlight w:val="none"/>
        </w:rPr>
        <w:t xml:space="preserve"> 投标函附录价格指数和权重表中约定，非招标订立的合同， 由合同当事人在专用合同条款</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中约定。价格指数应首先采用工程造价管理机构发</w:t>
      </w:r>
      <w:r>
        <w:rPr>
          <w:rFonts w:ascii="宋体" w:hAnsi="宋体" w:eastAsia="宋体" w:cs="宋体"/>
          <w:color w:val="auto"/>
          <w:spacing w:val="-3"/>
          <w:sz w:val="21"/>
          <w:szCs w:val="21"/>
          <w:highlight w:val="none"/>
        </w:rPr>
        <w:t>布的价格指数， 无前述价格指数时， 可</w:t>
      </w:r>
    </w:p>
    <w:p w14:paraId="4A90EEB4">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采用工程造价管理机构发布的价格代替。</w:t>
      </w:r>
    </w:p>
    <w:p w14:paraId="2A0471BC">
      <w:pPr>
        <w:spacing w:before="154"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）暂时确定调整差额</w:t>
      </w:r>
    </w:p>
    <w:p w14:paraId="5634F4F3">
      <w:pPr>
        <w:spacing w:before="147"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在计算调整差额时无现行价格指数的，合同当事人同意暂用前次价格指数计算。实际</w:t>
      </w:r>
    </w:p>
    <w:p w14:paraId="193C4FE5">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价格指数有调整的， 合同当事人进行相应调整。</w:t>
      </w:r>
    </w:p>
    <w:p w14:paraId="08BC3AA1">
      <w:pPr>
        <w:spacing w:line="219" w:lineRule="auto"/>
        <w:rPr>
          <w:rFonts w:ascii="宋体" w:hAnsi="宋体" w:eastAsia="宋体" w:cs="宋体"/>
          <w:color w:val="auto"/>
          <w:sz w:val="21"/>
          <w:szCs w:val="21"/>
          <w:highlight w:val="none"/>
        </w:rPr>
        <w:sectPr>
          <w:footerReference r:id="rId131" w:type="default"/>
          <w:pgSz w:w="11905" w:h="16839"/>
          <w:pgMar w:top="1431" w:right="1785" w:bottom="1004" w:left="1785" w:header="0" w:footer="828" w:gutter="0"/>
          <w:pgNumType w:fmt="decimal"/>
          <w:cols w:space="720" w:num="1"/>
        </w:sectPr>
      </w:pPr>
    </w:p>
    <w:p w14:paraId="0505FF64">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）权重的调整</w:t>
      </w:r>
    </w:p>
    <w:p w14:paraId="62B56FE7">
      <w:pPr>
        <w:spacing w:before="147" w:line="403" w:lineRule="exact"/>
        <w:ind w:left="45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因变更导致合同约定的权重不合理时， 按照第</w:t>
      </w:r>
      <w:r>
        <w:rPr>
          <w:rFonts w:ascii="宋体" w:hAnsi="宋体"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 xml:space="preserve">4.4 </w:t>
      </w:r>
      <w:r>
        <w:rPr>
          <w:rFonts w:ascii="宋体" w:hAnsi="宋体" w:eastAsia="宋体" w:cs="宋体"/>
          <w:color w:val="auto"/>
          <w:spacing w:val="-4"/>
          <w:position w:val="14"/>
          <w:sz w:val="21"/>
          <w:szCs w:val="21"/>
          <w:highlight w:val="none"/>
        </w:rPr>
        <w:t>款〔商定或确定〕执行。</w:t>
      </w:r>
    </w:p>
    <w:p w14:paraId="7FD1ED93">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）因承包人原因工期延误后的价格调整</w:t>
      </w:r>
    </w:p>
    <w:p w14:paraId="79A82DDF">
      <w:pPr>
        <w:spacing w:before="150" w:line="352" w:lineRule="auto"/>
        <w:ind w:left="20" w:right="179" w:firstLine="43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因承包人原因未按期竣工的，对合同约定的竣工日期</w:t>
      </w:r>
      <w:r>
        <w:rPr>
          <w:rFonts w:ascii="宋体" w:hAnsi="宋体" w:eastAsia="宋体" w:cs="宋体"/>
          <w:color w:val="auto"/>
          <w:spacing w:val="2"/>
          <w:sz w:val="21"/>
          <w:szCs w:val="21"/>
          <w:highlight w:val="none"/>
        </w:rPr>
        <w:t>后继续施工的工程，在使用价格</w:t>
      </w:r>
      <w:r>
        <w:rPr>
          <w:rFonts w:ascii="宋体" w:hAnsi="宋体" w:eastAsia="宋体" w:cs="宋体"/>
          <w:color w:val="auto"/>
          <w:sz w:val="21"/>
          <w:szCs w:val="21"/>
          <w:highlight w:val="none"/>
        </w:rPr>
        <w:t xml:space="preserve"> 调整公式时， 应采用计划竣工日期与实际竣工日期的两个价格指数中较低的一个作为现行</w:t>
      </w:r>
    </w:p>
    <w:p w14:paraId="590D6A08">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价格指数。</w:t>
      </w:r>
    </w:p>
    <w:p w14:paraId="2C7F1D5E">
      <w:pPr>
        <w:spacing w:before="149"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 </w:t>
      </w:r>
      <w:r>
        <w:rPr>
          <w:rFonts w:ascii="宋体" w:hAnsi="宋体" w:eastAsia="宋体" w:cs="宋体"/>
          <w:color w:val="auto"/>
          <w:spacing w:val="-2"/>
          <w:sz w:val="21"/>
          <w:szCs w:val="21"/>
          <w:highlight w:val="none"/>
        </w:rPr>
        <w:t>种方式：采用造价信息进行价格调整。</w:t>
      </w:r>
    </w:p>
    <w:p w14:paraId="265FD4BA">
      <w:pPr>
        <w:spacing w:before="151" w:line="352" w:lineRule="auto"/>
        <w:ind w:left="17" w:firstLine="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合同履行期间，因人工、材料、工程设备和机械台班价格波动影响合同价格时， 人工、</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机械使用费按照国家或省、自治区、直辖市建设行政管理</w:t>
      </w:r>
      <w:r>
        <w:rPr>
          <w:rFonts w:ascii="宋体" w:hAnsi="宋体" w:eastAsia="宋体" w:cs="宋体"/>
          <w:color w:val="auto"/>
          <w:spacing w:val="2"/>
          <w:sz w:val="21"/>
          <w:szCs w:val="21"/>
          <w:highlight w:val="none"/>
        </w:rPr>
        <w:t>部门、行业建设管理部门或其授  权的工程造价管理机构发布的人工、机械使用费系数进行调整；需要进行价格调整的材料，</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其单价和采购数量应由发包人审批，发包人确认需调整的材料单价及数量， 作为调整合同</w:t>
      </w:r>
    </w:p>
    <w:p w14:paraId="763A45C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价格的依据。</w:t>
      </w:r>
    </w:p>
    <w:p w14:paraId="5F9914FC">
      <w:pPr>
        <w:spacing w:before="151" w:line="352" w:lineRule="auto"/>
        <w:ind w:left="31" w:right="185" w:firstLine="41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）人工单价发生变化且符合省级或行业建设主管部门发布的人工费调整规定</w:t>
      </w:r>
      <w:r>
        <w:rPr>
          <w:rFonts w:ascii="宋体" w:hAnsi="宋体" w:eastAsia="宋体" w:cs="宋体"/>
          <w:color w:val="auto"/>
          <w:spacing w:val="-1"/>
          <w:sz w:val="21"/>
          <w:szCs w:val="21"/>
          <w:highlight w:val="none"/>
        </w:rPr>
        <w:t>，合同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当事人应按省级或行业建设主管部门或其授权</w:t>
      </w:r>
      <w:r>
        <w:rPr>
          <w:rFonts w:ascii="宋体" w:hAnsi="宋体" w:eastAsia="宋体" w:cs="宋体"/>
          <w:color w:val="auto"/>
          <w:spacing w:val="2"/>
          <w:sz w:val="21"/>
          <w:szCs w:val="21"/>
          <w:highlight w:val="none"/>
        </w:rPr>
        <w:t>的工程造价管理机构发布的人工费等文件调</w:t>
      </w:r>
    </w:p>
    <w:p w14:paraId="5A5A83D8">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整合同价格，但承包人对人工费或人工单价的报价高于发布价格的除外。</w:t>
      </w:r>
    </w:p>
    <w:p w14:paraId="0F338BD9">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）材料、工程设备价格变化的价款调整按照发包人提供的</w:t>
      </w:r>
      <w:r>
        <w:rPr>
          <w:rFonts w:ascii="宋体" w:hAnsi="宋体" w:eastAsia="宋体" w:cs="宋体"/>
          <w:color w:val="auto"/>
          <w:spacing w:val="-5"/>
          <w:position w:val="14"/>
          <w:sz w:val="21"/>
          <w:szCs w:val="21"/>
          <w:highlight w:val="none"/>
        </w:rPr>
        <w:t>基准价格，</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5"/>
          <w:position w:val="14"/>
          <w:sz w:val="21"/>
          <w:szCs w:val="21"/>
          <w:highlight w:val="none"/>
        </w:rPr>
        <w:t>按以下风险范</w:t>
      </w:r>
    </w:p>
    <w:p w14:paraId="3B703330">
      <w:pPr>
        <w:spacing w:before="1" w:line="234" w:lineRule="auto"/>
        <w:ind w:left="37"/>
        <w:rPr>
          <w:rFonts w:ascii="Times New Roman" w:hAnsi="Times New Roman" w:eastAsia="Times New Roman" w:cs="Times New Roman"/>
          <w:color w:val="auto"/>
          <w:sz w:val="21"/>
          <w:szCs w:val="21"/>
          <w:highlight w:val="none"/>
        </w:rPr>
      </w:pPr>
      <w:r>
        <w:rPr>
          <w:rFonts w:ascii="宋体" w:hAnsi="宋体" w:eastAsia="宋体" w:cs="宋体"/>
          <w:color w:val="auto"/>
          <w:spacing w:val="-4"/>
          <w:sz w:val="21"/>
          <w:szCs w:val="21"/>
          <w:highlight w:val="none"/>
        </w:rPr>
        <w:t>围规定执行</w:t>
      </w:r>
      <w:r>
        <w:rPr>
          <w:rFonts w:ascii="Times New Roman" w:hAnsi="Times New Roman" w:eastAsia="Times New Roman" w:cs="Times New Roman"/>
          <w:color w:val="auto"/>
          <w:spacing w:val="-4"/>
          <w:sz w:val="21"/>
          <w:szCs w:val="21"/>
          <w:highlight w:val="none"/>
        </w:rPr>
        <w:t>:</w:t>
      </w:r>
    </w:p>
    <w:p w14:paraId="40FA1DEB">
      <w:pPr>
        <w:spacing w:before="135" w:line="352" w:lineRule="auto"/>
        <w:ind w:left="20" w:right="179" w:firstLine="626"/>
        <w:rPr>
          <w:rFonts w:ascii="宋体" w:hAnsi="宋体" w:eastAsia="宋体" w:cs="宋体"/>
          <w:color w:val="auto"/>
          <w:sz w:val="21"/>
          <w:szCs w:val="21"/>
          <w:highlight w:val="none"/>
        </w:rPr>
      </w:pPr>
      <w:r>
        <w:rPr>
          <w:rFonts w:ascii="宋体" w:hAnsi="宋体" w:eastAsia="宋体" w:cs="宋体"/>
          <w:color w:val="auto"/>
          <w:sz w:val="21"/>
          <w:szCs w:val="21"/>
          <w:highlight w:val="none"/>
        </w:rPr>
        <w:t>①承包人在已标价工程量清单或预算书中载明材料单价低于基准价格的： 除专用合</w:t>
      </w:r>
      <w:r>
        <w:rPr>
          <w:rFonts w:ascii="宋体" w:hAnsi="宋体" w:eastAsia="宋体" w:cs="宋体"/>
          <w:color w:val="auto"/>
          <w:spacing w:val="8"/>
          <w:sz w:val="21"/>
          <w:szCs w:val="21"/>
          <w:highlight w:val="none"/>
        </w:rPr>
        <w:t xml:space="preserve"> </w:t>
      </w:r>
      <w:r>
        <w:rPr>
          <w:rFonts w:ascii="宋体" w:hAnsi="宋体" w:eastAsia="宋体" w:cs="宋体"/>
          <w:color w:val="auto"/>
          <w:spacing w:val="-5"/>
          <w:sz w:val="21"/>
          <w:szCs w:val="21"/>
          <w:highlight w:val="none"/>
        </w:rPr>
        <w:t>同条款另有约定外， 合同履行期间材料单价涨幅以基准价格为基础超过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时</w:t>
      </w:r>
      <w:r>
        <w:rPr>
          <w:rFonts w:ascii="宋体" w:hAnsi="宋体" w:eastAsia="宋体" w:cs="宋体"/>
          <w:color w:val="auto"/>
          <w:spacing w:val="-6"/>
          <w:sz w:val="21"/>
          <w:szCs w:val="21"/>
          <w:highlight w:val="none"/>
        </w:rPr>
        <w:t>，</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或材料单价</w:t>
      </w:r>
      <w:r>
        <w:rPr>
          <w:rFonts w:ascii="宋体" w:hAnsi="宋体" w:eastAsia="宋体" w:cs="宋体"/>
          <w:color w:val="auto"/>
          <w:sz w:val="21"/>
          <w:szCs w:val="21"/>
          <w:highlight w:val="none"/>
        </w:rPr>
        <w:t xml:space="preserve"> 跌幅以在已标价工程量清单或预算书中载明材料单价为</w:t>
      </w:r>
      <w:r>
        <w:rPr>
          <w:rFonts w:ascii="宋体" w:hAnsi="宋体" w:eastAsia="宋体" w:cs="宋体"/>
          <w:color w:val="auto"/>
          <w:spacing w:val="-1"/>
          <w:sz w:val="21"/>
          <w:szCs w:val="21"/>
          <w:highlight w:val="none"/>
        </w:rPr>
        <w:t>基础超过</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时，其超过部分据实调</w:t>
      </w:r>
    </w:p>
    <w:p w14:paraId="0D2F0338">
      <w:pPr>
        <w:spacing w:before="1" w:line="227"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整。</w:t>
      </w:r>
    </w:p>
    <w:p w14:paraId="3A34D052">
      <w:pPr>
        <w:spacing w:before="140" w:line="352" w:lineRule="auto"/>
        <w:ind w:left="39" w:right="179" w:firstLine="606"/>
        <w:rPr>
          <w:rFonts w:ascii="宋体" w:hAnsi="宋体" w:eastAsia="宋体" w:cs="宋体"/>
          <w:color w:val="auto"/>
          <w:sz w:val="21"/>
          <w:szCs w:val="21"/>
          <w:highlight w:val="none"/>
        </w:rPr>
      </w:pPr>
      <w:r>
        <w:rPr>
          <w:rFonts w:ascii="宋体" w:hAnsi="宋体" w:eastAsia="宋体" w:cs="宋体"/>
          <w:color w:val="auto"/>
          <w:sz w:val="21"/>
          <w:szCs w:val="21"/>
          <w:highlight w:val="none"/>
        </w:rPr>
        <w:t>②承包人在已标价工程量清单或预算书中载明材料单价高于基准价格的： 除专用合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同条款另有约定外， 合同履行期间材料单</w:t>
      </w:r>
      <w:r>
        <w:rPr>
          <w:rFonts w:ascii="宋体" w:hAnsi="宋体" w:eastAsia="宋体" w:cs="宋体"/>
          <w:color w:val="auto"/>
          <w:spacing w:val="-6"/>
          <w:sz w:val="21"/>
          <w:szCs w:val="21"/>
          <w:highlight w:val="none"/>
        </w:rPr>
        <w:t>价跌幅以基准价格为基础超过</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6"/>
          <w:sz w:val="21"/>
          <w:szCs w:val="21"/>
          <w:highlight w:val="none"/>
        </w:rPr>
        <w:t>5%</w:t>
      </w:r>
      <w:r>
        <w:rPr>
          <w:rFonts w:ascii="宋体" w:hAnsi="宋体" w:eastAsia="宋体" w:cs="宋体"/>
          <w:color w:val="auto"/>
          <w:spacing w:val="-6"/>
          <w:sz w:val="21"/>
          <w:szCs w:val="21"/>
          <w:highlight w:val="none"/>
        </w:rPr>
        <w:t>时，</w:t>
      </w:r>
      <w:r>
        <w:rPr>
          <w:rFonts w:ascii="宋体" w:hAnsi="宋体" w:eastAsia="宋体" w:cs="宋体"/>
          <w:color w:val="auto"/>
          <w:spacing w:val="-23"/>
          <w:sz w:val="21"/>
          <w:szCs w:val="21"/>
          <w:highlight w:val="none"/>
        </w:rPr>
        <w:t xml:space="preserve"> </w:t>
      </w:r>
      <w:r>
        <w:rPr>
          <w:rFonts w:ascii="宋体" w:hAnsi="宋体" w:eastAsia="宋体" w:cs="宋体"/>
          <w:color w:val="auto"/>
          <w:spacing w:val="-6"/>
          <w:sz w:val="21"/>
          <w:szCs w:val="21"/>
          <w:highlight w:val="none"/>
        </w:rPr>
        <w:t>材料单价涨</w:t>
      </w:r>
    </w:p>
    <w:p w14:paraId="0E8C95F2">
      <w:pPr>
        <w:spacing w:line="219"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幅以在已标价工程量清单或预算书中载明材料单价为基</w:t>
      </w:r>
      <w:r>
        <w:rPr>
          <w:rFonts w:ascii="宋体" w:hAnsi="宋体" w:eastAsia="宋体" w:cs="宋体"/>
          <w:color w:val="auto"/>
          <w:spacing w:val="-4"/>
          <w:sz w:val="21"/>
          <w:szCs w:val="21"/>
          <w:highlight w:val="none"/>
        </w:rPr>
        <w:t>础超过</w:t>
      </w:r>
      <w:r>
        <w:rPr>
          <w:rFonts w:ascii="宋体" w:hAnsi="宋体" w:eastAsia="宋体" w:cs="宋体"/>
          <w:color w:val="auto"/>
          <w:spacing w:val="-40"/>
          <w:sz w:val="21"/>
          <w:szCs w:val="21"/>
          <w:highlight w:val="none"/>
        </w:rPr>
        <w:t xml:space="preserve"> </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时，</w:t>
      </w:r>
      <w:r>
        <w:rPr>
          <w:rFonts w:ascii="宋体" w:hAnsi="宋体" w:eastAsia="宋体" w:cs="宋体"/>
          <w:color w:val="auto"/>
          <w:spacing w:val="-22"/>
          <w:sz w:val="21"/>
          <w:szCs w:val="21"/>
          <w:highlight w:val="none"/>
        </w:rPr>
        <w:t xml:space="preserve"> </w:t>
      </w:r>
      <w:r>
        <w:rPr>
          <w:rFonts w:ascii="宋体" w:hAnsi="宋体" w:eastAsia="宋体" w:cs="宋体"/>
          <w:color w:val="auto"/>
          <w:spacing w:val="-4"/>
          <w:sz w:val="21"/>
          <w:szCs w:val="21"/>
          <w:highlight w:val="none"/>
        </w:rPr>
        <w:t>其超过部分据实调整。</w:t>
      </w:r>
    </w:p>
    <w:p w14:paraId="3D87BFBC">
      <w:pPr>
        <w:spacing w:before="149" w:line="353" w:lineRule="auto"/>
        <w:ind w:left="39" w:right="175" w:firstLine="606"/>
        <w:rPr>
          <w:rFonts w:ascii="宋体" w:hAnsi="宋体" w:eastAsia="宋体" w:cs="宋体"/>
          <w:color w:val="auto"/>
          <w:sz w:val="21"/>
          <w:szCs w:val="21"/>
          <w:highlight w:val="none"/>
        </w:rPr>
      </w:pPr>
      <w:r>
        <w:rPr>
          <w:rFonts w:ascii="宋体" w:hAnsi="宋体" w:eastAsia="宋体" w:cs="宋体"/>
          <w:color w:val="auto"/>
          <w:sz w:val="21"/>
          <w:szCs w:val="21"/>
          <w:highlight w:val="none"/>
        </w:rPr>
        <w:t>③承包人在已标价工程量清单或预算书中载明材料单价等于基准价格的： 除专用合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同条款另有约定外，合同履行期间材料单价涨跌幅以基准价格为基础超过</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时，其超过</w:t>
      </w:r>
    </w:p>
    <w:p w14:paraId="01449EC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部分据实调整。</w:t>
      </w:r>
    </w:p>
    <w:p w14:paraId="38654B68">
      <w:pPr>
        <w:spacing w:before="147" w:line="352" w:lineRule="auto"/>
        <w:ind w:left="20" w:right="184" w:firstLine="625"/>
        <w:rPr>
          <w:rFonts w:ascii="宋体" w:hAnsi="宋体" w:eastAsia="宋体" w:cs="宋体"/>
          <w:color w:val="auto"/>
          <w:sz w:val="21"/>
          <w:szCs w:val="21"/>
          <w:highlight w:val="none"/>
        </w:rPr>
      </w:pPr>
      <w:r>
        <w:rPr>
          <w:rFonts w:ascii="宋体" w:hAnsi="宋体" w:eastAsia="宋体" w:cs="宋体"/>
          <w:color w:val="auto"/>
          <w:sz w:val="21"/>
          <w:szCs w:val="21"/>
          <w:highlight w:val="none"/>
        </w:rPr>
        <w:t>④承包人应在采购材料前将采购数量和新的材料单价报发包人核对， 发包人确认用</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于工程时，发包人应确认采购材料的数量和单价。发包人在收到承包人报</w:t>
      </w:r>
      <w:r>
        <w:rPr>
          <w:rFonts w:ascii="宋体" w:hAnsi="宋体" w:eastAsia="宋体" w:cs="宋体"/>
          <w:color w:val="auto"/>
          <w:spacing w:val="2"/>
          <w:sz w:val="21"/>
          <w:szCs w:val="21"/>
          <w:highlight w:val="none"/>
        </w:rPr>
        <w:t>送的确认资料后</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5</w:t>
      </w:r>
      <w:r>
        <w:rPr>
          <w:rFonts w:ascii="Times New Roman" w:hAnsi="Times New Roman" w:eastAsia="Times New Roman" w:cs="Times New Roman"/>
          <w:color w:val="auto"/>
          <w:spacing w:val="57"/>
          <w:sz w:val="21"/>
          <w:szCs w:val="21"/>
          <w:highlight w:val="none"/>
        </w:rPr>
        <w:t xml:space="preserve"> </w:t>
      </w:r>
      <w:r>
        <w:rPr>
          <w:rFonts w:ascii="宋体" w:hAnsi="宋体" w:eastAsia="宋体" w:cs="宋体"/>
          <w:color w:val="auto"/>
          <w:sz w:val="21"/>
          <w:szCs w:val="21"/>
          <w:highlight w:val="none"/>
        </w:rPr>
        <w:t>天内不予答复的视为认可， 作为调整合同价格的依据。未经发包人事先核对，承包人自</w:t>
      </w:r>
    </w:p>
    <w:p w14:paraId="61068D27">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行采购材料的，发包人有权不予调整合同价格。发包人同意的，</w:t>
      </w:r>
      <w:r>
        <w:rPr>
          <w:rFonts w:ascii="宋体" w:hAnsi="宋体" w:eastAsia="宋体" w:cs="宋体"/>
          <w:color w:val="auto"/>
          <w:spacing w:val="71"/>
          <w:sz w:val="21"/>
          <w:szCs w:val="21"/>
          <w:highlight w:val="none"/>
        </w:rPr>
        <w:t xml:space="preserve"> </w:t>
      </w:r>
      <w:r>
        <w:rPr>
          <w:rFonts w:ascii="宋体" w:hAnsi="宋体" w:eastAsia="宋体" w:cs="宋体"/>
          <w:color w:val="auto"/>
          <w:spacing w:val="-5"/>
          <w:sz w:val="21"/>
          <w:szCs w:val="21"/>
          <w:highlight w:val="none"/>
        </w:rPr>
        <w:t>可以调整合同价格。</w:t>
      </w:r>
    </w:p>
    <w:p w14:paraId="00A1D24B">
      <w:pPr>
        <w:spacing w:before="150" w:line="352" w:lineRule="auto"/>
        <w:ind w:left="18" w:right="179"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前述基准价格是指由发包人在招标文件或专用合同条款中给定的材料、工程设备的价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格，该价格原则上应当按照省级或行业建设主管部门或其授权的工程造价管</w:t>
      </w:r>
      <w:r>
        <w:rPr>
          <w:rFonts w:ascii="宋体" w:hAnsi="宋体" w:eastAsia="宋体" w:cs="宋体"/>
          <w:color w:val="auto"/>
          <w:spacing w:val="2"/>
          <w:sz w:val="21"/>
          <w:szCs w:val="21"/>
          <w:highlight w:val="none"/>
        </w:rPr>
        <w:t>理机构发布的</w:t>
      </w:r>
    </w:p>
    <w:p w14:paraId="47FCC998">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信息价编制。</w:t>
      </w:r>
    </w:p>
    <w:p w14:paraId="1921F907">
      <w:pPr>
        <w:spacing w:line="219" w:lineRule="auto"/>
        <w:rPr>
          <w:rFonts w:ascii="宋体" w:hAnsi="宋体" w:eastAsia="宋体" w:cs="宋体"/>
          <w:color w:val="auto"/>
          <w:sz w:val="21"/>
          <w:szCs w:val="21"/>
          <w:highlight w:val="none"/>
        </w:rPr>
        <w:sectPr>
          <w:footerReference r:id="rId132" w:type="default"/>
          <w:pgSz w:w="11905" w:h="16839"/>
          <w:pgMar w:top="1431" w:right="1612" w:bottom="1004" w:left="1785" w:header="0" w:footer="828" w:gutter="0"/>
          <w:pgNumType w:fmt="decimal"/>
          <w:cols w:space="720" w:num="1"/>
        </w:sectPr>
      </w:pPr>
    </w:p>
    <w:p w14:paraId="750DA789">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）施工机械台班单价或施工机械使用费发生变化超过省级或行业建设主管部</w:t>
      </w:r>
      <w:r>
        <w:rPr>
          <w:rFonts w:ascii="宋体" w:hAnsi="宋体" w:eastAsia="宋体" w:cs="宋体"/>
          <w:color w:val="auto"/>
          <w:spacing w:val="-1"/>
          <w:position w:val="14"/>
          <w:sz w:val="21"/>
          <w:szCs w:val="21"/>
          <w:highlight w:val="none"/>
        </w:rPr>
        <w:t>门或其</w:t>
      </w:r>
    </w:p>
    <w:p w14:paraId="1428E7A2">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授权的工程造价管理机构规定的范围时，按规定调整合同价</w:t>
      </w:r>
      <w:r>
        <w:rPr>
          <w:rFonts w:ascii="宋体" w:hAnsi="宋体" w:eastAsia="宋体" w:cs="宋体"/>
          <w:color w:val="auto"/>
          <w:spacing w:val="-2"/>
          <w:sz w:val="21"/>
          <w:szCs w:val="21"/>
          <w:highlight w:val="none"/>
        </w:rPr>
        <w:t>格。</w:t>
      </w:r>
    </w:p>
    <w:p w14:paraId="3DC801B0">
      <w:pPr>
        <w:spacing w:before="153"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种方式：专用合同条款约定的其他方式。</w:t>
      </w:r>
    </w:p>
    <w:p w14:paraId="7833451C">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11.2</w:t>
      </w:r>
      <w:r>
        <w:rPr>
          <w:rFonts w:ascii="黑体" w:hAnsi="黑体" w:eastAsia="黑体" w:cs="黑体"/>
          <w:color w:val="auto"/>
          <w:spacing w:val="-45"/>
          <w:sz w:val="24"/>
          <w:szCs w:val="24"/>
          <w:highlight w:val="none"/>
        </w:rPr>
        <w:t xml:space="preserve"> </w:t>
      </w:r>
      <w:r>
        <w:rPr>
          <w:rFonts w:ascii="黑体" w:hAnsi="黑体" w:eastAsia="黑体" w:cs="黑体"/>
          <w:color w:val="auto"/>
          <w:spacing w:val="-3"/>
          <w:sz w:val="24"/>
          <w:szCs w:val="24"/>
          <w:highlight w:val="none"/>
        </w:rPr>
        <w:t>法律变化引起的调整</w:t>
      </w:r>
    </w:p>
    <w:p w14:paraId="4FA96CCD">
      <w:pPr>
        <w:spacing w:before="129" w:line="352" w:lineRule="auto"/>
        <w:ind w:left="42" w:right="22" w:firstLine="39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基准日期后，法律变化导致承包人在合同履行过程中所需要的费用发生除第 </w:t>
      </w:r>
      <w:r>
        <w:rPr>
          <w:rFonts w:ascii="Times New Roman" w:hAnsi="Times New Roman" w:eastAsia="Times New Roman" w:cs="Times New Roman"/>
          <w:color w:val="auto"/>
          <w:spacing w:val="4"/>
          <w:sz w:val="21"/>
          <w:szCs w:val="21"/>
          <w:highlight w:val="none"/>
        </w:rPr>
        <w:t xml:space="preserve">11.1  </w:t>
      </w:r>
      <w:r>
        <w:rPr>
          <w:rFonts w:ascii="宋体" w:hAnsi="宋体" w:eastAsia="宋体" w:cs="宋体"/>
          <w:color w:val="auto"/>
          <w:spacing w:val="4"/>
          <w:sz w:val="21"/>
          <w:szCs w:val="21"/>
          <w:highlight w:val="none"/>
        </w:rPr>
        <w:t>款</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〔市场价格波动引起的调整〕约定以外的增加时，由发包人承担由此增加的费用； 减少时，</w:t>
      </w:r>
    </w:p>
    <w:p w14:paraId="522DDBD3">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应从合同价格中予以扣减。 基准日期后， 因法律变化造成工期延误时，工期应予以顺延。</w:t>
      </w:r>
    </w:p>
    <w:p w14:paraId="6ABF30EE">
      <w:pPr>
        <w:spacing w:before="150" w:line="398"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因法律变化引起的合同价格和工期调整， 合同当事人无法达成一致</w:t>
      </w:r>
      <w:r>
        <w:rPr>
          <w:rFonts w:ascii="宋体" w:hAnsi="宋体" w:eastAsia="宋体" w:cs="宋体"/>
          <w:color w:val="auto"/>
          <w:spacing w:val="-1"/>
          <w:position w:val="14"/>
          <w:sz w:val="21"/>
          <w:szCs w:val="21"/>
          <w:highlight w:val="none"/>
        </w:rPr>
        <w:t>的，由总监理工程</w:t>
      </w:r>
    </w:p>
    <w:p w14:paraId="65E414D4">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师按第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4.4 </w:t>
      </w:r>
      <w:r>
        <w:rPr>
          <w:rFonts w:ascii="宋体" w:hAnsi="宋体" w:eastAsia="宋体" w:cs="宋体"/>
          <w:color w:val="auto"/>
          <w:spacing w:val="-2"/>
          <w:sz w:val="21"/>
          <w:szCs w:val="21"/>
          <w:highlight w:val="none"/>
        </w:rPr>
        <w:t>款〔商定或确定〕的约定处理。</w:t>
      </w:r>
    </w:p>
    <w:p w14:paraId="6562D448">
      <w:pPr>
        <w:spacing w:before="152" w:line="398" w:lineRule="exact"/>
        <w:ind w:left="457"/>
        <w:rPr>
          <w:rFonts w:ascii="宋体" w:hAnsi="宋体" w:eastAsia="宋体" w:cs="宋体"/>
          <w:color w:val="auto"/>
          <w:sz w:val="21"/>
          <w:szCs w:val="21"/>
          <w:highlight w:val="none"/>
        </w:rPr>
      </w:pPr>
      <w:r>
        <w:rPr>
          <w:rFonts w:ascii="宋体" w:hAnsi="宋体" w:eastAsia="宋体" w:cs="宋体"/>
          <w:color w:val="auto"/>
          <w:spacing w:val="7"/>
          <w:position w:val="14"/>
          <w:sz w:val="21"/>
          <w:szCs w:val="21"/>
          <w:highlight w:val="none"/>
        </w:rPr>
        <w:t>因承包人原因造成工期延误，在工期延误期间出现法律变化的，</w:t>
      </w:r>
      <w:r>
        <w:rPr>
          <w:rFonts w:ascii="宋体" w:hAnsi="宋体" w:eastAsia="宋体" w:cs="宋体"/>
          <w:color w:val="auto"/>
          <w:spacing w:val="-57"/>
          <w:position w:val="14"/>
          <w:sz w:val="21"/>
          <w:szCs w:val="21"/>
          <w:highlight w:val="none"/>
        </w:rPr>
        <w:t xml:space="preserve"> </w:t>
      </w:r>
      <w:r>
        <w:rPr>
          <w:rFonts w:ascii="宋体" w:hAnsi="宋体" w:eastAsia="宋体" w:cs="宋体"/>
          <w:color w:val="auto"/>
          <w:spacing w:val="7"/>
          <w:position w:val="14"/>
          <w:sz w:val="21"/>
          <w:szCs w:val="21"/>
          <w:highlight w:val="none"/>
        </w:rPr>
        <w:t>由此增加的费用和</w:t>
      </w:r>
    </w:p>
    <w:p w14:paraId="7F6F6C97">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（或）延误的工期由承包人承担。</w:t>
      </w:r>
    </w:p>
    <w:p w14:paraId="61FECD78">
      <w:pPr>
        <w:spacing w:before="173" w:line="526" w:lineRule="exact"/>
        <w:ind w:left="39"/>
        <w:rPr>
          <w:rFonts w:ascii="黑体" w:hAnsi="黑体" w:eastAsia="黑体" w:cs="黑体"/>
          <w:color w:val="auto"/>
          <w:sz w:val="32"/>
          <w:szCs w:val="32"/>
          <w:highlight w:val="none"/>
        </w:rPr>
      </w:pPr>
      <w:r>
        <w:rPr>
          <w:rFonts w:ascii="黑体" w:hAnsi="黑体" w:eastAsia="黑体" w:cs="黑体"/>
          <w:color w:val="auto"/>
          <w:spacing w:val="-2"/>
          <w:position w:val="15"/>
          <w:sz w:val="32"/>
          <w:szCs w:val="32"/>
          <w:highlight w:val="none"/>
        </w:rPr>
        <w:t>12.合同价格、计量与支付</w:t>
      </w:r>
    </w:p>
    <w:p w14:paraId="01786490">
      <w:pPr>
        <w:spacing w:before="2"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12.1 合同价格形式</w:t>
      </w:r>
    </w:p>
    <w:p w14:paraId="02EA42E9">
      <w:pPr>
        <w:spacing w:before="129" w:line="403" w:lineRule="exact"/>
        <w:ind w:left="444"/>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发包人和承包人应在合同协议书中选择下列一种合同价格形式：</w:t>
      </w:r>
    </w:p>
    <w:p w14:paraId="28398660">
      <w:pPr>
        <w:spacing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单价合同</w:t>
      </w:r>
    </w:p>
    <w:p w14:paraId="522553CA">
      <w:pPr>
        <w:spacing w:before="151" w:line="351" w:lineRule="auto"/>
        <w:ind w:left="18" w:right="3"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单价合同是指合同当事人约定以工程量清单及其</w:t>
      </w:r>
      <w:r>
        <w:rPr>
          <w:rFonts w:ascii="宋体" w:hAnsi="宋体" w:eastAsia="宋体" w:cs="宋体"/>
          <w:color w:val="auto"/>
          <w:spacing w:val="2"/>
          <w:sz w:val="21"/>
          <w:szCs w:val="21"/>
          <w:highlight w:val="none"/>
        </w:rPr>
        <w:t xml:space="preserve">综合单价进行合同价格计算、调整和  </w:t>
      </w:r>
      <w:r>
        <w:rPr>
          <w:rFonts w:ascii="宋体" w:hAnsi="宋体" w:eastAsia="宋体" w:cs="宋体"/>
          <w:color w:val="auto"/>
          <w:spacing w:val="3"/>
          <w:sz w:val="21"/>
          <w:szCs w:val="21"/>
          <w:highlight w:val="none"/>
        </w:rPr>
        <w:t>确认的建设工程施工合同，在约定的范围内合同</w:t>
      </w:r>
      <w:r>
        <w:rPr>
          <w:rFonts w:ascii="宋体" w:hAnsi="宋体" w:eastAsia="宋体" w:cs="宋体"/>
          <w:color w:val="auto"/>
          <w:spacing w:val="2"/>
          <w:sz w:val="21"/>
          <w:szCs w:val="21"/>
          <w:highlight w:val="none"/>
        </w:rPr>
        <w:t xml:space="preserve">单价不作调整。合同当事人应在专用合同  </w:t>
      </w:r>
      <w:r>
        <w:rPr>
          <w:rFonts w:ascii="宋体" w:hAnsi="宋体" w:eastAsia="宋体" w:cs="宋体"/>
          <w:color w:val="auto"/>
          <w:spacing w:val="3"/>
          <w:sz w:val="21"/>
          <w:szCs w:val="21"/>
          <w:highlight w:val="none"/>
        </w:rPr>
        <w:t>条款中约定综合单价包含的风险范围和风险费用</w:t>
      </w:r>
      <w:r>
        <w:rPr>
          <w:rFonts w:ascii="宋体" w:hAnsi="宋体" w:eastAsia="宋体" w:cs="宋体"/>
          <w:color w:val="auto"/>
          <w:spacing w:val="2"/>
          <w:sz w:val="21"/>
          <w:szCs w:val="21"/>
          <w:highlight w:val="none"/>
        </w:rPr>
        <w:t xml:space="preserve">的计算方法，并约定风险范围以外的合同  </w:t>
      </w:r>
      <w:r>
        <w:rPr>
          <w:rFonts w:ascii="宋体" w:hAnsi="宋体" w:eastAsia="宋体" w:cs="宋体"/>
          <w:color w:val="auto"/>
          <w:spacing w:val="-2"/>
          <w:sz w:val="21"/>
          <w:szCs w:val="21"/>
          <w:highlight w:val="none"/>
        </w:rPr>
        <w:t xml:space="preserve">价格的调整方法，其中因市场价格波动引起的调整按第 </w:t>
      </w:r>
      <w:r>
        <w:rPr>
          <w:rFonts w:ascii="Times New Roman" w:hAnsi="Times New Roman" w:eastAsia="Times New Roman" w:cs="Times New Roman"/>
          <w:color w:val="auto"/>
          <w:spacing w:val="-2"/>
          <w:sz w:val="21"/>
          <w:szCs w:val="21"/>
          <w:highlight w:val="none"/>
        </w:rPr>
        <w:t xml:space="preserve">11.1  </w:t>
      </w:r>
      <w:r>
        <w:rPr>
          <w:rFonts w:ascii="宋体" w:hAnsi="宋体" w:eastAsia="宋体" w:cs="宋体"/>
          <w:color w:val="auto"/>
          <w:spacing w:val="-2"/>
          <w:sz w:val="21"/>
          <w:szCs w:val="21"/>
          <w:highlight w:val="none"/>
        </w:rPr>
        <w:t>款〔市场价格波动引起的调整〕</w:t>
      </w:r>
    </w:p>
    <w:p w14:paraId="370A55A6">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约定执行。</w:t>
      </w:r>
    </w:p>
    <w:p w14:paraId="3B65902F">
      <w:pPr>
        <w:spacing w:before="153"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总价合同</w:t>
      </w:r>
    </w:p>
    <w:p w14:paraId="2B3C793E">
      <w:pPr>
        <w:spacing w:before="151" w:line="351" w:lineRule="auto"/>
        <w:ind w:left="19" w:right="179"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总价合同是指合同当事人约定以施工图、已标价工程量清单或预算书及有关条</w:t>
      </w:r>
      <w:r>
        <w:rPr>
          <w:rFonts w:ascii="宋体" w:hAnsi="宋体" w:eastAsia="宋体" w:cs="宋体"/>
          <w:color w:val="auto"/>
          <w:spacing w:val="2"/>
          <w:sz w:val="21"/>
          <w:szCs w:val="21"/>
          <w:highlight w:val="none"/>
        </w:rPr>
        <w:t>件进行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合同价格计算、调整和确认的建设工程施工合同，在约定的范围内合同总价</w:t>
      </w:r>
      <w:r>
        <w:rPr>
          <w:rFonts w:ascii="宋体" w:hAnsi="宋体" w:eastAsia="宋体" w:cs="宋体"/>
          <w:color w:val="auto"/>
          <w:spacing w:val="2"/>
          <w:sz w:val="21"/>
          <w:szCs w:val="21"/>
          <w:highlight w:val="none"/>
        </w:rPr>
        <w:t>不作调整。合</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同当事人应在专用合同条款中约定总价包含的风险范围和风险费用的计算方</w:t>
      </w:r>
      <w:r>
        <w:rPr>
          <w:rFonts w:ascii="宋体" w:hAnsi="宋体" w:eastAsia="宋体" w:cs="宋体"/>
          <w:color w:val="auto"/>
          <w:spacing w:val="2"/>
          <w:sz w:val="21"/>
          <w:szCs w:val="21"/>
          <w:highlight w:val="none"/>
        </w:rPr>
        <w:t>法，并约定风</w:t>
      </w:r>
      <w:r>
        <w:rPr>
          <w:rFonts w:ascii="宋体" w:hAnsi="宋体" w:eastAsia="宋体" w:cs="宋体"/>
          <w:color w:val="auto"/>
          <w:sz w:val="21"/>
          <w:szCs w:val="21"/>
          <w:highlight w:val="none"/>
        </w:rPr>
        <w:t xml:space="preserve"> 险范围以外的合同价格的调整方法，其中因市</w:t>
      </w:r>
      <w:r>
        <w:rPr>
          <w:rFonts w:ascii="宋体" w:hAnsi="宋体" w:eastAsia="宋体" w:cs="宋体"/>
          <w:color w:val="auto"/>
          <w:spacing w:val="-1"/>
          <w:sz w:val="21"/>
          <w:szCs w:val="21"/>
          <w:highlight w:val="none"/>
        </w:rPr>
        <w:t xml:space="preserve">场价格波动引起的调整按第 </w:t>
      </w:r>
      <w:r>
        <w:rPr>
          <w:rFonts w:ascii="Times New Roman" w:hAnsi="Times New Roman" w:eastAsia="Times New Roman" w:cs="Times New Roman"/>
          <w:color w:val="auto"/>
          <w:spacing w:val="-1"/>
          <w:sz w:val="21"/>
          <w:szCs w:val="21"/>
          <w:highlight w:val="none"/>
        </w:rPr>
        <w:t>11.1</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款〔市场价</w:t>
      </w:r>
    </w:p>
    <w:p w14:paraId="75CC0536">
      <w:pPr>
        <w:spacing w:before="1" w:line="220"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格波动引起的调整〕、因法律变化引起的调整按第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4"/>
          <w:sz w:val="21"/>
          <w:szCs w:val="21"/>
          <w:highlight w:val="none"/>
        </w:rPr>
        <w:t>11.2</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款〔法律变化引</w:t>
      </w:r>
      <w:r>
        <w:rPr>
          <w:rFonts w:ascii="宋体" w:hAnsi="宋体" w:eastAsia="宋体" w:cs="宋体"/>
          <w:color w:val="auto"/>
          <w:spacing w:val="-5"/>
          <w:sz w:val="21"/>
          <w:szCs w:val="21"/>
          <w:highlight w:val="none"/>
        </w:rPr>
        <w:t>起的调整〕约定执行。</w:t>
      </w:r>
    </w:p>
    <w:p w14:paraId="547C69B3">
      <w:pPr>
        <w:spacing w:before="153"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其它价格形式</w:t>
      </w:r>
    </w:p>
    <w:p w14:paraId="0F10F0E2">
      <w:pPr>
        <w:spacing w:before="149" w:line="219"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合同当事人可在专用合同条款中约定其他合同价格形式。</w:t>
      </w:r>
    </w:p>
    <w:p w14:paraId="370D0DD8">
      <w:pPr>
        <w:spacing w:before="47"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12.2</w:t>
      </w:r>
      <w:r>
        <w:rPr>
          <w:rFonts w:ascii="黑体" w:hAnsi="黑体" w:eastAsia="黑体" w:cs="黑体"/>
          <w:color w:val="auto"/>
          <w:spacing w:val="-46"/>
          <w:sz w:val="24"/>
          <w:szCs w:val="24"/>
          <w:highlight w:val="none"/>
        </w:rPr>
        <w:t xml:space="preserve"> </w:t>
      </w:r>
      <w:r>
        <w:rPr>
          <w:rFonts w:ascii="黑体" w:hAnsi="黑体" w:eastAsia="黑体" w:cs="黑体"/>
          <w:color w:val="auto"/>
          <w:spacing w:val="-5"/>
          <w:sz w:val="24"/>
          <w:szCs w:val="24"/>
          <w:highlight w:val="none"/>
        </w:rPr>
        <w:t>预付款</w:t>
      </w:r>
    </w:p>
    <w:p w14:paraId="425F8960">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12.2.1 </w:t>
      </w:r>
      <w:r>
        <w:rPr>
          <w:rFonts w:ascii="宋体" w:hAnsi="宋体" w:eastAsia="宋体" w:cs="宋体"/>
          <w:color w:val="auto"/>
          <w:spacing w:val="-3"/>
          <w:sz w:val="21"/>
          <w:szCs w:val="21"/>
          <w:highlight w:val="none"/>
        </w:rPr>
        <w:t>预付款的支付</w:t>
      </w:r>
    </w:p>
    <w:p w14:paraId="330625B9">
      <w:pPr>
        <w:spacing w:before="153" w:line="350" w:lineRule="auto"/>
        <w:ind w:left="21" w:right="179" w:firstLine="42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预付款的支付按照专用合同条款约定执行，但至迟应在开工通知载明的开工日期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前支付。预付款应当用于材料、工程设备、施工设备的采购及修建临</w:t>
      </w:r>
      <w:r>
        <w:rPr>
          <w:rFonts w:ascii="宋体" w:hAnsi="宋体" w:eastAsia="宋体" w:cs="宋体"/>
          <w:color w:val="auto"/>
          <w:spacing w:val="2"/>
          <w:sz w:val="21"/>
          <w:szCs w:val="21"/>
          <w:highlight w:val="none"/>
        </w:rPr>
        <w:t>时工程、组织施工队</w:t>
      </w:r>
    </w:p>
    <w:p w14:paraId="706DFE75">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伍进场等。</w:t>
      </w:r>
    </w:p>
    <w:p w14:paraId="22912FD1">
      <w:pPr>
        <w:spacing w:before="152"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除专用合同条款另有约定外，预付款在进度付款中同比例扣回</w:t>
      </w:r>
      <w:r>
        <w:rPr>
          <w:rFonts w:ascii="宋体" w:hAnsi="宋体" w:eastAsia="宋体" w:cs="宋体"/>
          <w:color w:val="auto"/>
          <w:spacing w:val="2"/>
          <w:sz w:val="21"/>
          <w:szCs w:val="21"/>
          <w:highlight w:val="none"/>
        </w:rPr>
        <w:t>。在颁发工程接收证书</w:t>
      </w:r>
    </w:p>
    <w:p w14:paraId="46BEB5B5">
      <w:pPr>
        <w:spacing w:line="220" w:lineRule="auto"/>
        <w:rPr>
          <w:rFonts w:ascii="宋体" w:hAnsi="宋体" w:eastAsia="宋体" w:cs="宋体"/>
          <w:color w:val="auto"/>
          <w:sz w:val="21"/>
          <w:szCs w:val="21"/>
          <w:highlight w:val="none"/>
        </w:rPr>
        <w:sectPr>
          <w:footerReference r:id="rId133" w:type="default"/>
          <w:pgSz w:w="11905" w:h="16839"/>
          <w:pgMar w:top="1431" w:right="1611" w:bottom="1004" w:left="1785" w:header="0" w:footer="828" w:gutter="0"/>
          <w:pgNumType w:fmt="decimal"/>
          <w:cols w:space="720" w:num="1"/>
        </w:sectPr>
      </w:pPr>
    </w:p>
    <w:p w14:paraId="261ACF5E">
      <w:pPr>
        <w:spacing w:before="149"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前，提前解除合同的，尚未扣完的预付款应与</w:t>
      </w:r>
      <w:r>
        <w:rPr>
          <w:rFonts w:ascii="宋体" w:hAnsi="宋体" w:eastAsia="宋体" w:cs="宋体"/>
          <w:color w:val="auto"/>
          <w:spacing w:val="-1"/>
          <w:sz w:val="21"/>
          <w:szCs w:val="21"/>
          <w:highlight w:val="none"/>
        </w:rPr>
        <w:t>合同价款一并结算。</w:t>
      </w:r>
    </w:p>
    <w:p w14:paraId="06B16686">
      <w:pPr>
        <w:spacing w:before="148" w:line="353" w:lineRule="auto"/>
        <w:ind w:left="21" w:right="155"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发包人逾期支付预付款超过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天的，承包人有权向发包人发出要求预付的催告通知，</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 xml:space="preserve">发包人收到通知后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1"/>
          <w:sz w:val="21"/>
          <w:szCs w:val="21"/>
          <w:highlight w:val="none"/>
        </w:rPr>
        <w:t xml:space="preserve">天内仍未支付的，承包人有权暂停施工，并按第 </w:t>
      </w:r>
      <w:r>
        <w:rPr>
          <w:rFonts w:ascii="Times New Roman" w:hAnsi="Times New Roman" w:eastAsia="Times New Roman" w:cs="Times New Roman"/>
          <w:color w:val="auto"/>
          <w:spacing w:val="-1"/>
          <w:sz w:val="21"/>
          <w:szCs w:val="21"/>
          <w:highlight w:val="none"/>
        </w:rPr>
        <w:t>16.1.1</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1"/>
          <w:sz w:val="21"/>
          <w:szCs w:val="21"/>
          <w:highlight w:val="none"/>
        </w:rPr>
        <w:t>项</w:t>
      </w:r>
      <w:r>
        <w:rPr>
          <w:rFonts w:ascii="宋体" w:hAnsi="宋体" w:eastAsia="宋体" w:cs="宋体"/>
          <w:color w:val="auto"/>
          <w:spacing w:val="-2"/>
          <w:sz w:val="21"/>
          <w:szCs w:val="21"/>
          <w:highlight w:val="none"/>
        </w:rPr>
        <w:t>〔发包人违</w:t>
      </w:r>
    </w:p>
    <w:p w14:paraId="3DF147BB">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约的情形〕执行。</w:t>
      </w:r>
    </w:p>
    <w:p w14:paraId="0656157C">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12.2.2 </w:t>
      </w:r>
      <w:r>
        <w:rPr>
          <w:rFonts w:ascii="宋体" w:hAnsi="宋体" w:eastAsia="宋体" w:cs="宋体"/>
          <w:color w:val="auto"/>
          <w:spacing w:val="-2"/>
          <w:sz w:val="21"/>
          <w:szCs w:val="21"/>
          <w:highlight w:val="none"/>
        </w:rPr>
        <w:t>预付款担保</w:t>
      </w:r>
    </w:p>
    <w:p w14:paraId="23984224">
      <w:pPr>
        <w:spacing w:before="151" w:line="352" w:lineRule="auto"/>
        <w:ind w:left="19"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发包人要求承包人提供预付款担保的，承包人应在发包人支付预付款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 xml:space="preserve">天前提供预付  </w:t>
      </w:r>
      <w:r>
        <w:rPr>
          <w:rFonts w:ascii="宋体" w:hAnsi="宋体" w:eastAsia="宋体" w:cs="宋体"/>
          <w:color w:val="auto"/>
          <w:spacing w:val="2"/>
          <w:sz w:val="21"/>
          <w:szCs w:val="21"/>
          <w:highlight w:val="none"/>
        </w:rPr>
        <w:t>款担保，专用合同条款另有约定除外。预付款担保可采用银行</w:t>
      </w:r>
      <w:r>
        <w:rPr>
          <w:rFonts w:ascii="宋体" w:hAnsi="宋体" w:eastAsia="宋体" w:cs="宋体"/>
          <w:color w:val="auto"/>
          <w:spacing w:val="1"/>
          <w:sz w:val="21"/>
          <w:szCs w:val="21"/>
          <w:highlight w:val="none"/>
        </w:rPr>
        <w:t>保函、担保公司担保等形式，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具体由合同当事人在专用合同条款中约定。在预付款完全扣回之前，承包人</w:t>
      </w:r>
      <w:r>
        <w:rPr>
          <w:rFonts w:ascii="宋体" w:hAnsi="宋体" w:eastAsia="宋体" w:cs="宋体"/>
          <w:color w:val="auto"/>
          <w:spacing w:val="2"/>
          <w:sz w:val="21"/>
          <w:szCs w:val="21"/>
          <w:highlight w:val="none"/>
        </w:rPr>
        <w:t>应保证预付款</w:t>
      </w:r>
    </w:p>
    <w:p w14:paraId="299EACA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担保持续有效。</w:t>
      </w:r>
    </w:p>
    <w:p w14:paraId="53A1194B">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发包人在工程款中逐期扣回预付款后，预付款担保额度应相应减少， 但剩余的预付款</w:t>
      </w:r>
    </w:p>
    <w:p w14:paraId="1495D36E">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担保金额不得低于未被扣回的预付款金额。</w:t>
      </w:r>
    </w:p>
    <w:p w14:paraId="55318FCF">
      <w:pPr>
        <w:spacing w:before="51" w:line="222"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12.3</w:t>
      </w:r>
      <w:r>
        <w:rPr>
          <w:rFonts w:ascii="黑体" w:hAnsi="黑体" w:eastAsia="黑体" w:cs="黑体"/>
          <w:color w:val="auto"/>
          <w:spacing w:val="-50"/>
          <w:sz w:val="24"/>
          <w:szCs w:val="24"/>
          <w:highlight w:val="none"/>
        </w:rPr>
        <w:t xml:space="preserve"> </w:t>
      </w:r>
      <w:r>
        <w:rPr>
          <w:rFonts w:ascii="黑体" w:hAnsi="黑体" w:eastAsia="黑体" w:cs="黑体"/>
          <w:color w:val="auto"/>
          <w:spacing w:val="-5"/>
          <w:sz w:val="24"/>
          <w:szCs w:val="24"/>
          <w:highlight w:val="none"/>
        </w:rPr>
        <w:t>计量</w:t>
      </w:r>
    </w:p>
    <w:p w14:paraId="64A79DF4">
      <w:pPr>
        <w:spacing w:before="12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12.3.1 </w:t>
      </w:r>
      <w:r>
        <w:rPr>
          <w:rFonts w:ascii="宋体" w:hAnsi="宋体" w:eastAsia="宋体" w:cs="宋体"/>
          <w:color w:val="auto"/>
          <w:spacing w:val="-2"/>
          <w:sz w:val="21"/>
          <w:szCs w:val="21"/>
          <w:highlight w:val="none"/>
        </w:rPr>
        <w:t>计量原则</w:t>
      </w:r>
    </w:p>
    <w:p w14:paraId="11A906B5">
      <w:pPr>
        <w:spacing w:before="146" w:line="399"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工程量计量按照合同约定的工程量计算规则、图纸及变更指示等进行计量。工程量计</w:t>
      </w:r>
    </w:p>
    <w:p w14:paraId="6FB6F768">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算规则应以相关的国家标准、行业标准等为依据，由合同当事人在专用合同条款中约定。</w:t>
      </w:r>
    </w:p>
    <w:p w14:paraId="2E48417B">
      <w:pPr>
        <w:spacing w:before="15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12.3.2 </w:t>
      </w:r>
      <w:r>
        <w:rPr>
          <w:rFonts w:ascii="宋体" w:hAnsi="宋体" w:eastAsia="宋体" w:cs="宋体"/>
          <w:color w:val="auto"/>
          <w:spacing w:val="-2"/>
          <w:sz w:val="21"/>
          <w:szCs w:val="21"/>
          <w:highlight w:val="none"/>
        </w:rPr>
        <w:t>计量周期</w:t>
      </w:r>
    </w:p>
    <w:p w14:paraId="47232D03">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工程量的计量按月进行。</w:t>
      </w:r>
    </w:p>
    <w:p w14:paraId="4B69EEF2">
      <w:pPr>
        <w:spacing w:before="147"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12.3.3 </w:t>
      </w:r>
      <w:r>
        <w:rPr>
          <w:rFonts w:ascii="宋体" w:hAnsi="宋体" w:eastAsia="宋体" w:cs="宋体"/>
          <w:color w:val="auto"/>
          <w:spacing w:val="-2"/>
          <w:sz w:val="21"/>
          <w:szCs w:val="21"/>
          <w:highlight w:val="none"/>
        </w:rPr>
        <w:t>单价合同的计量</w:t>
      </w:r>
    </w:p>
    <w:p w14:paraId="248CD82A">
      <w:pPr>
        <w:spacing w:before="155" w:line="219"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单价合同的计量按照本项约定</w:t>
      </w:r>
      <w:r>
        <w:rPr>
          <w:rFonts w:ascii="宋体" w:hAnsi="宋体" w:eastAsia="宋体" w:cs="宋体"/>
          <w:color w:val="auto"/>
          <w:spacing w:val="-5"/>
          <w:sz w:val="21"/>
          <w:szCs w:val="21"/>
          <w:highlight w:val="none"/>
        </w:rPr>
        <w:t>执行：</w:t>
      </w:r>
    </w:p>
    <w:p w14:paraId="00865C69">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1</w:t>
      </w:r>
      <w:r>
        <w:rPr>
          <w:rFonts w:ascii="宋体" w:hAnsi="宋体" w:eastAsia="宋体" w:cs="宋体"/>
          <w:color w:val="auto"/>
          <w:spacing w:val="-5"/>
          <w:position w:val="14"/>
          <w:sz w:val="21"/>
          <w:szCs w:val="21"/>
          <w:highlight w:val="none"/>
        </w:rPr>
        <w:t>）承包人应于每月</w:t>
      </w:r>
      <w:r>
        <w:rPr>
          <w:rFonts w:ascii="宋体" w:hAnsi="宋体" w:eastAsia="宋体" w:cs="宋体"/>
          <w:color w:val="auto"/>
          <w:spacing w:val="-5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25</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日向监理人报送上月</w:t>
      </w:r>
      <w:r>
        <w:rPr>
          <w:rFonts w:ascii="宋体" w:hAnsi="宋体" w:eastAsia="宋体" w:cs="宋体"/>
          <w:color w:val="auto"/>
          <w:spacing w:val="-62"/>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20</w:t>
      </w:r>
      <w:r>
        <w:rPr>
          <w:rFonts w:ascii="Times New Roman" w:hAnsi="Times New Roman" w:eastAsia="Times New Roman" w:cs="Times New Roman"/>
          <w:color w:val="auto"/>
          <w:spacing w:val="25"/>
          <w:w w:val="101"/>
          <w:position w:val="14"/>
          <w:sz w:val="21"/>
          <w:szCs w:val="21"/>
          <w:highlight w:val="none"/>
        </w:rPr>
        <w:t xml:space="preserve"> </w:t>
      </w:r>
      <w:r>
        <w:rPr>
          <w:rFonts w:ascii="宋体" w:hAnsi="宋体" w:eastAsia="宋体" w:cs="宋体"/>
          <w:color w:val="auto"/>
          <w:spacing w:val="-5"/>
          <w:position w:val="14"/>
          <w:sz w:val="21"/>
          <w:szCs w:val="21"/>
          <w:highlight w:val="none"/>
        </w:rPr>
        <w:t>日至当月</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19</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日已完成的工程量报告，</w:t>
      </w:r>
    </w:p>
    <w:p w14:paraId="579C3F7A">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并附具进度付款申请单、已完成工程量报表和有关</w:t>
      </w:r>
      <w:r>
        <w:rPr>
          <w:rFonts w:ascii="宋体" w:hAnsi="宋体" w:eastAsia="宋体" w:cs="宋体"/>
          <w:color w:val="auto"/>
          <w:spacing w:val="-2"/>
          <w:sz w:val="21"/>
          <w:szCs w:val="21"/>
          <w:highlight w:val="none"/>
        </w:rPr>
        <w:t>资料。</w:t>
      </w:r>
    </w:p>
    <w:p w14:paraId="7BCD9F68">
      <w:pPr>
        <w:spacing w:before="155" w:line="351" w:lineRule="auto"/>
        <w:ind w:left="17" w:right="156"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）监理人应在收到承包人提交的工程量报告</w:t>
      </w:r>
      <w:r>
        <w:rPr>
          <w:rFonts w:ascii="宋体" w:hAnsi="宋体" w:eastAsia="宋体" w:cs="宋体"/>
          <w:color w:val="auto"/>
          <w:spacing w:val="-1"/>
          <w:sz w:val="21"/>
          <w:szCs w:val="21"/>
          <w:highlight w:val="none"/>
        </w:rPr>
        <w:t>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天内完成对承包人提交的工程量报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表的审核并报送发包人，以确定当月实际完成的工程量。监理人对工程量有异</w:t>
      </w:r>
      <w:r>
        <w:rPr>
          <w:rFonts w:ascii="宋体" w:hAnsi="宋体" w:eastAsia="宋体" w:cs="宋体"/>
          <w:color w:val="auto"/>
          <w:spacing w:val="2"/>
          <w:sz w:val="21"/>
          <w:szCs w:val="21"/>
          <w:highlight w:val="none"/>
        </w:rPr>
        <w:t>议的，有权</w:t>
      </w:r>
      <w:r>
        <w:rPr>
          <w:rFonts w:ascii="宋体" w:hAnsi="宋体" w:eastAsia="宋体" w:cs="宋体"/>
          <w:color w:val="auto"/>
          <w:sz w:val="21"/>
          <w:szCs w:val="21"/>
          <w:highlight w:val="none"/>
        </w:rPr>
        <w:t xml:space="preserve"> 要求承包人进行共同复核或抽样复测。承包人应协助监理人进行复核或抽样复测， 并按监</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理人要求提供补充计量资料。承包人未按监理人要求参加复核或抽样复测的，</w:t>
      </w:r>
      <w:r>
        <w:rPr>
          <w:rFonts w:ascii="宋体" w:hAnsi="宋体" w:eastAsia="宋体" w:cs="宋体"/>
          <w:color w:val="auto"/>
          <w:spacing w:val="2"/>
          <w:sz w:val="21"/>
          <w:szCs w:val="21"/>
          <w:highlight w:val="none"/>
        </w:rPr>
        <w:t>监理人复核</w:t>
      </w:r>
    </w:p>
    <w:p w14:paraId="5AC8B156">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或修正的工程量视为承包人实际完成的工程量。</w:t>
      </w:r>
    </w:p>
    <w:p w14:paraId="22C8F89B">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）监理人未在收到承包人提交的工程量报表后的</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w:t>
      </w:r>
      <w:r>
        <w:rPr>
          <w:rFonts w:ascii="宋体" w:hAnsi="宋体" w:eastAsia="宋体" w:cs="宋体"/>
          <w:color w:val="auto"/>
          <w:spacing w:val="-1"/>
          <w:position w:val="14"/>
          <w:sz w:val="21"/>
          <w:szCs w:val="21"/>
          <w:highlight w:val="none"/>
        </w:rPr>
        <w:t>内完成审核的，承包人报送的</w:t>
      </w:r>
    </w:p>
    <w:p w14:paraId="72ECA5C6">
      <w:pPr>
        <w:spacing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工程量报告中的工程量视为承包人实际完成的工程量，据</w:t>
      </w:r>
      <w:r>
        <w:rPr>
          <w:rFonts w:ascii="宋体" w:hAnsi="宋体" w:eastAsia="宋体" w:cs="宋体"/>
          <w:color w:val="auto"/>
          <w:spacing w:val="-1"/>
          <w:sz w:val="21"/>
          <w:szCs w:val="21"/>
          <w:highlight w:val="none"/>
        </w:rPr>
        <w:t>此计算工程价款。</w:t>
      </w:r>
    </w:p>
    <w:p w14:paraId="140A9F2A">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12.3.4</w:t>
      </w:r>
      <w:r>
        <w:rPr>
          <w:rFonts w:ascii="Times New Roman" w:hAnsi="Times New Roman" w:eastAsia="Times New Roman" w:cs="Times New Roman"/>
          <w:color w:val="auto"/>
          <w:spacing w:val="18"/>
          <w:w w:val="101"/>
          <w:sz w:val="21"/>
          <w:szCs w:val="21"/>
          <w:highlight w:val="none"/>
        </w:rPr>
        <w:t xml:space="preserve"> </w:t>
      </w:r>
      <w:r>
        <w:rPr>
          <w:rFonts w:ascii="宋体" w:hAnsi="宋体" w:eastAsia="宋体" w:cs="宋体"/>
          <w:color w:val="auto"/>
          <w:spacing w:val="-3"/>
          <w:sz w:val="21"/>
          <w:szCs w:val="21"/>
          <w:highlight w:val="none"/>
        </w:rPr>
        <w:t>总价合同的计量</w:t>
      </w:r>
    </w:p>
    <w:p w14:paraId="38210836">
      <w:pPr>
        <w:spacing w:before="150" w:line="219"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按月计量支付的总价合同，按照</w:t>
      </w:r>
      <w:r>
        <w:rPr>
          <w:rFonts w:ascii="宋体" w:hAnsi="宋体" w:eastAsia="宋体" w:cs="宋体"/>
          <w:color w:val="auto"/>
          <w:spacing w:val="-5"/>
          <w:sz w:val="21"/>
          <w:szCs w:val="21"/>
          <w:highlight w:val="none"/>
        </w:rPr>
        <w:t>本项约定执行：</w:t>
      </w:r>
    </w:p>
    <w:p w14:paraId="6E655E2E">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1</w:t>
      </w:r>
      <w:r>
        <w:rPr>
          <w:rFonts w:ascii="宋体" w:hAnsi="宋体" w:eastAsia="宋体" w:cs="宋体"/>
          <w:color w:val="auto"/>
          <w:spacing w:val="-5"/>
          <w:position w:val="14"/>
          <w:sz w:val="21"/>
          <w:szCs w:val="21"/>
          <w:highlight w:val="none"/>
        </w:rPr>
        <w:t>）承包人应于每月</w:t>
      </w:r>
      <w:r>
        <w:rPr>
          <w:rFonts w:ascii="宋体" w:hAnsi="宋体" w:eastAsia="宋体" w:cs="宋体"/>
          <w:color w:val="auto"/>
          <w:spacing w:val="-5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25</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日向监理人报送上月</w:t>
      </w:r>
      <w:r>
        <w:rPr>
          <w:rFonts w:ascii="宋体" w:hAnsi="宋体" w:eastAsia="宋体" w:cs="宋体"/>
          <w:color w:val="auto"/>
          <w:spacing w:val="-62"/>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20</w:t>
      </w:r>
      <w:r>
        <w:rPr>
          <w:rFonts w:ascii="Times New Roman" w:hAnsi="Times New Roman" w:eastAsia="Times New Roman" w:cs="Times New Roman"/>
          <w:color w:val="auto"/>
          <w:spacing w:val="25"/>
          <w:w w:val="101"/>
          <w:position w:val="14"/>
          <w:sz w:val="21"/>
          <w:szCs w:val="21"/>
          <w:highlight w:val="none"/>
        </w:rPr>
        <w:t xml:space="preserve"> </w:t>
      </w:r>
      <w:r>
        <w:rPr>
          <w:rFonts w:ascii="宋体" w:hAnsi="宋体" w:eastAsia="宋体" w:cs="宋体"/>
          <w:color w:val="auto"/>
          <w:spacing w:val="-5"/>
          <w:position w:val="14"/>
          <w:sz w:val="21"/>
          <w:szCs w:val="21"/>
          <w:highlight w:val="none"/>
        </w:rPr>
        <w:t>日至当月</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19</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日已完成的工程量报告，</w:t>
      </w:r>
    </w:p>
    <w:p w14:paraId="4381BD60">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并附具进度付款申请单、已完成工程量报表和有关</w:t>
      </w:r>
      <w:r>
        <w:rPr>
          <w:rFonts w:ascii="宋体" w:hAnsi="宋体" w:eastAsia="宋体" w:cs="宋体"/>
          <w:color w:val="auto"/>
          <w:spacing w:val="-2"/>
          <w:sz w:val="21"/>
          <w:szCs w:val="21"/>
          <w:highlight w:val="none"/>
        </w:rPr>
        <w:t>资料。</w:t>
      </w:r>
    </w:p>
    <w:p w14:paraId="46DD404A">
      <w:pPr>
        <w:spacing w:before="148" w:line="353" w:lineRule="auto"/>
        <w:ind w:left="17" w:right="156"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）监理人应在收到承包人提交的工程量报告</w:t>
      </w:r>
      <w:r>
        <w:rPr>
          <w:rFonts w:ascii="宋体" w:hAnsi="宋体" w:eastAsia="宋体" w:cs="宋体"/>
          <w:color w:val="auto"/>
          <w:spacing w:val="-1"/>
          <w:sz w:val="21"/>
          <w:szCs w:val="21"/>
          <w:highlight w:val="none"/>
        </w:rPr>
        <w:t>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天内完成对承包人提交的工程量报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表的审核并报送发包人，以确定当月实际完成的工程量。监理人对工程量有异</w:t>
      </w:r>
      <w:r>
        <w:rPr>
          <w:rFonts w:ascii="宋体" w:hAnsi="宋体" w:eastAsia="宋体" w:cs="宋体"/>
          <w:color w:val="auto"/>
          <w:spacing w:val="2"/>
          <w:sz w:val="21"/>
          <w:szCs w:val="21"/>
          <w:highlight w:val="none"/>
        </w:rPr>
        <w:t>议的，有权</w:t>
      </w:r>
    </w:p>
    <w:p w14:paraId="23381CF6">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要求承包人进行共同复核或抽样复测。承包人应协助监理人进行复核或抽样</w:t>
      </w:r>
      <w:r>
        <w:rPr>
          <w:rFonts w:ascii="宋体" w:hAnsi="宋体" w:eastAsia="宋体" w:cs="宋体"/>
          <w:color w:val="auto"/>
          <w:spacing w:val="2"/>
          <w:sz w:val="21"/>
          <w:szCs w:val="21"/>
          <w:highlight w:val="none"/>
        </w:rPr>
        <w:t>复测并按监理</w:t>
      </w:r>
    </w:p>
    <w:p w14:paraId="7EC650BB">
      <w:pPr>
        <w:spacing w:line="220" w:lineRule="auto"/>
        <w:rPr>
          <w:rFonts w:ascii="宋体" w:hAnsi="宋体" w:eastAsia="宋体" w:cs="宋体"/>
          <w:color w:val="auto"/>
          <w:sz w:val="21"/>
          <w:szCs w:val="21"/>
          <w:highlight w:val="none"/>
        </w:rPr>
        <w:sectPr>
          <w:footerReference r:id="rId134" w:type="default"/>
          <w:pgSz w:w="11905" w:h="16839"/>
          <w:pgMar w:top="1431" w:right="1631" w:bottom="1004" w:left="1785" w:header="0" w:footer="828" w:gutter="0"/>
          <w:pgNumType w:fmt="decimal"/>
          <w:cols w:space="720" w:num="1"/>
        </w:sectPr>
      </w:pPr>
    </w:p>
    <w:p w14:paraId="080B8991">
      <w:pPr>
        <w:spacing w:before="149" w:line="398" w:lineRule="exact"/>
        <w:ind w:left="2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人要求提供补充计量资料。承包人未按监理人要求参加复核或抽样复测的， 监理人审核或</w:t>
      </w:r>
    </w:p>
    <w:p w14:paraId="7F5DC338">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修正的工程量视为承包人实际完成的工程量。</w:t>
      </w:r>
    </w:p>
    <w:p w14:paraId="43DE1DE5">
      <w:pPr>
        <w:spacing w:before="152" w:line="399" w:lineRule="exact"/>
        <w:ind w:right="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）监理人未在收到承包人提交的工程量报表后的</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w:t>
      </w:r>
      <w:r>
        <w:rPr>
          <w:rFonts w:ascii="宋体" w:hAnsi="宋体" w:eastAsia="宋体" w:cs="宋体"/>
          <w:color w:val="auto"/>
          <w:spacing w:val="-1"/>
          <w:position w:val="14"/>
          <w:sz w:val="21"/>
          <w:szCs w:val="21"/>
          <w:highlight w:val="none"/>
        </w:rPr>
        <w:t>内完成复核的，承包人提交的</w:t>
      </w:r>
    </w:p>
    <w:p w14:paraId="66DECAD2">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工程量报告中的工程量视为承包人实际完成的工程量。</w:t>
      </w:r>
    </w:p>
    <w:p w14:paraId="33E870FE">
      <w:pPr>
        <w:spacing w:before="149" w:line="403"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12.3.5 </w:t>
      </w:r>
      <w:r>
        <w:rPr>
          <w:rFonts w:ascii="宋体" w:hAnsi="宋体" w:eastAsia="宋体" w:cs="宋体"/>
          <w:color w:val="auto"/>
          <w:spacing w:val="-2"/>
          <w:position w:val="14"/>
          <w:sz w:val="21"/>
          <w:szCs w:val="21"/>
          <w:highlight w:val="none"/>
        </w:rPr>
        <w:t>总价合同采用支付分解表计量支付的，可以按照第</w:t>
      </w:r>
      <w:r>
        <w:rPr>
          <w:rFonts w:ascii="宋体" w:hAnsi="宋体" w:eastAsia="宋体" w:cs="宋体"/>
          <w:color w:val="auto"/>
          <w:spacing w:val="-1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12.3.4 </w:t>
      </w:r>
      <w:r>
        <w:rPr>
          <w:rFonts w:ascii="宋体" w:hAnsi="宋体" w:eastAsia="宋体" w:cs="宋体"/>
          <w:color w:val="auto"/>
          <w:spacing w:val="-2"/>
          <w:position w:val="14"/>
          <w:sz w:val="21"/>
          <w:szCs w:val="21"/>
          <w:highlight w:val="none"/>
        </w:rPr>
        <w:t>项〔总价合同的计量〕</w:t>
      </w:r>
    </w:p>
    <w:p w14:paraId="2F8B863D">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约定进行计量，但合同价款按照支付分解表进行支付。</w:t>
      </w:r>
    </w:p>
    <w:p w14:paraId="53EF6682">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12.3.6 </w:t>
      </w:r>
      <w:r>
        <w:rPr>
          <w:rFonts w:ascii="宋体" w:hAnsi="宋体" w:eastAsia="宋体" w:cs="宋体"/>
          <w:color w:val="auto"/>
          <w:spacing w:val="-2"/>
          <w:sz w:val="21"/>
          <w:szCs w:val="21"/>
          <w:highlight w:val="none"/>
        </w:rPr>
        <w:t>其他价格形式合同的计量</w:t>
      </w:r>
    </w:p>
    <w:p w14:paraId="29B2B515">
      <w:pPr>
        <w:spacing w:before="150" w:line="219"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合同当事人可在专用合同条款中约定其他价格形式合同的计量</w:t>
      </w:r>
      <w:r>
        <w:rPr>
          <w:rFonts w:ascii="宋体" w:hAnsi="宋体" w:eastAsia="宋体" w:cs="宋体"/>
          <w:color w:val="auto"/>
          <w:spacing w:val="-1"/>
          <w:sz w:val="21"/>
          <w:szCs w:val="21"/>
          <w:highlight w:val="none"/>
        </w:rPr>
        <w:t>方式和程序。</w:t>
      </w:r>
    </w:p>
    <w:p w14:paraId="095BC0C2">
      <w:pPr>
        <w:spacing w:before="52"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12.4</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工程进度款支付</w:t>
      </w:r>
    </w:p>
    <w:p w14:paraId="432A4E8B">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12.4.1 </w:t>
      </w:r>
      <w:r>
        <w:rPr>
          <w:rFonts w:ascii="宋体" w:hAnsi="宋体" w:eastAsia="宋体" w:cs="宋体"/>
          <w:color w:val="auto"/>
          <w:spacing w:val="-2"/>
          <w:sz w:val="21"/>
          <w:szCs w:val="21"/>
          <w:highlight w:val="none"/>
        </w:rPr>
        <w:t>付款周期</w:t>
      </w:r>
    </w:p>
    <w:p w14:paraId="25263CF9">
      <w:pPr>
        <w:spacing w:before="147"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除专用合同条款另有约定外，付款周期应按照第</w:t>
      </w:r>
      <w:r>
        <w:rPr>
          <w:rFonts w:ascii="宋体" w:hAnsi="宋体" w:eastAsia="宋体" w:cs="宋体"/>
          <w:color w:val="auto"/>
          <w:spacing w:val="27"/>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12.3.2</w:t>
      </w:r>
      <w:r>
        <w:rPr>
          <w:rFonts w:ascii="Times New Roman" w:hAnsi="Times New Roman" w:eastAsia="Times New Roman" w:cs="Times New Roman"/>
          <w:color w:val="auto"/>
          <w:spacing w:val="46"/>
          <w:position w:val="14"/>
          <w:sz w:val="21"/>
          <w:szCs w:val="21"/>
          <w:highlight w:val="none"/>
        </w:rPr>
        <w:t xml:space="preserve"> </w:t>
      </w:r>
      <w:r>
        <w:rPr>
          <w:rFonts w:ascii="宋体" w:hAnsi="宋体" w:eastAsia="宋体" w:cs="宋体"/>
          <w:color w:val="auto"/>
          <w:spacing w:val="-1"/>
          <w:position w:val="14"/>
          <w:sz w:val="21"/>
          <w:szCs w:val="21"/>
          <w:highlight w:val="none"/>
        </w:rPr>
        <w:t>项〔计量周期〕的约定与计量</w:t>
      </w:r>
    </w:p>
    <w:p w14:paraId="5F9C668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周期保持一致。</w:t>
      </w:r>
    </w:p>
    <w:p w14:paraId="752FCE61">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12.4.2 </w:t>
      </w:r>
      <w:r>
        <w:rPr>
          <w:rFonts w:ascii="宋体" w:hAnsi="宋体" w:eastAsia="宋体" w:cs="宋体"/>
          <w:color w:val="auto"/>
          <w:spacing w:val="-2"/>
          <w:sz w:val="21"/>
          <w:szCs w:val="21"/>
          <w:highlight w:val="none"/>
        </w:rPr>
        <w:t>进度付款申请单的编制</w:t>
      </w:r>
    </w:p>
    <w:p w14:paraId="2F35DBFE">
      <w:pPr>
        <w:spacing w:before="148" w:line="221" w:lineRule="auto"/>
        <w:ind w:left="45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除专用合同条款另有约定外， 进度付款申请单应包括下列内容：</w:t>
      </w:r>
    </w:p>
    <w:p w14:paraId="14DB4C22">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）截至本次付款周期已完成工作对应的金额；</w:t>
      </w:r>
    </w:p>
    <w:p w14:paraId="3E5D43E6">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 xml:space="preserve">）根据第 </w:t>
      </w:r>
      <w:r>
        <w:rPr>
          <w:rFonts w:ascii="Times New Roman" w:hAnsi="Times New Roman" w:eastAsia="Times New Roman" w:cs="Times New Roman"/>
          <w:color w:val="auto"/>
          <w:spacing w:val="-3"/>
          <w:sz w:val="21"/>
          <w:szCs w:val="21"/>
          <w:highlight w:val="none"/>
        </w:rPr>
        <w:t xml:space="preserve">10 </w:t>
      </w:r>
      <w:r>
        <w:rPr>
          <w:rFonts w:ascii="宋体" w:hAnsi="宋体" w:eastAsia="宋体" w:cs="宋体"/>
          <w:color w:val="auto"/>
          <w:spacing w:val="-3"/>
          <w:sz w:val="21"/>
          <w:szCs w:val="21"/>
          <w:highlight w:val="none"/>
        </w:rPr>
        <w:t>条〔变更〕应增加和扣减的变更金额；</w:t>
      </w:r>
    </w:p>
    <w:p w14:paraId="4EC96DF9">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 xml:space="preserve">）根据第 </w:t>
      </w:r>
      <w:r>
        <w:rPr>
          <w:rFonts w:ascii="Times New Roman" w:hAnsi="Times New Roman" w:eastAsia="Times New Roman" w:cs="Times New Roman"/>
          <w:color w:val="auto"/>
          <w:spacing w:val="-2"/>
          <w:sz w:val="21"/>
          <w:szCs w:val="21"/>
          <w:highlight w:val="none"/>
        </w:rPr>
        <w:t xml:space="preserve">12.2 </w:t>
      </w:r>
      <w:r>
        <w:rPr>
          <w:rFonts w:ascii="宋体" w:hAnsi="宋体" w:eastAsia="宋体" w:cs="宋体"/>
          <w:color w:val="auto"/>
          <w:spacing w:val="-2"/>
          <w:sz w:val="21"/>
          <w:szCs w:val="21"/>
          <w:highlight w:val="none"/>
        </w:rPr>
        <w:t>款〔预付款〕约定应支付的预付款和扣减的返还预付款；</w:t>
      </w:r>
    </w:p>
    <w:p w14:paraId="3C4FD0B5">
      <w:pPr>
        <w:spacing w:before="147" w:line="404"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4</w:t>
      </w:r>
      <w:r>
        <w:rPr>
          <w:rFonts w:ascii="宋体" w:hAnsi="宋体" w:eastAsia="宋体" w:cs="宋体"/>
          <w:color w:val="auto"/>
          <w:spacing w:val="-4"/>
          <w:position w:val="14"/>
          <w:sz w:val="21"/>
          <w:szCs w:val="21"/>
          <w:highlight w:val="none"/>
        </w:rPr>
        <w:t xml:space="preserve">）根据第 </w:t>
      </w:r>
      <w:r>
        <w:rPr>
          <w:rFonts w:ascii="Times New Roman" w:hAnsi="Times New Roman" w:eastAsia="Times New Roman" w:cs="Times New Roman"/>
          <w:color w:val="auto"/>
          <w:spacing w:val="-4"/>
          <w:position w:val="14"/>
          <w:sz w:val="21"/>
          <w:szCs w:val="21"/>
          <w:highlight w:val="none"/>
        </w:rPr>
        <w:t xml:space="preserve">15.3 </w:t>
      </w:r>
      <w:r>
        <w:rPr>
          <w:rFonts w:ascii="宋体" w:hAnsi="宋体" w:eastAsia="宋体" w:cs="宋体"/>
          <w:color w:val="auto"/>
          <w:spacing w:val="-4"/>
          <w:position w:val="14"/>
          <w:sz w:val="21"/>
          <w:szCs w:val="21"/>
          <w:highlight w:val="none"/>
        </w:rPr>
        <w:t>款〔质量保证金〕约定应扣减的质量保证金；</w:t>
      </w:r>
    </w:p>
    <w:p w14:paraId="40B6E819">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 xml:space="preserve">）根据第 </w:t>
      </w:r>
      <w:r>
        <w:rPr>
          <w:rFonts w:ascii="Times New Roman" w:hAnsi="Times New Roman" w:eastAsia="Times New Roman" w:cs="Times New Roman"/>
          <w:color w:val="auto"/>
          <w:spacing w:val="-3"/>
          <w:sz w:val="21"/>
          <w:szCs w:val="21"/>
          <w:highlight w:val="none"/>
        </w:rPr>
        <w:t xml:space="preserve">19 </w:t>
      </w:r>
      <w:r>
        <w:rPr>
          <w:rFonts w:ascii="宋体" w:hAnsi="宋体" w:eastAsia="宋体" w:cs="宋体"/>
          <w:color w:val="auto"/>
          <w:spacing w:val="-3"/>
          <w:sz w:val="21"/>
          <w:szCs w:val="21"/>
          <w:highlight w:val="none"/>
        </w:rPr>
        <w:t>条〔索赔〕应增加和扣减的索赔金额；</w:t>
      </w:r>
    </w:p>
    <w:p w14:paraId="350E4678">
      <w:pPr>
        <w:spacing w:before="148" w:line="398" w:lineRule="exact"/>
        <w:ind w:right="14"/>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）对已签发的进度款支付证书中出现错误的修正，应在本次进度付款</w:t>
      </w:r>
      <w:r>
        <w:rPr>
          <w:rFonts w:ascii="宋体" w:hAnsi="宋体" w:eastAsia="宋体" w:cs="宋体"/>
          <w:color w:val="auto"/>
          <w:spacing w:val="-1"/>
          <w:position w:val="14"/>
          <w:sz w:val="21"/>
          <w:szCs w:val="21"/>
          <w:highlight w:val="none"/>
        </w:rPr>
        <w:t>中支付或扣除</w:t>
      </w:r>
    </w:p>
    <w:p w14:paraId="2B67A16A">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的金额；</w:t>
      </w:r>
    </w:p>
    <w:p w14:paraId="3435FD98">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）根据合同约定应增加和扣减的其他金额。</w:t>
      </w:r>
    </w:p>
    <w:p w14:paraId="3F28D693">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12.4.3 </w:t>
      </w:r>
      <w:r>
        <w:rPr>
          <w:rFonts w:ascii="宋体" w:hAnsi="宋体" w:eastAsia="宋体" w:cs="宋体"/>
          <w:color w:val="auto"/>
          <w:spacing w:val="-2"/>
          <w:sz w:val="21"/>
          <w:szCs w:val="21"/>
          <w:highlight w:val="none"/>
        </w:rPr>
        <w:t>进度付款申请单的提交</w:t>
      </w:r>
    </w:p>
    <w:p w14:paraId="1E13221D">
      <w:pPr>
        <w:spacing w:before="148"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）单价合同进度付款申请单的提交</w:t>
      </w:r>
    </w:p>
    <w:p w14:paraId="04F56D8F">
      <w:pPr>
        <w:spacing w:before="152" w:line="351" w:lineRule="auto"/>
        <w:ind w:left="19" w:right="6"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单价合同的进度付款申请单，按照第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z w:val="21"/>
          <w:szCs w:val="21"/>
          <w:highlight w:val="none"/>
        </w:rPr>
        <w:t>12.3.3</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z w:val="21"/>
          <w:szCs w:val="21"/>
          <w:highlight w:val="none"/>
        </w:rPr>
        <w:t>项〔单价合</w:t>
      </w:r>
      <w:r>
        <w:rPr>
          <w:rFonts w:ascii="宋体" w:hAnsi="宋体" w:eastAsia="宋体" w:cs="宋体"/>
          <w:color w:val="auto"/>
          <w:spacing w:val="-1"/>
          <w:sz w:val="21"/>
          <w:szCs w:val="21"/>
          <w:highlight w:val="none"/>
        </w:rPr>
        <w:t>同的计量〕约定的时间按月向</w:t>
      </w:r>
      <w:r>
        <w:rPr>
          <w:rFonts w:ascii="宋体" w:hAnsi="宋体" w:eastAsia="宋体" w:cs="宋体"/>
          <w:color w:val="auto"/>
          <w:sz w:val="21"/>
          <w:szCs w:val="21"/>
          <w:highlight w:val="none"/>
        </w:rPr>
        <w:t xml:space="preserve"> 监理人提交， 并附上已完成工程量报表和有关资料。单价合同中的总价项目按月进行支付</w:t>
      </w:r>
    </w:p>
    <w:p w14:paraId="6C0072B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分解，并汇总列入当期进度付款申请单。</w:t>
      </w:r>
    </w:p>
    <w:p w14:paraId="31A7FB55">
      <w:pPr>
        <w:spacing w:before="153"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）总价合同进度付款申请单的提交</w:t>
      </w:r>
    </w:p>
    <w:p w14:paraId="786DFAF3">
      <w:pPr>
        <w:spacing w:before="149" w:line="398" w:lineRule="exact"/>
        <w:ind w:right="5"/>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总价合同按月计量支付的，承包人按照第</w:t>
      </w:r>
      <w:r>
        <w:rPr>
          <w:rFonts w:ascii="宋体" w:hAnsi="宋体" w:eastAsia="宋体" w:cs="宋体"/>
          <w:color w:val="auto"/>
          <w:spacing w:val="5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12.3.4</w:t>
      </w:r>
      <w:r>
        <w:rPr>
          <w:rFonts w:ascii="Times New Roman" w:hAnsi="Times New Roman" w:eastAsia="Times New Roman" w:cs="Times New Roman"/>
          <w:color w:val="auto"/>
          <w:spacing w:val="46"/>
          <w:position w:val="14"/>
          <w:sz w:val="21"/>
          <w:szCs w:val="21"/>
          <w:highlight w:val="none"/>
        </w:rPr>
        <w:t xml:space="preserve"> </w:t>
      </w:r>
      <w:r>
        <w:rPr>
          <w:rFonts w:ascii="宋体" w:hAnsi="宋体" w:eastAsia="宋体" w:cs="宋体"/>
          <w:color w:val="auto"/>
          <w:spacing w:val="-1"/>
          <w:position w:val="14"/>
          <w:sz w:val="21"/>
          <w:szCs w:val="21"/>
          <w:highlight w:val="none"/>
        </w:rPr>
        <w:t>项〔总价合同的计量〕约定的时间按</w:t>
      </w:r>
    </w:p>
    <w:p w14:paraId="1DA2B86C">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月向监理人提交进度付款申请单，并附上已完成工程量报表和有关资</w:t>
      </w:r>
      <w:r>
        <w:rPr>
          <w:rFonts w:ascii="宋体" w:hAnsi="宋体" w:eastAsia="宋体" w:cs="宋体"/>
          <w:color w:val="auto"/>
          <w:spacing w:val="-2"/>
          <w:sz w:val="21"/>
          <w:szCs w:val="21"/>
          <w:highlight w:val="none"/>
        </w:rPr>
        <w:t>料。</w:t>
      </w:r>
    </w:p>
    <w:p w14:paraId="1BB0C559">
      <w:pPr>
        <w:spacing w:before="154"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总价合同按支付分解表支付的，承包人应按照第</w:t>
      </w:r>
      <w:r>
        <w:rPr>
          <w:rFonts w:ascii="宋体" w:hAnsi="宋体" w:eastAsia="宋体" w:cs="宋体"/>
          <w:color w:val="auto"/>
          <w:spacing w:val="-44"/>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12.4.6</w:t>
      </w:r>
      <w:r>
        <w:rPr>
          <w:rFonts w:ascii="Times New Roman" w:hAnsi="Times New Roman" w:eastAsia="Times New Roman" w:cs="Times New Roman"/>
          <w:color w:val="auto"/>
          <w:spacing w:val="-11"/>
          <w:position w:val="14"/>
          <w:sz w:val="21"/>
          <w:szCs w:val="21"/>
          <w:highlight w:val="none"/>
        </w:rPr>
        <w:t xml:space="preserve"> </w:t>
      </w:r>
      <w:r>
        <w:rPr>
          <w:rFonts w:ascii="宋体" w:hAnsi="宋体" w:eastAsia="宋体" w:cs="宋体"/>
          <w:color w:val="auto"/>
          <w:spacing w:val="-2"/>
          <w:position w:val="14"/>
          <w:sz w:val="21"/>
          <w:szCs w:val="21"/>
          <w:highlight w:val="none"/>
        </w:rPr>
        <w:t>项〔支付分解表〕及第</w:t>
      </w:r>
      <w:r>
        <w:rPr>
          <w:rFonts w:ascii="宋体" w:hAnsi="宋体" w:eastAsia="宋体" w:cs="宋体"/>
          <w:color w:val="auto"/>
          <w:spacing w:val="-4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12.4.2</w:t>
      </w:r>
      <w:r>
        <w:rPr>
          <w:rFonts w:ascii="Times New Roman" w:hAnsi="Times New Roman" w:eastAsia="Times New Roman" w:cs="Times New Roman"/>
          <w:color w:val="auto"/>
          <w:spacing w:val="-12"/>
          <w:position w:val="14"/>
          <w:sz w:val="21"/>
          <w:szCs w:val="21"/>
          <w:highlight w:val="none"/>
        </w:rPr>
        <w:t xml:space="preserve"> </w:t>
      </w:r>
      <w:r>
        <w:rPr>
          <w:rFonts w:ascii="宋体" w:hAnsi="宋体" w:eastAsia="宋体" w:cs="宋体"/>
          <w:color w:val="auto"/>
          <w:spacing w:val="-2"/>
          <w:position w:val="14"/>
          <w:sz w:val="21"/>
          <w:szCs w:val="21"/>
          <w:highlight w:val="none"/>
        </w:rPr>
        <w:t>项</w:t>
      </w:r>
    </w:p>
    <w:p w14:paraId="4E9AFDDE">
      <w:pPr>
        <w:spacing w:before="1" w:line="220" w:lineRule="auto"/>
        <w:ind w:left="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〔进度付款申请单的编制〕的约定向监理人提交进度付款申请单。</w:t>
      </w:r>
    </w:p>
    <w:p w14:paraId="6DEF1CC3">
      <w:pPr>
        <w:spacing w:before="147"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）其他价格形式合同的进度付款申请单的提交</w:t>
      </w:r>
    </w:p>
    <w:p w14:paraId="5F700EA2">
      <w:pPr>
        <w:spacing w:before="154"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合同当事人可在专用合同条款中约定其他价格形式合同的进度付款申请单的编制和提</w:t>
      </w:r>
    </w:p>
    <w:p w14:paraId="7FC037B4">
      <w:pPr>
        <w:spacing w:line="221" w:lineRule="auto"/>
        <w:ind w:left="2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交程序。</w:t>
      </w:r>
    </w:p>
    <w:p w14:paraId="5AD0CD36">
      <w:pPr>
        <w:spacing w:line="221" w:lineRule="auto"/>
        <w:rPr>
          <w:rFonts w:ascii="宋体" w:hAnsi="宋体" w:eastAsia="宋体" w:cs="宋体"/>
          <w:color w:val="auto"/>
          <w:sz w:val="21"/>
          <w:szCs w:val="21"/>
          <w:highlight w:val="none"/>
        </w:rPr>
        <w:sectPr>
          <w:footerReference r:id="rId135" w:type="default"/>
          <w:pgSz w:w="11905" w:h="16839"/>
          <w:pgMar w:top="1431" w:right="1785" w:bottom="1004" w:left="1785" w:header="0" w:footer="828" w:gutter="0"/>
          <w:pgNumType w:fmt="decimal"/>
          <w:cols w:space="720" w:num="1"/>
        </w:sectPr>
      </w:pPr>
    </w:p>
    <w:p w14:paraId="668A4713">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12.4.4 </w:t>
      </w:r>
      <w:r>
        <w:rPr>
          <w:rFonts w:ascii="宋体" w:hAnsi="宋体" w:eastAsia="宋体" w:cs="宋体"/>
          <w:color w:val="auto"/>
          <w:spacing w:val="-2"/>
          <w:sz w:val="21"/>
          <w:szCs w:val="21"/>
          <w:highlight w:val="none"/>
        </w:rPr>
        <w:t>进度款审核和支付</w:t>
      </w:r>
    </w:p>
    <w:p w14:paraId="03FC71BD">
      <w:pPr>
        <w:spacing w:before="146" w:line="353" w:lineRule="auto"/>
        <w:ind w:left="18" w:right="2"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）除专用合同条款另有约定外，监理人应在收到承包人进度付款申请单以及相关资</w:t>
      </w:r>
      <w:r>
        <w:rPr>
          <w:rFonts w:ascii="宋体" w:hAnsi="宋体" w:eastAsia="宋体" w:cs="宋体"/>
          <w:color w:val="auto"/>
          <w:spacing w:val="5"/>
          <w:sz w:val="21"/>
          <w:szCs w:val="21"/>
          <w:highlight w:val="none"/>
        </w:rPr>
        <w:t xml:space="preserve"> </w:t>
      </w:r>
      <w:r>
        <w:rPr>
          <w:rFonts w:ascii="宋体" w:hAnsi="宋体" w:eastAsia="宋体" w:cs="宋体"/>
          <w:color w:val="auto"/>
          <w:spacing w:val="-4"/>
          <w:sz w:val="21"/>
          <w:szCs w:val="21"/>
          <w:highlight w:val="none"/>
        </w:rPr>
        <w:t xml:space="preserve">料后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4"/>
          <w:sz w:val="21"/>
          <w:szCs w:val="21"/>
          <w:highlight w:val="none"/>
        </w:rPr>
        <w:t xml:space="preserve">天内完成审查并报送发包人， 发包人应在收到后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4"/>
          <w:sz w:val="21"/>
          <w:szCs w:val="21"/>
          <w:highlight w:val="none"/>
        </w:rPr>
        <w:t>天内完成审批并签发进度款支付</w:t>
      </w:r>
    </w:p>
    <w:p w14:paraId="216F9B36">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证书。发包人逾期未完成审批且未提出异议的， 视为已签发进度款支付证书。</w:t>
      </w:r>
    </w:p>
    <w:p w14:paraId="0FBE9B49">
      <w:pPr>
        <w:spacing w:before="150" w:line="352" w:lineRule="auto"/>
        <w:ind w:left="18" w:right="6"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发包人和监理人对承包人的进度付款申请单有异议的， 有权要求承包人修正和提供补</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充资料，承包人应提交修正后的进度付款申请单。监理人应在收到承包人修</w:t>
      </w:r>
      <w:r>
        <w:rPr>
          <w:rFonts w:ascii="宋体" w:hAnsi="宋体" w:eastAsia="宋体" w:cs="宋体"/>
          <w:color w:val="auto"/>
          <w:spacing w:val="2"/>
          <w:sz w:val="21"/>
          <w:szCs w:val="21"/>
          <w:highlight w:val="none"/>
        </w:rPr>
        <w:t>正后的进度付</w:t>
      </w:r>
      <w:r>
        <w:rPr>
          <w:rFonts w:ascii="宋体" w:hAnsi="宋体" w:eastAsia="宋体" w:cs="宋体"/>
          <w:color w:val="auto"/>
          <w:sz w:val="21"/>
          <w:szCs w:val="21"/>
          <w:highlight w:val="none"/>
        </w:rPr>
        <w:t xml:space="preserve"> 款申请单及相关资料后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天内完成审查并报送发包人，发包人应在收到监理人报送的进度</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 xml:space="preserve">付款申请单及相关资料后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 向承包人签发无异议部分的临时进</w:t>
      </w:r>
      <w:r>
        <w:rPr>
          <w:rFonts w:ascii="宋体" w:hAnsi="宋体" w:eastAsia="宋体" w:cs="宋体"/>
          <w:color w:val="auto"/>
          <w:spacing w:val="-3"/>
          <w:sz w:val="21"/>
          <w:szCs w:val="21"/>
          <w:highlight w:val="none"/>
        </w:rPr>
        <w:t>度款支付证书。存在</w:t>
      </w:r>
    </w:p>
    <w:p w14:paraId="62D5A37A">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争议的部分，按照第</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宋体" w:hAnsi="宋体" w:eastAsia="宋体" w:cs="宋体"/>
          <w:color w:val="auto"/>
          <w:spacing w:val="-2"/>
          <w:sz w:val="21"/>
          <w:szCs w:val="21"/>
          <w:highlight w:val="none"/>
        </w:rPr>
        <w:t>条〔争议解决〕的约定处理。</w:t>
      </w:r>
    </w:p>
    <w:p w14:paraId="37D3BBE1">
      <w:pPr>
        <w:spacing w:before="148" w:line="352" w:lineRule="auto"/>
        <w:ind w:left="18" w:right="4"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）除专用合同条款另有约定外，发包人应在进度款支付证书或临时进度款支付证书</w:t>
      </w:r>
      <w:r>
        <w:rPr>
          <w:rFonts w:ascii="宋体" w:hAnsi="宋体" w:eastAsia="宋体" w:cs="宋体"/>
          <w:color w:val="auto"/>
          <w:spacing w:val="4"/>
          <w:sz w:val="21"/>
          <w:szCs w:val="21"/>
          <w:highlight w:val="none"/>
        </w:rPr>
        <w:t xml:space="preserve"> </w:t>
      </w:r>
      <w:r>
        <w:rPr>
          <w:rFonts w:ascii="宋体" w:hAnsi="宋体" w:eastAsia="宋体" w:cs="宋体"/>
          <w:color w:val="auto"/>
          <w:spacing w:val="-4"/>
          <w:sz w:val="21"/>
          <w:szCs w:val="21"/>
          <w:highlight w:val="none"/>
        </w:rPr>
        <w:t xml:space="preserve">签发后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24"/>
          <w:w w:val="101"/>
          <w:sz w:val="21"/>
          <w:szCs w:val="21"/>
          <w:highlight w:val="none"/>
        </w:rPr>
        <w:t xml:space="preserve"> </w:t>
      </w:r>
      <w:r>
        <w:rPr>
          <w:rFonts w:ascii="宋体" w:hAnsi="宋体" w:eastAsia="宋体" w:cs="宋体"/>
          <w:color w:val="auto"/>
          <w:spacing w:val="-4"/>
          <w:sz w:val="21"/>
          <w:szCs w:val="21"/>
          <w:highlight w:val="none"/>
        </w:rPr>
        <w:t>天内完成支付， 发包人逾期支付进度款的，应按照中国人民银行发布的同期同类</w:t>
      </w:r>
    </w:p>
    <w:p w14:paraId="0DA49ABE">
      <w:pPr>
        <w:spacing w:before="1" w:line="220" w:lineRule="auto"/>
        <w:ind w:left="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贷款基准利率支付违约金。</w:t>
      </w:r>
    </w:p>
    <w:p w14:paraId="6AA611B0">
      <w:pPr>
        <w:spacing w:before="148" w:line="398"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）发包人签发进度款支付证书或临时进度款支付证书，不表明发包人已同</w:t>
      </w:r>
      <w:r>
        <w:rPr>
          <w:rFonts w:ascii="宋体" w:hAnsi="宋体" w:eastAsia="宋体" w:cs="宋体"/>
          <w:color w:val="auto"/>
          <w:spacing w:val="-1"/>
          <w:position w:val="14"/>
          <w:sz w:val="21"/>
          <w:szCs w:val="21"/>
          <w:highlight w:val="none"/>
        </w:rPr>
        <w:t>意、批准</w:t>
      </w:r>
    </w:p>
    <w:p w14:paraId="183C035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或接受了承包人完成的相应部分的工作。</w:t>
      </w:r>
    </w:p>
    <w:p w14:paraId="3855E987">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12.4.5 </w:t>
      </w:r>
      <w:r>
        <w:rPr>
          <w:rFonts w:ascii="宋体" w:hAnsi="宋体" w:eastAsia="宋体" w:cs="宋体"/>
          <w:color w:val="auto"/>
          <w:spacing w:val="-2"/>
          <w:sz w:val="21"/>
          <w:szCs w:val="21"/>
          <w:highlight w:val="none"/>
        </w:rPr>
        <w:t>进度付款的修正</w:t>
      </w:r>
    </w:p>
    <w:p w14:paraId="3C6665C4">
      <w:pPr>
        <w:spacing w:before="146" w:line="353" w:lineRule="auto"/>
        <w:ind w:left="20" w:right="6"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在对已签发的进度款支付证书进行阶段汇总和复核中发现错误、遗漏或重复的， 发包</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人和承包人均有权提出修正申请。经发包人和承包人同意的修正， 应在下期进度付款中支</w:t>
      </w:r>
    </w:p>
    <w:p w14:paraId="0141FBA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付或扣除。</w:t>
      </w:r>
    </w:p>
    <w:p w14:paraId="70CA61B2">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12.4.6 </w:t>
      </w:r>
      <w:r>
        <w:rPr>
          <w:rFonts w:ascii="宋体" w:hAnsi="宋体" w:eastAsia="宋体" w:cs="宋体"/>
          <w:color w:val="auto"/>
          <w:spacing w:val="-2"/>
          <w:sz w:val="21"/>
          <w:szCs w:val="21"/>
          <w:highlight w:val="none"/>
        </w:rPr>
        <w:t>支付分解表</w:t>
      </w:r>
    </w:p>
    <w:p w14:paraId="50F1D988">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支付分解表的编制要求</w:t>
      </w:r>
    </w:p>
    <w:p w14:paraId="3D7861B4">
      <w:pPr>
        <w:spacing w:before="153" w:line="398" w:lineRule="exact"/>
        <w:ind w:right="3"/>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 xml:space="preserve">）支付分解表中所列的每期付款金额，应为第 </w:t>
      </w:r>
      <w:r>
        <w:rPr>
          <w:rFonts w:ascii="Times New Roman" w:hAnsi="Times New Roman" w:eastAsia="Times New Roman" w:cs="Times New Roman"/>
          <w:color w:val="auto"/>
          <w:spacing w:val="-1"/>
          <w:position w:val="14"/>
          <w:sz w:val="21"/>
          <w:szCs w:val="21"/>
          <w:highlight w:val="none"/>
        </w:rPr>
        <w:t xml:space="preserve">12.4.2 </w:t>
      </w:r>
      <w:r>
        <w:rPr>
          <w:rFonts w:ascii="宋体" w:hAnsi="宋体" w:eastAsia="宋体" w:cs="宋体"/>
          <w:color w:val="auto"/>
          <w:spacing w:val="-1"/>
          <w:position w:val="14"/>
          <w:sz w:val="21"/>
          <w:szCs w:val="21"/>
          <w:highlight w:val="none"/>
        </w:rPr>
        <w:t>项〔进度付款申请单</w:t>
      </w:r>
      <w:r>
        <w:rPr>
          <w:rFonts w:ascii="宋体" w:hAnsi="宋体" w:eastAsia="宋体" w:cs="宋体"/>
          <w:color w:val="auto"/>
          <w:spacing w:val="-2"/>
          <w:position w:val="14"/>
          <w:sz w:val="21"/>
          <w:szCs w:val="21"/>
          <w:highlight w:val="none"/>
        </w:rPr>
        <w:t>的编制〕</w:t>
      </w:r>
    </w:p>
    <w:p w14:paraId="2DB31775">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第（</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w:t>
      </w:r>
      <w:r>
        <w:rPr>
          <w:rFonts w:ascii="宋体" w:hAnsi="宋体" w:eastAsia="宋体" w:cs="宋体"/>
          <w:color w:val="auto"/>
          <w:spacing w:val="-53"/>
          <w:sz w:val="21"/>
          <w:szCs w:val="21"/>
          <w:highlight w:val="none"/>
        </w:rPr>
        <w:t xml:space="preserve"> </w:t>
      </w:r>
      <w:r>
        <w:rPr>
          <w:rFonts w:ascii="宋体" w:hAnsi="宋体" w:eastAsia="宋体" w:cs="宋体"/>
          <w:color w:val="auto"/>
          <w:spacing w:val="-5"/>
          <w:sz w:val="21"/>
          <w:szCs w:val="21"/>
          <w:highlight w:val="none"/>
        </w:rPr>
        <w:t>目的估算金额；</w:t>
      </w:r>
    </w:p>
    <w:p w14:paraId="2E01DB8D">
      <w:pPr>
        <w:spacing w:before="149" w:line="403" w:lineRule="exact"/>
        <w:ind w:right="2"/>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 xml:space="preserve">）实际进度与施工进度计划不一致的，合同当事人可按照第 </w:t>
      </w:r>
      <w:r>
        <w:rPr>
          <w:rFonts w:ascii="Times New Roman" w:hAnsi="Times New Roman" w:eastAsia="Times New Roman" w:cs="Times New Roman"/>
          <w:color w:val="auto"/>
          <w:spacing w:val="-1"/>
          <w:position w:val="14"/>
          <w:sz w:val="21"/>
          <w:szCs w:val="21"/>
          <w:highlight w:val="none"/>
        </w:rPr>
        <w:t>4.4</w:t>
      </w:r>
      <w:r>
        <w:rPr>
          <w:rFonts w:ascii="Times New Roman" w:hAnsi="Times New Roman" w:eastAsia="Times New Roman" w:cs="Times New Roman"/>
          <w:color w:val="auto"/>
          <w:spacing w:val="46"/>
          <w:w w:val="101"/>
          <w:position w:val="14"/>
          <w:sz w:val="21"/>
          <w:szCs w:val="21"/>
          <w:highlight w:val="none"/>
        </w:rPr>
        <w:t xml:space="preserve"> </w:t>
      </w:r>
      <w:r>
        <w:rPr>
          <w:rFonts w:ascii="宋体" w:hAnsi="宋体" w:eastAsia="宋体" w:cs="宋体"/>
          <w:color w:val="auto"/>
          <w:spacing w:val="-1"/>
          <w:position w:val="14"/>
          <w:sz w:val="21"/>
          <w:szCs w:val="21"/>
          <w:highlight w:val="none"/>
        </w:rPr>
        <w:t>款〔商定或确定〕</w:t>
      </w:r>
    </w:p>
    <w:p w14:paraId="1F671B96">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修改支付分解表；</w:t>
      </w:r>
    </w:p>
    <w:p w14:paraId="5BF087FC">
      <w:pPr>
        <w:spacing w:before="148"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）不采用支付分解表的，承包人应向发包人和监理人提交按季度编制的支付</w:t>
      </w:r>
      <w:r>
        <w:rPr>
          <w:rFonts w:ascii="宋体" w:hAnsi="宋体" w:eastAsia="宋体" w:cs="宋体"/>
          <w:color w:val="auto"/>
          <w:spacing w:val="-1"/>
          <w:position w:val="14"/>
          <w:sz w:val="21"/>
          <w:szCs w:val="21"/>
          <w:highlight w:val="none"/>
        </w:rPr>
        <w:t>估算分</w:t>
      </w:r>
    </w:p>
    <w:p w14:paraId="68BD80A0">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解表，用于支付参考。</w:t>
      </w:r>
    </w:p>
    <w:p w14:paraId="794EBF2B">
      <w:pPr>
        <w:spacing w:before="153"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总价合同支付分解表的编制与审批</w:t>
      </w:r>
    </w:p>
    <w:p w14:paraId="3367B0BD">
      <w:pPr>
        <w:spacing w:before="148" w:line="352" w:lineRule="auto"/>
        <w:ind w:left="18" w:right="1"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 xml:space="preserve">）除专用合同条款另有约定外，承包人应根据第 </w:t>
      </w:r>
      <w:r>
        <w:rPr>
          <w:rFonts w:ascii="Times New Roman" w:hAnsi="Times New Roman" w:eastAsia="Times New Roman" w:cs="Times New Roman"/>
          <w:color w:val="auto"/>
          <w:spacing w:val="-1"/>
          <w:sz w:val="21"/>
          <w:szCs w:val="21"/>
          <w:highlight w:val="none"/>
        </w:rPr>
        <w:t>7.2</w:t>
      </w:r>
      <w:r>
        <w:rPr>
          <w:rFonts w:ascii="Times New Roman" w:hAnsi="Times New Roman" w:eastAsia="Times New Roman" w:cs="Times New Roman"/>
          <w:color w:val="auto"/>
          <w:spacing w:val="48"/>
          <w:sz w:val="21"/>
          <w:szCs w:val="21"/>
          <w:highlight w:val="none"/>
        </w:rPr>
        <w:t xml:space="preserve"> </w:t>
      </w:r>
      <w:r>
        <w:rPr>
          <w:rFonts w:ascii="宋体" w:hAnsi="宋体" w:eastAsia="宋体" w:cs="宋体"/>
          <w:color w:val="auto"/>
          <w:spacing w:val="-1"/>
          <w:sz w:val="21"/>
          <w:szCs w:val="21"/>
          <w:highlight w:val="none"/>
        </w:rPr>
        <w:t>款〔施工进度计划〕约定的施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工进度计划、签约合同价和工程量等因素对总价合同按月进行分解，编制支</w:t>
      </w:r>
      <w:r>
        <w:rPr>
          <w:rFonts w:ascii="宋体" w:hAnsi="宋体" w:eastAsia="宋体" w:cs="宋体"/>
          <w:color w:val="auto"/>
          <w:spacing w:val="2"/>
          <w:sz w:val="21"/>
          <w:szCs w:val="21"/>
          <w:highlight w:val="none"/>
        </w:rPr>
        <w:t>付分解表。承</w:t>
      </w:r>
      <w:r>
        <w:rPr>
          <w:rFonts w:ascii="宋体" w:hAnsi="宋体" w:eastAsia="宋体" w:cs="宋体"/>
          <w:color w:val="auto"/>
          <w:sz w:val="21"/>
          <w:szCs w:val="21"/>
          <w:highlight w:val="none"/>
        </w:rPr>
        <w:t xml:space="preserve"> 包人应当在收到监理人和发包人批准的施工进度计划后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天内，将支付分解表及编制支付</w:t>
      </w:r>
    </w:p>
    <w:p w14:paraId="678D045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分解表的支持性资料报送监理人。</w:t>
      </w:r>
    </w:p>
    <w:p w14:paraId="3E9EDCC4">
      <w:pPr>
        <w:spacing w:before="148" w:line="352" w:lineRule="auto"/>
        <w:ind w:left="19" w:right="2"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）监理人应在收到支付分解表后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w:t>
      </w:r>
      <w:r>
        <w:rPr>
          <w:rFonts w:ascii="宋体" w:hAnsi="宋体" w:eastAsia="宋体" w:cs="宋体"/>
          <w:color w:val="auto"/>
          <w:spacing w:val="-1"/>
          <w:sz w:val="21"/>
          <w:szCs w:val="21"/>
          <w:highlight w:val="none"/>
        </w:rPr>
        <w:t>成审核并报送发包人。发包人应在收到经</w:t>
      </w:r>
      <w:r>
        <w:rPr>
          <w:rFonts w:ascii="宋体" w:hAnsi="宋体" w:eastAsia="宋体" w:cs="宋体"/>
          <w:color w:val="auto"/>
          <w:sz w:val="21"/>
          <w:szCs w:val="21"/>
          <w:highlight w:val="none"/>
        </w:rPr>
        <w:t xml:space="preserve"> 监理人审核的支付分解表后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天内完成审批，经发包人批准的支付分解表为有约束力的支</w:t>
      </w:r>
    </w:p>
    <w:p w14:paraId="76B0FAB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付分解表。</w:t>
      </w:r>
    </w:p>
    <w:p w14:paraId="0BBFEFAB">
      <w:pPr>
        <w:spacing w:line="220" w:lineRule="auto"/>
        <w:rPr>
          <w:rFonts w:ascii="宋体" w:hAnsi="宋体" w:eastAsia="宋体" w:cs="宋体"/>
          <w:color w:val="auto"/>
          <w:sz w:val="21"/>
          <w:szCs w:val="21"/>
          <w:highlight w:val="none"/>
        </w:rPr>
        <w:sectPr>
          <w:footerReference r:id="rId136" w:type="default"/>
          <w:pgSz w:w="11905" w:h="16839"/>
          <w:pgMar w:top="1431" w:right="1785" w:bottom="1004" w:left="1785" w:header="0" w:footer="828" w:gutter="0"/>
          <w:pgNumType w:fmt="decimal"/>
          <w:cols w:space="720" w:num="1"/>
        </w:sectPr>
      </w:pPr>
    </w:p>
    <w:p w14:paraId="6F3816CC">
      <w:pPr>
        <w:spacing w:before="149" w:line="398" w:lineRule="exact"/>
        <w:ind w:right="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）发包人逾期未完成支付分解表审批的，也未及时要求承包人进行修正和提供补充</w:t>
      </w:r>
    </w:p>
    <w:p w14:paraId="3963E687">
      <w:pPr>
        <w:spacing w:line="220" w:lineRule="auto"/>
        <w:ind w:left="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资料的，则承包人提交的支付分解表视为已经获得发包人批准。</w:t>
      </w:r>
    </w:p>
    <w:p w14:paraId="0FFC9F6C">
      <w:pPr>
        <w:spacing w:before="152"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单价合同的总价项目支付分解表的编制与审批</w:t>
      </w:r>
    </w:p>
    <w:p w14:paraId="09C22D5B">
      <w:pPr>
        <w:spacing w:before="14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除专用合同条款另有约定外，单价合同的总价项目，由承包人</w:t>
      </w:r>
      <w:r>
        <w:rPr>
          <w:rFonts w:ascii="宋体" w:hAnsi="宋体" w:eastAsia="宋体" w:cs="宋体"/>
          <w:color w:val="auto"/>
          <w:spacing w:val="2"/>
          <w:position w:val="14"/>
          <w:sz w:val="21"/>
          <w:szCs w:val="21"/>
          <w:highlight w:val="none"/>
        </w:rPr>
        <w:t>根据施工进度计划和总</w:t>
      </w:r>
    </w:p>
    <w:p w14:paraId="64B001AF">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价项目的总价构成、费用性质、计划发生时间和相应工程量等因素按月进行分解， 形成支</w:t>
      </w:r>
    </w:p>
    <w:p w14:paraId="02102EF3">
      <w:pPr>
        <w:spacing w:before="154"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付分解表，</w:t>
      </w:r>
      <w:r>
        <w:rPr>
          <w:rFonts w:ascii="宋体" w:hAnsi="宋体" w:eastAsia="宋体" w:cs="宋体"/>
          <w:color w:val="auto"/>
          <w:spacing w:val="54"/>
          <w:sz w:val="21"/>
          <w:szCs w:val="21"/>
          <w:highlight w:val="none"/>
        </w:rPr>
        <w:t xml:space="preserve"> </w:t>
      </w:r>
      <w:r>
        <w:rPr>
          <w:rFonts w:ascii="宋体" w:hAnsi="宋体" w:eastAsia="宋体" w:cs="宋体"/>
          <w:color w:val="auto"/>
          <w:spacing w:val="-6"/>
          <w:sz w:val="21"/>
          <w:szCs w:val="21"/>
          <w:highlight w:val="none"/>
        </w:rPr>
        <w:t>其编制与审批参照总价合同支付分解表的编制与审批执行。</w:t>
      </w:r>
    </w:p>
    <w:p w14:paraId="711D0DFB">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12.5</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支付账户</w:t>
      </w:r>
    </w:p>
    <w:p w14:paraId="68B5AC05">
      <w:pPr>
        <w:spacing w:before="131" w:line="423" w:lineRule="exact"/>
        <w:ind w:left="444"/>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发包人应将合同价款支付至合同协议书中约定的</w:t>
      </w:r>
      <w:r>
        <w:rPr>
          <w:rFonts w:ascii="宋体" w:hAnsi="宋体" w:eastAsia="宋体" w:cs="宋体"/>
          <w:color w:val="auto"/>
          <w:spacing w:val="-2"/>
          <w:position w:val="16"/>
          <w:sz w:val="21"/>
          <w:szCs w:val="21"/>
          <w:highlight w:val="none"/>
        </w:rPr>
        <w:t>承包人账户。</w:t>
      </w:r>
    </w:p>
    <w:p w14:paraId="7B0EA7FC">
      <w:pPr>
        <w:spacing w:line="219" w:lineRule="auto"/>
        <w:ind w:left="39"/>
        <w:rPr>
          <w:rFonts w:ascii="黑体" w:hAnsi="黑体" w:eastAsia="黑体" w:cs="黑体"/>
          <w:color w:val="auto"/>
          <w:sz w:val="32"/>
          <w:szCs w:val="32"/>
          <w:highlight w:val="none"/>
        </w:rPr>
      </w:pPr>
      <w:r>
        <w:rPr>
          <w:rFonts w:ascii="黑体" w:hAnsi="黑体" w:eastAsia="黑体" w:cs="黑体"/>
          <w:color w:val="auto"/>
          <w:spacing w:val="-3"/>
          <w:sz w:val="32"/>
          <w:szCs w:val="32"/>
          <w:highlight w:val="none"/>
        </w:rPr>
        <w:t>13.验收和工程试车</w:t>
      </w:r>
    </w:p>
    <w:p w14:paraId="5BAE35E6">
      <w:pPr>
        <w:spacing w:before="147"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13.1</w:t>
      </w:r>
      <w:r>
        <w:rPr>
          <w:rFonts w:ascii="黑体" w:hAnsi="黑体" w:eastAsia="黑体" w:cs="黑体"/>
          <w:color w:val="auto"/>
          <w:spacing w:val="-47"/>
          <w:sz w:val="24"/>
          <w:szCs w:val="24"/>
          <w:highlight w:val="none"/>
        </w:rPr>
        <w:t xml:space="preserve"> </w:t>
      </w:r>
      <w:r>
        <w:rPr>
          <w:rFonts w:ascii="黑体" w:hAnsi="黑体" w:eastAsia="黑体" w:cs="黑体"/>
          <w:color w:val="auto"/>
          <w:spacing w:val="-3"/>
          <w:sz w:val="24"/>
          <w:szCs w:val="24"/>
          <w:highlight w:val="none"/>
        </w:rPr>
        <w:t>分部分项工程验收</w:t>
      </w:r>
    </w:p>
    <w:p w14:paraId="0DC563EB">
      <w:pPr>
        <w:spacing w:before="129" w:line="404"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13.1.1</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spacing w:val="3"/>
          <w:position w:val="14"/>
          <w:sz w:val="21"/>
          <w:szCs w:val="21"/>
          <w:highlight w:val="none"/>
        </w:rPr>
        <w:t>分部分项工程质量应符合国家有关工程施工验收</w:t>
      </w:r>
      <w:r>
        <w:rPr>
          <w:rFonts w:ascii="宋体" w:hAnsi="宋体" w:eastAsia="宋体" w:cs="宋体"/>
          <w:color w:val="auto"/>
          <w:spacing w:val="2"/>
          <w:position w:val="14"/>
          <w:sz w:val="21"/>
          <w:szCs w:val="21"/>
          <w:highlight w:val="none"/>
        </w:rPr>
        <w:t>规范、标准及合同约定，承包</w:t>
      </w:r>
    </w:p>
    <w:p w14:paraId="4B081EAD">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人应按照施工组织设计的要求完成分部分项工程施工。</w:t>
      </w:r>
    </w:p>
    <w:p w14:paraId="37FD9E7F">
      <w:pPr>
        <w:spacing w:before="149" w:line="351" w:lineRule="auto"/>
        <w:ind w:left="14" w:right="3" w:firstLine="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13.1.2</w:t>
      </w:r>
      <w:r>
        <w:rPr>
          <w:rFonts w:ascii="Times New Roman" w:hAnsi="Times New Roman" w:eastAsia="Times New Roman" w:cs="Times New Roman"/>
          <w:color w:val="auto"/>
          <w:spacing w:val="64"/>
          <w:w w:val="101"/>
          <w:sz w:val="21"/>
          <w:szCs w:val="21"/>
          <w:highlight w:val="none"/>
        </w:rPr>
        <w:t xml:space="preserve"> </w:t>
      </w:r>
      <w:r>
        <w:rPr>
          <w:rFonts w:ascii="宋体" w:hAnsi="宋体" w:eastAsia="宋体" w:cs="宋体"/>
          <w:color w:val="auto"/>
          <w:spacing w:val="2"/>
          <w:sz w:val="21"/>
          <w:szCs w:val="21"/>
          <w:highlight w:val="none"/>
        </w:rPr>
        <w:t>除专用合同条款另有约定外，分部分项工程经承包人自检合格并具备验收条件</w:t>
      </w:r>
      <w:r>
        <w:rPr>
          <w:rFonts w:ascii="宋体" w:hAnsi="宋体" w:eastAsia="宋体" w:cs="宋体"/>
          <w:color w:val="auto"/>
          <w:sz w:val="21"/>
          <w:szCs w:val="21"/>
          <w:highlight w:val="none"/>
        </w:rPr>
        <w:t xml:space="preserve"> 的，承包人应提前</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z w:val="21"/>
          <w:szCs w:val="21"/>
          <w:highlight w:val="none"/>
        </w:rPr>
        <w:t>小时通知监理人进行验收。监理人</w:t>
      </w:r>
      <w:r>
        <w:rPr>
          <w:rFonts w:ascii="宋体" w:hAnsi="宋体" w:eastAsia="宋体" w:cs="宋体"/>
          <w:color w:val="auto"/>
          <w:spacing w:val="-1"/>
          <w:sz w:val="21"/>
          <w:szCs w:val="21"/>
          <w:highlight w:val="none"/>
        </w:rPr>
        <w:t>不能按时进行验收的，应在验收前</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宋体" w:hAnsi="宋体" w:eastAsia="宋体" w:cs="宋体"/>
          <w:color w:val="auto"/>
          <w:spacing w:val="-3"/>
          <w:sz w:val="21"/>
          <w:szCs w:val="21"/>
          <w:highlight w:val="none"/>
        </w:rPr>
        <w:t>小时向承包人提交书面延期要求， 但</w:t>
      </w:r>
      <w:r>
        <w:rPr>
          <w:rFonts w:ascii="宋体" w:hAnsi="宋体" w:eastAsia="宋体" w:cs="宋体"/>
          <w:color w:val="auto"/>
          <w:spacing w:val="-4"/>
          <w:sz w:val="21"/>
          <w:szCs w:val="21"/>
          <w:highlight w:val="none"/>
        </w:rPr>
        <w:t>延期不能超过</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小时。监理人未按时进行验收，也</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未提出延期要求的，承包人有权自行验收，监理人应认可验收结果。分部分项工程未</w:t>
      </w:r>
      <w:r>
        <w:rPr>
          <w:rFonts w:ascii="宋体" w:hAnsi="宋体" w:eastAsia="宋体" w:cs="宋体"/>
          <w:color w:val="auto"/>
          <w:spacing w:val="2"/>
          <w:sz w:val="21"/>
          <w:szCs w:val="21"/>
          <w:highlight w:val="none"/>
        </w:rPr>
        <w:t>经验</w:t>
      </w:r>
    </w:p>
    <w:p w14:paraId="65C89739">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收的，不得进入下一道工序施工。</w:t>
      </w:r>
    </w:p>
    <w:p w14:paraId="7E34C883">
      <w:pPr>
        <w:spacing w:before="15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分部分项工程的验收资料应当作为竣工资料的组成部分。</w:t>
      </w:r>
    </w:p>
    <w:p w14:paraId="643C3082">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13.2</w:t>
      </w:r>
      <w:r>
        <w:rPr>
          <w:rFonts w:ascii="黑体" w:hAnsi="黑体" w:eastAsia="黑体" w:cs="黑体"/>
          <w:color w:val="auto"/>
          <w:spacing w:val="-51"/>
          <w:sz w:val="24"/>
          <w:szCs w:val="24"/>
          <w:highlight w:val="none"/>
        </w:rPr>
        <w:t xml:space="preserve"> </w:t>
      </w:r>
      <w:r>
        <w:rPr>
          <w:rFonts w:ascii="黑体" w:hAnsi="黑体" w:eastAsia="黑体" w:cs="黑体"/>
          <w:color w:val="auto"/>
          <w:spacing w:val="-4"/>
          <w:sz w:val="24"/>
          <w:szCs w:val="24"/>
          <w:highlight w:val="none"/>
        </w:rPr>
        <w:t>竣工验收</w:t>
      </w:r>
    </w:p>
    <w:p w14:paraId="43FC6544">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13.2.1 </w:t>
      </w:r>
      <w:r>
        <w:rPr>
          <w:rFonts w:ascii="宋体" w:hAnsi="宋体" w:eastAsia="宋体" w:cs="宋体"/>
          <w:color w:val="auto"/>
          <w:spacing w:val="-3"/>
          <w:sz w:val="21"/>
          <w:szCs w:val="21"/>
          <w:highlight w:val="none"/>
        </w:rPr>
        <w:t>竣工验收条件</w:t>
      </w:r>
    </w:p>
    <w:p w14:paraId="342B077A">
      <w:pPr>
        <w:spacing w:before="147"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工程具备以下条件的，承包人可以申请竣工验收：</w:t>
      </w:r>
    </w:p>
    <w:p w14:paraId="4823BF34">
      <w:pPr>
        <w:spacing w:before="152" w:line="221" w:lineRule="auto"/>
        <w:ind w:right="3"/>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）除发包人同意的甩项工作和缺陷修补工作外，合同范围内的全部工程以及有关工</w:t>
      </w:r>
    </w:p>
    <w:p w14:paraId="30A21343">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作，包括合同要求的试验、试运行以及检验均已完成，并符合合同要求；</w:t>
      </w:r>
    </w:p>
    <w:p w14:paraId="25D5BE4B">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）已按合同约定编制了甩项工作和缺陷修补工作清单</w:t>
      </w:r>
      <w:r>
        <w:rPr>
          <w:rFonts w:ascii="宋体" w:hAnsi="宋体" w:eastAsia="宋体" w:cs="宋体"/>
          <w:color w:val="auto"/>
          <w:spacing w:val="-2"/>
          <w:position w:val="14"/>
          <w:sz w:val="21"/>
          <w:szCs w:val="21"/>
          <w:highlight w:val="none"/>
        </w:rPr>
        <w:t>以及相应的施工计划；</w:t>
      </w:r>
    </w:p>
    <w:p w14:paraId="26A9D89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）已按合同约定的内容和份数备齐竣工资料。</w:t>
      </w:r>
    </w:p>
    <w:p w14:paraId="79C068CB">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13.2.2 </w:t>
      </w:r>
      <w:r>
        <w:rPr>
          <w:rFonts w:ascii="宋体" w:hAnsi="宋体" w:eastAsia="宋体" w:cs="宋体"/>
          <w:color w:val="auto"/>
          <w:spacing w:val="-3"/>
          <w:sz w:val="21"/>
          <w:szCs w:val="21"/>
          <w:highlight w:val="none"/>
        </w:rPr>
        <w:t>竣工验收程序</w:t>
      </w:r>
    </w:p>
    <w:p w14:paraId="0CB604AD">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承包人申请竣工验收的</w:t>
      </w:r>
      <w:r>
        <w:rPr>
          <w:rFonts w:ascii="宋体" w:hAnsi="宋体" w:eastAsia="宋体" w:cs="宋体"/>
          <w:color w:val="auto"/>
          <w:spacing w:val="-5"/>
          <w:sz w:val="21"/>
          <w:szCs w:val="21"/>
          <w:highlight w:val="none"/>
        </w:rPr>
        <w:t>，应当按照以下程序进行：</w:t>
      </w:r>
    </w:p>
    <w:p w14:paraId="7CC0300C">
      <w:pPr>
        <w:spacing w:before="151" w:line="352" w:lineRule="auto"/>
        <w:ind w:left="19" w:right="8" w:firstLine="42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）承包人向监理人报送竣工验收申请报告</w:t>
      </w:r>
      <w:r>
        <w:rPr>
          <w:rFonts w:ascii="宋体" w:hAnsi="宋体" w:eastAsia="宋体" w:cs="宋体"/>
          <w:color w:val="auto"/>
          <w:spacing w:val="5"/>
          <w:sz w:val="21"/>
          <w:szCs w:val="21"/>
          <w:highlight w:val="none"/>
        </w:rPr>
        <w:t>，监理人应在收到竣工验收申请报告后</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14</w:t>
      </w:r>
      <w:r>
        <w:rPr>
          <w:rFonts w:ascii="Times New Roman" w:hAnsi="Times New Roman" w:eastAsia="Times New Roman" w:cs="Times New Roman"/>
          <w:color w:val="auto"/>
          <w:spacing w:val="61"/>
          <w:sz w:val="21"/>
          <w:szCs w:val="21"/>
          <w:highlight w:val="none"/>
        </w:rPr>
        <w:t xml:space="preserve"> </w:t>
      </w:r>
      <w:r>
        <w:rPr>
          <w:rFonts w:ascii="宋体" w:hAnsi="宋体" w:eastAsia="宋体" w:cs="宋体"/>
          <w:color w:val="auto"/>
          <w:sz w:val="21"/>
          <w:szCs w:val="21"/>
          <w:highlight w:val="none"/>
        </w:rPr>
        <w:t>天内完成审查并报送发包人。监理人审查后认为尚不具备验收条件的，应通知承包人在 竣工验收前承包人还需完成的工作内容， 承包人应在完成监理人通知的全部工作内容后，</w:t>
      </w:r>
    </w:p>
    <w:p w14:paraId="35B03D3F">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再次提交竣工验收申请报告。</w:t>
      </w:r>
    </w:p>
    <w:p w14:paraId="7C6BBD1D">
      <w:pPr>
        <w:spacing w:before="150" w:line="352" w:lineRule="auto"/>
        <w:ind w:left="21" w:right="6" w:firstLine="42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）监理人审查后认为已具备竣工验收条件的，</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应将竣工验收申</w:t>
      </w:r>
      <w:r>
        <w:rPr>
          <w:rFonts w:ascii="宋体" w:hAnsi="宋体" w:eastAsia="宋体" w:cs="宋体"/>
          <w:color w:val="auto"/>
          <w:spacing w:val="-6"/>
          <w:sz w:val="21"/>
          <w:szCs w:val="21"/>
          <w:highlight w:val="none"/>
        </w:rPr>
        <w:t>请报告提交发包人，</w:t>
      </w:r>
      <w:r>
        <w:rPr>
          <w:rFonts w:ascii="宋体" w:hAnsi="宋体" w:eastAsia="宋体" w:cs="宋体"/>
          <w:color w:val="auto"/>
          <w:sz w:val="21"/>
          <w:szCs w:val="21"/>
          <w:highlight w:val="none"/>
        </w:rPr>
        <w:t xml:space="preserve"> 发包人应在收到经监理人审核的竣工验收申</w:t>
      </w:r>
      <w:r>
        <w:rPr>
          <w:rFonts w:ascii="宋体" w:hAnsi="宋体" w:eastAsia="宋体" w:cs="宋体"/>
          <w:color w:val="auto"/>
          <w:spacing w:val="-1"/>
          <w:sz w:val="21"/>
          <w:szCs w:val="21"/>
          <w:highlight w:val="none"/>
        </w:rPr>
        <w:t>请报告后</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1"/>
          <w:sz w:val="21"/>
          <w:szCs w:val="21"/>
          <w:highlight w:val="none"/>
        </w:rPr>
        <w:t>天内审批完毕并组织监理人、承包</w:t>
      </w:r>
    </w:p>
    <w:p w14:paraId="7E1D6B1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人、设计人等相关单位完成竣工验收。</w:t>
      </w:r>
    </w:p>
    <w:p w14:paraId="25D65B5D">
      <w:pPr>
        <w:spacing w:line="220" w:lineRule="auto"/>
        <w:rPr>
          <w:rFonts w:ascii="宋体" w:hAnsi="宋体" w:eastAsia="宋体" w:cs="宋体"/>
          <w:color w:val="auto"/>
          <w:sz w:val="21"/>
          <w:szCs w:val="21"/>
          <w:highlight w:val="none"/>
        </w:rPr>
        <w:sectPr>
          <w:footerReference r:id="rId137" w:type="default"/>
          <w:pgSz w:w="11905" w:h="16839"/>
          <w:pgMar w:top="1431" w:right="1785" w:bottom="1004" w:left="1785" w:header="0" w:footer="828" w:gutter="0"/>
          <w:pgNumType w:fmt="decimal"/>
          <w:cols w:space="720" w:num="1"/>
        </w:sectPr>
      </w:pPr>
    </w:p>
    <w:p w14:paraId="28C7FD74">
      <w:pPr>
        <w:spacing w:before="150" w:line="352" w:lineRule="auto"/>
        <w:ind w:left="21" w:right="6" w:firstLine="42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）竣工验收合格的，发包人应在验收合格后</w:t>
      </w:r>
      <w:r>
        <w:rPr>
          <w:rFonts w:ascii="宋体" w:hAnsi="宋体" w:eastAsia="宋体" w:cs="宋体"/>
          <w:color w:val="auto"/>
          <w:spacing w:val="57"/>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pacing w:val="-2"/>
          <w:sz w:val="21"/>
          <w:szCs w:val="21"/>
          <w:highlight w:val="none"/>
        </w:rPr>
        <w:t>天内向承包人签发工程接收证书。</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发包人无正当理由逾期不颁发工程接收证书的，</w:t>
      </w:r>
      <w:r>
        <w:rPr>
          <w:rFonts w:ascii="宋体" w:hAnsi="宋体" w:eastAsia="宋体" w:cs="宋体"/>
          <w:color w:val="auto"/>
          <w:spacing w:val="47"/>
          <w:sz w:val="21"/>
          <w:szCs w:val="21"/>
          <w:highlight w:val="none"/>
        </w:rPr>
        <w:t xml:space="preserve"> </w:t>
      </w:r>
      <w:r>
        <w:rPr>
          <w:rFonts w:ascii="宋体" w:hAnsi="宋体" w:eastAsia="宋体" w:cs="宋体"/>
          <w:color w:val="auto"/>
          <w:spacing w:val="-5"/>
          <w:sz w:val="21"/>
          <w:szCs w:val="21"/>
          <w:highlight w:val="none"/>
        </w:rPr>
        <w:t xml:space="preserve">自验收合格后第 </w:t>
      </w:r>
      <w:r>
        <w:rPr>
          <w:rFonts w:ascii="Times New Roman" w:hAnsi="Times New Roman" w:eastAsia="Times New Roman" w:cs="Times New Roman"/>
          <w:color w:val="auto"/>
          <w:spacing w:val="-5"/>
          <w:sz w:val="21"/>
          <w:szCs w:val="21"/>
          <w:highlight w:val="none"/>
        </w:rPr>
        <w:t>15</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5"/>
          <w:sz w:val="21"/>
          <w:szCs w:val="21"/>
          <w:highlight w:val="none"/>
        </w:rPr>
        <w:t>天起视为已</w:t>
      </w:r>
      <w:r>
        <w:rPr>
          <w:rFonts w:ascii="宋体" w:hAnsi="宋体" w:eastAsia="宋体" w:cs="宋体"/>
          <w:color w:val="auto"/>
          <w:spacing w:val="-6"/>
          <w:sz w:val="21"/>
          <w:szCs w:val="21"/>
          <w:highlight w:val="none"/>
        </w:rPr>
        <w:t>颁发工程接</w:t>
      </w:r>
    </w:p>
    <w:p w14:paraId="79948DD8">
      <w:pPr>
        <w:spacing w:line="219" w:lineRule="auto"/>
        <w:ind w:left="2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收证书。</w:t>
      </w:r>
    </w:p>
    <w:p w14:paraId="7C4044B3">
      <w:pPr>
        <w:spacing w:before="147" w:line="352" w:lineRule="auto"/>
        <w:ind w:left="18" w:right="11" w:firstLine="429"/>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）竣工验收不合格的，监理人应按照验收意见发出指示，要求承包人对不合</w:t>
      </w:r>
      <w:r>
        <w:rPr>
          <w:rFonts w:ascii="宋体" w:hAnsi="宋体" w:eastAsia="宋体" w:cs="宋体"/>
          <w:color w:val="auto"/>
          <w:spacing w:val="-1"/>
          <w:sz w:val="21"/>
          <w:szCs w:val="21"/>
          <w:highlight w:val="none"/>
        </w:rPr>
        <w:t>格工程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返工、修复或采取其他补救措施， 由此增加的费用和</w:t>
      </w:r>
      <w:r>
        <w:rPr>
          <w:rFonts w:ascii="宋体" w:hAnsi="宋体" w:eastAsia="宋体" w:cs="宋体"/>
          <w:color w:val="auto"/>
          <w:spacing w:val="-3"/>
          <w:sz w:val="21"/>
          <w:szCs w:val="21"/>
          <w:highlight w:val="none"/>
        </w:rPr>
        <w:t>（或） 延误的工期由承包人承担。承</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包人在完成不合格工程的返工、修复或采取其他补救措施后，应重新提交竣</w:t>
      </w:r>
      <w:r>
        <w:rPr>
          <w:rFonts w:ascii="宋体" w:hAnsi="宋体" w:eastAsia="宋体" w:cs="宋体"/>
          <w:color w:val="auto"/>
          <w:spacing w:val="2"/>
          <w:sz w:val="21"/>
          <w:szCs w:val="21"/>
          <w:highlight w:val="none"/>
        </w:rPr>
        <w:t>工验收申请报</w:t>
      </w:r>
    </w:p>
    <w:p w14:paraId="5FE4EAB7">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告，并按本项约定的程序重新进行验收。</w:t>
      </w:r>
    </w:p>
    <w:p w14:paraId="4933EE6E">
      <w:pPr>
        <w:spacing w:before="150" w:line="352" w:lineRule="auto"/>
        <w:ind w:left="18" w:right="1" w:firstLine="429"/>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）工程未经验收或验收不合格，发包人擅自</w:t>
      </w:r>
      <w:r>
        <w:rPr>
          <w:rFonts w:ascii="宋体" w:hAnsi="宋体" w:eastAsia="宋体" w:cs="宋体"/>
          <w:color w:val="auto"/>
          <w:spacing w:val="-1"/>
          <w:sz w:val="21"/>
          <w:szCs w:val="21"/>
          <w:highlight w:val="none"/>
        </w:rPr>
        <w:t>使用的，应在转移占有工程后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天内向</w:t>
      </w:r>
      <w:r>
        <w:rPr>
          <w:rFonts w:ascii="宋体" w:hAnsi="宋体" w:eastAsia="宋体" w:cs="宋体"/>
          <w:color w:val="auto"/>
          <w:sz w:val="21"/>
          <w:szCs w:val="21"/>
          <w:highlight w:val="none"/>
        </w:rPr>
        <w:t xml:space="preserve"> 承包人颁发工程接收证书；发包人无正当理由逾期不颁发工程接收证书的， 自转移占有后</w:t>
      </w:r>
    </w:p>
    <w:p w14:paraId="64DAC21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第</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15 </w:t>
      </w:r>
      <w:r>
        <w:rPr>
          <w:rFonts w:ascii="宋体" w:hAnsi="宋体" w:eastAsia="宋体" w:cs="宋体"/>
          <w:color w:val="auto"/>
          <w:spacing w:val="-4"/>
          <w:sz w:val="21"/>
          <w:szCs w:val="21"/>
          <w:highlight w:val="none"/>
        </w:rPr>
        <w:t>天起视为已颁发工程接收证书。</w:t>
      </w:r>
    </w:p>
    <w:p w14:paraId="0C7A3B84">
      <w:pPr>
        <w:spacing w:before="147" w:line="353" w:lineRule="auto"/>
        <w:ind w:left="22" w:right="6" w:firstLine="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除专用合同条款另有约定外，发包人不按照本项约定组织竣工</w:t>
      </w:r>
      <w:r>
        <w:rPr>
          <w:rFonts w:ascii="宋体" w:hAnsi="宋体" w:eastAsia="宋体" w:cs="宋体"/>
          <w:color w:val="auto"/>
          <w:spacing w:val="2"/>
          <w:sz w:val="21"/>
          <w:szCs w:val="21"/>
          <w:highlight w:val="none"/>
        </w:rPr>
        <w:t>验收、颁发工程接收证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书的， 每逾期一天，应以签约合同价为基数</w:t>
      </w:r>
      <w:r>
        <w:rPr>
          <w:rFonts w:ascii="宋体" w:hAnsi="宋体" w:eastAsia="宋体" w:cs="宋体"/>
          <w:color w:val="auto"/>
          <w:spacing w:val="-3"/>
          <w:sz w:val="21"/>
          <w:szCs w:val="21"/>
          <w:highlight w:val="none"/>
        </w:rPr>
        <w:t>， 按照中国人民银行发布的同期同类贷款基准</w:t>
      </w:r>
    </w:p>
    <w:p w14:paraId="32FFB09B">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利率支付违约金。</w:t>
      </w:r>
    </w:p>
    <w:p w14:paraId="00ECDC4D">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13.2.3 </w:t>
      </w:r>
      <w:r>
        <w:rPr>
          <w:rFonts w:ascii="宋体" w:hAnsi="宋体" w:eastAsia="宋体" w:cs="宋体"/>
          <w:color w:val="auto"/>
          <w:spacing w:val="-3"/>
          <w:sz w:val="21"/>
          <w:szCs w:val="21"/>
          <w:highlight w:val="none"/>
        </w:rPr>
        <w:t>竣工日期</w:t>
      </w:r>
    </w:p>
    <w:p w14:paraId="7E2CDD8C">
      <w:pPr>
        <w:spacing w:before="154" w:line="351" w:lineRule="auto"/>
        <w:ind w:left="20" w:right="5"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工程经竣工验收合格的，以承包人提交竣工验收申请报告之日为实际竣工日期， 并在</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 xml:space="preserve">工程接收证书中载明；因发包人原因，未在监理人收到承包人提交的竣工验收申请报告 </w:t>
      </w:r>
      <w:r>
        <w:rPr>
          <w:rFonts w:ascii="Times New Roman" w:hAnsi="Times New Roman" w:eastAsia="Times New Roman" w:cs="Times New Roman"/>
          <w:color w:val="auto"/>
          <w:sz w:val="21"/>
          <w:szCs w:val="21"/>
          <w:highlight w:val="none"/>
        </w:rPr>
        <w:t>42</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3"/>
          <w:sz w:val="21"/>
          <w:szCs w:val="21"/>
          <w:highlight w:val="none"/>
        </w:rPr>
        <w:t>天内完成竣工验收，或完成竣工验收不予签发工程接收证书的，以提交竣工验收</w:t>
      </w:r>
      <w:r>
        <w:rPr>
          <w:rFonts w:ascii="宋体" w:hAnsi="宋体" w:eastAsia="宋体" w:cs="宋体"/>
          <w:color w:val="auto"/>
          <w:spacing w:val="2"/>
          <w:sz w:val="21"/>
          <w:szCs w:val="21"/>
          <w:highlight w:val="none"/>
        </w:rPr>
        <w:t>申请报告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的日期为实际竣工日期；工程未经竣工验收， 发包</w:t>
      </w:r>
      <w:r>
        <w:rPr>
          <w:rFonts w:ascii="宋体" w:hAnsi="宋体" w:eastAsia="宋体" w:cs="宋体"/>
          <w:color w:val="auto"/>
          <w:spacing w:val="-4"/>
          <w:sz w:val="21"/>
          <w:szCs w:val="21"/>
          <w:highlight w:val="none"/>
        </w:rPr>
        <w:t>人擅自使用的，</w:t>
      </w:r>
      <w:r>
        <w:rPr>
          <w:rFonts w:ascii="宋体" w:hAnsi="宋体" w:eastAsia="宋体" w:cs="宋体"/>
          <w:color w:val="auto"/>
          <w:spacing w:val="36"/>
          <w:sz w:val="21"/>
          <w:szCs w:val="21"/>
          <w:highlight w:val="none"/>
        </w:rPr>
        <w:t xml:space="preserve"> </w:t>
      </w:r>
      <w:r>
        <w:rPr>
          <w:rFonts w:ascii="宋体" w:hAnsi="宋体" w:eastAsia="宋体" w:cs="宋体"/>
          <w:color w:val="auto"/>
          <w:spacing w:val="-4"/>
          <w:sz w:val="21"/>
          <w:szCs w:val="21"/>
          <w:highlight w:val="none"/>
        </w:rPr>
        <w:t>以转移占有工程之日为</w:t>
      </w:r>
    </w:p>
    <w:p w14:paraId="313BE402">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实际竣工日期。</w:t>
      </w:r>
    </w:p>
    <w:p w14:paraId="2E1CA89F">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13.2.4 </w:t>
      </w:r>
      <w:r>
        <w:rPr>
          <w:rFonts w:ascii="宋体" w:hAnsi="宋体" w:eastAsia="宋体" w:cs="宋体"/>
          <w:color w:val="auto"/>
          <w:spacing w:val="-2"/>
          <w:sz w:val="21"/>
          <w:szCs w:val="21"/>
          <w:highlight w:val="none"/>
        </w:rPr>
        <w:t>拒绝接收全部或部分工程</w:t>
      </w:r>
    </w:p>
    <w:p w14:paraId="5DE325D5">
      <w:pPr>
        <w:spacing w:before="151" w:line="352" w:lineRule="auto"/>
        <w:ind w:left="20" w:right="2"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对于竣工验收不合格的工程，承包人完成整改后，应当重新进行竣工验收， 经重新组</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织验收仍不合格的且无法采取措施补救的，则发包人可以拒绝接收不合</w:t>
      </w:r>
      <w:r>
        <w:rPr>
          <w:rFonts w:ascii="宋体" w:hAnsi="宋体" w:eastAsia="宋体" w:cs="宋体"/>
          <w:color w:val="auto"/>
          <w:spacing w:val="2"/>
          <w:sz w:val="21"/>
          <w:szCs w:val="21"/>
          <w:highlight w:val="none"/>
        </w:rPr>
        <w:t>格工程，因不合格</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工程导致其他工程不能正常使用的，承包人应采取措施确保相关工程的正常使用，</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由此增</w:t>
      </w:r>
    </w:p>
    <w:p w14:paraId="01A1792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加的费用和（或）延误的工期由承包人承担。</w:t>
      </w:r>
    </w:p>
    <w:p w14:paraId="18A92CA0">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13.2.5 </w:t>
      </w:r>
      <w:r>
        <w:rPr>
          <w:rFonts w:ascii="宋体" w:hAnsi="宋体" w:eastAsia="宋体" w:cs="宋体"/>
          <w:color w:val="auto"/>
          <w:spacing w:val="-2"/>
          <w:sz w:val="21"/>
          <w:szCs w:val="21"/>
          <w:highlight w:val="none"/>
        </w:rPr>
        <w:t>移交、接收全部与部分工程</w:t>
      </w:r>
    </w:p>
    <w:p w14:paraId="6F89C3A0">
      <w:pPr>
        <w:spacing w:before="148" w:line="403" w:lineRule="exact"/>
        <w:ind w:right="2"/>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除专用合同条款另有约定外，</w:t>
      </w:r>
      <w:r>
        <w:rPr>
          <w:rFonts w:ascii="宋体" w:hAnsi="宋体" w:eastAsia="宋体" w:cs="宋体"/>
          <w:color w:val="auto"/>
          <w:spacing w:val="57"/>
          <w:position w:val="14"/>
          <w:sz w:val="21"/>
          <w:szCs w:val="21"/>
          <w:highlight w:val="none"/>
        </w:rPr>
        <w:t xml:space="preserve"> </w:t>
      </w:r>
      <w:r>
        <w:rPr>
          <w:rFonts w:ascii="宋体" w:hAnsi="宋体" w:eastAsia="宋体" w:cs="宋体"/>
          <w:color w:val="auto"/>
          <w:spacing w:val="-4"/>
          <w:position w:val="14"/>
          <w:sz w:val="21"/>
          <w:szCs w:val="21"/>
          <w:highlight w:val="none"/>
        </w:rPr>
        <w:t xml:space="preserve">合同当事人应当在颁发工程接收证书后 </w:t>
      </w:r>
      <w:r>
        <w:rPr>
          <w:rFonts w:ascii="Times New Roman" w:hAnsi="Times New Roman" w:eastAsia="Times New Roman" w:cs="Times New Roman"/>
          <w:color w:val="auto"/>
          <w:spacing w:val="-4"/>
          <w:position w:val="14"/>
          <w:sz w:val="21"/>
          <w:szCs w:val="21"/>
          <w:highlight w:val="none"/>
        </w:rPr>
        <w:t xml:space="preserve">7  </w:t>
      </w:r>
      <w:r>
        <w:rPr>
          <w:rFonts w:ascii="宋体" w:hAnsi="宋体" w:eastAsia="宋体" w:cs="宋体"/>
          <w:color w:val="auto"/>
          <w:spacing w:val="-4"/>
          <w:position w:val="14"/>
          <w:sz w:val="21"/>
          <w:szCs w:val="21"/>
          <w:highlight w:val="none"/>
        </w:rPr>
        <w:t>天内完成</w:t>
      </w:r>
      <w:r>
        <w:rPr>
          <w:rFonts w:ascii="宋体" w:hAnsi="宋体" w:eastAsia="宋体" w:cs="宋体"/>
          <w:color w:val="auto"/>
          <w:spacing w:val="-5"/>
          <w:position w:val="14"/>
          <w:sz w:val="21"/>
          <w:szCs w:val="21"/>
          <w:highlight w:val="none"/>
        </w:rPr>
        <w:t>工程</w:t>
      </w:r>
    </w:p>
    <w:p w14:paraId="0E6E1890">
      <w:pPr>
        <w:spacing w:line="222" w:lineRule="auto"/>
        <w:ind w:left="3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的移交。</w:t>
      </w:r>
    </w:p>
    <w:p w14:paraId="1A1B77FE">
      <w:pPr>
        <w:spacing w:before="145" w:line="353" w:lineRule="auto"/>
        <w:ind w:left="35" w:right="2"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发包人无正当理由不接收工程的，发包人自应当接收工程之日起，承担工程照管、成 品保护、保管等与工程有关的各项费用，合</w:t>
      </w:r>
      <w:r>
        <w:rPr>
          <w:rFonts w:ascii="宋体" w:hAnsi="宋体" w:eastAsia="宋体" w:cs="宋体"/>
          <w:color w:val="auto"/>
          <w:spacing w:val="2"/>
          <w:sz w:val="21"/>
          <w:szCs w:val="21"/>
          <w:highlight w:val="none"/>
        </w:rPr>
        <w:t>同当事人可以在专用合同条款中另行约定发包</w:t>
      </w:r>
    </w:p>
    <w:p w14:paraId="2F929C3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人逾期接收工程的违约责任。</w:t>
      </w:r>
    </w:p>
    <w:p w14:paraId="3901CEED">
      <w:pPr>
        <w:spacing w:before="148" w:line="398" w:lineRule="exact"/>
        <w:ind w:right="3"/>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承包人无正当理由不移交工程的，承包人应承担工程照管、成品保护、保管等与工程</w:t>
      </w:r>
    </w:p>
    <w:p w14:paraId="1B588E1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有关的各项费用，合同当事人可以在专用合同条款中另行约定承</w:t>
      </w:r>
      <w:r>
        <w:rPr>
          <w:rFonts w:ascii="宋体" w:hAnsi="宋体" w:eastAsia="宋体" w:cs="宋体"/>
          <w:color w:val="auto"/>
          <w:spacing w:val="2"/>
          <w:sz w:val="21"/>
          <w:szCs w:val="21"/>
          <w:highlight w:val="none"/>
        </w:rPr>
        <w:t>包人无正当理由不移交工</w:t>
      </w:r>
    </w:p>
    <w:p w14:paraId="177AD304">
      <w:pPr>
        <w:spacing w:before="152" w:line="221"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程的违约责任。</w:t>
      </w:r>
    </w:p>
    <w:p w14:paraId="61440BE6">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13.3</w:t>
      </w:r>
      <w:r>
        <w:rPr>
          <w:rFonts w:ascii="黑体" w:hAnsi="黑体" w:eastAsia="黑体" w:cs="黑体"/>
          <w:color w:val="auto"/>
          <w:spacing w:val="-50"/>
          <w:sz w:val="24"/>
          <w:szCs w:val="24"/>
          <w:highlight w:val="none"/>
        </w:rPr>
        <w:t xml:space="preserve"> </w:t>
      </w:r>
      <w:r>
        <w:rPr>
          <w:rFonts w:ascii="黑体" w:hAnsi="黑体" w:eastAsia="黑体" w:cs="黑体"/>
          <w:color w:val="auto"/>
          <w:spacing w:val="-4"/>
          <w:sz w:val="24"/>
          <w:szCs w:val="24"/>
          <w:highlight w:val="none"/>
        </w:rPr>
        <w:t>工程试车</w:t>
      </w:r>
    </w:p>
    <w:p w14:paraId="4C9FB451">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13.3.1 </w:t>
      </w:r>
      <w:r>
        <w:rPr>
          <w:rFonts w:ascii="宋体" w:hAnsi="宋体" w:eastAsia="宋体" w:cs="宋体"/>
          <w:color w:val="auto"/>
          <w:spacing w:val="-3"/>
          <w:sz w:val="21"/>
          <w:szCs w:val="21"/>
          <w:highlight w:val="none"/>
        </w:rPr>
        <w:t>试车程序</w:t>
      </w:r>
    </w:p>
    <w:p w14:paraId="5CCD1CD2">
      <w:pPr>
        <w:spacing w:line="221" w:lineRule="auto"/>
        <w:rPr>
          <w:rFonts w:ascii="宋体" w:hAnsi="宋体" w:eastAsia="宋体" w:cs="宋体"/>
          <w:color w:val="auto"/>
          <w:sz w:val="21"/>
          <w:szCs w:val="21"/>
          <w:highlight w:val="none"/>
        </w:rPr>
        <w:sectPr>
          <w:footerReference r:id="rId138" w:type="default"/>
          <w:pgSz w:w="11905" w:h="16839"/>
          <w:pgMar w:top="1431" w:right="1785" w:bottom="1004" w:left="1785" w:header="0" w:footer="828" w:gutter="0"/>
          <w:pgNumType w:fmt="decimal"/>
          <w:cols w:space="720" w:num="1"/>
        </w:sectPr>
      </w:pPr>
    </w:p>
    <w:p w14:paraId="5ED8716C">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工程需要试车的， 除专用合同条款另有约定外，试车内容应与承包人承包范围相一致，</w:t>
      </w:r>
    </w:p>
    <w:p w14:paraId="4425628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试车费用由承包人承担。工程试车应按如下程序进行：</w:t>
      </w:r>
    </w:p>
    <w:p w14:paraId="1A36DA9C">
      <w:pPr>
        <w:spacing w:before="154" w:line="351" w:lineRule="auto"/>
        <w:ind w:left="18" w:right="171" w:firstLine="42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）具备单机无负荷试车条件，承包人组织试车，</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 xml:space="preserve">并在试车前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小时书面通知监理</w:t>
      </w:r>
      <w:r>
        <w:rPr>
          <w:rFonts w:ascii="宋体" w:hAnsi="宋体" w:eastAsia="宋体" w:cs="宋体"/>
          <w:color w:val="auto"/>
          <w:sz w:val="21"/>
          <w:szCs w:val="21"/>
          <w:highlight w:val="none"/>
        </w:rPr>
        <w:t xml:space="preserve"> 人，通知中应载明试车内容、时间、地点。承包人准备试车记录， 发包人根据承包人要求</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为试车提供必要条件。试车合格的，监理人在试车记录上签字。监理人在试</w:t>
      </w:r>
      <w:r>
        <w:rPr>
          <w:rFonts w:ascii="宋体" w:hAnsi="宋体" w:eastAsia="宋体" w:cs="宋体"/>
          <w:color w:val="auto"/>
          <w:spacing w:val="2"/>
          <w:sz w:val="21"/>
          <w:szCs w:val="21"/>
          <w:highlight w:val="none"/>
        </w:rPr>
        <w:t>车合格后不在</w:t>
      </w:r>
      <w:r>
        <w:rPr>
          <w:rFonts w:ascii="宋体" w:hAnsi="宋体" w:eastAsia="宋体" w:cs="宋体"/>
          <w:color w:val="auto"/>
          <w:sz w:val="21"/>
          <w:szCs w:val="21"/>
          <w:highlight w:val="none"/>
        </w:rPr>
        <w:t xml:space="preserve"> 试车记录上签字，自试车结束满</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z w:val="21"/>
          <w:szCs w:val="21"/>
          <w:highlight w:val="none"/>
        </w:rPr>
        <w:t>24</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z w:val="21"/>
          <w:szCs w:val="21"/>
          <w:highlight w:val="none"/>
        </w:rPr>
        <w:t>小时后视为监理人已</w:t>
      </w:r>
      <w:r>
        <w:rPr>
          <w:rFonts w:ascii="宋体" w:hAnsi="宋体" w:eastAsia="宋体" w:cs="宋体"/>
          <w:color w:val="auto"/>
          <w:spacing w:val="-1"/>
          <w:sz w:val="21"/>
          <w:szCs w:val="21"/>
          <w:highlight w:val="none"/>
        </w:rPr>
        <w:t>经认可试车记录，承包人可继续施</w:t>
      </w:r>
    </w:p>
    <w:p w14:paraId="265D49C8">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工或办理竣工验收手续。</w:t>
      </w:r>
    </w:p>
    <w:p w14:paraId="3A56C7B1">
      <w:pPr>
        <w:spacing w:before="148" w:line="352" w:lineRule="auto"/>
        <w:ind w:left="19" w:right="173"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监理人不能按时参加试车，应在试车前</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1"/>
          <w:sz w:val="21"/>
          <w:szCs w:val="21"/>
          <w:highlight w:val="none"/>
        </w:rPr>
        <w:t>小时以书面形式向承包人提出延期要求，但</w:t>
      </w:r>
      <w:r>
        <w:rPr>
          <w:rFonts w:ascii="宋体" w:hAnsi="宋体" w:eastAsia="宋体" w:cs="宋体"/>
          <w:color w:val="auto"/>
          <w:sz w:val="21"/>
          <w:szCs w:val="21"/>
          <w:highlight w:val="none"/>
        </w:rPr>
        <w:t xml:space="preserve"> 延期不能超过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小时，由此导致工期延误的，工期应予</w:t>
      </w:r>
      <w:r>
        <w:rPr>
          <w:rFonts w:ascii="宋体" w:hAnsi="宋体" w:eastAsia="宋体" w:cs="宋体"/>
          <w:color w:val="auto"/>
          <w:spacing w:val="-1"/>
          <w:sz w:val="21"/>
          <w:szCs w:val="21"/>
          <w:highlight w:val="none"/>
        </w:rPr>
        <w:t>以顺延。监理人未能在前述期限内</w:t>
      </w:r>
    </w:p>
    <w:p w14:paraId="6E6D5C2C">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提出延期要求，又不参加试车的，视为认可试车记录。</w:t>
      </w:r>
    </w:p>
    <w:p w14:paraId="16A6D799">
      <w:pPr>
        <w:spacing w:before="147" w:line="352" w:lineRule="auto"/>
        <w:ind w:left="20" w:right="171" w:firstLine="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）具备无负荷联动试车条件，发包人组织试车，</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 xml:space="preserve">并在试车前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小时以书面形式通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知承包人。通知中应载明试车内容、时间、地点和对承包人的要求，承</w:t>
      </w:r>
      <w:r>
        <w:rPr>
          <w:rFonts w:ascii="宋体" w:hAnsi="宋体" w:eastAsia="宋体" w:cs="宋体"/>
          <w:color w:val="auto"/>
          <w:spacing w:val="2"/>
          <w:sz w:val="21"/>
          <w:szCs w:val="21"/>
          <w:highlight w:val="none"/>
        </w:rPr>
        <w:t>包人按要求做好准</w:t>
      </w:r>
      <w:r>
        <w:rPr>
          <w:rFonts w:ascii="宋体" w:hAnsi="宋体" w:eastAsia="宋体" w:cs="宋体"/>
          <w:color w:val="auto"/>
          <w:sz w:val="21"/>
          <w:szCs w:val="21"/>
          <w:highlight w:val="none"/>
        </w:rPr>
        <w:t xml:space="preserve"> 备工作。试车合格，合同当事人在试车记录上签字。承包人无正当理由不参加试车的， 视</w:t>
      </w:r>
    </w:p>
    <w:p w14:paraId="4169675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为认可试车记录。</w:t>
      </w:r>
    </w:p>
    <w:p w14:paraId="48FFC294">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13.3.2 </w:t>
      </w:r>
      <w:r>
        <w:rPr>
          <w:rFonts w:ascii="宋体" w:hAnsi="宋体" w:eastAsia="宋体" w:cs="宋体"/>
          <w:color w:val="auto"/>
          <w:spacing w:val="-2"/>
          <w:sz w:val="21"/>
          <w:szCs w:val="21"/>
          <w:highlight w:val="none"/>
        </w:rPr>
        <w:t>试车中的责任</w:t>
      </w:r>
    </w:p>
    <w:p w14:paraId="403E4FE9">
      <w:pPr>
        <w:spacing w:before="147" w:line="352" w:lineRule="auto"/>
        <w:ind w:left="20" w:right="176" w:firstLine="43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因设计原因导致试车达不到验收要求，发包人应要求</w:t>
      </w:r>
      <w:r>
        <w:rPr>
          <w:rFonts w:ascii="宋体" w:hAnsi="宋体" w:eastAsia="宋体" w:cs="宋体"/>
          <w:color w:val="auto"/>
          <w:spacing w:val="2"/>
          <w:sz w:val="21"/>
          <w:szCs w:val="21"/>
          <w:highlight w:val="none"/>
        </w:rPr>
        <w:t>设计人修改设计，承包人按修改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后的设计重新安装。发包人承担修改设计、拆除及重新安装的全部费用，工期相应顺延。</w:t>
      </w:r>
      <w:r>
        <w:rPr>
          <w:rFonts w:ascii="宋体" w:hAnsi="宋体" w:eastAsia="宋体" w:cs="宋体"/>
          <w:color w:val="auto"/>
          <w:sz w:val="21"/>
          <w:szCs w:val="21"/>
          <w:highlight w:val="none"/>
        </w:rPr>
        <w:t xml:space="preserve"> 因承包人原因导致试车达不到验收要求， 承包人按监理人要求重新安装和试车，并承担重</w:t>
      </w:r>
    </w:p>
    <w:p w14:paraId="0A1414A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新安装和试车的费用，工期不予顺延。</w:t>
      </w:r>
    </w:p>
    <w:p w14:paraId="6C4C7C23">
      <w:pPr>
        <w:spacing w:before="146" w:line="353" w:lineRule="auto"/>
        <w:ind w:left="25" w:right="176" w:firstLine="4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因工程设备制造原因导致试车达不到验收要求的，由</w:t>
      </w:r>
      <w:r>
        <w:rPr>
          <w:rFonts w:ascii="宋体" w:hAnsi="宋体" w:eastAsia="宋体" w:cs="宋体"/>
          <w:color w:val="auto"/>
          <w:spacing w:val="2"/>
          <w:sz w:val="21"/>
          <w:szCs w:val="21"/>
          <w:highlight w:val="none"/>
        </w:rPr>
        <w:t>采购该工程设备的合同当事人负</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责重新购置或修理，承包人负责拆除和重新安装，由此增加</w:t>
      </w:r>
      <w:r>
        <w:rPr>
          <w:rFonts w:ascii="宋体" w:hAnsi="宋体" w:eastAsia="宋体" w:cs="宋体"/>
          <w:color w:val="auto"/>
          <w:spacing w:val="2"/>
          <w:sz w:val="21"/>
          <w:szCs w:val="21"/>
          <w:highlight w:val="none"/>
        </w:rPr>
        <w:t>的修理、重新购置、拆除及重</w:t>
      </w:r>
    </w:p>
    <w:p w14:paraId="0832C86B">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新安装的费用及延误的工期由采购该工程设备的合同</w:t>
      </w:r>
      <w:r>
        <w:rPr>
          <w:rFonts w:ascii="宋体" w:hAnsi="宋体" w:eastAsia="宋体" w:cs="宋体"/>
          <w:color w:val="auto"/>
          <w:spacing w:val="-1"/>
          <w:sz w:val="21"/>
          <w:szCs w:val="21"/>
          <w:highlight w:val="none"/>
        </w:rPr>
        <w:t>当事人承担。</w:t>
      </w:r>
    </w:p>
    <w:p w14:paraId="47452FBF">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13.3.3 </w:t>
      </w:r>
      <w:r>
        <w:rPr>
          <w:rFonts w:ascii="宋体" w:hAnsi="宋体" w:eastAsia="宋体" w:cs="宋体"/>
          <w:color w:val="auto"/>
          <w:spacing w:val="-2"/>
          <w:sz w:val="21"/>
          <w:szCs w:val="21"/>
          <w:highlight w:val="none"/>
        </w:rPr>
        <w:t>投料试车</w:t>
      </w:r>
    </w:p>
    <w:p w14:paraId="67846DF8">
      <w:pPr>
        <w:spacing w:before="151" w:line="351" w:lineRule="auto"/>
        <w:ind w:left="19" w:right="172"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如需进行投料试车的， 发包人应在工程竣工验收后组织投料试车。发包人要求在工程</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竣工验收前进行或需要承包人配合时，应征得承包人同意，并在专用合同条款中约</w:t>
      </w:r>
      <w:r>
        <w:rPr>
          <w:rFonts w:ascii="宋体" w:hAnsi="宋体" w:eastAsia="宋体" w:cs="宋体"/>
          <w:color w:val="auto"/>
          <w:spacing w:val="2"/>
          <w:sz w:val="21"/>
          <w:szCs w:val="21"/>
          <w:highlight w:val="none"/>
        </w:rPr>
        <w:t>定有关</w:t>
      </w:r>
    </w:p>
    <w:p w14:paraId="2B4C07EC">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事项。</w:t>
      </w:r>
    </w:p>
    <w:p w14:paraId="30D3FBB6">
      <w:pPr>
        <w:spacing w:before="151" w:line="398"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投料试车合格的，费用由发包人承担；因承包人原因造成投料试车不合格的，承包人</w:t>
      </w:r>
    </w:p>
    <w:p w14:paraId="5525FF1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应按照发包人要求进行整改，</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由此产生的整改费用由</w:t>
      </w:r>
      <w:r>
        <w:rPr>
          <w:rFonts w:ascii="宋体" w:hAnsi="宋体" w:eastAsia="宋体" w:cs="宋体"/>
          <w:color w:val="auto"/>
          <w:spacing w:val="-4"/>
          <w:sz w:val="21"/>
          <w:szCs w:val="21"/>
          <w:highlight w:val="none"/>
        </w:rPr>
        <w:t>承包人承担； 非因承包人原因导致投</w:t>
      </w:r>
    </w:p>
    <w:p w14:paraId="04D4E7D6">
      <w:pPr>
        <w:spacing w:before="147"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料试车不合格的， 如发包人要求承包人进行整改的，由此产生的费用由发包人承担。</w:t>
      </w:r>
    </w:p>
    <w:p w14:paraId="4A3ADC99">
      <w:pPr>
        <w:spacing w:before="51"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13.4</w:t>
      </w:r>
      <w:r>
        <w:rPr>
          <w:rFonts w:ascii="黑体" w:hAnsi="黑体" w:eastAsia="黑体" w:cs="黑体"/>
          <w:color w:val="auto"/>
          <w:spacing w:val="-54"/>
          <w:sz w:val="24"/>
          <w:szCs w:val="24"/>
          <w:highlight w:val="none"/>
        </w:rPr>
        <w:t xml:space="preserve"> </w:t>
      </w:r>
      <w:r>
        <w:rPr>
          <w:rFonts w:ascii="黑体" w:hAnsi="黑体" w:eastAsia="黑体" w:cs="黑体"/>
          <w:color w:val="auto"/>
          <w:spacing w:val="-2"/>
          <w:sz w:val="24"/>
          <w:szCs w:val="24"/>
          <w:highlight w:val="none"/>
        </w:rPr>
        <w:t>提前交付单位工程的验收</w:t>
      </w:r>
    </w:p>
    <w:p w14:paraId="7673863A">
      <w:pPr>
        <w:spacing w:before="130" w:line="350" w:lineRule="auto"/>
        <w:ind w:left="20" w:firstLine="43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13.4.1</w:t>
      </w:r>
      <w:r>
        <w:rPr>
          <w:rFonts w:ascii="Times New Roman" w:hAnsi="Times New Roman" w:eastAsia="Times New Roman" w:cs="Times New Roman"/>
          <w:color w:val="auto"/>
          <w:spacing w:val="52"/>
          <w:w w:val="101"/>
          <w:sz w:val="21"/>
          <w:szCs w:val="21"/>
          <w:highlight w:val="none"/>
        </w:rPr>
        <w:t xml:space="preserve"> </w:t>
      </w:r>
      <w:r>
        <w:rPr>
          <w:rFonts w:ascii="宋体" w:hAnsi="宋体" w:eastAsia="宋体" w:cs="宋体"/>
          <w:color w:val="auto"/>
          <w:spacing w:val="2"/>
          <w:sz w:val="21"/>
          <w:szCs w:val="21"/>
          <w:highlight w:val="none"/>
        </w:rPr>
        <w:t xml:space="preserve">发包人需要在工程竣工前使用单位工程的，或承包人提出提前交付已经竣工的  </w:t>
      </w:r>
      <w:r>
        <w:rPr>
          <w:rFonts w:ascii="宋体" w:hAnsi="宋体" w:eastAsia="宋体" w:cs="宋体"/>
          <w:color w:val="auto"/>
          <w:spacing w:val="-6"/>
          <w:sz w:val="21"/>
          <w:szCs w:val="21"/>
          <w:highlight w:val="none"/>
        </w:rPr>
        <w:t>单位工程且经发包人同意的， 可进行单位工程验收，</w:t>
      </w:r>
      <w:r>
        <w:rPr>
          <w:rFonts w:ascii="宋体" w:hAnsi="宋体" w:eastAsia="宋体" w:cs="宋体"/>
          <w:color w:val="auto"/>
          <w:spacing w:val="-10"/>
          <w:sz w:val="21"/>
          <w:szCs w:val="21"/>
          <w:highlight w:val="none"/>
        </w:rPr>
        <w:t xml:space="preserve"> </w:t>
      </w:r>
      <w:r>
        <w:rPr>
          <w:rFonts w:ascii="宋体" w:hAnsi="宋体" w:eastAsia="宋体" w:cs="宋体"/>
          <w:color w:val="auto"/>
          <w:spacing w:val="-6"/>
          <w:sz w:val="21"/>
          <w:szCs w:val="21"/>
          <w:highlight w:val="none"/>
        </w:rPr>
        <w:t xml:space="preserve">验收的程序按照第 </w:t>
      </w:r>
      <w:r>
        <w:rPr>
          <w:rFonts w:ascii="Times New Roman" w:hAnsi="Times New Roman" w:eastAsia="Times New Roman" w:cs="Times New Roman"/>
          <w:color w:val="auto"/>
          <w:spacing w:val="-6"/>
          <w:sz w:val="21"/>
          <w:szCs w:val="21"/>
          <w:highlight w:val="none"/>
        </w:rPr>
        <w:t xml:space="preserve">13.2  </w:t>
      </w:r>
      <w:r>
        <w:rPr>
          <w:rFonts w:ascii="宋体" w:hAnsi="宋体" w:eastAsia="宋体" w:cs="宋体"/>
          <w:color w:val="auto"/>
          <w:spacing w:val="-6"/>
          <w:sz w:val="21"/>
          <w:szCs w:val="21"/>
          <w:highlight w:val="none"/>
        </w:rPr>
        <w:t>款〔竣工验收〕</w:t>
      </w:r>
    </w:p>
    <w:p w14:paraId="0246165B">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的约定进行。</w:t>
      </w:r>
    </w:p>
    <w:p w14:paraId="2A9262D3">
      <w:pPr>
        <w:spacing w:before="152" w:line="398" w:lineRule="exact"/>
        <w:ind w:left="44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验收合格后，由监理人向承包人出具经发包人签认的单位工程接收证书。已签发单位</w:t>
      </w:r>
    </w:p>
    <w:p w14:paraId="67E65F72">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工程接收证书的单位工程由发包人负责照管。单位工程的验收成果和结</w:t>
      </w:r>
      <w:r>
        <w:rPr>
          <w:rFonts w:ascii="宋体" w:hAnsi="宋体" w:eastAsia="宋体" w:cs="宋体"/>
          <w:color w:val="auto"/>
          <w:spacing w:val="2"/>
          <w:sz w:val="21"/>
          <w:szCs w:val="21"/>
          <w:highlight w:val="none"/>
        </w:rPr>
        <w:t>论作为整体工程竣</w:t>
      </w:r>
    </w:p>
    <w:p w14:paraId="1D43DBC0">
      <w:pPr>
        <w:spacing w:line="219" w:lineRule="auto"/>
        <w:rPr>
          <w:rFonts w:ascii="宋体" w:hAnsi="宋体" w:eastAsia="宋体" w:cs="宋体"/>
          <w:color w:val="auto"/>
          <w:sz w:val="21"/>
          <w:szCs w:val="21"/>
          <w:highlight w:val="none"/>
        </w:rPr>
        <w:sectPr>
          <w:footerReference r:id="rId139" w:type="default"/>
          <w:pgSz w:w="11905" w:h="16839"/>
          <w:pgMar w:top="1431" w:right="1615" w:bottom="1004" w:left="1785" w:header="0" w:footer="829" w:gutter="0"/>
          <w:pgNumType w:fmt="decimal"/>
          <w:cols w:space="720" w:num="1"/>
        </w:sectPr>
      </w:pPr>
    </w:p>
    <w:p w14:paraId="48782B1D">
      <w:pPr>
        <w:spacing w:before="149"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工验收申请报告的附件。</w:t>
      </w:r>
    </w:p>
    <w:p w14:paraId="62E7BB99">
      <w:pPr>
        <w:spacing w:before="147" w:line="276" w:lineRule="auto"/>
        <w:ind w:left="20" w:firstLine="436"/>
        <w:jc w:val="both"/>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1"/>
          <w:szCs w:val="21"/>
          <w:highlight w:val="none"/>
        </w:rPr>
        <w:t>13.4.2</w:t>
      </w:r>
      <w:r>
        <w:rPr>
          <w:rFonts w:ascii="Times New Roman" w:hAnsi="Times New Roman" w:eastAsia="Times New Roman" w:cs="Times New Roman"/>
          <w:color w:val="auto"/>
          <w:spacing w:val="48"/>
          <w:w w:val="101"/>
          <w:sz w:val="21"/>
          <w:szCs w:val="21"/>
          <w:highlight w:val="none"/>
        </w:rPr>
        <w:t xml:space="preserve"> </w:t>
      </w:r>
      <w:r>
        <w:rPr>
          <w:rFonts w:ascii="宋体" w:hAnsi="宋体" w:eastAsia="宋体" w:cs="宋体"/>
          <w:color w:val="auto"/>
          <w:spacing w:val="1"/>
          <w:sz w:val="21"/>
          <w:szCs w:val="21"/>
          <w:highlight w:val="none"/>
        </w:rPr>
        <w:t>发包人要求在工程竣工前交付单位工程，</w:t>
      </w:r>
      <w:r>
        <w:rPr>
          <w:rFonts w:ascii="宋体" w:hAnsi="宋体" w:eastAsia="宋体" w:cs="宋体"/>
          <w:color w:val="auto"/>
          <w:spacing w:val="-61"/>
          <w:sz w:val="21"/>
          <w:szCs w:val="21"/>
          <w:highlight w:val="none"/>
        </w:rPr>
        <w:t xml:space="preserve"> </w:t>
      </w:r>
      <w:r>
        <w:rPr>
          <w:rFonts w:ascii="宋体" w:hAnsi="宋体" w:eastAsia="宋体" w:cs="宋体"/>
          <w:color w:val="auto"/>
          <w:spacing w:val="1"/>
          <w:sz w:val="21"/>
          <w:szCs w:val="21"/>
          <w:highlight w:val="none"/>
        </w:rPr>
        <w:t>由此导致承包人费用增加和（或）工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期延误的，由发包人承担由此增加的费用和（或）延误的工期，并支付承包人合理的利润。</w:t>
      </w:r>
      <w:r>
        <w:rPr>
          <w:rFonts w:ascii="宋体" w:hAnsi="宋体" w:eastAsia="宋体" w:cs="宋体"/>
          <w:color w:val="auto"/>
          <w:sz w:val="21"/>
          <w:szCs w:val="21"/>
          <w:highlight w:val="none"/>
        </w:rPr>
        <w:t xml:space="preserve"> </w:t>
      </w:r>
      <w:r>
        <w:rPr>
          <w:rFonts w:ascii="黑体" w:hAnsi="黑体" w:eastAsia="黑体" w:cs="黑体"/>
          <w:color w:val="auto"/>
          <w:spacing w:val="-1"/>
          <w:sz w:val="24"/>
          <w:szCs w:val="24"/>
          <w:highlight w:val="none"/>
        </w:rPr>
        <w:t>13.5 施工期运行</w:t>
      </w:r>
    </w:p>
    <w:p w14:paraId="0C887ACE">
      <w:pPr>
        <w:spacing w:before="129" w:line="39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13.5.1</w:t>
      </w:r>
      <w:r>
        <w:rPr>
          <w:rFonts w:ascii="Times New Roman" w:hAnsi="Times New Roman" w:eastAsia="Times New Roman" w:cs="Times New Roman"/>
          <w:color w:val="auto"/>
          <w:spacing w:val="36"/>
          <w:w w:val="101"/>
          <w:position w:val="14"/>
          <w:sz w:val="21"/>
          <w:szCs w:val="21"/>
          <w:highlight w:val="none"/>
        </w:rPr>
        <w:t xml:space="preserve"> </w:t>
      </w:r>
      <w:r>
        <w:rPr>
          <w:rFonts w:ascii="宋体" w:hAnsi="宋体" w:eastAsia="宋体" w:cs="宋体"/>
          <w:color w:val="auto"/>
          <w:spacing w:val="3"/>
          <w:position w:val="14"/>
          <w:sz w:val="21"/>
          <w:szCs w:val="21"/>
          <w:highlight w:val="none"/>
        </w:rPr>
        <w:t>施工期运行是指合同工程尚未全部竣工，其中某项</w:t>
      </w:r>
      <w:r>
        <w:rPr>
          <w:rFonts w:ascii="宋体" w:hAnsi="宋体" w:eastAsia="宋体" w:cs="宋体"/>
          <w:color w:val="auto"/>
          <w:spacing w:val="2"/>
          <w:position w:val="14"/>
          <w:sz w:val="21"/>
          <w:szCs w:val="21"/>
          <w:highlight w:val="none"/>
        </w:rPr>
        <w:t>或某几项单位工程或工程设</w:t>
      </w:r>
    </w:p>
    <w:p w14:paraId="0373971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备安装已竣工，根据专用合同条款约定，需要投入施工期运行的，经发包人按第 </w:t>
      </w:r>
      <w:r>
        <w:rPr>
          <w:rFonts w:ascii="Times New Roman" w:hAnsi="Times New Roman" w:eastAsia="Times New Roman" w:cs="Times New Roman"/>
          <w:color w:val="auto"/>
          <w:spacing w:val="4"/>
          <w:sz w:val="21"/>
          <w:szCs w:val="21"/>
          <w:highlight w:val="none"/>
        </w:rPr>
        <w:t xml:space="preserve">13.4  </w:t>
      </w:r>
      <w:r>
        <w:rPr>
          <w:rFonts w:ascii="宋体" w:hAnsi="宋体" w:eastAsia="宋体" w:cs="宋体"/>
          <w:color w:val="auto"/>
          <w:spacing w:val="4"/>
          <w:sz w:val="21"/>
          <w:szCs w:val="21"/>
          <w:highlight w:val="none"/>
        </w:rPr>
        <w:t>款</w:t>
      </w:r>
    </w:p>
    <w:p w14:paraId="7457D51D">
      <w:pPr>
        <w:spacing w:before="152" w:line="399" w:lineRule="exact"/>
        <w:ind w:left="42"/>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〔提前交付单位工程的验收〕的约定验收合格，证明能确保安全后，才能在施工期投入运</w:t>
      </w:r>
    </w:p>
    <w:p w14:paraId="25D93115">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行。</w:t>
      </w:r>
    </w:p>
    <w:p w14:paraId="06B37BA8">
      <w:pPr>
        <w:spacing w:before="14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13.5.2</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在施工期运行中发现工程或工程设备损坏或存在缺陷的，由承包人按第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15</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2"/>
          <w:sz w:val="21"/>
          <w:szCs w:val="21"/>
          <w:highlight w:val="none"/>
        </w:rPr>
        <w:t>款</w:t>
      </w:r>
    </w:p>
    <w:p w14:paraId="0A86AC1F">
      <w:pPr>
        <w:spacing w:before="152" w:line="221"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〔缺陷责任期〕约定进行修复。</w:t>
      </w:r>
    </w:p>
    <w:p w14:paraId="458E6758">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13.6 竣工退场</w:t>
      </w:r>
    </w:p>
    <w:p w14:paraId="43FF84B2">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13.6.1 </w:t>
      </w:r>
      <w:r>
        <w:rPr>
          <w:rFonts w:ascii="宋体" w:hAnsi="宋体" w:eastAsia="宋体" w:cs="宋体"/>
          <w:color w:val="auto"/>
          <w:spacing w:val="-2"/>
          <w:sz w:val="21"/>
          <w:szCs w:val="21"/>
          <w:highlight w:val="none"/>
        </w:rPr>
        <w:t>竣工退场</w:t>
      </w:r>
    </w:p>
    <w:p w14:paraId="21656052">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颁发工程接收证书后，承包人应按以下要求对施工现场</w:t>
      </w:r>
      <w:r>
        <w:rPr>
          <w:rFonts w:ascii="宋体" w:hAnsi="宋体" w:eastAsia="宋体" w:cs="宋体"/>
          <w:color w:val="auto"/>
          <w:spacing w:val="-1"/>
          <w:position w:val="14"/>
          <w:sz w:val="21"/>
          <w:szCs w:val="21"/>
          <w:highlight w:val="none"/>
        </w:rPr>
        <w:t>进行清理：</w:t>
      </w:r>
    </w:p>
    <w:p w14:paraId="5BE060F1">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）施工现场内残留的垃圾已全部清除出</w:t>
      </w:r>
      <w:r>
        <w:rPr>
          <w:rFonts w:ascii="宋体" w:hAnsi="宋体" w:eastAsia="宋体" w:cs="宋体"/>
          <w:color w:val="auto"/>
          <w:spacing w:val="-3"/>
          <w:sz w:val="21"/>
          <w:szCs w:val="21"/>
          <w:highlight w:val="none"/>
        </w:rPr>
        <w:t>场；</w:t>
      </w:r>
    </w:p>
    <w:p w14:paraId="697D7395">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）临时工程已拆除，场地已进行清理、平整或复原；</w:t>
      </w:r>
    </w:p>
    <w:p w14:paraId="5550E442">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）按合同约定应撤离的人员、承包人施工设备和剩余的材料，包括废弃的</w:t>
      </w:r>
      <w:r>
        <w:rPr>
          <w:rFonts w:ascii="宋体" w:hAnsi="宋体" w:eastAsia="宋体" w:cs="宋体"/>
          <w:color w:val="auto"/>
          <w:spacing w:val="-1"/>
          <w:position w:val="14"/>
          <w:sz w:val="21"/>
          <w:szCs w:val="21"/>
          <w:highlight w:val="none"/>
        </w:rPr>
        <w:t>施工设备</w:t>
      </w:r>
    </w:p>
    <w:p w14:paraId="4215143E">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和材料，已按计划撤离施工现场；</w:t>
      </w:r>
    </w:p>
    <w:p w14:paraId="5345D9C4">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宋体" w:hAnsi="宋体" w:eastAsia="宋体" w:cs="宋体"/>
          <w:color w:val="auto"/>
          <w:spacing w:val="-2"/>
          <w:position w:val="14"/>
          <w:sz w:val="21"/>
          <w:szCs w:val="21"/>
          <w:highlight w:val="none"/>
        </w:rPr>
        <w:t>）施工现场周边及其附近道路、河道的施工堆积物，已全部清理；</w:t>
      </w:r>
    </w:p>
    <w:p w14:paraId="54BD7074">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）施工现场其他场地清理工作已全部完成。</w:t>
      </w:r>
    </w:p>
    <w:p w14:paraId="397273E7">
      <w:pPr>
        <w:spacing w:before="147" w:line="353" w:lineRule="auto"/>
        <w:ind w:left="19" w:right="174"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施工现场的竣工退场费用由承包人承担。承包人应在专用合同条款约定的期限内完成 </w:t>
      </w:r>
      <w:r>
        <w:rPr>
          <w:rFonts w:ascii="宋体" w:hAnsi="宋体" w:eastAsia="宋体" w:cs="宋体"/>
          <w:color w:val="auto"/>
          <w:sz w:val="21"/>
          <w:szCs w:val="21"/>
          <w:highlight w:val="none"/>
        </w:rPr>
        <w:t>竣工退场，逾期未完成的，发包人有权出售或另行处理承包人遗留的物品， 由此支出的费</w:t>
      </w:r>
    </w:p>
    <w:p w14:paraId="16C725F2">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用由承包人承担，发包人出售承包人遗留物品所得款项在扣除必要费用后应返还承包人。</w:t>
      </w:r>
    </w:p>
    <w:p w14:paraId="2BC373E0">
      <w:pPr>
        <w:spacing w:before="148" w:line="222"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13.6.2 </w:t>
      </w:r>
      <w:r>
        <w:rPr>
          <w:rFonts w:ascii="宋体" w:hAnsi="宋体" w:eastAsia="宋体" w:cs="宋体"/>
          <w:color w:val="auto"/>
          <w:spacing w:val="-2"/>
          <w:sz w:val="21"/>
          <w:szCs w:val="21"/>
          <w:highlight w:val="none"/>
        </w:rPr>
        <w:t>地表还原</w:t>
      </w:r>
    </w:p>
    <w:p w14:paraId="01178F13">
      <w:pPr>
        <w:spacing w:before="149" w:line="351" w:lineRule="auto"/>
        <w:ind w:left="52" w:right="174" w:firstLine="38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承包人应按发包人要求恢复临时占地及清理场地，承包人未按发包人的要求恢复临时 </w:t>
      </w:r>
      <w:r>
        <w:rPr>
          <w:rFonts w:ascii="宋体" w:hAnsi="宋体" w:eastAsia="宋体" w:cs="宋体"/>
          <w:color w:val="auto"/>
          <w:spacing w:val="-6"/>
          <w:sz w:val="21"/>
          <w:szCs w:val="21"/>
          <w:highlight w:val="none"/>
        </w:rPr>
        <w:t>占地， 或者场地清理未达到合同约定要求的， 发包人有权委托其他人恢复或清理， 所发生</w:t>
      </w:r>
    </w:p>
    <w:p w14:paraId="524C1846">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的费用由承包人承担。</w:t>
      </w:r>
    </w:p>
    <w:p w14:paraId="0D726F19">
      <w:pPr>
        <w:spacing w:before="177" w:line="526" w:lineRule="exact"/>
        <w:ind w:left="39"/>
        <w:rPr>
          <w:rFonts w:ascii="黑体" w:hAnsi="黑体" w:eastAsia="黑体" w:cs="黑体"/>
          <w:color w:val="auto"/>
          <w:sz w:val="32"/>
          <w:szCs w:val="32"/>
          <w:highlight w:val="none"/>
        </w:rPr>
      </w:pPr>
      <w:r>
        <w:rPr>
          <w:rFonts w:ascii="黑体" w:hAnsi="黑体" w:eastAsia="黑体" w:cs="黑体"/>
          <w:color w:val="auto"/>
          <w:spacing w:val="-4"/>
          <w:position w:val="15"/>
          <w:sz w:val="32"/>
          <w:szCs w:val="32"/>
          <w:highlight w:val="none"/>
        </w:rPr>
        <w:t>14.竣工结算</w:t>
      </w:r>
    </w:p>
    <w:p w14:paraId="07F7F57E">
      <w:pPr>
        <w:spacing w:before="1"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14.1 竣工结算申请</w:t>
      </w:r>
    </w:p>
    <w:p w14:paraId="567F9792">
      <w:pPr>
        <w:spacing w:before="129" w:line="353" w:lineRule="auto"/>
        <w:ind w:left="20" w:right="169" w:firstLine="433"/>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承包人应在工程竣工验收合格后</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4"/>
          <w:sz w:val="21"/>
          <w:szCs w:val="21"/>
          <w:highlight w:val="none"/>
        </w:rPr>
        <w:t>28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4"/>
          <w:sz w:val="21"/>
          <w:szCs w:val="21"/>
          <w:highlight w:val="none"/>
        </w:rPr>
        <w:t>天内向发包人和监理</w:t>
      </w:r>
      <w:r>
        <w:rPr>
          <w:rFonts w:ascii="宋体" w:hAnsi="宋体" w:eastAsia="宋体" w:cs="宋体"/>
          <w:color w:val="auto"/>
          <w:sz w:val="21"/>
          <w:szCs w:val="21"/>
          <w:highlight w:val="none"/>
        </w:rPr>
        <w:t xml:space="preserve"> 人提交竣工结算申请单，并提交完整的结算资料， 有关竣工结算申请单的资料清单和份数</w:t>
      </w:r>
    </w:p>
    <w:p w14:paraId="399E5BD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等要求由合同当事人在专用合同条款中约定。</w:t>
      </w:r>
    </w:p>
    <w:p w14:paraId="19D5F2C0">
      <w:pPr>
        <w:spacing w:before="148" w:line="398" w:lineRule="exact"/>
        <w:ind w:left="453"/>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除专用合同条款另有约定外， 竣工结算申请单应包括以下内容：</w:t>
      </w:r>
    </w:p>
    <w:p w14:paraId="5455890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）竣工结算合同价格；</w:t>
      </w:r>
    </w:p>
    <w:p w14:paraId="091433EA">
      <w:pPr>
        <w:spacing w:before="154"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）发包人已支付承包人的款项；</w:t>
      </w:r>
    </w:p>
    <w:p w14:paraId="3DA47751">
      <w:pPr>
        <w:spacing w:line="221" w:lineRule="auto"/>
        <w:rPr>
          <w:rFonts w:ascii="宋体" w:hAnsi="宋体" w:eastAsia="宋体" w:cs="宋体"/>
          <w:color w:val="auto"/>
          <w:sz w:val="21"/>
          <w:szCs w:val="21"/>
          <w:highlight w:val="none"/>
        </w:rPr>
        <w:sectPr>
          <w:footerReference r:id="rId140" w:type="default"/>
          <w:pgSz w:w="11905" w:h="16839"/>
          <w:pgMar w:top="1431" w:right="1617" w:bottom="1004" w:left="1785" w:header="0" w:footer="829" w:gutter="0"/>
          <w:pgNumType w:fmt="decimal"/>
          <w:cols w:space="720" w:num="1"/>
        </w:sectPr>
      </w:pPr>
    </w:p>
    <w:p w14:paraId="2698C5AF">
      <w:pPr>
        <w:spacing w:before="149" w:line="220" w:lineRule="auto"/>
        <w:jc w:val="right"/>
        <w:rPr>
          <w:rFonts w:ascii="宋体" w:hAnsi="宋体" w:eastAsia="宋体" w:cs="宋体"/>
          <w:color w:val="auto"/>
          <w:sz w:val="21"/>
          <w:szCs w:val="21"/>
          <w:highlight w:val="none"/>
        </w:rPr>
      </w:pPr>
      <w:bookmarkStart w:id="199" w:name="bookmark227"/>
      <w:bookmarkEnd w:id="199"/>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）应扣留的质量保证金。已缴纳履约保证金的或提供其他工程质量担</w:t>
      </w:r>
      <w:r>
        <w:rPr>
          <w:rFonts w:ascii="宋体" w:hAnsi="宋体" w:eastAsia="宋体" w:cs="宋体"/>
          <w:color w:val="auto"/>
          <w:spacing w:val="-2"/>
          <w:sz w:val="21"/>
          <w:szCs w:val="21"/>
          <w:highlight w:val="none"/>
        </w:rPr>
        <w:t>保方式的除外；</w:t>
      </w:r>
    </w:p>
    <w:p w14:paraId="6D2181B3">
      <w:pPr>
        <w:spacing w:before="148"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）发包人应支付承包人的合同价款。</w:t>
      </w:r>
    </w:p>
    <w:p w14:paraId="48C55B60">
      <w:pPr>
        <w:spacing w:before="52"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14.2 竣工结算审核</w:t>
      </w:r>
    </w:p>
    <w:p w14:paraId="6BB1EB94">
      <w:pPr>
        <w:spacing w:before="132" w:line="351" w:lineRule="auto"/>
        <w:ind w:left="17" w:right="158" w:firstLine="43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）除专用合同条款另有约定外，监理人应在收到竣</w:t>
      </w:r>
      <w:r>
        <w:rPr>
          <w:rFonts w:ascii="宋体" w:hAnsi="宋体" w:eastAsia="宋体" w:cs="宋体"/>
          <w:color w:val="auto"/>
          <w:spacing w:val="-1"/>
          <w:sz w:val="21"/>
          <w:szCs w:val="21"/>
          <w:highlight w:val="none"/>
        </w:rPr>
        <w:t>工结算申请单后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1"/>
          <w:sz w:val="21"/>
          <w:szCs w:val="21"/>
          <w:highlight w:val="none"/>
        </w:rPr>
        <w:t>天内完成核</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查并报送发包人。发包人应在收到监理人提交的经审核的竣工结算申请单后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天内完成审</w:t>
      </w:r>
      <w:r>
        <w:rPr>
          <w:rFonts w:ascii="宋体" w:hAnsi="宋体" w:eastAsia="宋体" w:cs="宋体"/>
          <w:color w:val="auto"/>
          <w:spacing w:val="3"/>
          <w:sz w:val="21"/>
          <w:szCs w:val="21"/>
          <w:highlight w:val="none"/>
        </w:rPr>
        <w:t xml:space="preserve"> 批，并由监理人向承包人签发经发包人签认的竣工付款证书。监理人或发包人对</w:t>
      </w:r>
      <w:r>
        <w:rPr>
          <w:rFonts w:ascii="宋体" w:hAnsi="宋体" w:eastAsia="宋体" w:cs="宋体"/>
          <w:color w:val="auto"/>
          <w:spacing w:val="2"/>
          <w:sz w:val="21"/>
          <w:szCs w:val="21"/>
          <w:highlight w:val="none"/>
        </w:rPr>
        <w:t>竣工结算</w:t>
      </w:r>
      <w:r>
        <w:rPr>
          <w:rFonts w:ascii="宋体" w:hAnsi="宋体" w:eastAsia="宋体" w:cs="宋体"/>
          <w:color w:val="auto"/>
          <w:sz w:val="21"/>
          <w:szCs w:val="21"/>
          <w:highlight w:val="none"/>
        </w:rPr>
        <w:t xml:space="preserve"> 申请单有异议的， 有权要求承包人进行修正和提供补充资料，承包人应提交修正后的竣工</w:t>
      </w:r>
    </w:p>
    <w:p w14:paraId="4065A000">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结算申请单。</w:t>
      </w:r>
    </w:p>
    <w:p w14:paraId="146E77AB">
      <w:pPr>
        <w:spacing w:before="148" w:line="352" w:lineRule="auto"/>
        <w:ind w:left="21" w:right="158"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发包人在收到承包人提交竣工结算申请书后</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天内未完成审批</w:t>
      </w:r>
      <w:r>
        <w:rPr>
          <w:rFonts w:ascii="宋体" w:hAnsi="宋体" w:eastAsia="宋体" w:cs="宋体"/>
          <w:color w:val="auto"/>
          <w:spacing w:val="-4"/>
          <w:sz w:val="21"/>
          <w:szCs w:val="21"/>
          <w:highlight w:val="none"/>
        </w:rPr>
        <w:t>且未提出异议的， 视为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发包人认可承包人提交的竣工结算申请单，并自发包人收到承包人提</w:t>
      </w:r>
      <w:r>
        <w:rPr>
          <w:rFonts w:ascii="宋体" w:hAnsi="宋体" w:eastAsia="宋体" w:cs="宋体"/>
          <w:color w:val="auto"/>
          <w:spacing w:val="2"/>
          <w:sz w:val="21"/>
          <w:szCs w:val="21"/>
          <w:highlight w:val="none"/>
        </w:rPr>
        <w:t>交的竣工结算申请单</w:t>
      </w:r>
    </w:p>
    <w:p w14:paraId="08AA2C5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后第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29 </w:t>
      </w:r>
      <w:r>
        <w:rPr>
          <w:rFonts w:ascii="宋体" w:hAnsi="宋体" w:eastAsia="宋体" w:cs="宋体"/>
          <w:color w:val="auto"/>
          <w:spacing w:val="-2"/>
          <w:sz w:val="21"/>
          <w:szCs w:val="21"/>
          <w:highlight w:val="none"/>
        </w:rPr>
        <w:t>天起视为已签发竣工付款证书。</w:t>
      </w:r>
    </w:p>
    <w:p w14:paraId="0AF31B47">
      <w:pPr>
        <w:spacing w:before="148" w:line="352" w:lineRule="auto"/>
        <w:ind w:left="17" w:right="160" w:firstLine="430"/>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）除专用合同条款另有约定外，发包人应在签发竣工付款证书后的</w:t>
      </w:r>
      <w:r>
        <w:rPr>
          <w:rFonts w:ascii="宋体" w:hAnsi="宋体" w:eastAsia="宋体" w:cs="宋体"/>
          <w:color w:val="auto"/>
          <w:spacing w:val="56"/>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37"/>
          <w:w w:val="101"/>
          <w:sz w:val="21"/>
          <w:szCs w:val="21"/>
          <w:highlight w:val="none"/>
        </w:rPr>
        <w:t xml:space="preserve"> </w:t>
      </w:r>
      <w:r>
        <w:rPr>
          <w:rFonts w:ascii="宋体" w:hAnsi="宋体" w:eastAsia="宋体" w:cs="宋体"/>
          <w:color w:val="auto"/>
          <w:spacing w:val="-1"/>
          <w:sz w:val="21"/>
          <w:szCs w:val="21"/>
          <w:highlight w:val="none"/>
        </w:rPr>
        <w:t>天内，完成</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对承包人的竣工付款。发包人逾期支付的，按照中国人民银行发布的同期同类</w:t>
      </w:r>
      <w:r>
        <w:rPr>
          <w:rFonts w:ascii="宋体" w:hAnsi="宋体" w:eastAsia="宋体" w:cs="宋体"/>
          <w:color w:val="auto"/>
          <w:spacing w:val="2"/>
          <w:sz w:val="21"/>
          <w:szCs w:val="21"/>
          <w:highlight w:val="none"/>
        </w:rPr>
        <w:t>贷款基准利</w:t>
      </w:r>
      <w:r>
        <w:rPr>
          <w:rFonts w:ascii="宋体" w:hAnsi="宋体" w:eastAsia="宋体" w:cs="宋体"/>
          <w:color w:val="auto"/>
          <w:sz w:val="21"/>
          <w:szCs w:val="21"/>
          <w:highlight w:val="none"/>
        </w:rPr>
        <w:t xml:space="preserve"> 率支付违约金；逾期支付超过</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z w:val="21"/>
          <w:szCs w:val="21"/>
          <w:highlight w:val="none"/>
        </w:rPr>
        <w:t xml:space="preserve">56 </w:t>
      </w:r>
      <w:r>
        <w:rPr>
          <w:rFonts w:ascii="宋体" w:hAnsi="宋体" w:eastAsia="宋体" w:cs="宋体"/>
          <w:color w:val="auto"/>
          <w:sz w:val="21"/>
          <w:szCs w:val="21"/>
          <w:highlight w:val="none"/>
        </w:rPr>
        <w:t>天的，按照中国人民银行发布的</w:t>
      </w:r>
      <w:r>
        <w:rPr>
          <w:rFonts w:ascii="宋体" w:hAnsi="宋体" w:eastAsia="宋体" w:cs="宋体"/>
          <w:color w:val="auto"/>
          <w:spacing w:val="-1"/>
          <w:sz w:val="21"/>
          <w:szCs w:val="21"/>
          <w:highlight w:val="none"/>
        </w:rPr>
        <w:t>同期同类贷款基准利率的</w:t>
      </w:r>
    </w:p>
    <w:p w14:paraId="4191FA32">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两倍支付违约金。</w:t>
      </w:r>
    </w:p>
    <w:p w14:paraId="3F2618C4">
      <w:pPr>
        <w:spacing w:before="152" w:line="352" w:lineRule="auto"/>
        <w:ind w:left="17" w:right="159" w:firstLine="43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）承包人对发包人签认的竣工付款证书有异议的，对于有异议部分应在收到发包人</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 xml:space="preserve">签认的竣工付款证书后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天内提出异议，并由合同当事人按照专用合同条款约定的方式和</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程序进行复核，或按照第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宋体" w:hAnsi="宋体" w:eastAsia="宋体" w:cs="宋体"/>
          <w:color w:val="auto"/>
          <w:sz w:val="21"/>
          <w:szCs w:val="21"/>
          <w:highlight w:val="none"/>
        </w:rPr>
        <w:t>条〔争议解决〕约定处理。对于无异议部分，发包人应</w:t>
      </w:r>
      <w:r>
        <w:rPr>
          <w:rFonts w:ascii="宋体" w:hAnsi="宋体" w:eastAsia="宋体" w:cs="宋体"/>
          <w:color w:val="auto"/>
          <w:spacing w:val="-1"/>
          <w:sz w:val="21"/>
          <w:szCs w:val="21"/>
          <w:highlight w:val="none"/>
        </w:rPr>
        <w:t>签发临</w:t>
      </w:r>
    </w:p>
    <w:p w14:paraId="0CEFF0B9">
      <w:pPr>
        <w:spacing w:before="1" w:line="219" w:lineRule="auto"/>
        <w:ind w:left="28"/>
        <w:rPr>
          <w:rFonts w:ascii="宋体" w:hAnsi="宋体" w:eastAsia="宋体" w:cs="宋体"/>
          <w:color w:val="auto"/>
          <w:sz w:val="21"/>
          <w:szCs w:val="21"/>
          <w:highlight w:val="none"/>
        </w:rPr>
      </w:pPr>
      <w:r>
        <w:rPr>
          <w:rFonts w:ascii="宋体" w:hAnsi="宋体" w:eastAsia="宋体" w:cs="宋体"/>
          <w:color w:val="auto"/>
          <w:sz w:val="21"/>
          <w:szCs w:val="21"/>
          <w:highlight w:val="none"/>
        </w:rPr>
        <w:t>时竣工付款证书，并按本款第（</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）项完成付款。承包人逾期未提出异议的，视为认可发包</w:t>
      </w:r>
    </w:p>
    <w:p w14:paraId="43755E0E">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人的审批结果。</w:t>
      </w:r>
    </w:p>
    <w:p w14:paraId="3B195A47">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14.3 甩项竣工协议</w:t>
      </w:r>
    </w:p>
    <w:p w14:paraId="50A58F92">
      <w:pPr>
        <w:spacing w:before="130"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发包人要求甩项竣工的，合同当事人应签订甩项竣工协议。</w:t>
      </w:r>
      <w:r>
        <w:rPr>
          <w:rFonts w:ascii="宋体" w:hAnsi="宋体" w:eastAsia="宋体" w:cs="宋体"/>
          <w:color w:val="auto"/>
          <w:spacing w:val="1"/>
          <w:position w:val="14"/>
          <w:sz w:val="21"/>
          <w:szCs w:val="21"/>
          <w:highlight w:val="none"/>
        </w:rPr>
        <w:t>在甩项竣工协议中应明确，</w:t>
      </w:r>
    </w:p>
    <w:p w14:paraId="62CE60AE">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合同当事人按照第 </w:t>
      </w:r>
      <w:r>
        <w:rPr>
          <w:rFonts w:ascii="Times New Roman" w:hAnsi="Times New Roman" w:eastAsia="Times New Roman" w:cs="Times New Roman"/>
          <w:color w:val="auto"/>
          <w:spacing w:val="-4"/>
          <w:sz w:val="21"/>
          <w:szCs w:val="21"/>
          <w:highlight w:val="none"/>
        </w:rPr>
        <w:t xml:space="preserve">14.1 </w:t>
      </w:r>
      <w:r>
        <w:rPr>
          <w:rFonts w:ascii="宋体" w:hAnsi="宋体" w:eastAsia="宋体" w:cs="宋体"/>
          <w:color w:val="auto"/>
          <w:spacing w:val="-4"/>
          <w:sz w:val="21"/>
          <w:szCs w:val="21"/>
          <w:highlight w:val="none"/>
        </w:rPr>
        <w:t xml:space="preserve">款〔竣工结算申请〕及 </w:t>
      </w:r>
      <w:r>
        <w:rPr>
          <w:rFonts w:ascii="Times New Roman" w:hAnsi="Times New Roman" w:eastAsia="Times New Roman" w:cs="Times New Roman"/>
          <w:color w:val="auto"/>
          <w:spacing w:val="-4"/>
          <w:sz w:val="21"/>
          <w:szCs w:val="21"/>
          <w:highlight w:val="none"/>
        </w:rPr>
        <w:t xml:space="preserve">14.2 </w:t>
      </w:r>
      <w:r>
        <w:rPr>
          <w:rFonts w:ascii="宋体" w:hAnsi="宋体" w:eastAsia="宋体" w:cs="宋体"/>
          <w:color w:val="auto"/>
          <w:spacing w:val="-4"/>
          <w:sz w:val="21"/>
          <w:szCs w:val="21"/>
          <w:highlight w:val="none"/>
        </w:rPr>
        <w:t>款〔竣工结算审核〕的约定， 对已</w:t>
      </w:r>
      <w:r>
        <w:rPr>
          <w:rFonts w:ascii="宋体" w:hAnsi="宋体" w:eastAsia="宋体" w:cs="宋体"/>
          <w:color w:val="auto"/>
          <w:spacing w:val="-5"/>
          <w:sz w:val="21"/>
          <w:szCs w:val="21"/>
          <w:highlight w:val="none"/>
        </w:rPr>
        <w:t>完合</w:t>
      </w:r>
    </w:p>
    <w:p w14:paraId="220B242F">
      <w:pPr>
        <w:spacing w:before="153"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格工程进行结算，并支付相应合同价款。</w:t>
      </w:r>
    </w:p>
    <w:p w14:paraId="454B8DC2">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14.4</w:t>
      </w:r>
      <w:r>
        <w:rPr>
          <w:rFonts w:ascii="黑体" w:hAnsi="黑体" w:eastAsia="黑体" w:cs="黑体"/>
          <w:color w:val="auto"/>
          <w:spacing w:val="21"/>
          <w:sz w:val="24"/>
          <w:szCs w:val="24"/>
          <w:highlight w:val="none"/>
        </w:rPr>
        <w:t xml:space="preserve"> </w:t>
      </w:r>
      <w:r>
        <w:rPr>
          <w:rFonts w:ascii="黑体" w:hAnsi="黑体" w:eastAsia="黑体" w:cs="黑体"/>
          <w:color w:val="auto"/>
          <w:spacing w:val="-5"/>
          <w:sz w:val="24"/>
          <w:szCs w:val="24"/>
          <w:highlight w:val="none"/>
        </w:rPr>
        <w:t>最终结清</w:t>
      </w:r>
    </w:p>
    <w:p w14:paraId="371E8152">
      <w:pPr>
        <w:spacing w:before="12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14.4.1 </w:t>
      </w:r>
      <w:r>
        <w:rPr>
          <w:rFonts w:ascii="宋体" w:hAnsi="宋体" w:eastAsia="宋体" w:cs="宋体"/>
          <w:color w:val="auto"/>
          <w:spacing w:val="-2"/>
          <w:sz w:val="21"/>
          <w:szCs w:val="21"/>
          <w:highlight w:val="none"/>
        </w:rPr>
        <w:t>最终结清申请单</w:t>
      </w:r>
    </w:p>
    <w:p w14:paraId="20DD1E8C">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）除专用合同条款另有约定外，承包人应在缺陷</w:t>
      </w:r>
      <w:r>
        <w:rPr>
          <w:rFonts w:ascii="宋体" w:hAnsi="宋体" w:eastAsia="宋体" w:cs="宋体"/>
          <w:color w:val="auto"/>
          <w:spacing w:val="-1"/>
          <w:sz w:val="21"/>
          <w:szCs w:val="21"/>
          <w:highlight w:val="none"/>
        </w:rPr>
        <w:t>责任期终止证书颁发后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天内，按</w:t>
      </w:r>
    </w:p>
    <w:p w14:paraId="570CEFE2">
      <w:pPr>
        <w:spacing w:before="153"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专用合同条款约定的份数向发包人提交最终结清申请单，并提供相关证明材料。</w:t>
      </w:r>
    </w:p>
    <w:p w14:paraId="0B63C5B2">
      <w:pPr>
        <w:spacing w:before="148" w:line="399"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除专用合同条款另有约定外，最终结清申请单应列明质量保证</w:t>
      </w:r>
      <w:r>
        <w:rPr>
          <w:rFonts w:ascii="宋体" w:hAnsi="宋体" w:eastAsia="宋体" w:cs="宋体"/>
          <w:color w:val="auto"/>
          <w:spacing w:val="2"/>
          <w:position w:val="14"/>
          <w:sz w:val="21"/>
          <w:szCs w:val="21"/>
          <w:highlight w:val="none"/>
        </w:rPr>
        <w:t>金、应扣除的质量保证</w:t>
      </w:r>
    </w:p>
    <w:p w14:paraId="7E9379A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金、缺陷责任期内发生的增减费用。</w:t>
      </w:r>
    </w:p>
    <w:p w14:paraId="6A123A5B">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）发包人对最终结清申请单内容有异议的，有权要求承包人进</w:t>
      </w:r>
      <w:r>
        <w:rPr>
          <w:rFonts w:ascii="宋体" w:hAnsi="宋体" w:eastAsia="宋体" w:cs="宋体"/>
          <w:color w:val="auto"/>
          <w:spacing w:val="-1"/>
          <w:position w:val="14"/>
          <w:sz w:val="21"/>
          <w:szCs w:val="21"/>
          <w:highlight w:val="none"/>
        </w:rPr>
        <w:t>行修正和提供补充资</w:t>
      </w:r>
    </w:p>
    <w:p w14:paraId="2DD67A8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料，承包人应向发包人提交修正后的最终结清申请单。</w:t>
      </w:r>
    </w:p>
    <w:p w14:paraId="697B39E6">
      <w:pPr>
        <w:spacing w:before="148"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14.4.2 </w:t>
      </w:r>
      <w:r>
        <w:rPr>
          <w:rFonts w:ascii="宋体" w:hAnsi="宋体" w:eastAsia="宋体" w:cs="宋体"/>
          <w:color w:val="auto"/>
          <w:spacing w:val="-2"/>
          <w:sz w:val="21"/>
          <w:szCs w:val="21"/>
          <w:highlight w:val="none"/>
        </w:rPr>
        <w:t>最终结清证书和支付</w:t>
      </w:r>
    </w:p>
    <w:p w14:paraId="1A18F299">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）除专用合同条款另有约定外，</w:t>
      </w:r>
      <w:r>
        <w:rPr>
          <w:rFonts w:ascii="宋体" w:hAnsi="宋体" w:eastAsia="宋体" w:cs="宋体"/>
          <w:color w:val="auto"/>
          <w:spacing w:val="84"/>
          <w:position w:val="14"/>
          <w:sz w:val="21"/>
          <w:szCs w:val="21"/>
          <w:highlight w:val="none"/>
        </w:rPr>
        <w:t xml:space="preserve"> </w:t>
      </w:r>
      <w:r>
        <w:rPr>
          <w:rFonts w:ascii="宋体" w:hAnsi="宋体" w:eastAsia="宋体" w:cs="宋体"/>
          <w:color w:val="auto"/>
          <w:position w:val="14"/>
          <w:sz w:val="21"/>
          <w:szCs w:val="21"/>
          <w:highlight w:val="none"/>
        </w:rPr>
        <w:t>发包人应在收到承包人提交的最终结清申请单后</w:t>
      </w:r>
    </w:p>
    <w:p w14:paraId="01C2A78D">
      <w:pPr>
        <w:spacing w:before="1" w:line="219" w:lineRule="auto"/>
        <w:ind w:left="3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14</w:t>
      </w:r>
      <w:r>
        <w:rPr>
          <w:rFonts w:ascii="Times New Roman" w:hAnsi="Times New Roman" w:eastAsia="Times New Roman" w:cs="Times New Roman"/>
          <w:color w:val="auto"/>
          <w:spacing w:val="46"/>
          <w:w w:val="101"/>
          <w:sz w:val="21"/>
          <w:szCs w:val="21"/>
          <w:highlight w:val="none"/>
        </w:rPr>
        <w:t xml:space="preserve"> </w:t>
      </w:r>
      <w:r>
        <w:rPr>
          <w:rFonts w:ascii="宋体" w:hAnsi="宋体" w:eastAsia="宋体" w:cs="宋体"/>
          <w:color w:val="auto"/>
          <w:sz w:val="21"/>
          <w:szCs w:val="21"/>
          <w:highlight w:val="none"/>
        </w:rPr>
        <w:t>天内完成审批并向承包人颁发最终结清证书。发包人逾期未</w:t>
      </w:r>
      <w:r>
        <w:rPr>
          <w:rFonts w:ascii="宋体" w:hAnsi="宋体" w:eastAsia="宋体" w:cs="宋体"/>
          <w:color w:val="auto"/>
          <w:spacing w:val="-1"/>
          <w:sz w:val="21"/>
          <w:szCs w:val="21"/>
          <w:highlight w:val="none"/>
        </w:rPr>
        <w:t>完成审批，又未提出修改意</w:t>
      </w:r>
    </w:p>
    <w:p w14:paraId="7A1401B3">
      <w:pPr>
        <w:spacing w:line="219" w:lineRule="auto"/>
        <w:rPr>
          <w:rFonts w:ascii="宋体" w:hAnsi="宋体" w:eastAsia="宋体" w:cs="宋体"/>
          <w:color w:val="auto"/>
          <w:sz w:val="21"/>
          <w:szCs w:val="21"/>
          <w:highlight w:val="none"/>
        </w:rPr>
        <w:sectPr>
          <w:footerReference r:id="rId141" w:type="default"/>
          <w:pgSz w:w="11905" w:h="16839"/>
          <w:pgMar w:top="1431" w:right="1628" w:bottom="1004" w:left="1785" w:header="0" w:footer="828" w:gutter="0"/>
          <w:pgNumType w:fmt="decimal"/>
          <w:cols w:space="720" w:num="1"/>
        </w:sectPr>
      </w:pPr>
    </w:p>
    <w:p w14:paraId="5AB5179B">
      <w:pPr>
        <w:spacing w:before="149" w:line="398" w:lineRule="exact"/>
        <w:ind w:left="2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见的， 视为发包人同意承包人提交的最终结清申请单，</w:t>
      </w:r>
      <w:r>
        <w:rPr>
          <w:rFonts w:ascii="宋体" w:hAnsi="宋体" w:eastAsia="宋体" w:cs="宋体"/>
          <w:color w:val="auto"/>
          <w:spacing w:val="25"/>
          <w:position w:val="14"/>
          <w:sz w:val="21"/>
          <w:szCs w:val="21"/>
          <w:highlight w:val="none"/>
        </w:rPr>
        <w:t xml:space="preserve"> </w:t>
      </w:r>
      <w:r>
        <w:rPr>
          <w:rFonts w:ascii="宋体" w:hAnsi="宋体" w:eastAsia="宋体" w:cs="宋体"/>
          <w:color w:val="auto"/>
          <w:spacing w:val="-3"/>
          <w:position w:val="14"/>
          <w:sz w:val="21"/>
          <w:szCs w:val="21"/>
          <w:highlight w:val="none"/>
        </w:rPr>
        <w:t>且自发包人收到承</w:t>
      </w:r>
      <w:r>
        <w:rPr>
          <w:rFonts w:ascii="宋体" w:hAnsi="宋体" w:eastAsia="宋体" w:cs="宋体"/>
          <w:color w:val="auto"/>
          <w:spacing w:val="-4"/>
          <w:position w:val="14"/>
          <w:sz w:val="21"/>
          <w:szCs w:val="21"/>
          <w:highlight w:val="none"/>
        </w:rPr>
        <w:t>包人提交的最终</w:t>
      </w:r>
    </w:p>
    <w:p w14:paraId="6BB21843">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结清申请单后</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15 </w:t>
      </w:r>
      <w:r>
        <w:rPr>
          <w:rFonts w:ascii="宋体" w:hAnsi="宋体" w:eastAsia="宋体" w:cs="宋体"/>
          <w:color w:val="auto"/>
          <w:spacing w:val="-2"/>
          <w:sz w:val="21"/>
          <w:szCs w:val="21"/>
          <w:highlight w:val="none"/>
        </w:rPr>
        <w:t>天起视为已颁发最终结清证书。</w:t>
      </w:r>
    </w:p>
    <w:p w14:paraId="703AF64B">
      <w:pPr>
        <w:spacing w:before="151" w:line="351" w:lineRule="auto"/>
        <w:ind w:left="21" w:right="185" w:firstLine="42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）除专用合同条款另有约定外，发包人应在颁发最终结清证书后</w:t>
      </w:r>
      <w:r>
        <w:rPr>
          <w:rFonts w:ascii="宋体" w:hAnsi="宋体" w:eastAsia="宋体" w:cs="宋体"/>
          <w:color w:val="auto"/>
          <w:spacing w:val="-13"/>
          <w:sz w:val="21"/>
          <w:szCs w:val="21"/>
          <w:highlight w:val="none"/>
        </w:rPr>
        <w:t xml:space="preserve"> </w:t>
      </w: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2"/>
          <w:sz w:val="21"/>
          <w:szCs w:val="21"/>
          <w:highlight w:val="none"/>
        </w:rPr>
        <w:t>天内完成支付。</w:t>
      </w:r>
      <w:r>
        <w:rPr>
          <w:rFonts w:ascii="宋体" w:hAnsi="宋体" w:eastAsia="宋体" w:cs="宋体"/>
          <w:color w:val="auto"/>
          <w:sz w:val="21"/>
          <w:szCs w:val="21"/>
          <w:highlight w:val="none"/>
        </w:rPr>
        <w:t xml:space="preserve"> 发包人逾期支付的，按照中国人民银行发布的同期同类贷款基准利率支付违约金； 逾期支</w:t>
      </w:r>
    </w:p>
    <w:p w14:paraId="1C14147B">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付超过</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56 </w:t>
      </w:r>
      <w:r>
        <w:rPr>
          <w:rFonts w:ascii="宋体" w:hAnsi="宋体" w:eastAsia="宋体" w:cs="宋体"/>
          <w:color w:val="auto"/>
          <w:spacing w:val="-1"/>
          <w:sz w:val="21"/>
          <w:szCs w:val="21"/>
          <w:highlight w:val="none"/>
        </w:rPr>
        <w:t>天的，按照中国人民银行发布的同期同类贷款基准利率的两倍支付</w:t>
      </w:r>
      <w:r>
        <w:rPr>
          <w:rFonts w:ascii="宋体" w:hAnsi="宋体" w:eastAsia="宋体" w:cs="宋体"/>
          <w:color w:val="auto"/>
          <w:spacing w:val="-2"/>
          <w:sz w:val="21"/>
          <w:szCs w:val="21"/>
          <w:highlight w:val="none"/>
        </w:rPr>
        <w:t>违约金。</w:t>
      </w:r>
    </w:p>
    <w:p w14:paraId="7C3468F2">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 xml:space="preserve">）承包人对发包人颁发的最终结清证书有异议的，按第 </w:t>
      </w:r>
      <w:r>
        <w:rPr>
          <w:rFonts w:ascii="Times New Roman" w:hAnsi="Times New Roman" w:eastAsia="Times New Roman" w:cs="Times New Roman"/>
          <w:color w:val="auto"/>
          <w:position w:val="14"/>
          <w:sz w:val="21"/>
          <w:szCs w:val="21"/>
          <w:highlight w:val="none"/>
        </w:rPr>
        <w:t xml:space="preserve">20  </w:t>
      </w:r>
      <w:r>
        <w:rPr>
          <w:rFonts w:ascii="宋体" w:hAnsi="宋体" w:eastAsia="宋体" w:cs="宋体"/>
          <w:color w:val="auto"/>
          <w:position w:val="14"/>
          <w:sz w:val="21"/>
          <w:szCs w:val="21"/>
          <w:highlight w:val="none"/>
        </w:rPr>
        <w:t>条〔争议解决〕的约定</w:t>
      </w:r>
    </w:p>
    <w:p w14:paraId="20995F93">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办理。</w:t>
      </w:r>
    </w:p>
    <w:p w14:paraId="6856A114">
      <w:pPr>
        <w:spacing w:before="173" w:line="531" w:lineRule="exact"/>
        <w:ind w:left="39"/>
        <w:rPr>
          <w:rFonts w:ascii="黑体" w:hAnsi="黑体" w:eastAsia="黑体" w:cs="黑体"/>
          <w:color w:val="auto"/>
          <w:sz w:val="32"/>
          <w:szCs w:val="32"/>
          <w:highlight w:val="none"/>
        </w:rPr>
      </w:pPr>
      <w:r>
        <w:rPr>
          <w:rFonts w:ascii="黑体" w:hAnsi="黑体" w:eastAsia="黑体" w:cs="黑体"/>
          <w:color w:val="auto"/>
          <w:spacing w:val="-3"/>
          <w:position w:val="15"/>
          <w:sz w:val="32"/>
          <w:szCs w:val="32"/>
          <w:highlight w:val="none"/>
        </w:rPr>
        <w:t>15.缺陷责任与保修</w:t>
      </w:r>
    </w:p>
    <w:p w14:paraId="6BE2D8B4">
      <w:pPr>
        <w:spacing w:before="1"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15.1 工程保修的原则</w:t>
      </w:r>
    </w:p>
    <w:p w14:paraId="16153DF1">
      <w:pPr>
        <w:spacing w:before="129" w:line="274" w:lineRule="auto"/>
        <w:ind w:left="19" w:right="5" w:firstLine="421"/>
        <w:rPr>
          <w:rFonts w:ascii="黑体" w:hAnsi="黑体" w:eastAsia="黑体" w:cs="黑体"/>
          <w:color w:val="auto"/>
          <w:sz w:val="24"/>
          <w:szCs w:val="24"/>
          <w:highlight w:val="none"/>
        </w:rPr>
      </w:pPr>
      <w:r>
        <w:rPr>
          <w:rFonts w:ascii="宋体" w:hAnsi="宋体" w:eastAsia="宋体" w:cs="宋体"/>
          <w:color w:val="auto"/>
          <w:spacing w:val="-3"/>
          <w:sz w:val="21"/>
          <w:szCs w:val="21"/>
          <w:highlight w:val="none"/>
        </w:rPr>
        <w:t>在工程移交发包人后，</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因承包人原因产生的质</w:t>
      </w:r>
      <w:r>
        <w:rPr>
          <w:rFonts w:ascii="宋体" w:hAnsi="宋体" w:eastAsia="宋体" w:cs="宋体"/>
          <w:color w:val="auto"/>
          <w:spacing w:val="-4"/>
          <w:sz w:val="21"/>
          <w:szCs w:val="21"/>
          <w:highlight w:val="none"/>
        </w:rPr>
        <w:t xml:space="preserve">量缺陷， 承包人应承担质量缺陷责任和  </w:t>
      </w:r>
      <w:r>
        <w:rPr>
          <w:rFonts w:ascii="宋体" w:hAnsi="宋体" w:eastAsia="宋体" w:cs="宋体"/>
          <w:color w:val="auto"/>
          <w:spacing w:val="-1"/>
          <w:sz w:val="21"/>
          <w:szCs w:val="21"/>
          <w:highlight w:val="none"/>
        </w:rPr>
        <w:t>保修义务。缺陷责任期届满， 承包人仍应按合同约定的工程各部位保修年限承担保修义务。</w:t>
      </w:r>
      <w:r>
        <w:rPr>
          <w:rFonts w:ascii="宋体" w:hAnsi="宋体" w:eastAsia="宋体" w:cs="宋体"/>
          <w:color w:val="auto"/>
          <w:spacing w:val="17"/>
          <w:sz w:val="21"/>
          <w:szCs w:val="21"/>
          <w:highlight w:val="none"/>
        </w:rPr>
        <w:t xml:space="preserve"> </w:t>
      </w:r>
      <w:r>
        <w:rPr>
          <w:rFonts w:ascii="黑体" w:hAnsi="黑体" w:eastAsia="黑体" w:cs="黑体"/>
          <w:color w:val="auto"/>
          <w:spacing w:val="-1"/>
          <w:sz w:val="24"/>
          <w:szCs w:val="24"/>
          <w:highlight w:val="none"/>
        </w:rPr>
        <w:t>15.2 缺陷责任期</w:t>
      </w:r>
    </w:p>
    <w:p w14:paraId="2715C60A">
      <w:pPr>
        <w:spacing w:before="130"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15.2.1</w:t>
      </w:r>
      <w:r>
        <w:rPr>
          <w:rFonts w:ascii="Times New Roman" w:hAnsi="Times New Roman" w:eastAsia="Times New Roman" w:cs="Times New Roman"/>
          <w:color w:val="auto"/>
          <w:spacing w:val="37"/>
          <w:w w:val="101"/>
          <w:position w:val="14"/>
          <w:sz w:val="21"/>
          <w:szCs w:val="21"/>
          <w:highlight w:val="none"/>
        </w:rPr>
        <w:t xml:space="preserve"> </w:t>
      </w:r>
      <w:r>
        <w:rPr>
          <w:rFonts w:ascii="宋体" w:hAnsi="宋体" w:eastAsia="宋体" w:cs="宋体"/>
          <w:color w:val="auto"/>
          <w:spacing w:val="3"/>
          <w:position w:val="14"/>
          <w:sz w:val="21"/>
          <w:szCs w:val="21"/>
          <w:highlight w:val="none"/>
        </w:rPr>
        <w:t>缺陷责任期从工程通过竣工验收之日起计算，合同当事</w:t>
      </w:r>
      <w:r>
        <w:rPr>
          <w:rFonts w:ascii="宋体" w:hAnsi="宋体" w:eastAsia="宋体" w:cs="宋体"/>
          <w:color w:val="auto"/>
          <w:spacing w:val="2"/>
          <w:position w:val="14"/>
          <w:sz w:val="21"/>
          <w:szCs w:val="21"/>
          <w:highlight w:val="none"/>
        </w:rPr>
        <w:t>人应在专用合同条款约</w:t>
      </w:r>
    </w:p>
    <w:p w14:paraId="3FD17DFC">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定缺陷责任期的具体期限，但该期限最长不超过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24 </w:t>
      </w:r>
      <w:r>
        <w:rPr>
          <w:rFonts w:ascii="宋体" w:hAnsi="宋体" w:eastAsia="宋体" w:cs="宋体"/>
          <w:color w:val="auto"/>
          <w:spacing w:val="-2"/>
          <w:sz w:val="21"/>
          <w:szCs w:val="21"/>
          <w:highlight w:val="none"/>
        </w:rPr>
        <w:t>个月。</w:t>
      </w:r>
    </w:p>
    <w:p w14:paraId="6C075E95">
      <w:pPr>
        <w:spacing w:before="154" w:line="351" w:lineRule="auto"/>
        <w:ind w:left="20" w:right="180"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单位工程先于全部工程进行验收，经验收合格并交付使用的，该单位工程缺陷责任期</w:t>
      </w:r>
      <w:r>
        <w:rPr>
          <w:rFonts w:ascii="宋体" w:hAnsi="宋体" w:eastAsia="宋体" w:cs="宋体"/>
          <w:color w:val="auto"/>
          <w:spacing w:val="1"/>
          <w:sz w:val="21"/>
          <w:szCs w:val="21"/>
          <w:highlight w:val="none"/>
        </w:rPr>
        <w:t xml:space="preserve"> </w:t>
      </w:r>
      <w:r>
        <w:rPr>
          <w:rFonts w:ascii="宋体" w:hAnsi="宋体" w:eastAsia="宋体" w:cs="宋体"/>
          <w:color w:val="auto"/>
          <w:spacing w:val="3"/>
          <w:sz w:val="21"/>
          <w:szCs w:val="21"/>
          <w:highlight w:val="none"/>
        </w:rPr>
        <w:t>自单位工程验收合格之日起算。因承包人原因导致工程无法按合同约定期限</w:t>
      </w:r>
      <w:r>
        <w:rPr>
          <w:rFonts w:ascii="宋体" w:hAnsi="宋体" w:eastAsia="宋体" w:cs="宋体"/>
          <w:color w:val="auto"/>
          <w:spacing w:val="2"/>
          <w:sz w:val="21"/>
          <w:szCs w:val="21"/>
          <w:highlight w:val="none"/>
        </w:rPr>
        <w:t>进行竣工验收</w:t>
      </w:r>
      <w:r>
        <w:rPr>
          <w:rFonts w:ascii="宋体" w:hAnsi="宋体" w:eastAsia="宋体" w:cs="宋体"/>
          <w:color w:val="auto"/>
          <w:sz w:val="21"/>
          <w:szCs w:val="21"/>
          <w:highlight w:val="none"/>
        </w:rPr>
        <w:t xml:space="preserve"> 的，缺陷责任期从实际通过竣工验收之日起计算。 因发包人原因导致工程无法按合同约定</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期限进行竣工验收的，在承包人提交竣工验收报告</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90 </w:t>
      </w:r>
      <w:r>
        <w:rPr>
          <w:rFonts w:ascii="宋体" w:hAnsi="宋体" w:eastAsia="宋体" w:cs="宋体"/>
          <w:color w:val="auto"/>
          <w:spacing w:val="-1"/>
          <w:sz w:val="21"/>
          <w:szCs w:val="21"/>
          <w:highlight w:val="none"/>
        </w:rPr>
        <w:t>天后，工程自动进入缺陷责任期；发</w:t>
      </w:r>
    </w:p>
    <w:p w14:paraId="28EBAAB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包人未经竣工验收擅自使用工程的，缺陷责任期自工程转移占有之日起开始计算。</w:t>
      </w:r>
    </w:p>
    <w:p w14:paraId="6D44029C">
      <w:pPr>
        <w:spacing w:before="150" w:line="352" w:lineRule="auto"/>
        <w:ind w:left="18" w:right="181" w:firstLine="439"/>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15.2.2</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z w:val="21"/>
          <w:szCs w:val="21"/>
          <w:highlight w:val="none"/>
        </w:rPr>
        <w:t xml:space="preserve">缺陷责任期内，由承包人原因造成的缺陷， 承包人应负责维修，并承担鉴定及 </w:t>
      </w:r>
      <w:r>
        <w:rPr>
          <w:rFonts w:ascii="宋体" w:hAnsi="宋体" w:eastAsia="宋体" w:cs="宋体"/>
          <w:color w:val="auto"/>
          <w:spacing w:val="3"/>
          <w:sz w:val="21"/>
          <w:szCs w:val="21"/>
          <w:highlight w:val="none"/>
        </w:rPr>
        <w:t>维修费用。如承包人不维修也不承担费用，发包人可按合同约定从保证金或</w:t>
      </w:r>
      <w:r>
        <w:rPr>
          <w:rFonts w:ascii="宋体" w:hAnsi="宋体" w:eastAsia="宋体" w:cs="宋体"/>
          <w:color w:val="auto"/>
          <w:spacing w:val="2"/>
          <w:sz w:val="21"/>
          <w:szCs w:val="21"/>
          <w:highlight w:val="none"/>
        </w:rPr>
        <w:t>银行保函中扣</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除，费用超出保证金额的，发包人可按合同约定向承包人进行索赔。承包人</w:t>
      </w:r>
      <w:r>
        <w:rPr>
          <w:rFonts w:ascii="宋体" w:hAnsi="宋体" w:eastAsia="宋体" w:cs="宋体"/>
          <w:color w:val="auto"/>
          <w:spacing w:val="2"/>
          <w:sz w:val="21"/>
          <w:szCs w:val="21"/>
          <w:highlight w:val="none"/>
        </w:rPr>
        <w:t>维修并承担相</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应费用后，不免除对工程的损失赔偿责任。发包人有权要求承包人延长缺陷责任期，</w:t>
      </w:r>
      <w:r>
        <w:rPr>
          <w:rFonts w:ascii="宋体" w:hAnsi="宋体" w:eastAsia="宋体" w:cs="宋体"/>
          <w:color w:val="auto"/>
          <w:spacing w:val="2"/>
          <w:sz w:val="21"/>
          <w:szCs w:val="21"/>
          <w:highlight w:val="none"/>
        </w:rPr>
        <w:t>并应</w:t>
      </w:r>
    </w:p>
    <w:p w14:paraId="5066FC97">
      <w:pPr>
        <w:spacing w:line="220"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在原缺陷责任期届满前发出延长通知。但缺陷责任期（含延长部分）</w:t>
      </w:r>
      <w:r>
        <w:rPr>
          <w:rFonts w:ascii="宋体" w:hAnsi="宋体" w:eastAsia="宋体" w:cs="宋体"/>
          <w:color w:val="auto"/>
          <w:spacing w:val="-16"/>
          <w:sz w:val="21"/>
          <w:szCs w:val="21"/>
          <w:highlight w:val="none"/>
        </w:rPr>
        <w:t xml:space="preserve"> </w:t>
      </w:r>
      <w:r>
        <w:rPr>
          <w:rFonts w:ascii="宋体" w:hAnsi="宋体" w:eastAsia="宋体" w:cs="宋体"/>
          <w:color w:val="auto"/>
          <w:spacing w:val="-3"/>
          <w:sz w:val="21"/>
          <w:szCs w:val="21"/>
          <w:highlight w:val="none"/>
        </w:rPr>
        <w:t>最长不能超过</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宋体" w:hAnsi="宋体" w:eastAsia="宋体" w:cs="宋体"/>
          <w:color w:val="auto"/>
          <w:spacing w:val="-3"/>
          <w:sz w:val="21"/>
          <w:szCs w:val="21"/>
          <w:highlight w:val="none"/>
        </w:rPr>
        <w:t>个月。</w:t>
      </w:r>
    </w:p>
    <w:p w14:paraId="43A947E0">
      <w:pPr>
        <w:spacing w:before="148" w:line="399" w:lineRule="exact"/>
        <w:ind w:left="466"/>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由他人原因造成的缺陷，发包人负责组织维修， 承包人不承担费用， 且发</w:t>
      </w:r>
      <w:r>
        <w:rPr>
          <w:rFonts w:ascii="宋体" w:hAnsi="宋体" w:eastAsia="宋体" w:cs="宋体"/>
          <w:color w:val="auto"/>
          <w:spacing w:val="-4"/>
          <w:position w:val="14"/>
          <w:sz w:val="21"/>
          <w:szCs w:val="21"/>
          <w:highlight w:val="none"/>
        </w:rPr>
        <w:t>包人不得从</w:t>
      </w:r>
    </w:p>
    <w:p w14:paraId="2F4B2A5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保证金中扣除费用。</w:t>
      </w:r>
    </w:p>
    <w:p w14:paraId="3B70E9D0">
      <w:pPr>
        <w:spacing w:before="153" w:line="39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15.2.3</w:t>
      </w:r>
      <w:r>
        <w:rPr>
          <w:rFonts w:ascii="Times New Roman" w:hAnsi="Times New Roman" w:eastAsia="Times New Roman" w:cs="Times New Roman"/>
          <w:color w:val="auto"/>
          <w:spacing w:val="39"/>
          <w:w w:val="101"/>
          <w:position w:val="14"/>
          <w:sz w:val="21"/>
          <w:szCs w:val="21"/>
          <w:highlight w:val="none"/>
        </w:rPr>
        <w:t xml:space="preserve"> </w:t>
      </w:r>
      <w:r>
        <w:rPr>
          <w:rFonts w:ascii="宋体" w:hAnsi="宋体" w:eastAsia="宋体" w:cs="宋体"/>
          <w:color w:val="auto"/>
          <w:spacing w:val="-1"/>
          <w:position w:val="14"/>
          <w:sz w:val="21"/>
          <w:szCs w:val="21"/>
          <w:highlight w:val="none"/>
        </w:rPr>
        <w:t>任何一项缺陷或损坏修复后， 经检查证明其影响了工程或工程设备的使用性能，</w:t>
      </w:r>
    </w:p>
    <w:p w14:paraId="7D6CB82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承包人应重新进行合同约定的试验和试运行，试验和试运行的全部费用应由责任方承担。</w:t>
      </w:r>
    </w:p>
    <w:p w14:paraId="6661E8ED">
      <w:pPr>
        <w:spacing w:before="146" w:line="353" w:lineRule="auto"/>
        <w:ind w:left="18" w:right="180" w:firstLine="43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15.2.4 </w:t>
      </w:r>
      <w:r>
        <w:rPr>
          <w:rFonts w:ascii="宋体" w:hAnsi="宋体" w:eastAsia="宋体" w:cs="宋体"/>
          <w:color w:val="auto"/>
          <w:spacing w:val="-1"/>
          <w:sz w:val="21"/>
          <w:szCs w:val="21"/>
          <w:highlight w:val="none"/>
        </w:rPr>
        <w:t>除专用合同条款另有约定外，</w:t>
      </w:r>
      <w:r>
        <w:rPr>
          <w:rFonts w:ascii="宋体" w:hAnsi="宋体" w:eastAsia="宋体" w:cs="宋体"/>
          <w:color w:val="auto"/>
          <w:spacing w:val="-2"/>
          <w:sz w:val="21"/>
          <w:szCs w:val="21"/>
          <w:highlight w:val="none"/>
        </w:rPr>
        <w:t>承包人应于缺陷责任期届满后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天内向发包人发出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缺陷责任期届满通知，发包人应在收到缺陷责任期满通知后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天内核实承包人是否履行缺</w:t>
      </w:r>
    </w:p>
    <w:p w14:paraId="5C44060D">
      <w:pPr>
        <w:spacing w:before="1" w:line="220" w:lineRule="auto"/>
        <w:ind w:left="31"/>
        <w:rPr>
          <w:rFonts w:ascii="宋体" w:hAnsi="宋体" w:eastAsia="宋体" w:cs="宋体"/>
          <w:color w:val="auto"/>
          <w:sz w:val="21"/>
          <w:szCs w:val="21"/>
          <w:highlight w:val="none"/>
        </w:rPr>
      </w:pPr>
      <w:r>
        <w:rPr>
          <w:rFonts w:ascii="宋体" w:hAnsi="宋体" w:eastAsia="宋体" w:cs="宋体"/>
          <w:color w:val="auto"/>
          <w:sz w:val="21"/>
          <w:szCs w:val="21"/>
          <w:highlight w:val="none"/>
        </w:rPr>
        <w:t>陷修复义务， 承包人未能履行缺陷修复义务的，发包人有权扣除相应金额的维修</w:t>
      </w:r>
      <w:r>
        <w:rPr>
          <w:rFonts w:ascii="宋体" w:hAnsi="宋体" w:eastAsia="宋体" w:cs="宋体"/>
          <w:color w:val="auto"/>
          <w:spacing w:val="-1"/>
          <w:sz w:val="21"/>
          <w:szCs w:val="21"/>
          <w:highlight w:val="none"/>
        </w:rPr>
        <w:t>费用。发</w:t>
      </w:r>
    </w:p>
    <w:p w14:paraId="2EA4B50B">
      <w:pPr>
        <w:spacing w:before="147"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包人应在收到缺陷责任期届满通知后</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宋体" w:hAnsi="宋体" w:eastAsia="宋体" w:cs="宋体"/>
          <w:color w:val="auto"/>
          <w:spacing w:val="-4"/>
          <w:sz w:val="21"/>
          <w:szCs w:val="21"/>
          <w:highlight w:val="none"/>
        </w:rPr>
        <w:t>天内， 向承包人颁发缺陷责任期终止证书。</w:t>
      </w:r>
    </w:p>
    <w:p w14:paraId="0ACFB919">
      <w:pPr>
        <w:spacing w:before="51" w:line="220"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15.3 质量保证金</w:t>
      </w:r>
    </w:p>
    <w:p w14:paraId="09B18110">
      <w:pPr>
        <w:spacing w:before="128" w:line="221"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经合同当事人协商一致扣留质量保证金的，应在专用合同条</w:t>
      </w:r>
      <w:r>
        <w:rPr>
          <w:rFonts w:ascii="宋体" w:hAnsi="宋体" w:eastAsia="宋体" w:cs="宋体"/>
          <w:color w:val="auto"/>
          <w:spacing w:val="-1"/>
          <w:sz w:val="21"/>
          <w:szCs w:val="21"/>
          <w:highlight w:val="none"/>
        </w:rPr>
        <w:t>款中予以明确。</w:t>
      </w:r>
    </w:p>
    <w:p w14:paraId="17EE8413">
      <w:pPr>
        <w:spacing w:line="221" w:lineRule="auto"/>
        <w:rPr>
          <w:rFonts w:ascii="宋体" w:hAnsi="宋体" w:eastAsia="宋体" w:cs="宋体"/>
          <w:color w:val="auto"/>
          <w:sz w:val="21"/>
          <w:szCs w:val="21"/>
          <w:highlight w:val="none"/>
        </w:rPr>
        <w:sectPr>
          <w:footerReference r:id="rId142" w:type="default"/>
          <w:pgSz w:w="11905" w:h="16839"/>
          <w:pgMar w:top="1431" w:right="1611" w:bottom="1004" w:left="1785" w:header="0" w:footer="829" w:gutter="0"/>
          <w:pgNumType w:fmt="decimal"/>
          <w:cols w:space="720" w:num="1"/>
        </w:sectPr>
      </w:pPr>
    </w:p>
    <w:p w14:paraId="2BC6161D">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在工程项目竣工前，承包人已经提供履约担保的，发包人不得同时预留工程质量保证</w:t>
      </w:r>
    </w:p>
    <w:p w14:paraId="050539DB">
      <w:pPr>
        <w:spacing w:line="227"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金。</w:t>
      </w:r>
    </w:p>
    <w:p w14:paraId="50F97141">
      <w:pPr>
        <w:spacing w:before="144"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15.3.1 </w:t>
      </w:r>
      <w:r>
        <w:rPr>
          <w:rFonts w:ascii="宋体" w:hAnsi="宋体" w:eastAsia="宋体" w:cs="宋体"/>
          <w:color w:val="auto"/>
          <w:spacing w:val="-1"/>
          <w:sz w:val="21"/>
          <w:szCs w:val="21"/>
          <w:highlight w:val="none"/>
        </w:rPr>
        <w:t>承包人提供质量保证金的方式</w:t>
      </w:r>
    </w:p>
    <w:p w14:paraId="7F37CF5B">
      <w:pPr>
        <w:spacing w:before="148" w:line="399" w:lineRule="exact"/>
        <w:ind w:left="441"/>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承包人提供质量保证金有以下三种方式：</w:t>
      </w:r>
    </w:p>
    <w:p w14:paraId="1E65B3A4">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）质量保证金保函；</w:t>
      </w:r>
    </w:p>
    <w:p w14:paraId="0FCA6BCD">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）相应比例的工程款；</w:t>
      </w:r>
    </w:p>
    <w:p w14:paraId="010F8959">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）双方约定的其他方式。</w:t>
      </w:r>
    </w:p>
    <w:p w14:paraId="2D525AA1">
      <w:pPr>
        <w:spacing w:before="146" w:line="220"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质量保证金原则上采</w:t>
      </w:r>
      <w:r>
        <w:rPr>
          <w:rFonts w:ascii="宋体" w:hAnsi="宋体" w:eastAsia="宋体" w:cs="宋体"/>
          <w:color w:val="auto"/>
          <w:spacing w:val="-5"/>
          <w:sz w:val="21"/>
          <w:szCs w:val="21"/>
          <w:highlight w:val="none"/>
        </w:rPr>
        <w:t>用上述第（</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）种方式。</w:t>
      </w:r>
    </w:p>
    <w:p w14:paraId="19415730">
      <w:pPr>
        <w:spacing w:before="154"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15.3.2 </w:t>
      </w:r>
      <w:r>
        <w:rPr>
          <w:rFonts w:ascii="宋体" w:hAnsi="宋体" w:eastAsia="宋体" w:cs="宋体"/>
          <w:color w:val="auto"/>
          <w:spacing w:val="-2"/>
          <w:sz w:val="21"/>
          <w:szCs w:val="21"/>
          <w:highlight w:val="none"/>
        </w:rPr>
        <w:t>质量保证金的扣留</w:t>
      </w:r>
    </w:p>
    <w:p w14:paraId="63FC3A5B">
      <w:pPr>
        <w:spacing w:before="147"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质量保证金的扣留有以下三种方式：</w:t>
      </w:r>
    </w:p>
    <w:p w14:paraId="3D6324E6">
      <w:pPr>
        <w:spacing w:before="147" w:line="403"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）在支付工程进度款时逐次扣留，在此情形下，质量保证金的计算基数不包</w:t>
      </w:r>
      <w:r>
        <w:rPr>
          <w:rFonts w:ascii="宋体" w:hAnsi="宋体" w:eastAsia="宋体" w:cs="宋体"/>
          <w:color w:val="auto"/>
          <w:spacing w:val="-1"/>
          <w:position w:val="14"/>
          <w:sz w:val="21"/>
          <w:szCs w:val="21"/>
          <w:highlight w:val="none"/>
        </w:rPr>
        <w:t>括预付</w:t>
      </w:r>
    </w:p>
    <w:p w14:paraId="153E1CBF">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款的支付、扣回以及价格调整的金额；</w:t>
      </w:r>
    </w:p>
    <w:p w14:paraId="7BBCF1DE">
      <w:pPr>
        <w:spacing w:before="14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）工程竣工结算时一次性扣留质量保证</w:t>
      </w:r>
      <w:r>
        <w:rPr>
          <w:rFonts w:ascii="宋体" w:hAnsi="宋体" w:eastAsia="宋体" w:cs="宋体"/>
          <w:color w:val="auto"/>
          <w:spacing w:val="-3"/>
          <w:sz w:val="21"/>
          <w:szCs w:val="21"/>
          <w:highlight w:val="none"/>
        </w:rPr>
        <w:t>金；</w:t>
      </w:r>
    </w:p>
    <w:p w14:paraId="0697A6A2">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）双方约定的其他扣留方式。</w:t>
      </w:r>
    </w:p>
    <w:p w14:paraId="4D9667D3">
      <w:pPr>
        <w:spacing w:before="151"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 质量保证金的扣留原则上采</w:t>
      </w:r>
      <w:r>
        <w:rPr>
          <w:rFonts w:ascii="宋体" w:hAnsi="宋体" w:eastAsia="宋体" w:cs="宋体"/>
          <w:color w:val="auto"/>
          <w:spacing w:val="-4"/>
          <w:sz w:val="21"/>
          <w:szCs w:val="21"/>
          <w:highlight w:val="none"/>
        </w:rPr>
        <w:t>用上述第（</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）种方式。</w:t>
      </w:r>
    </w:p>
    <w:p w14:paraId="0F65E37F">
      <w:pPr>
        <w:spacing w:before="148" w:line="353" w:lineRule="auto"/>
        <w:ind w:left="18" w:right="3" w:firstLine="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发包人累计扣留的质量保证金不得超过工程价款结算总额的 </w:t>
      </w:r>
      <w:r>
        <w:rPr>
          <w:rFonts w:ascii="Times New Roman" w:hAnsi="Times New Roman" w:eastAsia="Times New Roman" w:cs="Times New Roman"/>
          <w:color w:val="auto"/>
          <w:spacing w:val="1"/>
          <w:sz w:val="21"/>
          <w:szCs w:val="21"/>
          <w:highlight w:val="none"/>
        </w:rPr>
        <w:t>3</w:t>
      </w:r>
      <w:r>
        <w:rPr>
          <w:rFonts w:ascii="Times New Roman" w:hAnsi="Times New Roman" w:eastAsia="Times New Roman" w:cs="Times New Roman"/>
          <w:color w:val="auto"/>
          <w:spacing w:val="50"/>
          <w:w w:val="101"/>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。如承包人在发包人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签发竣工付款证书后</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天内提交质量保证金保函， 发包人应同时退还扣留的作为质量保证</w:t>
      </w:r>
    </w:p>
    <w:p w14:paraId="785063A0">
      <w:pPr>
        <w:spacing w:line="233"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金的工程价款；保函金额不得超过工程价款结算总额的</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3 %</w:t>
      </w:r>
      <w:r>
        <w:rPr>
          <w:rFonts w:ascii="宋体" w:hAnsi="宋体" w:eastAsia="宋体" w:cs="宋体"/>
          <w:color w:val="auto"/>
          <w:spacing w:val="-1"/>
          <w:sz w:val="21"/>
          <w:szCs w:val="21"/>
          <w:highlight w:val="none"/>
        </w:rPr>
        <w:t>。</w:t>
      </w:r>
    </w:p>
    <w:p w14:paraId="51627AA4">
      <w:pPr>
        <w:spacing w:before="133" w:line="398" w:lineRule="exact"/>
        <w:ind w:right="4"/>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发包人在退还质量保证金的同时按照中国人民银行发布的同期同类贷款基准利率支付</w:t>
      </w:r>
    </w:p>
    <w:p w14:paraId="45B49E46">
      <w:pPr>
        <w:spacing w:before="1" w:line="222"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利息。</w:t>
      </w:r>
    </w:p>
    <w:p w14:paraId="32237D9E">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15.3.3 </w:t>
      </w:r>
      <w:r>
        <w:rPr>
          <w:rFonts w:ascii="宋体" w:hAnsi="宋体" w:eastAsia="宋体" w:cs="宋体"/>
          <w:color w:val="auto"/>
          <w:spacing w:val="-2"/>
          <w:sz w:val="21"/>
          <w:szCs w:val="21"/>
          <w:highlight w:val="none"/>
        </w:rPr>
        <w:t>质量保证金的退还</w:t>
      </w:r>
    </w:p>
    <w:p w14:paraId="70BD82A5">
      <w:pPr>
        <w:spacing w:before="146"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缺陷责任期内， 承包人认真履行合同约定的责</w:t>
      </w:r>
      <w:r>
        <w:rPr>
          <w:rFonts w:ascii="宋体" w:hAnsi="宋体" w:eastAsia="宋体" w:cs="宋体"/>
          <w:color w:val="auto"/>
          <w:spacing w:val="-3"/>
          <w:position w:val="14"/>
          <w:sz w:val="21"/>
          <w:szCs w:val="21"/>
          <w:highlight w:val="none"/>
        </w:rPr>
        <w:t>任，到期后， 承包人可向发包人申请返</w:t>
      </w:r>
    </w:p>
    <w:p w14:paraId="4B2111F3">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还保证金。</w:t>
      </w:r>
    </w:p>
    <w:p w14:paraId="2D5A6FA8">
      <w:pPr>
        <w:spacing w:before="154" w:line="351" w:lineRule="auto"/>
        <w:ind w:left="16" w:right="2"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发包人在接到承包人返还保证金申请后，应于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天内会同承包人按照合同约定</w:t>
      </w:r>
      <w:r>
        <w:rPr>
          <w:rFonts w:ascii="宋体" w:hAnsi="宋体" w:eastAsia="宋体" w:cs="宋体"/>
          <w:color w:val="auto"/>
          <w:spacing w:val="-2"/>
          <w:sz w:val="21"/>
          <w:szCs w:val="21"/>
          <w:highlight w:val="none"/>
        </w:rPr>
        <w:t>的内容</w:t>
      </w:r>
      <w:r>
        <w:rPr>
          <w:rFonts w:ascii="宋体" w:hAnsi="宋体" w:eastAsia="宋体" w:cs="宋体"/>
          <w:color w:val="auto"/>
          <w:sz w:val="21"/>
          <w:szCs w:val="21"/>
          <w:highlight w:val="none"/>
        </w:rPr>
        <w:t xml:space="preserve"> 进行核实。如无异议， 发包人应当按照约定将保证金返还给承包人。对返还期限没有约定</w:t>
      </w:r>
      <w:r>
        <w:rPr>
          <w:rFonts w:ascii="宋体" w:hAnsi="宋体" w:eastAsia="宋体" w:cs="宋体"/>
          <w:color w:val="auto"/>
          <w:spacing w:val="8"/>
          <w:sz w:val="21"/>
          <w:szCs w:val="21"/>
          <w:highlight w:val="none"/>
        </w:rPr>
        <w:t xml:space="preserve"> </w:t>
      </w:r>
      <w:r>
        <w:rPr>
          <w:rFonts w:ascii="宋体" w:hAnsi="宋体" w:eastAsia="宋体" w:cs="宋体"/>
          <w:color w:val="auto"/>
          <w:spacing w:val="-6"/>
          <w:sz w:val="21"/>
          <w:szCs w:val="21"/>
          <w:highlight w:val="none"/>
        </w:rPr>
        <w:t xml:space="preserve">或者约定不明确的， 发包人应当在核实后 </w:t>
      </w:r>
      <w:r>
        <w:rPr>
          <w:rFonts w:ascii="Times New Roman" w:hAnsi="Times New Roman" w:eastAsia="Times New Roman" w:cs="Times New Roman"/>
          <w:color w:val="auto"/>
          <w:spacing w:val="-6"/>
          <w:sz w:val="21"/>
          <w:szCs w:val="21"/>
          <w:highlight w:val="none"/>
        </w:rPr>
        <w:t>14</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6"/>
          <w:sz w:val="21"/>
          <w:szCs w:val="21"/>
          <w:highlight w:val="none"/>
        </w:rPr>
        <w:t>天内将保证金返还承包人， 逾期未返还的，依</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法承担违约责任。发包人在接到承包人返还保证金申请后</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2"/>
          <w:sz w:val="21"/>
          <w:szCs w:val="21"/>
          <w:highlight w:val="none"/>
        </w:rPr>
        <w:t>天内不予答复，经催告后</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2"/>
          <w:sz w:val="21"/>
          <w:szCs w:val="21"/>
          <w:highlight w:val="none"/>
        </w:rPr>
        <w:t>天</w:t>
      </w:r>
    </w:p>
    <w:p w14:paraId="61BD4D81">
      <w:pPr>
        <w:spacing w:line="220"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内仍不予答复，视同认可承包人的返还保证金申请。</w:t>
      </w:r>
    </w:p>
    <w:p w14:paraId="5A727C45">
      <w:pPr>
        <w:spacing w:before="14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发包人和承包人对保证金预留、返还以及工程维修质量、费用有争议的，按本合同第</w:t>
      </w:r>
    </w:p>
    <w:p w14:paraId="7C9663AF">
      <w:pPr>
        <w:spacing w:before="153" w:line="221" w:lineRule="auto"/>
        <w:ind w:left="1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条约定的争议和纠纷解决程序处理。</w:t>
      </w:r>
    </w:p>
    <w:p w14:paraId="334C4D37">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15.4</w:t>
      </w:r>
      <w:r>
        <w:rPr>
          <w:rFonts w:ascii="黑体" w:hAnsi="黑体" w:eastAsia="黑体" w:cs="黑体"/>
          <w:color w:val="auto"/>
          <w:spacing w:val="11"/>
          <w:sz w:val="24"/>
          <w:szCs w:val="24"/>
          <w:highlight w:val="none"/>
        </w:rPr>
        <w:t xml:space="preserve"> </w:t>
      </w:r>
      <w:r>
        <w:rPr>
          <w:rFonts w:ascii="黑体" w:hAnsi="黑体" w:eastAsia="黑体" w:cs="黑体"/>
          <w:color w:val="auto"/>
          <w:spacing w:val="-5"/>
          <w:sz w:val="24"/>
          <w:szCs w:val="24"/>
          <w:highlight w:val="none"/>
        </w:rPr>
        <w:t>保修</w:t>
      </w:r>
    </w:p>
    <w:p w14:paraId="112CB1DF">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15.4.1 </w:t>
      </w:r>
      <w:r>
        <w:rPr>
          <w:rFonts w:ascii="宋体" w:hAnsi="宋体" w:eastAsia="宋体" w:cs="宋体"/>
          <w:color w:val="auto"/>
          <w:spacing w:val="-3"/>
          <w:sz w:val="21"/>
          <w:szCs w:val="21"/>
          <w:highlight w:val="none"/>
        </w:rPr>
        <w:t>保修责任</w:t>
      </w:r>
    </w:p>
    <w:p w14:paraId="3308B169">
      <w:pPr>
        <w:spacing w:before="146" w:line="353" w:lineRule="auto"/>
        <w:ind w:left="17" w:right="6"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工程保修期从工程竣工验收合格之日起算，具体分部分项工程的保修期由合同当事人</w:t>
      </w:r>
      <w:r>
        <w:rPr>
          <w:rFonts w:ascii="宋体" w:hAnsi="宋体" w:eastAsia="宋体" w:cs="宋体"/>
          <w:color w:val="auto"/>
          <w:sz w:val="21"/>
          <w:szCs w:val="21"/>
          <w:highlight w:val="none"/>
        </w:rPr>
        <w:t xml:space="preserve"> 在专用合同条款中约定，但不得低于法定最低保修年限。在工程保修期内， 承包人应当根</w:t>
      </w:r>
    </w:p>
    <w:p w14:paraId="21FDB22D">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据有关法律规定以及合同约定承担保修责任。</w:t>
      </w:r>
    </w:p>
    <w:p w14:paraId="3A5D6620">
      <w:pPr>
        <w:spacing w:line="220" w:lineRule="auto"/>
        <w:rPr>
          <w:rFonts w:ascii="宋体" w:hAnsi="宋体" w:eastAsia="宋体" w:cs="宋体"/>
          <w:color w:val="auto"/>
          <w:sz w:val="21"/>
          <w:szCs w:val="21"/>
          <w:highlight w:val="none"/>
        </w:rPr>
        <w:sectPr>
          <w:footerReference r:id="rId143" w:type="default"/>
          <w:pgSz w:w="11905" w:h="16839"/>
          <w:pgMar w:top="1431" w:right="1785" w:bottom="1004" w:left="1785" w:header="0" w:footer="828" w:gutter="0"/>
          <w:pgNumType w:fmt="decimal"/>
          <w:cols w:space="720" w:num="1"/>
        </w:sectPr>
      </w:pPr>
    </w:p>
    <w:p w14:paraId="41C9F9F7">
      <w:pPr>
        <w:spacing w:before="148" w:line="221" w:lineRule="auto"/>
        <w:ind w:left="44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发包人未经竣工验收擅自使用工程的， 保修期自转移</w:t>
      </w:r>
      <w:r>
        <w:rPr>
          <w:rFonts w:ascii="宋体" w:hAnsi="宋体" w:eastAsia="宋体" w:cs="宋体"/>
          <w:color w:val="auto"/>
          <w:spacing w:val="-5"/>
          <w:sz w:val="21"/>
          <w:szCs w:val="21"/>
          <w:highlight w:val="none"/>
        </w:rPr>
        <w:t>占有之日起算。</w:t>
      </w:r>
    </w:p>
    <w:p w14:paraId="443765EE">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15.4.2 </w:t>
      </w:r>
      <w:r>
        <w:rPr>
          <w:rFonts w:ascii="宋体" w:hAnsi="宋体" w:eastAsia="宋体" w:cs="宋体"/>
          <w:color w:val="auto"/>
          <w:spacing w:val="-2"/>
          <w:sz w:val="21"/>
          <w:szCs w:val="21"/>
          <w:highlight w:val="none"/>
        </w:rPr>
        <w:t>修复费用</w:t>
      </w:r>
    </w:p>
    <w:p w14:paraId="714E097B">
      <w:pPr>
        <w:spacing w:before="151" w:line="221" w:lineRule="auto"/>
        <w:ind w:left="44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保修期内，</w:t>
      </w:r>
      <w:r>
        <w:rPr>
          <w:rFonts w:ascii="宋体" w:hAnsi="宋体" w:eastAsia="宋体" w:cs="宋体"/>
          <w:color w:val="auto"/>
          <w:spacing w:val="54"/>
          <w:sz w:val="21"/>
          <w:szCs w:val="21"/>
          <w:highlight w:val="none"/>
        </w:rPr>
        <w:t xml:space="preserve"> </w:t>
      </w:r>
      <w:r>
        <w:rPr>
          <w:rFonts w:ascii="宋体" w:hAnsi="宋体" w:eastAsia="宋体" w:cs="宋体"/>
          <w:color w:val="auto"/>
          <w:spacing w:val="-10"/>
          <w:sz w:val="21"/>
          <w:szCs w:val="21"/>
          <w:highlight w:val="none"/>
        </w:rPr>
        <w:t>修复的费用按照以下约定处理：</w:t>
      </w:r>
    </w:p>
    <w:p w14:paraId="607D58A1">
      <w:pPr>
        <w:spacing w:before="148" w:line="398"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）保修期内，因承包人原因造成工程的缺陷、损坏，承包人应负责修复，并</w:t>
      </w:r>
      <w:r>
        <w:rPr>
          <w:rFonts w:ascii="宋体" w:hAnsi="宋体" w:eastAsia="宋体" w:cs="宋体"/>
          <w:color w:val="auto"/>
          <w:spacing w:val="-1"/>
          <w:position w:val="14"/>
          <w:sz w:val="21"/>
          <w:szCs w:val="21"/>
          <w:highlight w:val="none"/>
        </w:rPr>
        <w:t>承担修</w:t>
      </w:r>
    </w:p>
    <w:p w14:paraId="4A382F41">
      <w:pPr>
        <w:spacing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复的费用以及因工程的缺陷、损坏造成的人身伤害和财产损失；</w:t>
      </w:r>
    </w:p>
    <w:p w14:paraId="4D894187">
      <w:pPr>
        <w:spacing w:before="153" w:line="398" w:lineRule="exact"/>
        <w:ind w:right="13"/>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）保修期内，因发包人使用不当造成工程的缺陷、损坏，可以委托承包人</w:t>
      </w:r>
      <w:r>
        <w:rPr>
          <w:rFonts w:ascii="宋体" w:hAnsi="宋体" w:eastAsia="宋体" w:cs="宋体"/>
          <w:color w:val="auto"/>
          <w:spacing w:val="-1"/>
          <w:position w:val="14"/>
          <w:sz w:val="21"/>
          <w:szCs w:val="21"/>
          <w:highlight w:val="none"/>
        </w:rPr>
        <w:t>修复，但</w:t>
      </w:r>
    </w:p>
    <w:p w14:paraId="5682F01B">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发包人应承担修复的费用，并支付承包人合理利润；</w:t>
      </w:r>
    </w:p>
    <w:p w14:paraId="02C88D4D">
      <w:pPr>
        <w:spacing w:before="148" w:line="352" w:lineRule="auto"/>
        <w:ind w:left="29" w:right="11"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）因其他原因造成工程的缺陷、损坏，可以委托承包人修复，发包人应承担</w:t>
      </w:r>
      <w:r>
        <w:rPr>
          <w:rFonts w:ascii="宋体" w:hAnsi="宋体" w:eastAsia="宋体" w:cs="宋体"/>
          <w:color w:val="auto"/>
          <w:spacing w:val="-1"/>
          <w:sz w:val="21"/>
          <w:szCs w:val="21"/>
          <w:highlight w:val="none"/>
        </w:rPr>
        <w:t>修复的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费用， 并支付承包人合理的利润， 因工程的缺陷、损坏造成的人身伤害和财产损失由责任</w:t>
      </w:r>
    </w:p>
    <w:p w14:paraId="04E473B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方承担。</w:t>
      </w:r>
    </w:p>
    <w:p w14:paraId="5578D5FE">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15.4.3 </w:t>
      </w:r>
      <w:r>
        <w:rPr>
          <w:rFonts w:ascii="宋体" w:hAnsi="宋体" w:eastAsia="宋体" w:cs="宋体"/>
          <w:color w:val="auto"/>
          <w:spacing w:val="-2"/>
          <w:sz w:val="21"/>
          <w:szCs w:val="21"/>
          <w:highlight w:val="none"/>
        </w:rPr>
        <w:t>修复通知</w:t>
      </w:r>
    </w:p>
    <w:p w14:paraId="365E7146">
      <w:pPr>
        <w:spacing w:before="152" w:line="352" w:lineRule="auto"/>
        <w:ind w:left="22" w:right="3" w:firstLine="4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在保修期内，发包人在使用过程中， 发现已接</w:t>
      </w:r>
      <w:r>
        <w:rPr>
          <w:rFonts w:ascii="宋体" w:hAnsi="宋体" w:eastAsia="宋体" w:cs="宋体"/>
          <w:color w:val="auto"/>
          <w:spacing w:val="-3"/>
          <w:sz w:val="21"/>
          <w:szCs w:val="21"/>
          <w:highlight w:val="none"/>
        </w:rPr>
        <w:t>收的工程存在缺陷或损坏的， 应书面通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知承包人予以修复，但情况紧急必须立即修复缺陷或损坏的，发包</w:t>
      </w:r>
      <w:r>
        <w:rPr>
          <w:rFonts w:ascii="宋体" w:hAnsi="宋体" w:eastAsia="宋体" w:cs="宋体"/>
          <w:color w:val="auto"/>
          <w:spacing w:val="2"/>
          <w:sz w:val="21"/>
          <w:szCs w:val="21"/>
          <w:highlight w:val="none"/>
        </w:rPr>
        <w:t>人可以口头通知承包人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并在口头通知后</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1"/>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小时内书面确认，承包人应在专用合同条款约定的合理期限内到达工程</w:t>
      </w:r>
    </w:p>
    <w:p w14:paraId="4846F6DF">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现场并修复缺陷或损坏。</w:t>
      </w:r>
    </w:p>
    <w:p w14:paraId="700464C5">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15.4.4</w:t>
      </w:r>
      <w:r>
        <w:rPr>
          <w:rFonts w:ascii="Times New Roman" w:hAnsi="Times New Roman" w:eastAsia="Times New Roman" w:cs="Times New Roman"/>
          <w:color w:val="auto"/>
          <w:spacing w:val="11"/>
          <w:sz w:val="21"/>
          <w:szCs w:val="21"/>
          <w:highlight w:val="none"/>
        </w:rPr>
        <w:t xml:space="preserve"> </w:t>
      </w:r>
      <w:r>
        <w:rPr>
          <w:rFonts w:ascii="宋体" w:hAnsi="宋体" w:eastAsia="宋体" w:cs="宋体"/>
          <w:color w:val="auto"/>
          <w:spacing w:val="-3"/>
          <w:sz w:val="21"/>
          <w:szCs w:val="21"/>
          <w:highlight w:val="none"/>
        </w:rPr>
        <w:t>未能修复</w:t>
      </w:r>
    </w:p>
    <w:p w14:paraId="479F41F1">
      <w:pPr>
        <w:spacing w:before="147" w:line="352" w:lineRule="auto"/>
        <w:ind w:left="20" w:right="6"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因承包人原因造成工程的缺陷或损坏，承包人拒绝维</w:t>
      </w:r>
      <w:r>
        <w:rPr>
          <w:rFonts w:ascii="宋体" w:hAnsi="宋体" w:eastAsia="宋体" w:cs="宋体"/>
          <w:color w:val="auto"/>
          <w:spacing w:val="2"/>
          <w:sz w:val="21"/>
          <w:szCs w:val="21"/>
          <w:highlight w:val="none"/>
        </w:rPr>
        <w:t>修或未能在合理期限内修复缺陷</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或损坏，且经发包人书面催告后仍未修复的， 发</w:t>
      </w:r>
      <w:r>
        <w:rPr>
          <w:rFonts w:ascii="宋体" w:hAnsi="宋体" w:eastAsia="宋体" w:cs="宋体"/>
          <w:color w:val="auto"/>
          <w:spacing w:val="-3"/>
          <w:sz w:val="21"/>
          <w:szCs w:val="21"/>
          <w:highlight w:val="none"/>
        </w:rPr>
        <w:t>包人有权自行修复或委托第三方修复， 所</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需费用由承包人承担。</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但修复范围超出缺陷或损坏范围的， 超出范围部分的修复费用由发</w:t>
      </w:r>
    </w:p>
    <w:p w14:paraId="60691FD2">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包人承担。</w:t>
      </w:r>
    </w:p>
    <w:p w14:paraId="2078CBC1">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15.4.5 </w:t>
      </w:r>
      <w:r>
        <w:rPr>
          <w:rFonts w:ascii="宋体" w:hAnsi="宋体" w:eastAsia="宋体" w:cs="宋体"/>
          <w:color w:val="auto"/>
          <w:spacing w:val="-2"/>
          <w:sz w:val="21"/>
          <w:szCs w:val="21"/>
          <w:highlight w:val="none"/>
        </w:rPr>
        <w:t>承包人出入权</w:t>
      </w:r>
    </w:p>
    <w:p w14:paraId="752E33C1">
      <w:pPr>
        <w:spacing w:before="146" w:line="352" w:lineRule="auto"/>
        <w:ind w:left="17" w:right="3"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在保修期内，为了修复缺陷或损坏， 承包人有</w:t>
      </w:r>
      <w:r>
        <w:rPr>
          <w:rFonts w:ascii="宋体" w:hAnsi="宋体" w:eastAsia="宋体" w:cs="宋体"/>
          <w:color w:val="auto"/>
          <w:spacing w:val="-3"/>
          <w:sz w:val="21"/>
          <w:szCs w:val="21"/>
          <w:highlight w:val="none"/>
        </w:rPr>
        <w:t>权出入工程现场， 除情况紧急必须立即</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修复缺陷或损坏外， 承包人应提前</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3"/>
          <w:sz w:val="21"/>
          <w:szCs w:val="21"/>
          <w:highlight w:val="none"/>
        </w:rPr>
        <w:t>24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3"/>
          <w:sz w:val="21"/>
          <w:szCs w:val="21"/>
          <w:highlight w:val="none"/>
        </w:rPr>
        <w:t>小时通知发包人进场修复的时间。承包人进入工程现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场前应获得发包人同意，且不应影响发包人正常的生产经营，并应遵守发包人</w:t>
      </w:r>
      <w:r>
        <w:rPr>
          <w:rFonts w:ascii="宋体" w:hAnsi="宋体" w:eastAsia="宋体" w:cs="宋体"/>
          <w:color w:val="auto"/>
          <w:spacing w:val="2"/>
          <w:sz w:val="21"/>
          <w:szCs w:val="21"/>
          <w:highlight w:val="none"/>
        </w:rPr>
        <w:t>有关保安和</w:t>
      </w:r>
    </w:p>
    <w:p w14:paraId="10DAA99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保密等规定。</w:t>
      </w:r>
    </w:p>
    <w:p w14:paraId="1C23806E">
      <w:pPr>
        <w:spacing w:before="173" w:line="221"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16.违约</w:t>
      </w:r>
    </w:p>
    <w:p w14:paraId="2C38B354">
      <w:pPr>
        <w:spacing w:before="148"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16.1 发包人违约</w:t>
      </w:r>
    </w:p>
    <w:p w14:paraId="2090E3B3">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16.1.1 </w:t>
      </w:r>
      <w:r>
        <w:rPr>
          <w:rFonts w:ascii="宋体" w:hAnsi="宋体" w:eastAsia="宋体" w:cs="宋体"/>
          <w:color w:val="auto"/>
          <w:spacing w:val="-2"/>
          <w:sz w:val="21"/>
          <w:szCs w:val="21"/>
          <w:highlight w:val="none"/>
        </w:rPr>
        <w:t>发包人违约的情形</w:t>
      </w:r>
    </w:p>
    <w:p w14:paraId="3CB29269">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在合同履行过程中发生的下列情形，属于发包人违约：</w:t>
      </w:r>
    </w:p>
    <w:p w14:paraId="59BFDDB1">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）因发包人原因未能在计划开工日期前</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7 </w:t>
      </w:r>
      <w:r>
        <w:rPr>
          <w:rFonts w:ascii="宋体" w:hAnsi="宋体" w:eastAsia="宋体" w:cs="宋体"/>
          <w:color w:val="auto"/>
          <w:spacing w:val="-2"/>
          <w:position w:val="14"/>
          <w:sz w:val="21"/>
          <w:szCs w:val="21"/>
          <w:highlight w:val="none"/>
        </w:rPr>
        <w:t>天内下达开工通知的；</w:t>
      </w:r>
    </w:p>
    <w:p w14:paraId="6C0F67E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）因发包人原因未能按合同约定支付合同价款的；</w:t>
      </w:r>
    </w:p>
    <w:p w14:paraId="37D26327">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宋体" w:hAnsi="宋体" w:eastAsia="宋体" w:cs="宋体"/>
          <w:color w:val="auto"/>
          <w:spacing w:val="-1"/>
          <w:position w:val="14"/>
          <w:sz w:val="21"/>
          <w:szCs w:val="21"/>
          <w:highlight w:val="none"/>
        </w:rPr>
        <w:t xml:space="preserve">）发包人违反第 </w:t>
      </w:r>
      <w:r>
        <w:rPr>
          <w:rFonts w:ascii="Times New Roman" w:hAnsi="Times New Roman" w:eastAsia="Times New Roman" w:cs="Times New Roman"/>
          <w:color w:val="auto"/>
          <w:spacing w:val="-1"/>
          <w:position w:val="14"/>
          <w:sz w:val="21"/>
          <w:szCs w:val="21"/>
          <w:highlight w:val="none"/>
        </w:rPr>
        <w:t>10.1</w:t>
      </w:r>
      <w:r>
        <w:rPr>
          <w:rFonts w:ascii="Times New Roman" w:hAnsi="Times New Roman" w:eastAsia="Times New Roman" w:cs="Times New Roman"/>
          <w:color w:val="auto"/>
          <w:spacing w:val="43"/>
          <w:w w:val="101"/>
          <w:position w:val="14"/>
          <w:sz w:val="21"/>
          <w:szCs w:val="21"/>
          <w:highlight w:val="none"/>
        </w:rPr>
        <w:t xml:space="preserve"> </w:t>
      </w:r>
      <w:r>
        <w:rPr>
          <w:rFonts w:ascii="宋体" w:hAnsi="宋体" w:eastAsia="宋体" w:cs="宋体"/>
          <w:color w:val="auto"/>
          <w:spacing w:val="-1"/>
          <w:position w:val="14"/>
          <w:sz w:val="21"/>
          <w:szCs w:val="21"/>
          <w:highlight w:val="none"/>
        </w:rPr>
        <w:t>款〔变更的范围〕第（</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）项约定，自行实施被取消的工作或</w:t>
      </w:r>
    </w:p>
    <w:p w14:paraId="39500090">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转由他人实施的；</w:t>
      </w:r>
    </w:p>
    <w:p w14:paraId="0AF05936">
      <w:pPr>
        <w:spacing w:before="152" w:line="220" w:lineRule="auto"/>
        <w:ind w:right="1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）发包人提供的材料、工程设备的规格、数量或质量不符合合同约定，或因</w:t>
      </w:r>
      <w:r>
        <w:rPr>
          <w:rFonts w:ascii="宋体" w:hAnsi="宋体" w:eastAsia="宋体" w:cs="宋体"/>
          <w:color w:val="auto"/>
          <w:spacing w:val="-1"/>
          <w:sz w:val="21"/>
          <w:szCs w:val="21"/>
          <w:highlight w:val="none"/>
        </w:rPr>
        <w:t>发包人</w:t>
      </w:r>
    </w:p>
    <w:p w14:paraId="177C0AA6">
      <w:pPr>
        <w:spacing w:line="220" w:lineRule="auto"/>
        <w:rPr>
          <w:rFonts w:ascii="宋体" w:hAnsi="宋体" w:eastAsia="宋体" w:cs="宋体"/>
          <w:color w:val="auto"/>
          <w:sz w:val="21"/>
          <w:szCs w:val="21"/>
          <w:highlight w:val="none"/>
        </w:rPr>
        <w:sectPr>
          <w:footerReference r:id="rId144" w:type="default"/>
          <w:pgSz w:w="11905" w:h="16839"/>
          <w:pgMar w:top="1431" w:right="1785" w:bottom="1004" w:left="1785" w:header="0" w:footer="828" w:gutter="0"/>
          <w:pgNumType w:fmt="decimal"/>
          <w:cols w:space="720" w:num="1"/>
        </w:sectPr>
      </w:pPr>
    </w:p>
    <w:p w14:paraId="65503A1A">
      <w:pPr>
        <w:spacing w:before="149"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原因导致交货日期延误或交货地点变更等情况的；</w:t>
      </w:r>
    </w:p>
    <w:p w14:paraId="4FC83FEC">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）因发包人违反合同约定造成暂停施工</w:t>
      </w:r>
      <w:r>
        <w:rPr>
          <w:rFonts w:ascii="宋体" w:hAnsi="宋体" w:eastAsia="宋体" w:cs="宋体"/>
          <w:color w:val="auto"/>
          <w:spacing w:val="-3"/>
          <w:sz w:val="21"/>
          <w:szCs w:val="21"/>
          <w:highlight w:val="none"/>
        </w:rPr>
        <w:t>的；</w:t>
      </w:r>
    </w:p>
    <w:p w14:paraId="7C03FD6C">
      <w:pPr>
        <w:spacing w:before="151"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）发包人无正当理由没有在约定期限内发出复工指示</w:t>
      </w:r>
      <w:r>
        <w:rPr>
          <w:rFonts w:ascii="宋体" w:hAnsi="宋体" w:eastAsia="宋体" w:cs="宋体"/>
          <w:color w:val="auto"/>
          <w:spacing w:val="-1"/>
          <w:position w:val="14"/>
          <w:sz w:val="21"/>
          <w:szCs w:val="21"/>
          <w:highlight w:val="none"/>
        </w:rPr>
        <w:t>，导致承包人无法复工的；</w:t>
      </w:r>
    </w:p>
    <w:p w14:paraId="6AF0760D">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）发包人明确表示或者以其行为表明不履行合同主要义务的；</w:t>
      </w:r>
    </w:p>
    <w:p w14:paraId="65A0191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）发包人未能按照合同约定履行其他义务的。</w:t>
      </w:r>
    </w:p>
    <w:p w14:paraId="6F386679">
      <w:pPr>
        <w:spacing w:before="153" w:line="350" w:lineRule="auto"/>
        <w:ind w:left="18" w:right="12" w:firstLine="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发包人发生除本项第（</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）目以外的违约情况时，</w:t>
      </w:r>
      <w:r>
        <w:rPr>
          <w:rFonts w:ascii="宋体" w:hAnsi="宋体" w:eastAsia="宋体" w:cs="宋体"/>
          <w:color w:val="auto"/>
          <w:spacing w:val="52"/>
          <w:sz w:val="21"/>
          <w:szCs w:val="21"/>
          <w:highlight w:val="none"/>
        </w:rPr>
        <w:t xml:space="preserve"> </w:t>
      </w:r>
      <w:r>
        <w:rPr>
          <w:rFonts w:ascii="宋体" w:hAnsi="宋体" w:eastAsia="宋体" w:cs="宋体"/>
          <w:color w:val="auto"/>
          <w:spacing w:val="-4"/>
          <w:sz w:val="21"/>
          <w:szCs w:val="21"/>
          <w:highlight w:val="none"/>
        </w:rPr>
        <w:t>承包人可向发包人发出通</w:t>
      </w:r>
      <w:r>
        <w:rPr>
          <w:rFonts w:ascii="宋体" w:hAnsi="宋体" w:eastAsia="宋体" w:cs="宋体"/>
          <w:color w:val="auto"/>
          <w:spacing w:val="-5"/>
          <w:sz w:val="21"/>
          <w:szCs w:val="21"/>
          <w:highlight w:val="none"/>
        </w:rPr>
        <w:t>知，要求发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包人采取有效措施纠正违约行为。发包人收到承包人通知后</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2"/>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2"/>
          <w:sz w:val="21"/>
          <w:szCs w:val="21"/>
          <w:highlight w:val="none"/>
        </w:rPr>
        <w:t>天内仍不纠正违约行为的，</w:t>
      </w:r>
    </w:p>
    <w:p w14:paraId="07D7D05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承包人有权暂停相应部位工程施工，并通知监理人。</w:t>
      </w:r>
    </w:p>
    <w:p w14:paraId="1E47A85A">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16.1.2 </w:t>
      </w:r>
      <w:r>
        <w:rPr>
          <w:rFonts w:ascii="宋体" w:hAnsi="宋体" w:eastAsia="宋体" w:cs="宋体"/>
          <w:color w:val="auto"/>
          <w:spacing w:val="-2"/>
          <w:sz w:val="21"/>
          <w:szCs w:val="21"/>
          <w:highlight w:val="none"/>
        </w:rPr>
        <w:t>发包人违约的责任</w:t>
      </w:r>
    </w:p>
    <w:p w14:paraId="2BA13B15">
      <w:pPr>
        <w:spacing w:before="148" w:line="352" w:lineRule="auto"/>
        <w:ind w:left="35" w:right="6"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发包人应承担因其违约给承包人增加的费用和（或）延误的工期，并支付承包人合理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的利润。此外，合同当事人可在专用合同条款中另行约定发包人违约责任的承担方式和计</w:t>
      </w:r>
    </w:p>
    <w:p w14:paraId="352995A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算方法。</w:t>
      </w:r>
    </w:p>
    <w:p w14:paraId="7C944E24">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3"/>
          <w:sz w:val="21"/>
          <w:szCs w:val="21"/>
          <w:highlight w:val="none"/>
        </w:rPr>
        <w:t>因发包人违约解除合同</w:t>
      </w:r>
    </w:p>
    <w:p w14:paraId="5BCD485F">
      <w:pPr>
        <w:spacing w:before="146" w:line="352" w:lineRule="auto"/>
        <w:ind w:left="20" w:right="5" w:firstLine="43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除专用合同条款另有约定外，承包人按第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16.1.1</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pacing w:val="-1"/>
          <w:sz w:val="21"/>
          <w:szCs w:val="21"/>
          <w:highlight w:val="none"/>
        </w:rPr>
        <w:t>项〔发包人违约的情形〕约定暂停施</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工满</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4"/>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4"/>
          <w:sz w:val="21"/>
          <w:szCs w:val="21"/>
          <w:highlight w:val="none"/>
        </w:rPr>
        <w:t xml:space="preserve">天后，发包人仍不纠正其违约行为并致使合同目的不能实现的， 或出现第 </w:t>
      </w:r>
      <w:r>
        <w:rPr>
          <w:rFonts w:ascii="Times New Roman" w:hAnsi="Times New Roman" w:eastAsia="Times New Roman" w:cs="Times New Roman"/>
          <w:color w:val="auto"/>
          <w:spacing w:val="-4"/>
          <w:sz w:val="21"/>
          <w:szCs w:val="21"/>
          <w:highlight w:val="none"/>
        </w:rPr>
        <w:t xml:space="preserve">16.1.1 </w:t>
      </w:r>
      <w:r>
        <w:rPr>
          <w:rFonts w:ascii="宋体" w:hAnsi="宋体" w:eastAsia="宋体" w:cs="宋体"/>
          <w:color w:val="auto"/>
          <w:spacing w:val="-4"/>
          <w:sz w:val="21"/>
          <w:szCs w:val="21"/>
          <w:highlight w:val="none"/>
        </w:rPr>
        <w:t>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〔发包人违约的情形〕第（</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）目约定的违约情况，</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承包人有权解除合同，发包人应承担由</w:t>
      </w:r>
    </w:p>
    <w:p w14:paraId="68861A4D">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此增加的费用，并支付承包人合理的利润。</w:t>
      </w:r>
    </w:p>
    <w:p w14:paraId="16ECC0DB">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16.1.4</w:t>
      </w:r>
      <w:r>
        <w:rPr>
          <w:rFonts w:ascii="Times New Roman" w:hAnsi="Times New Roman" w:eastAsia="Times New Roman" w:cs="Times New Roman"/>
          <w:color w:val="auto"/>
          <w:spacing w:val="39"/>
          <w:w w:val="101"/>
          <w:sz w:val="21"/>
          <w:szCs w:val="21"/>
          <w:highlight w:val="none"/>
        </w:rPr>
        <w:t xml:space="preserve"> </w:t>
      </w:r>
      <w:r>
        <w:rPr>
          <w:rFonts w:ascii="宋体" w:hAnsi="宋体" w:eastAsia="宋体" w:cs="宋体"/>
          <w:color w:val="auto"/>
          <w:spacing w:val="-3"/>
          <w:sz w:val="21"/>
          <w:szCs w:val="21"/>
          <w:highlight w:val="none"/>
        </w:rPr>
        <w:t>因发包人违约解除合同后的付款</w:t>
      </w:r>
    </w:p>
    <w:p w14:paraId="727F6480">
      <w:pPr>
        <w:spacing w:before="147"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承包人按照本款约定解除合同的，发包人应在解除合同后</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2</w:t>
      </w:r>
      <w:r>
        <w:rPr>
          <w:rFonts w:ascii="Times New Roman" w:hAnsi="Times New Roman" w:eastAsia="Times New Roman" w:cs="Times New Roman"/>
          <w:color w:val="auto"/>
          <w:spacing w:val="-1"/>
          <w:position w:val="14"/>
          <w:sz w:val="21"/>
          <w:szCs w:val="21"/>
          <w:highlight w:val="none"/>
        </w:rPr>
        <w:t xml:space="preserve">8 </w:t>
      </w:r>
      <w:r>
        <w:rPr>
          <w:rFonts w:ascii="宋体" w:hAnsi="宋体" w:eastAsia="宋体" w:cs="宋体"/>
          <w:color w:val="auto"/>
          <w:spacing w:val="-1"/>
          <w:position w:val="14"/>
          <w:sz w:val="21"/>
          <w:szCs w:val="21"/>
          <w:highlight w:val="none"/>
        </w:rPr>
        <w:t>天内支付下列款项，并解</w:t>
      </w:r>
    </w:p>
    <w:p w14:paraId="0AAAC133">
      <w:pPr>
        <w:spacing w:line="220" w:lineRule="auto"/>
        <w:ind w:left="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除履约担保：</w:t>
      </w:r>
    </w:p>
    <w:p w14:paraId="102ADC03">
      <w:pPr>
        <w:spacing w:before="153"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）合同解除前所完成工作的价款；</w:t>
      </w:r>
    </w:p>
    <w:p w14:paraId="50EB496C">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）承包人为工程施工订购并已付款的材料、工程设备和其他物品</w:t>
      </w:r>
      <w:r>
        <w:rPr>
          <w:rFonts w:ascii="宋体" w:hAnsi="宋体" w:eastAsia="宋体" w:cs="宋体"/>
          <w:color w:val="auto"/>
          <w:spacing w:val="-2"/>
          <w:position w:val="14"/>
          <w:sz w:val="21"/>
          <w:szCs w:val="21"/>
          <w:highlight w:val="none"/>
        </w:rPr>
        <w:t>的价款；</w:t>
      </w:r>
    </w:p>
    <w:p w14:paraId="1A674E6F">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）承包人撤离施工现场以及遣散承包人人员的款项；</w:t>
      </w:r>
    </w:p>
    <w:p w14:paraId="4716140A">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宋体" w:hAnsi="宋体" w:eastAsia="宋体" w:cs="宋体"/>
          <w:color w:val="auto"/>
          <w:spacing w:val="-2"/>
          <w:position w:val="14"/>
          <w:sz w:val="21"/>
          <w:szCs w:val="21"/>
          <w:highlight w:val="none"/>
        </w:rPr>
        <w:t>）按照合同约定在合同解除前应支付的违约金；</w:t>
      </w:r>
    </w:p>
    <w:p w14:paraId="6755D005">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）按照合同约定应当支付给承包人的其他款项；</w:t>
      </w:r>
    </w:p>
    <w:p w14:paraId="6BD07D7F">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6</w:t>
      </w:r>
      <w:r>
        <w:rPr>
          <w:rFonts w:ascii="宋体" w:hAnsi="宋体" w:eastAsia="宋体" w:cs="宋体"/>
          <w:color w:val="auto"/>
          <w:spacing w:val="-1"/>
          <w:position w:val="14"/>
          <w:sz w:val="21"/>
          <w:szCs w:val="21"/>
          <w:highlight w:val="none"/>
        </w:rPr>
        <w:t>）按照合同约定应退还的质量保证金；</w:t>
      </w:r>
    </w:p>
    <w:p w14:paraId="423002A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）因解除合同给承包人造成的损失。</w:t>
      </w:r>
    </w:p>
    <w:p w14:paraId="32BBFBFC">
      <w:pPr>
        <w:spacing w:before="147" w:line="399"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合同当事人未能就解除合同后的结清达成一致的，按照第</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20 </w:t>
      </w:r>
      <w:r>
        <w:rPr>
          <w:rFonts w:ascii="宋体" w:hAnsi="宋体" w:eastAsia="宋体" w:cs="宋体"/>
          <w:color w:val="auto"/>
          <w:position w:val="14"/>
          <w:sz w:val="21"/>
          <w:szCs w:val="21"/>
          <w:highlight w:val="none"/>
        </w:rPr>
        <w:t>条〔争</w:t>
      </w:r>
      <w:r>
        <w:rPr>
          <w:rFonts w:ascii="宋体" w:hAnsi="宋体" w:eastAsia="宋体" w:cs="宋体"/>
          <w:color w:val="auto"/>
          <w:spacing w:val="-1"/>
          <w:position w:val="14"/>
          <w:sz w:val="21"/>
          <w:szCs w:val="21"/>
          <w:highlight w:val="none"/>
        </w:rPr>
        <w:t>议解决〕的约定处</w:t>
      </w:r>
    </w:p>
    <w:p w14:paraId="35301F86">
      <w:pPr>
        <w:spacing w:line="23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理。</w:t>
      </w:r>
    </w:p>
    <w:p w14:paraId="0D96E872">
      <w:pPr>
        <w:spacing w:before="141" w:line="220" w:lineRule="auto"/>
        <w:ind w:right="12"/>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承包人应妥善做好已完工程和与工程有关的已购材料、工程设备的保护和移交</w:t>
      </w:r>
      <w:r>
        <w:rPr>
          <w:rFonts w:ascii="宋体" w:hAnsi="宋体" w:eastAsia="宋体" w:cs="宋体"/>
          <w:color w:val="auto"/>
          <w:spacing w:val="2"/>
          <w:sz w:val="21"/>
          <w:szCs w:val="21"/>
          <w:highlight w:val="none"/>
        </w:rPr>
        <w:t>工作，</w:t>
      </w:r>
    </w:p>
    <w:p w14:paraId="05B9DAF4">
      <w:pPr>
        <w:spacing w:before="149" w:line="220"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并将施工设备和人员撤出施工现场，发包人应为承包</w:t>
      </w:r>
      <w:r>
        <w:rPr>
          <w:rFonts w:ascii="宋体" w:hAnsi="宋体" w:eastAsia="宋体" w:cs="宋体"/>
          <w:color w:val="auto"/>
          <w:spacing w:val="-1"/>
          <w:sz w:val="21"/>
          <w:szCs w:val="21"/>
          <w:highlight w:val="none"/>
        </w:rPr>
        <w:t>人撤出提供必要条件。</w:t>
      </w:r>
    </w:p>
    <w:p w14:paraId="7381C4C4">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16.2 承包人违约</w:t>
      </w:r>
    </w:p>
    <w:p w14:paraId="0CC949D3">
      <w:pPr>
        <w:spacing w:before="12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16.2.1 </w:t>
      </w:r>
      <w:r>
        <w:rPr>
          <w:rFonts w:ascii="宋体" w:hAnsi="宋体" w:eastAsia="宋体" w:cs="宋体"/>
          <w:color w:val="auto"/>
          <w:spacing w:val="-2"/>
          <w:sz w:val="21"/>
          <w:szCs w:val="21"/>
          <w:highlight w:val="none"/>
        </w:rPr>
        <w:t>承包人违约的情形</w:t>
      </w:r>
    </w:p>
    <w:p w14:paraId="7D69050E">
      <w:pPr>
        <w:spacing w:before="153" w:line="399" w:lineRule="exact"/>
        <w:ind w:left="44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在合同履行过程中发生的下列情形，属于承包人违约：</w:t>
      </w:r>
    </w:p>
    <w:p w14:paraId="123C1E47">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）承包人违反合同约定进行转包或违法分包的；</w:t>
      </w:r>
    </w:p>
    <w:p w14:paraId="457566F4">
      <w:pPr>
        <w:spacing w:line="220" w:lineRule="auto"/>
        <w:rPr>
          <w:rFonts w:ascii="宋体" w:hAnsi="宋体" w:eastAsia="宋体" w:cs="宋体"/>
          <w:color w:val="auto"/>
          <w:sz w:val="21"/>
          <w:szCs w:val="21"/>
          <w:highlight w:val="none"/>
        </w:rPr>
        <w:sectPr>
          <w:footerReference r:id="rId145" w:type="default"/>
          <w:pgSz w:w="11905" w:h="16839"/>
          <w:pgMar w:top="1431" w:right="1785" w:bottom="1004" w:left="1785" w:header="0" w:footer="828" w:gutter="0"/>
          <w:pgNumType w:fmt="decimal"/>
          <w:cols w:space="720" w:num="1"/>
        </w:sectPr>
      </w:pPr>
    </w:p>
    <w:p w14:paraId="63BB05D2">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）承包人违反合同约定采购和使用不合格的材</w:t>
      </w:r>
      <w:r>
        <w:rPr>
          <w:rFonts w:ascii="宋体" w:hAnsi="宋体" w:eastAsia="宋体" w:cs="宋体"/>
          <w:color w:val="auto"/>
          <w:spacing w:val="-2"/>
          <w:position w:val="14"/>
          <w:sz w:val="21"/>
          <w:szCs w:val="21"/>
          <w:highlight w:val="none"/>
        </w:rPr>
        <w:t>料和工程设备的；</w:t>
      </w:r>
    </w:p>
    <w:p w14:paraId="564C8DFC">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）因承包人原因导致工程质量不符合合同要求的；</w:t>
      </w:r>
    </w:p>
    <w:p w14:paraId="70597F0D">
      <w:pPr>
        <w:spacing w:before="152" w:line="399" w:lineRule="exact"/>
        <w:jc w:val="right"/>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w:t>
      </w:r>
      <w:r>
        <w:rPr>
          <w:rFonts w:ascii="Times New Roman" w:hAnsi="Times New Roman" w:eastAsia="Times New Roman" w:cs="Times New Roman"/>
          <w:color w:val="auto"/>
          <w:spacing w:val="-6"/>
          <w:position w:val="14"/>
          <w:sz w:val="21"/>
          <w:szCs w:val="21"/>
          <w:highlight w:val="none"/>
        </w:rPr>
        <w:t>4</w:t>
      </w:r>
      <w:r>
        <w:rPr>
          <w:rFonts w:ascii="宋体" w:hAnsi="宋体" w:eastAsia="宋体" w:cs="宋体"/>
          <w:color w:val="auto"/>
          <w:spacing w:val="-6"/>
          <w:position w:val="14"/>
          <w:sz w:val="21"/>
          <w:szCs w:val="21"/>
          <w:highlight w:val="none"/>
        </w:rPr>
        <w:t xml:space="preserve">）承包人违反第 </w:t>
      </w:r>
      <w:r>
        <w:rPr>
          <w:rFonts w:ascii="Times New Roman" w:hAnsi="Times New Roman" w:eastAsia="Times New Roman" w:cs="Times New Roman"/>
          <w:color w:val="auto"/>
          <w:spacing w:val="-6"/>
          <w:position w:val="14"/>
          <w:sz w:val="21"/>
          <w:szCs w:val="21"/>
          <w:highlight w:val="none"/>
        </w:rPr>
        <w:t>8.9</w:t>
      </w:r>
      <w:r>
        <w:rPr>
          <w:rFonts w:ascii="Times New Roman" w:hAnsi="Times New Roman" w:eastAsia="Times New Roman" w:cs="Times New Roman"/>
          <w:color w:val="auto"/>
          <w:spacing w:val="50"/>
          <w:position w:val="14"/>
          <w:sz w:val="21"/>
          <w:szCs w:val="21"/>
          <w:highlight w:val="none"/>
        </w:rPr>
        <w:t xml:space="preserve"> </w:t>
      </w:r>
      <w:r>
        <w:rPr>
          <w:rFonts w:ascii="宋体" w:hAnsi="宋体" w:eastAsia="宋体" w:cs="宋体"/>
          <w:color w:val="auto"/>
          <w:spacing w:val="-6"/>
          <w:position w:val="14"/>
          <w:sz w:val="21"/>
          <w:szCs w:val="21"/>
          <w:highlight w:val="none"/>
        </w:rPr>
        <w:t>款〔材料与设备专用要求〕 的约定，未经批准， 私自将已按照</w:t>
      </w:r>
    </w:p>
    <w:p w14:paraId="3BC2C41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合同约定进入施工现场的材料或设备撤离施工现场的；</w:t>
      </w:r>
    </w:p>
    <w:p w14:paraId="5DE53FE6">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）承包人未能按施工进度计划及时完成合同约定的</w:t>
      </w:r>
      <w:r>
        <w:rPr>
          <w:rFonts w:ascii="宋体" w:hAnsi="宋体" w:eastAsia="宋体" w:cs="宋体"/>
          <w:color w:val="auto"/>
          <w:spacing w:val="-2"/>
          <w:sz w:val="21"/>
          <w:szCs w:val="21"/>
          <w:highlight w:val="none"/>
        </w:rPr>
        <w:t>工作，造成工期延误的；</w:t>
      </w:r>
    </w:p>
    <w:p w14:paraId="0265F937">
      <w:pPr>
        <w:spacing w:before="152"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）承包人在缺陷责任期及保修期内，未能在合理期限对工程缺陷进行修复</w:t>
      </w:r>
      <w:r>
        <w:rPr>
          <w:rFonts w:ascii="宋体" w:hAnsi="宋体" w:eastAsia="宋体" w:cs="宋体"/>
          <w:color w:val="auto"/>
          <w:spacing w:val="-1"/>
          <w:position w:val="14"/>
          <w:sz w:val="21"/>
          <w:szCs w:val="21"/>
          <w:highlight w:val="none"/>
        </w:rPr>
        <w:t>，或拒绝</w:t>
      </w:r>
    </w:p>
    <w:p w14:paraId="31014B41">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按发包人要求进行修复的；</w:t>
      </w:r>
    </w:p>
    <w:p w14:paraId="13D1D529">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宋体" w:hAnsi="宋体" w:eastAsia="宋体" w:cs="宋体"/>
          <w:color w:val="auto"/>
          <w:spacing w:val="-1"/>
          <w:position w:val="14"/>
          <w:sz w:val="21"/>
          <w:szCs w:val="21"/>
          <w:highlight w:val="none"/>
        </w:rPr>
        <w:t>）承包人明确表示或者以其行为表明不履行合同主要义务的；</w:t>
      </w:r>
    </w:p>
    <w:p w14:paraId="04F322AB">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）承包人未能按照合同约定履行其他义务的。</w:t>
      </w:r>
    </w:p>
    <w:p w14:paraId="62EEA47B">
      <w:pPr>
        <w:spacing w:before="148" w:line="398" w:lineRule="exact"/>
        <w:ind w:right="10"/>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承包人发生除本项第（</w:t>
      </w:r>
      <w:r>
        <w:rPr>
          <w:rFonts w:ascii="Times New Roman" w:hAnsi="Times New Roman" w:eastAsia="Times New Roman" w:cs="Times New Roman"/>
          <w:color w:val="auto"/>
          <w:position w:val="14"/>
          <w:sz w:val="21"/>
          <w:szCs w:val="21"/>
          <w:highlight w:val="none"/>
        </w:rPr>
        <w:t>7</w:t>
      </w:r>
      <w:r>
        <w:rPr>
          <w:rFonts w:ascii="宋体" w:hAnsi="宋体" w:eastAsia="宋体" w:cs="宋体"/>
          <w:color w:val="auto"/>
          <w:position w:val="14"/>
          <w:sz w:val="21"/>
          <w:szCs w:val="21"/>
          <w:highlight w:val="none"/>
        </w:rPr>
        <w:t>）目约定以外的其他违约情况时，监理人可向承包人发出整改</w:t>
      </w:r>
    </w:p>
    <w:p w14:paraId="04207E55">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通知，要求其在指定的期限内改正。</w:t>
      </w:r>
    </w:p>
    <w:p w14:paraId="38F91223">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16.2.2 </w:t>
      </w:r>
      <w:r>
        <w:rPr>
          <w:rFonts w:ascii="宋体" w:hAnsi="宋体" w:eastAsia="宋体" w:cs="宋体"/>
          <w:color w:val="auto"/>
          <w:spacing w:val="-2"/>
          <w:sz w:val="21"/>
          <w:szCs w:val="21"/>
          <w:highlight w:val="none"/>
        </w:rPr>
        <w:t>承包人违约的责任</w:t>
      </w:r>
    </w:p>
    <w:p w14:paraId="1251208C">
      <w:pPr>
        <w:spacing w:before="149" w:line="398" w:lineRule="exact"/>
        <w:ind w:right="2"/>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承包人应承担因其违约行为而增加的费用和（或）延误的工期。此外，合同当事人可</w:t>
      </w:r>
    </w:p>
    <w:p w14:paraId="64E3778E">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在专用合同条款中另行约定承包人违约责任的承担方式和计算方法。</w:t>
      </w:r>
    </w:p>
    <w:p w14:paraId="235A657B">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3"/>
          <w:sz w:val="21"/>
          <w:szCs w:val="21"/>
          <w:highlight w:val="none"/>
        </w:rPr>
        <w:t>因承包人违约解除合同</w:t>
      </w:r>
    </w:p>
    <w:p w14:paraId="57679E31">
      <w:pPr>
        <w:spacing w:before="148" w:line="352" w:lineRule="auto"/>
        <w:ind w:left="18" w:right="5" w:firstLine="4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w:t>
      </w:r>
      <w:r>
        <w:rPr>
          <w:rFonts w:ascii="宋体" w:hAnsi="宋体" w:eastAsia="宋体" w:cs="宋体"/>
          <w:color w:val="auto"/>
          <w:spacing w:val="37"/>
          <w:sz w:val="21"/>
          <w:szCs w:val="21"/>
          <w:highlight w:val="none"/>
        </w:rPr>
        <w:t xml:space="preserve"> </w:t>
      </w:r>
      <w:r>
        <w:rPr>
          <w:rFonts w:ascii="宋体" w:hAnsi="宋体" w:eastAsia="宋体" w:cs="宋体"/>
          <w:color w:val="auto"/>
          <w:spacing w:val="-5"/>
          <w:sz w:val="21"/>
          <w:szCs w:val="21"/>
          <w:highlight w:val="none"/>
        </w:rPr>
        <w:t xml:space="preserve">出现第 </w:t>
      </w:r>
      <w:r>
        <w:rPr>
          <w:rFonts w:ascii="Times New Roman" w:hAnsi="Times New Roman" w:eastAsia="Times New Roman" w:cs="Times New Roman"/>
          <w:color w:val="auto"/>
          <w:spacing w:val="-5"/>
          <w:sz w:val="21"/>
          <w:szCs w:val="21"/>
          <w:highlight w:val="none"/>
        </w:rPr>
        <w:t>16.2.1</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5"/>
          <w:sz w:val="21"/>
          <w:szCs w:val="21"/>
          <w:highlight w:val="none"/>
        </w:rPr>
        <w:t>项〔承包人违约的情形〕第（</w:t>
      </w:r>
      <w:r>
        <w:rPr>
          <w:rFonts w:ascii="Times New Roman" w:hAnsi="Times New Roman" w:eastAsia="Times New Roman" w:cs="Times New Roman"/>
          <w:color w:val="auto"/>
          <w:spacing w:val="-5"/>
          <w:sz w:val="21"/>
          <w:szCs w:val="21"/>
          <w:highlight w:val="none"/>
        </w:rPr>
        <w:t>7</w:t>
      </w:r>
      <w:r>
        <w:rPr>
          <w:rFonts w:ascii="宋体" w:hAnsi="宋体" w:eastAsia="宋体" w:cs="宋体"/>
          <w:color w:val="auto"/>
          <w:spacing w:val="-5"/>
          <w:sz w:val="21"/>
          <w:szCs w:val="21"/>
          <w:highlight w:val="none"/>
        </w:rPr>
        <w:t>）目约定的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违约情况时， 或监理人发出整改通知后， 承包人在</w:t>
      </w:r>
      <w:r>
        <w:rPr>
          <w:rFonts w:ascii="宋体" w:hAnsi="宋体" w:eastAsia="宋体" w:cs="宋体"/>
          <w:color w:val="auto"/>
          <w:spacing w:val="-3"/>
          <w:sz w:val="21"/>
          <w:szCs w:val="21"/>
          <w:highlight w:val="none"/>
        </w:rPr>
        <w:t>指定的合理期限内仍不纠正违约行为并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致使合同目的不能实现的，发包人有权解除合同。合同解除后，</w:t>
      </w:r>
      <w:r>
        <w:rPr>
          <w:rFonts w:ascii="宋体" w:hAnsi="宋体" w:eastAsia="宋体" w:cs="宋体"/>
          <w:color w:val="auto"/>
          <w:spacing w:val="2"/>
          <w:sz w:val="21"/>
          <w:szCs w:val="21"/>
          <w:highlight w:val="none"/>
        </w:rPr>
        <w:t>因继续完成工程的需要，</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发包人有权使用承包人在施工现场的材料、设备、临时工程、承包人文件和</w:t>
      </w:r>
      <w:r>
        <w:rPr>
          <w:rFonts w:ascii="宋体" w:hAnsi="宋体" w:eastAsia="宋体" w:cs="宋体"/>
          <w:color w:val="auto"/>
          <w:spacing w:val="2"/>
          <w:sz w:val="21"/>
          <w:szCs w:val="21"/>
          <w:highlight w:val="none"/>
        </w:rPr>
        <w:t>由承包人或以</w:t>
      </w:r>
      <w:r>
        <w:rPr>
          <w:rFonts w:ascii="宋体" w:hAnsi="宋体" w:eastAsia="宋体" w:cs="宋体"/>
          <w:color w:val="auto"/>
          <w:sz w:val="21"/>
          <w:szCs w:val="21"/>
          <w:highlight w:val="none"/>
        </w:rPr>
        <w:t xml:space="preserve"> 其名义编制的其他文件，合同当事人应在专用合同条款约定相应费用的承担方式。 发包人</w:t>
      </w:r>
    </w:p>
    <w:p w14:paraId="669542F2">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继续使用的行为不免除或减轻承包人应承担的违约责</w:t>
      </w:r>
      <w:r>
        <w:rPr>
          <w:rFonts w:ascii="宋体" w:hAnsi="宋体" w:eastAsia="宋体" w:cs="宋体"/>
          <w:color w:val="auto"/>
          <w:spacing w:val="-2"/>
          <w:sz w:val="21"/>
          <w:szCs w:val="21"/>
          <w:highlight w:val="none"/>
        </w:rPr>
        <w:t>任。</w:t>
      </w:r>
    </w:p>
    <w:p w14:paraId="2BC73092">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16.2.4</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3"/>
          <w:sz w:val="21"/>
          <w:szCs w:val="21"/>
          <w:highlight w:val="none"/>
        </w:rPr>
        <w:t>因承包人违约解除合同后的处理</w:t>
      </w:r>
    </w:p>
    <w:p w14:paraId="1745D6E8">
      <w:pPr>
        <w:spacing w:before="147" w:line="404" w:lineRule="exact"/>
        <w:ind w:right="7"/>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因承包人原因导致合同解除的，则合同当事人应在合同解除后</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28</w:t>
      </w:r>
      <w:r>
        <w:rPr>
          <w:rFonts w:ascii="Times New Roman" w:hAnsi="Times New Roman" w:eastAsia="Times New Roman" w:cs="Times New Roman"/>
          <w:color w:val="auto"/>
          <w:spacing w:val="13"/>
          <w:position w:val="14"/>
          <w:sz w:val="21"/>
          <w:szCs w:val="21"/>
          <w:highlight w:val="none"/>
        </w:rPr>
        <w:t xml:space="preserve"> </w:t>
      </w:r>
      <w:r>
        <w:rPr>
          <w:rFonts w:ascii="宋体" w:hAnsi="宋体" w:eastAsia="宋体" w:cs="宋体"/>
          <w:color w:val="auto"/>
          <w:spacing w:val="-1"/>
          <w:position w:val="14"/>
          <w:sz w:val="21"/>
          <w:szCs w:val="21"/>
          <w:highlight w:val="none"/>
        </w:rPr>
        <w:t>天内完成</w:t>
      </w:r>
      <w:r>
        <w:rPr>
          <w:rFonts w:ascii="宋体" w:hAnsi="宋体" w:eastAsia="宋体" w:cs="宋体"/>
          <w:color w:val="auto"/>
          <w:spacing w:val="-2"/>
          <w:position w:val="14"/>
          <w:sz w:val="21"/>
          <w:szCs w:val="21"/>
          <w:highlight w:val="none"/>
        </w:rPr>
        <w:t>估价、付款</w:t>
      </w:r>
    </w:p>
    <w:p w14:paraId="077A8B73">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和清算，并按以下约定执行：</w:t>
      </w:r>
    </w:p>
    <w:p w14:paraId="150F9F1E">
      <w:pPr>
        <w:spacing w:before="148" w:line="399"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 xml:space="preserve">）合同解除后，按第 </w:t>
      </w:r>
      <w:r>
        <w:rPr>
          <w:rFonts w:ascii="Times New Roman" w:hAnsi="Times New Roman" w:eastAsia="Times New Roman" w:cs="Times New Roman"/>
          <w:color w:val="auto"/>
          <w:spacing w:val="-1"/>
          <w:position w:val="14"/>
          <w:sz w:val="21"/>
          <w:szCs w:val="21"/>
          <w:highlight w:val="none"/>
        </w:rPr>
        <w:t>4.4</w:t>
      </w:r>
      <w:r>
        <w:rPr>
          <w:rFonts w:ascii="Times New Roman" w:hAnsi="Times New Roman" w:eastAsia="Times New Roman" w:cs="Times New Roman"/>
          <w:color w:val="auto"/>
          <w:spacing w:val="47"/>
          <w:w w:val="101"/>
          <w:position w:val="14"/>
          <w:sz w:val="21"/>
          <w:szCs w:val="21"/>
          <w:highlight w:val="none"/>
        </w:rPr>
        <w:t xml:space="preserve"> </w:t>
      </w:r>
      <w:r>
        <w:rPr>
          <w:rFonts w:ascii="宋体" w:hAnsi="宋体" w:eastAsia="宋体" w:cs="宋体"/>
          <w:color w:val="auto"/>
          <w:spacing w:val="-1"/>
          <w:position w:val="14"/>
          <w:sz w:val="21"/>
          <w:szCs w:val="21"/>
          <w:highlight w:val="none"/>
        </w:rPr>
        <w:t>款〔商定或确定〕商定或确定承包人实际完成工作对应的</w:t>
      </w:r>
    </w:p>
    <w:p w14:paraId="5A601930">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合同价款，</w:t>
      </w:r>
      <w:r>
        <w:rPr>
          <w:rFonts w:ascii="宋体" w:hAnsi="宋体" w:eastAsia="宋体" w:cs="宋体"/>
          <w:color w:val="auto"/>
          <w:spacing w:val="75"/>
          <w:sz w:val="21"/>
          <w:szCs w:val="21"/>
          <w:highlight w:val="none"/>
        </w:rPr>
        <w:t xml:space="preserve"> </w:t>
      </w:r>
      <w:r>
        <w:rPr>
          <w:rFonts w:ascii="宋体" w:hAnsi="宋体" w:eastAsia="宋体" w:cs="宋体"/>
          <w:color w:val="auto"/>
          <w:spacing w:val="-6"/>
          <w:sz w:val="21"/>
          <w:szCs w:val="21"/>
          <w:highlight w:val="none"/>
        </w:rPr>
        <w:t>以及承包人已提供的材料、工程设备、施工设备和临</w:t>
      </w:r>
      <w:r>
        <w:rPr>
          <w:rFonts w:ascii="宋体" w:hAnsi="宋体" w:eastAsia="宋体" w:cs="宋体"/>
          <w:color w:val="auto"/>
          <w:spacing w:val="-7"/>
          <w:sz w:val="21"/>
          <w:szCs w:val="21"/>
          <w:highlight w:val="none"/>
        </w:rPr>
        <w:t>时工程等的价值；</w:t>
      </w:r>
    </w:p>
    <w:p w14:paraId="30C335A4">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）合同解除后，承包人应支付的违约金；</w:t>
      </w:r>
    </w:p>
    <w:p w14:paraId="0923EF3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）合同解除后，因解除合同给发包人造成的损失；</w:t>
      </w:r>
    </w:p>
    <w:p w14:paraId="191C2E70">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）合同解除后，承包人应按照发包人要求和监理人的指示完成现场的清理和撤离；</w:t>
      </w:r>
    </w:p>
    <w:p w14:paraId="7DC6E17E">
      <w:pPr>
        <w:spacing w:before="153" w:line="399" w:lineRule="exact"/>
        <w:ind w:right="12"/>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5</w:t>
      </w:r>
      <w:r>
        <w:rPr>
          <w:rFonts w:ascii="宋体" w:hAnsi="宋体" w:eastAsia="宋体" w:cs="宋体"/>
          <w:color w:val="auto"/>
          <w:spacing w:val="-5"/>
          <w:position w:val="14"/>
          <w:sz w:val="21"/>
          <w:szCs w:val="21"/>
          <w:highlight w:val="none"/>
        </w:rPr>
        <w:t>）发包人和承包人应在合同解除后进行清算，</w:t>
      </w:r>
      <w:r>
        <w:rPr>
          <w:rFonts w:ascii="宋体" w:hAnsi="宋体" w:eastAsia="宋体" w:cs="宋体"/>
          <w:color w:val="auto"/>
          <w:spacing w:val="82"/>
          <w:position w:val="14"/>
          <w:sz w:val="21"/>
          <w:szCs w:val="21"/>
          <w:highlight w:val="none"/>
        </w:rPr>
        <w:t xml:space="preserve"> </w:t>
      </w:r>
      <w:r>
        <w:rPr>
          <w:rFonts w:ascii="宋体" w:hAnsi="宋体" w:eastAsia="宋体" w:cs="宋体"/>
          <w:color w:val="auto"/>
          <w:spacing w:val="-5"/>
          <w:position w:val="14"/>
          <w:sz w:val="21"/>
          <w:szCs w:val="21"/>
          <w:highlight w:val="none"/>
        </w:rPr>
        <w:t>出具最终结清付款证书，结清全部款</w:t>
      </w:r>
    </w:p>
    <w:p w14:paraId="239FEA2E">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项。</w:t>
      </w:r>
    </w:p>
    <w:p w14:paraId="1AAD671B">
      <w:pPr>
        <w:spacing w:before="147" w:line="352" w:lineRule="auto"/>
        <w:ind w:left="21" w:right="4"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因承包人违约解除合同的， 发包人有权暂停对承包人的付款，查清各项</w:t>
      </w:r>
      <w:r>
        <w:rPr>
          <w:rFonts w:ascii="宋体" w:hAnsi="宋体" w:eastAsia="宋体" w:cs="宋体"/>
          <w:color w:val="auto"/>
          <w:spacing w:val="-1"/>
          <w:sz w:val="21"/>
          <w:szCs w:val="21"/>
          <w:highlight w:val="none"/>
        </w:rPr>
        <w:t>付款和已扣款</w:t>
      </w:r>
      <w:r>
        <w:rPr>
          <w:rFonts w:ascii="宋体" w:hAnsi="宋体" w:eastAsia="宋体" w:cs="宋体"/>
          <w:color w:val="auto"/>
          <w:sz w:val="21"/>
          <w:szCs w:val="21"/>
          <w:highlight w:val="none"/>
        </w:rPr>
        <w:t xml:space="preserve"> 项。发包人和承包人未能就合同解除后的清算和款项支付达成</w:t>
      </w:r>
      <w:r>
        <w:rPr>
          <w:rFonts w:ascii="宋体" w:hAnsi="宋体" w:eastAsia="宋体" w:cs="宋体"/>
          <w:color w:val="auto"/>
          <w:spacing w:val="-1"/>
          <w:sz w:val="21"/>
          <w:szCs w:val="21"/>
          <w:highlight w:val="none"/>
        </w:rPr>
        <w:t>一致的，按照第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条〔争议</w:t>
      </w:r>
    </w:p>
    <w:p w14:paraId="736496C8">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解决〕的约定处理。</w:t>
      </w:r>
    </w:p>
    <w:p w14:paraId="7D113402">
      <w:pPr>
        <w:spacing w:line="220" w:lineRule="auto"/>
        <w:rPr>
          <w:rFonts w:ascii="宋体" w:hAnsi="宋体" w:eastAsia="宋体" w:cs="宋体"/>
          <w:color w:val="auto"/>
          <w:sz w:val="21"/>
          <w:szCs w:val="21"/>
          <w:highlight w:val="none"/>
        </w:rPr>
        <w:sectPr>
          <w:footerReference r:id="rId146" w:type="default"/>
          <w:pgSz w:w="11905" w:h="16839"/>
          <w:pgMar w:top="1431" w:right="1785" w:bottom="1004" w:left="1785" w:header="0" w:footer="828" w:gutter="0"/>
          <w:pgNumType w:fmt="decimal"/>
          <w:cols w:space="720" w:num="1"/>
        </w:sectPr>
      </w:pPr>
    </w:p>
    <w:p w14:paraId="5AFB29B9">
      <w:pPr>
        <w:spacing w:before="14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16.2.5 </w:t>
      </w:r>
      <w:r>
        <w:rPr>
          <w:rFonts w:ascii="宋体" w:hAnsi="宋体" w:eastAsia="宋体" w:cs="宋体"/>
          <w:color w:val="auto"/>
          <w:spacing w:val="-2"/>
          <w:sz w:val="21"/>
          <w:szCs w:val="21"/>
          <w:highlight w:val="none"/>
        </w:rPr>
        <w:t>采购合同权益转让</w:t>
      </w:r>
    </w:p>
    <w:p w14:paraId="4A925A22">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因承包人违约解除合同的， 发包人有权要求承包人将其为实施合同</w:t>
      </w:r>
      <w:r>
        <w:rPr>
          <w:rFonts w:ascii="宋体" w:hAnsi="宋体" w:eastAsia="宋体" w:cs="宋体"/>
          <w:color w:val="auto"/>
          <w:spacing w:val="-1"/>
          <w:position w:val="14"/>
          <w:sz w:val="21"/>
          <w:szCs w:val="21"/>
          <w:highlight w:val="none"/>
        </w:rPr>
        <w:t>而签订的材料和设</w:t>
      </w:r>
    </w:p>
    <w:p w14:paraId="194A15DB">
      <w:pPr>
        <w:spacing w:line="219" w:lineRule="auto"/>
        <w:ind w:right="2"/>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备的采购合同的权益转让给发包人，承包人应在收到解除合同通知后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23"/>
          <w:w w:val="101"/>
          <w:sz w:val="21"/>
          <w:szCs w:val="21"/>
          <w:highlight w:val="none"/>
        </w:rPr>
        <w:t xml:space="preserve"> </w:t>
      </w:r>
      <w:r>
        <w:rPr>
          <w:rFonts w:ascii="宋体" w:hAnsi="宋体" w:eastAsia="宋体" w:cs="宋体"/>
          <w:color w:val="auto"/>
          <w:spacing w:val="-4"/>
          <w:sz w:val="21"/>
          <w:szCs w:val="21"/>
          <w:highlight w:val="none"/>
        </w:rPr>
        <w:t>天内， 协助发包人</w:t>
      </w:r>
    </w:p>
    <w:p w14:paraId="227AA6A6">
      <w:pPr>
        <w:spacing w:before="148"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与采购合同的供应商达成相关的转让协议。</w:t>
      </w:r>
    </w:p>
    <w:p w14:paraId="3CC580E7">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16.3 第三人造成的违约</w:t>
      </w:r>
    </w:p>
    <w:p w14:paraId="11ACA1C0">
      <w:pPr>
        <w:spacing w:before="130"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在履行合同过程中， 一方当事人因第三人的原因造成违约的，应当向对方当事人承担</w:t>
      </w:r>
    </w:p>
    <w:p w14:paraId="483AF138">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违约责任。</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一方当事人和第三人之间的纠纷，依照法律规定或者按照约定解决。</w:t>
      </w:r>
    </w:p>
    <w:p w14:paraId="275608F3">
      <w:pPr>
        <w:spacing w:before="174" w:line="219"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17.不可抗力</w:t>
      </w:r>
    </w:p>
    <w:p w14:paraId="4F47D653">
      <w:pPr>
        <w:spacing w:before="1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17.1 不可抗力的确认</w:t>
      </w:r>
    </w:p>
    <w:p w14:paraId="291F4487">
      <w:pPr>
        <w:spacing w:before="129" w:line="353" w:lineRule="auto"/>
        <w:ind w:left="23" w:right="6"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不可抗力是指合同当事人在签订合同时不可预见，在合同履行过程中不可避免且不能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克服的自然灾害和社会性突发事件，如地震、海啸、瘟疫、骚乱</w:t>
      </w:r>
      <w:r>
        <w:rPr>
          <w:rFonts w:ascii="宋体" w:hAnsi="宋体" w:eastAsia="宋体" w:cs="宋体"/>
          <w:color w:val="auto"/>
          <w:spacing w:val="2"/>
          <w:sz w:val="21"/>
          <w:szCs w:val="21"/>
          <w:highlight w:val="none"/>
        </w:rPr>
        <w:t>、戒严、暴动、战争和专</w:t>
      </w:r>
    </w:p>
    <w:p w14:paraId="1E94B80B">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用合同条款中约定的其他情形。</w:t>
      </w:r>
    </w:p>
    <w:p w14:paraId="3D13E4F8">
      <w:pPr>
        <w:spacing w:before="148" w:line="352" w:lineRule="auto"/>
        <w:ind w:left="17" w:right="6" w:firstLine="42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不可抗力发生后，发包人和承包人应收集证明不可抗力发生及不可抗力造成损失的证</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据，并及时认真统计所造成的损失。合同当事人对是否属于不可抗力或其损失</w:t>
      </w:r>
      <w:r>
        <w:rPr>
          <w:rFonts w:ascii="宋体" w:hAnsi="宋体" w:eastAsia="宋体" w:cs="宋体"/>
          <w:color w:val="auto"/>
          <w:spacing w:val="2"/>
          <w:sz w:val="21"/>
          <w:szCs w:val="21"/>
          <w:highlight w:val="none"/>
        </w:rPr>
        <w:t>的意见不一</w:t>
      </w:r>
    </w:p>
    <w:p w14:paraId="25B53E0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致的，由监理人按第</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1"/>
          <w:sz w:val="21"/>
          <w:szCs w:val="21"/>
          <w:highlight w:val="none"/>
        </w:rPr>
        <w:t>4.4</w:t>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款〔商定或确定〕的约定处理。发生争议时，按第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20</w:t>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条〔争议解</w:t>
      </w:r>
    </w:p>
    <w:p w14:paraId="4D5F0EBC">
      <w:pPr>
        <w:spacing w:before="147" w:line="221"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决〕的约定处理。</w:t>
      </w:r>
    </w:p>
    <w:p w14:paraId="2D38D6DA">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17.2 不可抗力的通知</w:t>
      </w:r>
    </w:p>
    <w:p w14:paraId="6DB96F7F">
      <w:pPr>
        <w:spacing w:before="130"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合同一方当事人遇到不可抗力事件， 使其履</w:t>
      </w:r>
      <w:r>
        <w:rPr>
          <w:rFonts w:ascii="宋体" w:hAnsi="宋体" w:eastAsia="宋体" w:cs="宋体"/>
          <w:color w:val="auto"/>
          <w:spacing w:val="-3"/>
          <w:position w:val="14"/>
          <w:sz w:val="21"/>
          <w:szCs w:val="21"/>
          <w:highlight w:val="none"/>
        </w:rPr>
        <w:t>行合同义务受到阻碍时， 应立即通知合同</w:t>
      </w:r>
    </w:p>
    <w:p w14:paraId="5D725663">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另一方当事人和监理人，书面说明不可抗力和受阻碍的详细情况，并提供必要的证明。</w:t>
      </w:r>
    </w:p>
    <w:p w14:paraId="162DB30A">
      <w:pPr>
        <w:spacing w:before="148"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不可抗力持续发生的， 合同一方当事人应及时向合同另一方当事人和监理人提交中间</w:t>
      </w:r>
    </w:p>
    <w:p w14:paraId="15BA3B9D">
      <w:pPr>
        <w:spacing w:line="219" w:lineRule="auto"/>
        <w:ind w:right="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报告，说明不可抗力和履行合同受阻的情况，并于不可抗力事件结束后</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w:t>
      </w:r>
      <w:r>
        <w:rPr>
          <w:rFonts w:ascii="宋体" w:hAnsi="宋体" w:eastAsia="宋体" w:cs="宋体"/>
          <w:color w:val="auto"/>
          <w:spacing w:val="-1"/>
          <w:sz w:val="21"/>
          <w:szCs w:val="21"/>
          <w:highlight w:val="none"/>
        </w:rPr>
        <w:t>提交最终报</w:t>
      </w:r>
    </w:p>
    <w:p w14:paraId="4BC9DB98">
      <w:pPr>
        <w:spacing w:before="154" w:line="219"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告及有关资料。</w:t>
      </w:r>
    </w:p>
    <w:p w14:paraId="494DAEB6">
      <w:pPr>
        <w:spacing w:before="48"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17.3 不可抗力后果的承担</w:t>
      </w:r>
    </w:p>
    <w:p w14:paraId="4DC04B8B">
      <w:pPr>
        <w:spacing w:before="130" w:line="398"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17.3.1</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spacing w:val="3"/>
          <w:position w:val="14"/>
          <w:sz w:val="21"/>
          <w:szCs w:val="21"/>
          <w:highlight w:val="none"/>
        </w:rPr>
        <w:t>不可抗力引起的后果及造成的损失由合同</w:t>
      </w:r>
      <w:r>
        <w:rPr>
          <w:rFonts w:ascii="宋体" w:hAnsi="宋体" w:eastAsia="宋体" w:cs="宋体"/>
          <w:color w:val="auto"/>
          <w:spacing w:val="2"/>
          <w:position w:val="14"/>
          <w:sz w:val="21"/>
          <w:szCs w:val="21"/>
          <w:highlight w:val="none"/>
        </w:rPr>
        <w:t>当事人按照法律规定及合同约定各自</w:t>
      </w:r>
    </w:p>
    <w:p w14:paraId="44505F0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承担。 不可抗力发生前已完成的工程应当按照合同约定进行计量支付。</w:t>
      </w:r>
    </w:p>
    <w:p w14:paraId="317207B3">
      <w:pPr>
        <w:spacing w:before="153" w:line="398" w:lineRule="exact"/>
        <w:ind w:right="27"/>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17.3.2</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position w:val="14"/>
          <w:sz w:val="21"/>
          <w:szCs w:val="21"/>
          <w:highlight w:val="none"/>
        </w:rPr>
        <w:t>不可抗力导致的人员伤亡、财产损失、费</w:t>
      </w:r>
      <w:r>
        <w:rPr>
          <w:rFonts w:ascii="宋体" w:hAnsi="宋体" w:eastAsia="宋体" w:cs="宋体"/>
          <w:color w:val="auto"/>
          <w:spacing w:val="-1"/>
          <w:position w:val="14"/>
          <w:sz w:val="21"/>
          <w:szCs w:val="21"/>
          <w:highlight w:val="none"/>
        </w:rPr>
        <w:t>用增加和（或） 工期延误等后果，由</w:t>
      </w:r>
    </w:p>
    <w:p w14:paraId="17CA111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合同当事人按以下原则承担：</w:t>
      </w:r>
    </w:p>
    <w:p w14:paraId="1B9656F6">
      <w:pPr>
        <w:spacing w:before="147" w:line="403" w:lineRule="exact"/>
        <w:ind w:right="1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）永久工程、已运至施工现场的材料和工程设备的损坏，以及因工</w:t>
      </w:r>
      <w:r>
        <w:rPr>
          <w:rFonts w:ascii="宋体" w:hAnsi="宋体" w:eastAsia="宋体" w:cs="宋体"/>
          <w:color w:val="auto"/>
          <w:spacing w:val="-1"/>
          <w:position w:val="14"/>
          <w:sz w:val="21"/>
          <w:szCs w:val="21"/>
          <w:highlight w:val="none"/>
        </w:rPr>
        <w:t>程损坏造成的第</w:t>
      </w:r>
    </w:p>
    <w:p w14:paraId="0AC5D0A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三人人员伤亡和财产损失由发包人承担；</w:t>
      </w:r>
    </w:p>
    <w:p w14:paraId="494D4A6D">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）承包人施工设备的损坏由承包人承担；</w:t>
      </w:r>
    </w:p>
    <w:p w14:paraId="18629304">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）发包人和承包人承担各自人员伤亡和财产的损失；</w:t>
      </w:r>
    </w:p>
    <w:p w14:paraId="7DA4D060">
      <w:pPr>
        <w:spacing w:before="153" w:line="350" w:lineRule="auto"/>
        <w:ind w:left="31" w:right="11" w:firstLine="41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）因不可抗力影响承包人履行合同约定的义务，已经引起或将引起工期延误</w:t>
      </w:r>
      <w:r>
        <w:rPr>
          <w:rFonts w:ascii="宋体" w:hAnsi="宋体" w:eastAsia="宋体" w:cs="宋体"/>
          <w:color w:val="auto"/>
          <w:spacing w:val="-1"/>
          <w:sz w:val="21"/>
          <w:szCs w:val="21"/>
          <w:highlight w:val="none"/>
        </w:rPr>
        <w:t>的，应</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当顺延工期，</w:t>
      </w:r>
      <w:r>
        <w:rPr>
          <w:rFonts w:ascii="宋体" w:hAnsi="宋体" w:eastAsia="宋体" w:cs="宋体"/>
          <w:color w:val="auto"/>
          <w:spacing w:val="48"/>
          <w:sz w:val="21"/>
          <w:szCs w:val="21"/>
          <w:highlight w:val="none"/>
        </w:rPr>
        <w:t xml:space="preserve"> </w:t>
      </w:r>
      <w:r>
        <w:rPr>
          <w:rFonts w:ascii="宋体" w:hAnsi="宋体" w:eastAsia="宋体" w:cs="宋体"/>
          <w:color w:val="auto"/>
          <w:spacing w:val="-4"/>
          <w:sz w:val="21"/>
          <w:szCs w:val="21"/>
          <w:highlight w:val="none"/>
        </w:rPr>
        <w:t>由此导致承包人停工的费用损失由发包人和承包人合理分担， 停工期间必须</w:t>
      </w:r>
    </w:p>
    <w:p w14:paraId="194906F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支付的工人工资由发包人承担；</w:t>
      </w:r>
    </w:p>
    <w:p w14:paraId="6522430C">
      <w:pPr>
        <w:spacing w:before="152" w:line="221" w:lineRule="auto"/>
        <w:ind w:right="25"/>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）因不可抗力引起或将引起工期延误，发包人</w:t>
      </w:r>
      <w:r>
        <w:rPr>
          <w:rFonts w:ascii="宋体" w:hAnsi="宋体" w:eastAsia="宋体" w:cs="宋体"/>
          <w:color w:val="auto"/>
          <w:spacing w:val="-1"/>
          <w:sz w:val="21"/>
          <w:szCs w:val="21"/>
          <w:highlight w:val="none"/>
        </w:rPr>
        <w:t>要求赶工的，由此增加的赶工费用由</w:t>
      </w:r>
    </w:p>
    <w:p w14:paraId="00A95843">
      <w:pPr>
        <w:spacing w:line="221" w:lineRule="auto"/>
        <w:rPr>
          <w:rFonts w:ascii="宋体" w:hAnsi="宋体" w:eastAsia="宋体" w:cs="宋体"/>
          <w:color w:val="auto"/>
          <w:sz w:val="21"/>
          <w:szCs w:val="21"/>
          <w:highlight w:val="none"/>
        </w:rPr>
        <w:sectPr>
          <w:footerReference r:id="rId147" w:type="default"/>
          <w:pgSz w:w="11905" w:h="16839"/>
          <w:pgMar w:top="1431" w:right="1785" w:bottom="1004" w:left="1785" w:header="0" w:footer="828" w:gutter="0"/>
          <w:pgNumType w:fmt="decimal"/>
          <w:cols w:space="720" w:num="1"/>
        </w:sectPr>
      </w:pPr>
    </w:p>
    <w:p w14:paraId="6E60163F">
      <w:pPr>
        <w:spacing w:before="148" w:line="221"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发包人承担；</w:t>
      </w:r>
    </w:p>
    <w:p w14:paraId="0606FC9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）承包人在停工期间按照发包人要求照管、清理和修复工程的费用由发包人承担。</w:t>
      </w:r>
    </w:p>
    <w:p w14:paraId="36204ED6">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不可抗力发生后，合同当事人均应采取措施尽量避免和减少损失的扩大，任何一方当</w:t>
      </w:r>
    </w:p>
    <w:p w14:paraId="1AFC1798">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事人没有采取有效措施导致损失扩大的，应对扩大的损失承担责任。</w:t>
      </w:r>
    </w:p>
    <w:p w14:paraId="0E8736C2">
      <w:pPr>
        <w:spacing w:before="148"/>
        <w:ind w:left="31" w:firstLine="426"/>
        <w:rPr>
          <w:rFonts w:ascii="黑体" w:hAnsi="黑体" w:eastAsia="黑体" w:cs="黑体"/>
          <w:color w:val="auto"/>
          <w:sz w:val="24"/>
          <w:szCs w:val="24"/>
          <w:highlight w:val="none"/>
        </w:rPr>
      </w:pPr>
      <w:r>
        <w:rPr>
          <w:rFonts w:ascii="宋体" w:hAnsi="宋体" w:eastAsia="宋体" w:cs="宋体"/>
          <w:color w:val="auto"/>
          <w:spacing w:val="2"/>
          <w:sz w:val="21"/>
          <w:szCs w:val="21"/>
          <w:highlight w:val="none"/>
        </w:rPr>
        <w:t>因合同一方迟延履行合同义务，在迟延履行期间遭遇不可抗力的，</w:t>
      </w:r>
      <w:r>
        <w:rPr>
          <w:rFonts w:ascii="宋体" w:hAnsi="宋体" w:eastAsia="宋体" w:cs="宋体"/>
          <w:color w:val="auto"/>
          <w:spacing w:val="1"/>
          <w:sz w:val="21"/>
          <w:szCs w:val="21"/>
          <w:highlight w:val="none"/>
        </w:rPr>
        <w:t>不免除其违约责任。</w:t>
      </w:r>
      <w:r>
        <w:rPr>
          <w:rFonts w:ascii="宋体" w:hAnsi="宋体" w:eastAsia="宋体" w:cs="宋体"/>
          <w:color w:val="auto"/>
          <w:sz w:val="21"/>
          <w:szCs w:val="21"/>
          <w:highlight w:val="none"/>
        </w:rPr>
        <w:t xml:space="preserve"> </w:t>
      </w:r>
      <w:r>
        <w:rPr>
          <w:rFonts w:ascii="黑体" w:hAnsi="黑体" w:eastAsia="黑体" w:cs="黑体"/>
          <w:color w:val="auto"/>
          <w:spacing w:val="-4"/>
          <w:sz w:val="24"/>
          <w:szCs w:val="24"/>
          <w:highlight w:val="none"/>
        </w:rPr>
        <w:t>17.4</w:t>
      </w:r>
      <w:r>
        <w:rPr>
          <w:rFonts w:ascii="黑体" w:hAnsi="黑体" w:eastAsia="黑体" w:cs="黑体"/>
          <w:color w:val="auto"/>
          <w:spacing w:val="32"/>
          <w:sz w:val="24"/>
          <w:szCs w:val="24"/>
          <w:highlight w:val="none"/>
        </w:rPr>
        <w:t xml:space="preserve"> </w:t>
      </w:r>
      <w:r>
        <w:rPr>
          <w:rFonts w:ascii="黑体" w:hAnsi="黑体" w:eastAsia="黑体" w:cs="黑体"/>
          <w:color w:val="auto"/>
          <w:spacing w:val="-4"/>
          <w:sz w:val="24"/>
          <w:szCs w:val="24"/>
          <w:highlight w:val="none"/>
        </w:rPr>
        <w:t>因不可抗力解除合同</w:t>
      </w:r>
    </w:p>
    <w:p w14:paraId="13D0405A">
      <w:pPr>
        <w:spacing w:before="131" w:line="350" w:lineRule="auto"/>
        <w:ind w:left="19" w:right="175" w:firstLine="4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因不可抗力导致合同无法履行连续超过</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84</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2"/>
          <w:sz w:val="21"/>
          <w:szCs w:val="21"/>
          <w:highlight w:val="none"/>
        </w:rPr>
        <w:t xml:space="preserve">天或累计超过 </w:t>
      </w:r>
      <w:r>
        <w:rPr>
          <w:rFonts w:ascii="Times New Roman" w:hAnsi="Times New Roman" w:eastAsia="Times New Roman" w:cs="Times New Roman"/>
          <w:color w:val="auto"/>
          <w:spacing w:val="-2"/>
          <w:sz w:val="21"/>
          <w:szCs w:val="21"/>
          <w:highlight w:val="none"/>
        </w:rPr>
        <w:t xml:space="preserve">140 </w:t>
      </w:r>
      <w:r>
        <w:rPr>
          <w:rFonts w:ascii="宋体" w:hAnsi="宋体" w:eastAsia="宋体" w:cs="宋体"/>
          <w:color w:val="auto"/>
          <w:spacing w:val="-3"/>
          <w:sz w:val="21"/>
          <w:szCs w:val="21"/>
          <w:highlight w:val="none"/>
        </w:rPr>
        <w:t>天的，发包人和承包人均</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有权解除合同。合同解除后，</w:t>
      </w:r>
      <w:r>
        <w:rPr>
          <w:rFonts w:ascii="宋体" w:hAnsi="宋体" w:eastAsia="宋体" w:cs="宋体"/>
          <w:color w:val="auto"/>
          <w:spacing w:val="42"/>
          <w:sz w:val="21"/>
          <w:szCs w:val="21"/>
          <w:highlight w:val="none"/>
        </w:rPr>
        <w:t xml:space="preserve"> </w:t>
      </w:r>
      <w:r>
        <w:rPr>
          <w:rFonts w:ascii="宋体" w:hAnsi="宋体" w:eastAsia="宋体" w:cs="宋体"/>
          <w:color w:val="auto"/>
          <w:spacing w:val="-4"/>
          <w:sz w:val="21"/>
          <w:szCs w:val="21"/>
          <w:highlight w:val="none"/>
        </w:rPr>
        <w:t>由双方当事人按照第</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pacing w:val="-4"/>
          <w:sz w:val="21"/>
          <w:szCs w:val="21"/>
          <w:highlight w:val="none"/>
        </w:rPr>
        <w:t>4.4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款〔商定或确定〕商定或确定发包人</w:t>
      </w:r>
    </w:p>
    <w:p w14:paraId="08331C64">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应支付的款项，该款项包括：</w:t>
      </w:r>
    </w:p>
    <w:p w14:paraId="3E0235EC">
      <w:pPr>
        <w:spacing w:before="152"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）合同解除前承包人已完成工作的价款；</w:t>
      </w:r>
    </w:p>
    <w:p w14:paraId="2FE2604B">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）承包人为工程订购的并已交付给承包人，或承包人有责任接受交付的材料、</w:t>
      </w:r>
      <w:r>
        <w:rPr>
          <w:rFonts w:ascii="宋体" w:hAnsi="宋体" w:eastAsia="宋体" w:cs="宋体"/>
          <w:color w:val="auto"/>
          <w:spacing w:val="-1"/>
          <w:position w:val="14"/>
          <w:sz w:val="21"/>
          <w:szCs w:val="21"/>
          <w:highlight w:val="none"/>
        </w:rPr>
        <w:t>工程</w:t>
      </w:r>
    </w:p>
    <w:p w14:paraId="7BD5DF44">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设备和其他物品的价款；</w:t>
      </w:r>
    </w:p>
    <w:p w14:paraId="6674F213">
      <w:pPr>
        <w:spacing w:before="154"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）发包人要求承包人退货或解除订货合同而产生的费用</w:t>
      </w:r>
      <w:r>
        <w:rPr>
          <w:rFonts w:ascii="宋体" w:hAnsi="宋体" w:eastAsia="宋体" w:cs="宋体"/>
          <w:color w:val="auto"/>
          <w:spacing w:val="-1"/>
          <w:sz w:val="21"/>
          <w:szCs w:val="21"/>
          <w:highlight w:val="none"/>
        </w:rPr>
        <w:t>，或因不能退货或解除合同</w:t>
      </w:r>
    </w:p>
    <w:p w14:paraId="4D239464">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而产生的损失；</w:t>
      </w:r>
    </w:p>
    <w:p w14:paraId="503EC52A">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）承包人撤离施工现场以及遣散承包人人员的费用；</w:t>
      </w:r>
    </w:p>
    <w:p w14:paraId="2CF47F0A">
      <w:pPr>
        <w:spacing w:before="152"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5</w:t>
      </w:r>
      <w:r>
        <w:rPr>
          <w:rFonts w:ascii="宋体" w:hAnsi="宋体" w:eastAsia="宋体" w:cs="宋体"/>
          <w:color w:val="auto"/>
          <w:spacing w:val="-2"/>
          <w:position w:val="14"/>
          <w:sz w:val="21"/>
          <w:szCs w:val="21"/>
          <w:highlight w:val="none"/>
        </w:rPr>
        <w:t>）按照合同约定在合同解除前应支付给承包人的其他款项；</w:t>
      </w:r>
    </w:p>
    <w:p w14:paraId="1DF40F1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）扣减承包人按照合同约定应向发包人支付的款项；</w:t>
      </w:r>
    </w:p>
    <w:p w14:paraId="10ADE1F4">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）双方商定或确定的其他款项。</w:t>
      </w:r>
    </w:p>
    <w:p w14:paraId="22CEA91B">
      <w:pPr>
        <w:spacing w:before="151" w:line="399"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 合同解除后，发包</w:t>
      </w:r>
      <w:r>
        <w:rPr>
          <w:rFonts w:ascii="宋体" w:hAnsi="宋体" w:eastAsia="宋体" w:cs="宋体"/>
          <w:color w:val="auto"/>
          <w:spacing w:val="-4"/>
          <w:position w:val="14"/>
          <w:sz w:val="21"/>
          <w:szCs w:val="21"/>
          <w:highlight w:val="none"/>
        </w:rPr>
        <w:t>人应在商定或确定上述款项后</w:t>
      </w:r>
      <w:r>
        <w:rPr>
          <w:rFonts w:ascii="宋体" w:hAnsi="宋体" w:eastAsia="宋体" w:cs="宋体"/>
          <w:color w:val="auto"/>
          <w:spacing w:val="-30"/>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28</w:t>
      </w:r>
      <w:r>
        <w:rPr>
          <w:rFonts w:ascii="Times New Roman" w:hAnsi="Times New Roman" w:eastAsia="Times New Roman" w:cs="Times New Roman"/>
          <w:color w:val="auto"/>
          <w:spacing w:val="13"/>
          <w:w w:val="101"/>
          <w:position w:val="14"/>
          <w:sz w:val="21"/>
          <w:szCs w:val="21"/>
          <w:highlight w:val="none"/>
        </w:rPr>
        <w:t xml:space="preserve"> </w:t>
      </w:r>
      <w:r>
        <w:rPr>
          <w:rFonts w:ascii="宋体" w:hAnsi="宋体" w:eastAsia="宋体" w:cs="宋体"/>
          <w:color w:val="auto"/>
          <w:spacing w:val="-4"/>
          <w:position w:val="14"/>
          <w:sz w:val="21"/>
          <w:szCs w:val="21"/>
          <w:highlight w:val="none"/>
        </w:rPr>
        <w:t>天内</w:t>
      </w:r>
    </w:p>
    <w:p w14:paraId="48AA020C">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完成上述款项的支付。</w:t>
      </w:r>
    </w:p>
    <w:p w14:paraId="26E265B3">
      <w:pPr>
        <w:spacing w:before="174"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18.保险</w:t>
      </w:r>
    </w:p>
    <w:p w14:paraId="0D698FE7">
      <w:pPr>
        <w:spacing w:before="144"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18.1 工程保险</w:t>
      </w:r>
    </w:p>
    <w:p w14:paraId="680291AC">
      <w:pPr>
        <w:spacing w:before="128" w:line="221"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除专用合同条款另有约定外，发包人应投保建筑工程一切险或安装工程一切险</w:t>
      </w:r>
      <w:r>
        <w:rPr>
          <w:rFonts w:ascii="宋体" w:hAnsi="宋体" w:eastAsia="宋体" w:cs="宋体"/>
          <w:color w:val="auto"/>
          <w:spacing w:val="-1"/>
          <w:sz w:val="21"/>
          <w:szCs w:val="21"/>
          <w:highlight w:val="none"/>
        </w:rPr>
        <w:t>； 发包</w:t>
      </w:r>
    </w:p>
    <w:p w14:paraId="71662645">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人委托承包人投保的，因投保产生的保险费和其他相关费用</w:t>
      </w:r>
      <w:r>
        <w:rPr>
          <w:rFonts w:ascii="宋体" w:hAnsi="宋体" w:eastAsia="宋体" w:cs="宋体"/>
          <w:color w:val="auto"/>
          <w:spacing w:val="-1"/>
          <w:sz w:val="21"/>
          <w:szCs w:val="21"/>
          <w:highlight w:val="none"/>
        </w:rPr>
        <w:t>由发包人承担。</w:t>
      </w:r>
    </w:p>
    <w:p w14:paraId="30B7F998">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18.2 工伤保险</w:t>
      </w:r>
    </w:p>
    <w:p w14:paraId="25703936">
      <w:pPr>
        <w:spacing w:before="129" w:line="352" w:lineRule="auto"/>
        <w:ind w:left="29" w:right="185" w:firstLine="427"/>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18.2.1</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z w:val="21"/>
          <w:szCs w:val="21"/>
          <w:highlight w:val="none"/>
        </w:rPr>
        <w:t>发包人应依照法律规定参加工伤保险， 并为在施工现场的全部员工办理工伤保 险，缴纳工伤保险费， 并要求监理人及由发包人为履行合同聘请的第三方依法</w:t>
      </w:r>
      <w:r>
        <w:rPr>
          <w:rFonts w:ascii="宋体" w:hAnsi="宋体" w:eastAsia="宋体" w:cs="宋体"/>
          <w:color w:val="auto"/>
          <w:spacing w:val="-1"/>
          <w:sz w:val="21"/>
          <w:szCs w:val="21"/>
          <w:highlight w:val="none"/>
        </w:rPr>
        <w:t>参加工伤保</w:t>
      </w:r>
    </w:p>
    <w:p w14:paraId="6E8D8FD9">
      <w:pPr>
        <w:spacing w:line="221" w:lineRule="auto"/>
        <w:ind w:left="29"/>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险。</w:t>
      </w:r>
    </w:p>
    <w:p w14:paraId="08DA11B5">
      <w:pPr>
        <w:spacing w:before="147"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18.2.2</w:t>
      </w:r>
      <w:r>
        <w:rPr>
          <w:rFonts w:ascii="Times New Roman" w:hAnsi="Times New Roman" w:eastAsia="Times New Roman" w:cs="Times New Roman"/>
          <w:color w:val="auto"/>
          <w:spacing w:val="39"/>
          <w:w w:val="101"/>
          <w:position w:val="14"/>
          <w:sz w:val="21"/>
          <w:szCs w:val="21"/>
          <w:highlight w:val="none"/>
        </w:rPr>
        <w:t xml:space="preserve"> </w:t>
      </w:r>
      <w:r>
        <w:rPr>
          <w:rFonts w:ascii="宋体" w:hAnsi="宋体" w:eastAsia="宋体" w:cs="宋体"/>
          <w:color w:val="auto"/>
          <w:position w:val="14"/>
          <w:sz w:val="21"/>
          <w:szCs w:val="21"/>
          <w:highlight w:val="none"/>
        </w:rPr>
        <w:t>承包人应依照法律规定参加工伤保险， 并为其履行合同的全部员工办理工伤保</w:t>
      </w:r>
    </w:p>
    <w:p w14:paraId="38790CD0">
      <w:pPr>
        <w:spacing w:before="1" w:line="219" w:lineRule="auto"/>
        <w:ind w:left="29"/>
        <w:rPr>
          <w:rFonts w:ascii="宋体" w:hAnsi="宋体" w:eastAsia="宋体" w:cs="宋体"/>
          <w:color w:val="auto"/>
          <w:sz w:val="21"/>
          <w:szCs w:val="21"/>
          <w:highlight w:val="none"/>
        </w:rPr>
      </w:pPr>
      <w:r>
        <w:rPr>
          <w:rFonts w:ascii="宋体" w:hAnsi="宋体" w:eastAsia="宋体" w:cs="宋体"/>
          <w:color w:val="auto"/>
          <w:sz w:val="21"/>
          <w:szCs w:val="21"/>
          <w:highlight w:val="none"/>
        </w:rPr>
        <w:t>险，缴纳工伤保险费， 并要求分包人及由承包人为履行合同聘请的第三方依法</w:t>
      </w:r>
      <w:r>
        <w:rPr>
          <w:rFonts w:ascii="宋体" w:hAnsi="宋体" w:eastAsia="宋体" w:cs="宋体"/>
          <w:color w:val="auto"/>
          <w:spacing w:val="-1"/>
          <w:sz w:val="21"/>
          <w:szCs w:val="21"/>
          <w:highlight w:val="none"/>
        </w:rPr>
        <w:t>参加工伤保</w:t>
      </w:r>
    </w:p>
    <w:p w14:paraId="31708AED">
      <w:pPr>
        <w:spacing w:before="153" w:line="221" w:lineRule="auto"/>
        <w:ind w:left="29"/>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险。</w:t>
      </w:r>
    </w:p>
    <w:p w14:paraId="75D0B9AF">
      <w:pPr>
        <w:spacing w:before="45" w:line="220"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18.3</w:t>
      </w:r>
      <w:r>
        <w:rPr>
          <w:rFonts w:ascii="黑体" w:hAnsi="黑体" w:eastAsia="黑体" w:cs="黑体"/>
          <w:color w:val="auto"/>
          <w:spacing w:val="12"/>
          <w:sz w:val="24"/>
          <w:szCs w:val="24"/>
          <w:highlight w:val="none"/>
        </w:rPr>
        <w:t xml:space="preserve"> </w:t>
      </w:r>
      <w:r>
        <w:rPr>
          <w:rFonts w:ascii="黑体" w:hAnsi="黑体" w:eastAsia="黑体" w:cs="黑体"/>
          <w:color w:val="auto"/>
          <w:spacing w:val="-4"/>
          <w:sz w:val="24"/>
          <w:szCs w:val="24"/>
          <w:highlight w:val="none"/>
        </w:rPr>
        <w:t>其他保险</w:t>
      </w:r>
    </w:p>
    <w:p w14:paraId="30B5DA41">
      <w:pPr>
        <w:spacing w:before="128" w:line="398"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发包人和承包人可以为其施工现场的全部人员办理意外伤害保险并支付保险费， 包括</w:t>
      </w:r>
    </w:p>
    <w:p w14:paraId="6CECB30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其员工及为履行合同聘请的第三方的人员，具体事项由合同当事人在专用合同条款约定。</w:t>
      </w:r>
    </w:p>
    <w:p w14:paraId="5EEF7D43">
      <w:pPr>
        <w:spacing w:before="152"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承包人应为其施工设备等办理财产保险。</w:t>
      </w:r>
    </w:p>
    <w:p w14:paraId="4C3E629D">
      <w:pPr>
        <w:spacing w:line="221" w:lineRule="auto"/>
        <w:rPr>
          <w:rFonts w:ascii="宋体" w:hAnsi="宋体" w:eastAsia="宋体" w:cs="宋体"/>
          <w:color w:val="auto"/>
          <w:sz w:val="21"/>
          <w:szCs w:val="21"/>
          <w:highlight w:val="none"/>
        </w:rPr>
        <w:sectPr>
          <w:footerReference r:id="rId148" w:type="default"/>
          <w:pgSz w:w="11905" w:h="16839"/>
          <w:pgMar w:top="1431" w:right="1612" w:bottom="1004" w:left="1785" w:header="0" w:footer="828" w:gutter="0"/>
          <w:pgNumType w:fmt="decimal"/>
          <w:cols w:space="720" w:num="1"/>
        </w:sectPr>
      </w:pPr>
    </w:p>
    <w:p w14:paraId="278DDFFC">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18.4 持续保险</w:t>
      </w:r>
    </w:p>
    <w:p w14:paraId="5EDD2CD4">
      <w:pPr>
        <w:spacing w:before="127" w:line="221"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合同当事人应与保险人保持联系，使保险人能够随时了解工程实施中的变动，并确保</w:t>
      </w:r>
    </w:p>
    <w:p w14:paraId="39126CE5">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按保险合同条款要求持续保险。</w:t>
      </w:r>
    </w:p>
    <w:p w14:paraId="7F07A13E">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18.5 保险凭证</w:t>
      </w:r>
    </w:p>
    <w:p w14:paraId="4FE25707">
      <w:pPr>
        <w:spacing w:before="129" w:line="241" w:lineRule="auto"/>
        <w:ind w:left="31" w:right="160" w:firstLine="410"/>
        <w:rPr>
          <w:rFonts w:ascii="黑体" w:hAnsi="黑体" w:eastAsia="黑体" w:cs="黑体"/>
          <w:color w:val="auto"/>
          <w:sz w:val="24"/>
          <w:szCs w:val="24"/>
          <w:highlight w:val="none"/>
        </w:rPr>
      </w:pPr>
      <w:r>
        <w:rPr>
          <w:rFonts w:ascii="宋体" w:hAnsi="宋体" w:eastAsia="宋体" w:cs="宋体"/>
          <w:color w:val="auto"/>
          <w:spacing w:val="-1"/>
          <w:sz w:val="21"/>
          <w:szCs w:val="21"/>
          <w:highlight w:val="none"/>
        </w:rPr>
        <w:t>合同当事人应及时向另一方当事人提交其已投保的各项保险的凭证和保险单</w:t>
      </w:r>
      <w:r>
        <w:rPr>
          <w:rFonts w:ascii="宋体" w:hAnsi="宋体" w:eastAsia="宋体" w:cs="宋体"/>
          <w:color w:val="auto"/>
          <w:spacing w:val="-2"/>
          <w:sz w:val="21"/>
          <w:szCs w:val="21"/>
          <w:highlight w:val="none"/>
        </w:rPr>
        <w:t>复印件。</w:t>
      </w:r>
      <w:r>
        <w:rPr>
          <w:rFonts w:ascii="宋体" w:hAnsi="宋体" w:eastAsia="宋体" w:cs="宋体"/>
          <w:color w:val="auto"/>
          <w:sz w:val="21"/>
          <w:szCs w:val="21"/>
          <w:highlight w:val="none"/>
        </w:rPr>
        <w:t xml:space="preserve"> </w:t>
      </w:r>
      <w:r>
        <w:rPr>
          <w:rFonts w:ascii="黑体" w:hAnsi="黑体" w:eastAsia="黑体" w:cs="黑体"/>
          <w:color w:val="auto"/>
          <w:spacing w:val="-2"/>
          <w:sz w:val="24"/>
          <w:szCs w:val="24"/>
          <w:highlight w:val="none"/>
        </w:rPr>
        <w:t>18.6 未按约定投保的补救</w:t>
      </w:r>
    </w:p>
    <w:p w14:paraId="1D8284CA">
      <w:pPr>
        <w:spacing w:before="129" w:line="350" w:lineRule="auto"/>
        <w:ind w:left="20" w:right="7" w:firstLine="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18.6.1</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3"/>
          <w:sz w:val="21"/>
          <w:szCs w:val="21"/>
          <w:highlight w:val="none"/>
        </w:rPr>
        <w:t>发包人未按合同约定办理保险，或未能使</w:t>
      </w:r>
      <w:r>
        <w:rPr>
          <w:rFonts w:ascii="宋体" w:hAnsi="宋体" w:eastAsia="宋体" w:cs="宋体"/>
          <w:color w:val="auto"/>
          <w:spacing w:val="2"/>
          <w:sz w:val="21"/>
          <w:szCs w:val="21"/>
          <w:highlight w:val="none"/>
        </w:rPr>
        <w:t>保险持续有效的，则承包人可代为办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理，所需费用由发包人承担。发包人未按合同约定办理保</w:t>
      </w:r>
      <w:r>
        <w:rPr>
          <w:rFonts w:ascii="宋体" w:hAnsi="宋体" w:eastAsia="宋体" w:cs="宋体"/>
          <w:color w:val="auto"/>
          <w:spacing w:val="2"/>
          <w:sz w:val="21"/>
          <w:szCs w:val="21"/>
          <w:highlight w:val="none"/>
        </w:rPr>
        <w:t>险，导致未能得到足额赔偿的，</w:t>
      </w:r>
    </w:p>
    <w:p w14:paraId="78937570">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由发包人负责补足。</w:t>
      </w:r>
    </w:p>
    <w:p w14:paraId="447DDB7E">
      <w:pPr>
        <w:spacing w:before="152" w:line="398" w:lineRule="exact"/>
        <w:ind w:right="7"/>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18.6.2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spacing w:val="3"/>
          <w:position w:val="14"/>
          <w:sz w:val="21"/>
          <w:szCs w:val="21"/>
          <w:highlight w:val="none"/>
        </w:rPr>
        <w:t>承包人未按合同约定办理保险，或未能使保险持</w:t>
      </w:r>
      <w:r>
        <w:rPr>
          <w:rFonts w:ascii="宋体" w:hAnsi="宋体" w:eastAsia="宋体" w:cs="宋体"/>
          <w:color w:val="auto"/>
          <w:spacing w:val="2"/>
          <w:position w:val="14"/>
          <w:sz w:val="21"/>
          <w:szCs w:val="21"/>
          <w:highlight w:val="none"/>
        </w:rPr>
        <w:t>续有效的，则发包人可代为办</w:t>
      </w:r>
    </w:p>
    <w:p w14:paraId="4DAAAEF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理，所需费用由承包人承担。承包人未按合同约定办理保</w:t>
      </w:r>
      <w:r>
        <w:rPr>
          <w:rFonts w:ascii="宋体" w:hAnsi="宋体" w:eastAsia="宋体" w:cs="宋体"/>
          <w:color w:val="auto"/>
          <w:spacing w:val="2"/>
          <w:sz w:val="21"/>
          <w:szCs w:val="21"/>
          <w:highlight w:val="none"/>
        </w:rPr>
        <w:t>险，导致未能得到足额赔偿的，</w:t>
      </w:r>
    </w:p>
    <w:p w14:paraId="7C305FF9">
      <w:pPr>
        <w:spacing w:before="147" w:line="221" w:lineRule="auto"/>
        <w:ind w:left="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由承包人负责补足。</w:t>
      </w:r>
    </w:p>
    <w:p w14:paraId="00B77E40">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18.7 通知义务</w:t>
      </w:r>
    </w:p>
    <w:p w14:paraId="1EFD773E">
      <w:pPr>
        <w:spacing w:before="130" w:line="352" w:lineRule="auto"/>
        <w:ind w:left="18" w:right="6" w:firstLine="43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除专用合同条款另有约定外，发包人变更除工伤保险之外的保</w:t>
      </w:r>
      <w:r>
        <w:rPr>
          <w:rFonts w:ascii="宋体" w:hAnsi="宋体" w:eastAsia="宋体" w:cs="宋体"/>
          <w:color w:val="auto"/>
          <w:spacing w:val="2"/>
          <w:sz w:val="21"/>
          <w:szCs w:val="21"/>
          <w:highlight w:val="none"/>
        </w:rPr>
        <w:t>险合同时，应事先征得</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承包人同意， 并通知监理人； 承包人变更除工伤保</w:t>
      </w:r>
      <w:r>
        <w:rPr>
          <w:rFonts w:ascii="宋体" w:hAnsi="宋体" w:eastAsia="宋体" w:cs="宋体"/>
          <w:color w:val="auto"/>
          <w:spacing w:val="-3"/>
          <w:sz w:val="21"/>
          <w:szCs w:val="21"/>
          <w:highlight w:val="none"/>
        </w:rPr>
        <w:t>险之外的保险合同时，应事先征得发包</w:t>
      </w:r>
    </w:p>
    <w:p w14:paraId="677BC60A">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人同意，并通知监理人。</w:t>
      </w:r>
    </w:p>
    <w:p w14:paraId="42353399">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保险事故发生时，投保人应按照保险合同规定的条件和期限及时向保险人报告。发包</w:t>
      </w:r>
    </w:p>
    <w:p w14:paraId="73EDC46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人和承包人应当在知道保险事故发生后及时通知对方。</w:t>
      </w:r>
    </w:p>
    <w:p w14:paraId="618AAE35">
      <w:pPr>
        <w:spacing w:before="172"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19.索赔</w:t>
      </w:r>
    </w:p>
    <w:p w14:paraId="622B8F9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19.1</w:t>
      </w:r>
      <w:r>
        <w:rPr>
          <w:rFonts w:ascii="黑体" w:hAnsi="黑体" w:eastAsia="黑体" w:cs="黑体"/>
          <w:color w:val="auto"/>
          <w:spacing w:val="-54"/>
          <w:sz w:val="24"/>
          <w:szCs w:val="24"/>
          <w:highlight w:val="none"/>
        </w:rPr>
        <w:t xml:space="preserve"> </w:t>
      </w:r>
      <w:r>
        <w:rPr>
          <w:rFonts w:ascii="黑体" w:hAnsi="黑体" w:eastAsia="黑体" w:cs="黑体"/>
          <w:color w:val="auto"/>
          <w:spacing w:val="-3"/>
          <w:sz w:val="24"/>
          <w:szCs w:val="24"/>
          <w:highlight w:val="none"/>
        </w:rPr>
        <w:t>承包人的索赔</w:t>
      </w:r>
    </w:p>
    <w:p w14:paraId="0676C3A2">
      <w:pPr>
        <w:spacing w:before="129"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根据合同约定， 承包人认为有权得到追加付款和（或） 延长工期的， 应按以下程序向</w:t>
      </w:r>
    </w:p>
    <w:p w14:paraId="0883DE0F">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发包人提出索赔：</w:t>
      </w:r>
    </w:p>
    <w:p w14:paraId="7D14D576">
      <w:pPr>
        <w:spacing w:before="149" w:line="352" w:lineRule="auto"/>
        <w:ind w:left="22" w:right="2"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）承包人应在知道或应当知道索赔事件发生后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天内，向监理人递交索赔意向通</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知书，并说明发生索赔事件的事由；承包人未在前述</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3"/>
          <w:sz w:val="21"/>
          <w:szCs w:val="21"/>
          <w:highlight w:val="none"/>
        </w:rPr>
        <w:t xml:space="preserve">天内发出索赔意向通知书的， </w:t>
      </w:r>
      <w:r>
        <w:rPr>
          <w:rFonts w:ascii="宋体" w:hAnsi="宋体" w:eastAsia="宋体" w:cs="宋体"/>
          <w:color w:val="auto"/>
          <w:spacing w:val="-4"/>
          <w:sz w:val="21"/>
          <w:szCs w:val="21"/>
          <w:highlight w:val="none"/>
        </w:rPr>
        <w:t>丧失</w:t>
      </w:r>
    </w:p>
    <w:p w14:paraId="29D07CF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要求追加付款和（或）延长工期的权利；</w:t>
      </w:r>
    </w:p>
    <w:p w14:paraId="0AA44CCC">
      <w:pPr>
        <w:spacing w:before="149" w:line="352" w:lineRule="auto"/>
        <w:ind w:left="16" w:right="7" w:firstLine="43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 xml:space="preserve">）承包人应在发出索赔意向通知书后 </w:t>
      </w:r>
      <w:r>
        <w:rPr>
          <w:rFonts w:ascii="Times New Roman" w:hAnsi="Times New Roman" w:eastAsia="Times New Roman" w:cs="Times New Roman"/>
          <w:color w:val="auto"/>
          <w:spacing w:val="-2"/>
          <w:sz w:val="21"/>
          <w:szCs w:val="21"/>
          <w:highlight w:val="none"/>
        </w:rPr>
        <w:t xml:space="preserve">28  </w:t>
      </w:r>
      <w:r>
        <w:rPr>
          <w:rFonts w:ascii="宋体" w:hAnsi="宋体" w:eastAsia="宋体" w:cs="宋体"/>
          <w:color w:val="auto"/>
          <w:spacing w:val="-3"/>
          <w:sz w:val="21"/>
          <w:szCs w:val="21"/>
          <w:highlight w:val="none"/>
        </w:rPr>
        <w:t>天内， 向监理人正式递交索赔报告；索赔</w:t>
      </w:r>
      <w:r>
        <w:rPr>
          <w:rFonts w:ascii="宋体" w:hAnsi="宋体" w:eastAsia="宋体" w:cs="宋体"/>
          <w:color w:val="auto"/>
          <w:sz w:val="21"/>
          <w:szCs w:val="21"/>
          <w:highlight w:val="none"/>
        </w:rPr>
        <w:t xml:space="preserve"> 报告应详细说明索赔理由以及要求追加的付款金额和（或） 延长的工期，并附必要的记录</w:t>
      </w:r>
    </w:p>
    <w:p w14:paraId="70744DE7">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和证明材料；</w:t>
      </w:r>
    </w:p>
    <w:p w14:paraId="0895AC7B">
      <w:pPr>
        <w:spacing w:before="149" w:line="398" w:lineRule="exact"/>
        <w:ind w:right="12"/>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3</w:t>
      </w:r>
      <w:r>
        <w:rPr>
          <w:rFonts w:ascii="宋体" w:hAnsi="宋体" w:eastAsia="宋体" w:cs="宋体"/>
          <w:color w:val="auto"/>
          <w:spacing w:val="-4"/>
          <w:position w:val="14"/>
          <w:sz w:val="21"/>
          <w:szCs w:val="21"/>
          <w:highlight w:val="none"/>
        </w:rPr>
        <w:t>）索赔事件具有持续影响的，</w:t>
      </w:r>
      <w:r>
        <w:rPr>
          <w:rFonts w:ascii="宋体" w:hAnsi="宋体" w:eastAsia="宋体" w:cs="宋体"/>
          <w:color w:val="auto"/>
          <w:spacing w:val="51"/>
          <w:position w:val="14"/>
          <w:sz w:val="21"/>
          <w:szCs w:val="21"/>
          <w:highlight w:val="none"/>
        </w:rPr>
        <w:t xml:space="preserve"> </w:t>
      </w:r>
      <w:r>
        <w:rPr>
          <w:rFonts w:ascii="宋体" w:hAnsi="宋体" w:eastAsia="宋体" w:cs="宋体"/>
          <w:color w:val="auto"/>
          <w:spacing w:val="-4"/>
          <w:position w:val="14"/>
          <w:sz w:val="21"/>
          <w:szCs w:val="21"/>
          <w:highlight w:val="none"/>
        </w:rPr>
        <w:t>承包人应按合理时间间隔继续递交延</w:t>
      </w:r>
      <w:r>
        <w:rPr>
          <w:rFonts w:ascii="宋体" w:hAnsi="宋体" w:eastAsia="宋体" w:cs="宋体"/>
          <w:color w:val="auto"/>
          <w:spacing w:val="-5"/>
          <w:position w:val="14"/>
          <w:sz w:val="21"/>
          <w:szCs w:val="21"/>
          <w:highlight w:val="none"/>
        </w:rPr>
        <w:t>续索赔通知，说</w:t>
      </w:r>
    </w:p>
    <w:p w14:paraId="76A09038">
      <w:pPr>
        <w:spacing w:before="1" w:line="220"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明持续影响的实际情况和记录，列出累计的追加付款金额和（或）工期延长天数；</w:t>
      </w:r>
    </w:p>
    <w:p w14:paraId="764AE90D">
      <w:pPr>
        <w:spacing w:before="152" w:line="219" w:lineRule="auto"/>
        <w:ind w:right="7"/>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 xml:space="preserve">）在索赔事件影响结束后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天内，承包人应向监理人递交最终索赔报告，说明最</w:t>
      </w:r>
    </w:p>
    <w:p w14:paraId="350A9842">
      <w:pPr>
        <w:spacing w:before="149"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终要求索赔的追加付款金额和（或）延长的工期，并附必要的记录和证明材料。</w:t>
      </w:r>
    </w:p>
    <w:p w14:paraId="6650B398">
      <w:pPr>
        <w:spacing w:before="47" w:line="414" w:lineRule="exact"/>
        <w:ind w:left="31"/>
        <w:rPr>
          <w:rFonts w:ascii="黑体" w:hAnsi="黑体" w:eastAsia="黑体" w:cs="黑体"/>
          <w:color w:val="auto"/>
          <w:sz w:val="24"/>
          <w:szCs w:val="24"/>
          <w:highlight w:val="none"/>
        </w:rPr>
      </w:pPr>
      <w:r>
        <w:rPr>
          <w:rFonts w:ascii="黑体" w:hAnsi="黑体" w:eastAsia="黑体" w:cs="黑体"/>
          <w:color w:val="auto"/>
          <w:spacing w:val="-2"/>
          <w:position w:val="12"/>
          <w:sz w:val="24"/>
          <w:szCs w:val="24"/>
          <w:highlight w:val="none"/>
        </w:rPr>
        <w:t>19.2 对承包人索赔的处理</w:t>
      </w:r>
    </w:p>
    <w:p w14:paraId="181CBCA1">
      <w:pPr>
        <w:spacing w:line="220"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对承包人索赔的处理如下：</w:t>
      </w:r>
    </w:p>
    <w:p w14:paraId="58CEBE0C">
      <w:pPr>
        <w:spacing w:before="153" w:line="219" w:lineRule="auto"/>
        <w:ind w:right="7"/>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）监理人应在收到索赔报告后</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1"/>
          <w:sz w:val="21"/>
          <w:szCs w:val="21"/>
          <w:highlight w:val="none"/>
        </w:rPr>
        <w:t>天内完成审查并报送发包人。监理人对索赔报告</w:t>
      </w:r>
    </w:p>
    <w:p w14:paraId="71BFAEF3">
      <w:pPr>
        <w:spacing w:line="219" w:lineRule="auto"/>
        <w:rPr>
          <w:rFonts w:ascii="宋体" w:hAnsi="宋体" w:eastAsia="宋体" w:cs="宋体"/>
          <w:color w:val="auto"/>
          <w:sz w:val="21"/>
          <w:szCs w:val="21"/>
          <w:highlight w:val="none"/>
        </w:rPr>
        <w:sectPr>
          <w:footerReference r:id="rId149" w:type="default"/>
          <w:pgSz w:w="11905" w:h="16839"/>
          <w:pgMar w:top="1431" w:right="1785" w:bottom="1004" w:left="1785" w:header="0" w:footer="828" w:gutter="0"/>
          <w:pgNumType w:fmt="decimal"/>
          <w:cols w:space="720" w:num="1"/>
        </w:sectPr>
      </w:pPr>
    </w:p>
    <w:p w14:paraId="71AE9710">
      <w:pPr>
        <w:spacing w:before="149"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存在异议的，有权要求承包人提交全部原始记录副本；</w:t>
      </w:r>
    </w:p>
    <w:p w14:paraId="0E4A75F3">
      <w:pPr>
        <w:spacing w:before="147" w:line="353" w:lineRule="auto"/>
        <w:ind w:left="19" w:right="1" w:firstLine="428"/>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 xml:space="preserve">）发包人应在监理人收到索赔报告或有关索赔的进一步证明材料后的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天内，由</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监理人向承包人出具经发包人签认的索赔处理结果。发包人逾期答复的，则</w:t>
      </w:r>
      <w:r>
        <w:rPr>
          <w:rFonts w:ascii="宋体" w:hAnsi="宋体" w:eastAsia="宋体" w:cs="宋体"/>
          <w:color w:val="auto"/>
          <w:spacing w:val="2"/>
          <w:sz w:val="21"/>
          <w:szCs w:val="21"/>
          <w:highlight w:val="none"/>
        </w:rPr>
        <w:t>视为认可承包</w:t>
      </w:r>
    </w:p>
    <w:p w14:paraId="18AB15ED">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人的索赔要求；</w:t>
      </w:r>
    </w:p>
    <w:p w14:paraId="1E7B857B">
      <w:pPr>
        <w:spacing w:before="147" w:line="221" w:lineRule="auto"/>
        <w:ind w:right="11"/>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）承包人接受索赔处理结果的，索赔款项在当期进度款中进行</w:t>
      </w:r>
      <w:r>
        <w:rPr>
          <w:rFonts w:ascii="宋体" w:hAnsi="宋体" w:eastAsia="宋体" w:cs="宋体"/>
          <w:color w:val="auto"/>
          <w:spacing w:val="-5"/>
          <w:sz w:val="21"/>
          <w:szCs w:val="21"/>
          <w:highlight w:val="none"/>
        </w:rPr>
        <w:t>支付；</w:t>
      </w:r>
      <w:r>
        <w:rPr>
          <w:rFonts w:ascii="宋体" w:hAnsi="宋体" w:eastAsia="宋体" w:cs="宋体"/>
          <w:color w:val="auto"/>
          <w:spacing w:val="53"/>
          <w:sz w:val="21"/>
          <w:szCs w:val="21"/>
          <w:highlight w:val="none"/>
        </w:rPr>
        <w:t xml:space="preserve"> </w:t>
      </w:r>
      <w:r>
        <w:rPr>
          <w:rFonts w:ascii="宋体" w:hAnsi="宋体" w:eastAsia="宋体" w:cs="宋体"/>
          <w:color w:val="auto"/>
          <w:spacing w:val="-5"/>
          <w:sz w:val="21"/>
          <w:szCs w:val="21"/>
          <w:highlight w:val="none"/>
        </w:rPr>
        <w:t>承包人不接受</w:t>
      </w:r>
    </w:p>
    <w:p w14:paraId="58FFBB64">
      <w:pPr>
        <w:spacing w:before="151" w:line="221"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索赔处理结果的，按照第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宋体" w:hAnsi="宋体" w:eastAsia="宋体" w:cs="宋体"/>
          <w:color w:val="auto"/>
          <w:spacing w:val="-2"/>
          <w:sz w:val="21"/>
          <w:szCs w:val="21"/>
          <w:highlight w:val="none"/>
        </w:rPr>
        <w:t>条〔争议解决〕约定处理。</w:t>
      </w:r>
    </w:p>
    <w:p w14:paraId="3A08E498">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19.3</w:t>
      </w:r>
      <w:r>
        <w:rPr>
          <w:rFonts w:ascii="黑体" w:hAnsi="黑体" w:eastAsia="黑体" w:cs="黑体"/>
          <w:color w:val="auto"/>
          <w:spacing w:val="-43"/>
          <w:sz w:val="24"/>
          <w:szCs w:val="24"/>
          <w:highlight w:val="none"/>
        </w:rPr>
        <w:t xml:space="preserve"> </w:t>
      </w:r>
      <w:r>
        <w:rPr>
          <w:rFonts w:ascii="黑体" w:hAnsi="黑体" w:eastAsia="黑体" w:cs="黑体"/>
          <w:color w:val="auto"/>
          <w:spacing w:val="-4"/>
          <w:sz w:val="24"/>
          <w:szCs w:val="24"/>
          <w:highlight w:val="none"/>
        </w:rPr>
        <w:t>发包人的索赔</w:t>
      </w:r>
    </w:p>
    <w:p w14:paraId="25C1D7C9">
      <w:pPr>
        <w:spacing w:before="130"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根据合同约定， 发包人认为有权得到赔付金额和（或） 延长缺陷责任期的， 监理人应</w:t>
      </w:r>
    </w:p>
    <w:p w14:paraId="1CFE9AB0">
      <w:pPr>
        <w:spacing w:before="1" w:line="219" w:lineRule="auto"/>
        <w:ind w:left="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向承包人发出通知并附有详细的证明。</w:t>
      </w:r>
    </w:p>
    <w:p w14:paraId="071D4BD2">
      <w:pPr>
        <w:spacing w:before="154" w:line="350" w:lineRule="auto"/>
        <w:ind w:left="18" w:right="2"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发包人应在知道或应当知道索赔事件发生后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天内通过监</w:t>
      </w:r>
      <w:r>
        <w:rPr>
          <w:rFonts w:ascii="宋体" w:hAnsi="宋体" w:eastAsia="宋体" w:cs="宋体"/>
          <w:color w:val="auto"/>
          <w:spacing w:val="-1"/>
          <w:sz w:val="21"/>
          <w:szCs w:val="21"/>
          <w:highlight w:val="none"/>
        </w:rPr>
        <w:t>理人向承包人提出索赔意向</w:t>
      </w:r>
      <w:r>
        <w:rPr>
          <w:rFonts w:ascii="宋体" w:hAnsi="宋体" w:eastAsia="宋体" w:cs="宋体"/>
          <w:color w:val="auto"/>
          <w:sz w:val="21"/>
          <w:szCs w:val="21"/>
          <w:highlight w:val="none"/>
        </w:rPr>
        <w:t xml:space="preserve"> 通知书，发包人未在前述</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z w:val="21"/>
          <w:szCs w:val="21"/>
          <w:highlight w:val="none"/>
        </w:rPr>
        <w:t>天内发出索赔意向</w:t>
      </w:r>
      <w:r>
        <w:rPr>
          <w:rFonts w:ascii="宋体" w:hAnsi="宋体" w:eastAsia="宋体" w:cs="宋体"/>
          <w:color w:val="auto"/>
          <w:spacing w:val="-1"/>
          <w:sz w:val="21"/>
          <w:szCs w:val="21"/>
          <w:highlight w:val="none"/>
        </w:rPr>
        <w:t>通知书的，丧失要求赔付金额和（或）延长</w:t>
      </w:r>
    </w:p>
    <w:p w14:paraId="36C8526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缺陷责任期的权利。发包人应在发出索赔意向通知书后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天内，通过监理</w:t>
      </w:r>
      <w:r>
        <w:rPr>
          <w:rFonts w:ascii="宋体" w:hAnsi="宋体" w:eastAsia="宋体" w:cs="宋体"/>
          <w:color w:val="auto"/>
          <w:spacing w:val="-1"/>
          <w:sz w:val="21"/>
          <w:szCs w:val="21"/>
          <w:highlight w:val="none"/>
        </w:rPr>
        <w:t>人向承包人正式</w:t>
      </w:r>
    </w:p>
    <w:p w14:paraId="1F156A5B">
      <w:pPr>
        <w:spacing w:before="154"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递交索赔报告。</w:t>
      </w:r>
    </w:p>
    <w:p w14:paraId="030EE123">
      <w:pPr>
        <w:spacing w:before="48" w:line="413" w:lineRule="exact"/>
        <w:ind w:left="31"/>
        <w:rPr>
          <w:rFonts w:ascii="黑体" w:hAnsi="黑体" w:eastAsia="黑体" w:cs="黑体"/>
          <w:color w:val="auto"/>
          <w:sz w:val="24"/>
          <w:szCs w:val="24"/>
          <w:highlight w:val="none"/>
        </w:rPr>
      </w:pPr>
      <w:r>
        <w:rPr>
          <w:rFonts w:ascii="黑体" w:hAnsi="黑体" w:eastAsia="黑体" w:cs="黑体"/>
          <w:color w:val="auto"/>
          <w:spacing w:val="-2"/>
          <w:position w:val="12"/>
          <w:sz w:val="24"/>
          <w:szCs w:val="24"/>
          <w:highlight w:val="none"/>
        </w:rPr>
        <w:t>19.4 对发包人索赔的处理</w:t>
      </w:r>
    </w:p>
    <w:p w14:paraId="6C2869B2">
      <w:pPr>
        <w:spacing w:before="1" w:line="220"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对发包人索赔的处理如下：</w:t>
      </w:r>
    </w:p>
    <w:p w14:paraId="07DAF926">
      <w:pPr>
        <w:spacing w:before="147"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）承包人收到发包人提交的索赔报告后，应及时审查索赔报告的内容、查验</w:t>
      </w:r>
      <w:r>
        <w:rPr>
          <w:rFonts w:ascii="宋体" w:hAnsi="宋体" w:eastAsia="宋体" w:cs="宋体"/>
          <w:color w:val="auto"/>
          <w:spacing w:val="-1"/>
          <w:position w:val="14"/>
          <w:sz w:val="21"/>
          <w:szCs w:val="21"/>
          <w:highlight w:val="none"/>
        </w:rPr>
        <w:t>发包人</w:t>
      </w:r>
    </w:p>
    <w:p w14:paraId="009AA09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证明材料；</w:t>
      </w:r>
    </w:p>
    <w:p w14:paraId="32D32C19">
      <w:pPr>
        <w:spacing w:before="154" w:line="350" w:lineRule="auto"/>
        <w:ind w:left="23" w:right="1"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 xml:space="preserve">）承包人应在收到索赔报告或有关索赔的进一步证明材料后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天内，将索赔处理</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结果答复发包人。如果承包人未在上述期限内作出答复的， 则视为对发包人索赔要求的认</w:t>
      </w:r>
    </w:p>
    <w:p w14:paraId="1B49792C">
      <w:pPr>
        <w:spacing w:before="1" w:line="222"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可；</w:t>
      </w:r>
    </w:p>
    <w:p w14:paraId="446D5A70">
      <w:pPr>
        <w:spacing w:before="149" w:line="399"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）承包人接受索赔处理结果的，发包人可从应支付给承包人的合同价款中扣</w:t>
      </w:r>
      <w:r>
        <w:rPr>
          <w:rFonts w:ascii="宋体" w:hAnsi="宋体" w:eastAsia="宋体" w:cs="宋体"/>
          <w:color w:val="auto"/>
          <w:spacing w:val="-1"/>
          <w:position w:val="14"/>
          <w:sz w:val="21"/>
          <w:szCs w:val="21"/>
          <w:highlight w:val="none"/>
        </w:rPr>
        <w:t>除赔付</w:t>
      </w:r>
    </w:p>
    <w:p w14:paraId="750BE967">
      <w:pPr>
        <w:spacing w:before="1" w:line="220" w:lineRule="auto"/>
        <w:ind w:right="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的金额或延长缺陷责任期；发包人不接受索赔处理结果的，按第</w:t>
      </w:r>
      <w:r>
        <w:rPr>
          <w:rFonts w:ascii="宋体" w:hAnsi="宋体" w:eastAsia="宋体" w:cs="宋体"/>
          <w:color w:val="auto"/>
          <w:spacing w:val="-1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条〔争议解决〕约定处</w:t>
      </w:r>
    </w:p>
    <w:p w14:paraId="69EE87DD">
      <w:pPr>
        <w:spacing w:before="147" w:line="231"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理。</w:t>
      </w:r>
    </w:p>
    <w:p w14:paraId="73DEDAB4">
      <w:pPr>
        <w:spacing w:before="39"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19.5 提出索赔的期限</w:t>
      </w:r>
    </w:p>
    <w:p w14:paraId="51A2FFEB">
      <w:pPr>
        <w:spacing w:before="129" w:line="398"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）承包人按第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14.2</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1"/>
          <w:position w:val="14"/>
          <w:sz w:val="21"/>
          <w:szCs w:val="21"/>
          <w:highlight w:val="none"/>
        </w:rPr>
        <w:t>款〔竣工结算审核〕约定接收竣工付款证书后，应被视为已</w:t>
      </w:r>
      <w:r>
        <w:rPr>
          <w:rFonts w:ascii="宋体" w:hAnsi="宋体" w:eastAsia="宋体" w:cs="宋体"/>
          <w:color w:val="auto"/>
          <w:spacing w:val="-2"/>
          <w:position w:val="14"/>
          <w:sz w:val="21"/>
          <w:szCs w:val="21"/>
          <w:highlight w:val="none"/>
        </w:rPr>
        <w:t>无权</w:t>
      </w:r>
    </w:p>
    <w:p w14:paraId="4128FB0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再提出在工程接收证书颁发前所发生的任何索赔。</w:t>
      </w:r>
    </w:p>
    <w:p w14:paraId="31F79F80">
      <w:pPr>
        <w:spacing w:before="149" w:line="404"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）承包人按第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14.4</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1"/>
          <w:position w:val="14"/>
          <w:sz w:val="21"/>
          <w:szCs w:val="21"/>
          <w:highlight w:val="none"/>
        </w:rPr>
        <w:t>款〔最终结清〕提交的最终结清申请单中，只限于提出工程</w:t>
      </w:r>
      <w:r>
        <w:rPr>
          <w:rFonts w:ascii="宋体" w:hAnsi="宋体" w:eastAsia="宋体" w:cs="宋体"/>
          <w:color w:val="auto"/>
          <w:spacing w:val="-2"/>
          <w:position w:val="14"/>
          <w:sz w:val="21"/>
          <w:szCs w:val="21"/>
          <w:highlight w:val="none"/>
        </w:rPr>
        <w:t>接收</w:t>
      </w:r>
    </w:p>
    <w:p w14:paraId="4D0FAF83">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证书颁发后发生的索赔。提出索赔的期限自接受最终结清证书时终止。</w:t>
      </w:r>
    </w:p>
    <w:p w14:paraId="2EB713E8">
      <w:pPr>
        <w:spacing w:before="174" w:line="526" w:lineRule="exact"/>
        <w:ind w:left="20"/>
        <w:rPr>
          <w:rFonts w:ascii="黑体" w:hAnsi="黑体" w:eastAsia="黑体" w:cs="黑体"/>
          <w:color w:val="auto"/>
          <w:sz w:val="32"/>
          <w:szCs w:val="32"/>
          <w:highlight w:val="none"/>
        </w:rPr>
      </w:pPr>
      <w:r>
        <w:rPr>
          <w:rFonts w:ascii="黑体" w:hAnsi="黑体" w:eastAsia="黑体" w:cs="黑体"/>
          <w:color w:val="auto"/>
          <w:spacing w:val="-1"/>
          <w:position w:val="14"/>
          <w:sz w:val="32"/>
          <w:szCs w:val="32"/>
          <w:highlight w:val="none"/>
        </w:rPr>
        <w:t>20.争议解决</w:t>
      </w:r>
    </w:p>
    <w:p w14:paraId="7C97C4E2">
      <w:pPr>
        <w:spacing w:before="1"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20.1</w:t>
      </w:r>
      <w:r>
        <w:rPr>
          <w:rFonts w:ascii="黑体" w:hAnsi="黑体" w:eastAsia="黑体" w:cs="黑体"/>
          <w:color w:val="auto"/>
          <w:spacing w:val="-48"/>
          <w:sz w:val="24"/>
          <w:szCs w:val="24"/>
          <w:highlight w:val="none"/>
        </w:rPr>
        <w:t xml:space="preserve"> </w:t>
      </w:r>
      <w:r>
        <w:rPr>
          <w:rFonts w:ascii="黑体" w:hAnsi="黑体" w:eastAsia="黑体" w:cs="黑体"/>
          <w:color w:val="auto"/>
          <w:spacing w:val="-3"/>
          <w:sz w:val="24"/>
          <w:szCs w:val="24"/>
          <w:highlight w:val="none"/>
        </w:rPr>
        <w:t>和解</w:t>
      </w:r>
    </w:p>
    <w:p w14:paraId="406BFD53">
      <w:pPr>
        <w:spacing w:before="12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合同当事人可以就争议自行和解，自行和解达成协议的经双方签字并盖章后作为合同</w:t>
      </w:r>
    </w:p>
    <w:p w14:paraId="451CA997">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补充文件，</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双方均应遵照执行。</w:t>
      </w:r>
    </w:p>
    <w:p w14:paraId="2D212B72">
      <w:pPr>
        <w:spacing w:before="45" w:line="220"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20.2</w:t>
      </w:r>
      <w:r>
        <w:rPr>
          <w:rFonts w:ascii="黑体" w:hAnsi="黑体" w:eastAsia="黑体" w:cs="黑体"/>
          <w:color w:val="auto"/>
          <w:spacing w:val="-47"/>
          <w:sz w:val="24"/>
          <w:szCs w:val="24"/>
          <w:highlight w:val="none"/>
        </w:rPr>
        <w:t xml:space="preserve"> </w:t>
      </w:r>
      <w:r>
        <w:rPr>
          <w:rFonts w:ascii="黑体" w:hAnsi="黑体" w:eastAsia="黑体" w:cs="黑体"/>
          <w:color w:val="auto"/>
          <w:spacing w:val="-3"/>
          <w:sz w:val="24"/>
          <w:szCs w:val="24"/>
          <w:highlight w:val="none"/>
        </w:rPr>
        <w:t>调解</w:t>
      </w:r>
    </w:p>
    <w:p w14:paraId="458B3CCC">
      <w:pPr>
        <w:spacing w:before="128" w:line="399"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合同当事人可以就争议请求建设行政主管部门、行业协会或其他第三方进行调解，调</w:t>
      </w:r>
    </w:p>
    <w:p w14:paraId="388052E4">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解达成协议的，经双方签字并盖章后作为合同补充文件，双方均应遵照执行。</w:t>
      </w:r>
    </w:p>
    <w:p w14:paraId="62F72D59">
      <w:pPr>
        <w:spacing w:line="219" w:lineRule="auto"/>
        <w:rPr>
          <w:rFonts w:ascii="宋体" w:hAnsi="宋体" w:eastAsia="宋体" w:cs="宋体"/>
          <w:color w:val="auto"/>
          <w:sz w:val="21"/>
          <w:szCs w:val="21"/>
          <w:highlight w:val="none"/>
        </w:rPr>
        <w:sectPr>
          <w:footerReference r:id="rId150" w:type="default"/>
          <w:pgSz w:w="11905" w:h="16839"/>
          <w:pgMar w:top="1431" w:right="1785" w:bottom="1004" w:left="1785" w:header="0" w:footer="828" w:gutter="0"/>
          <w:pgNumType w:fmt="decimal"/>
          <w:cols w:space="720" w:num="1"/>
        </w:sectPr>
      </w:pPr>
    </w:p>
    <w:p w14:paraId="4A7F176F">
      <w:pPr>
        <w:spacing w:before="47"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20.3</w:t>
      </w:r>
      <w:r>
        <w:rPr>
          <w:rFonts w:ascii="黑体" w:hAnsi="黑体" w:eastAsia="黑体" w:cs="黑体"/>
          <w:color w:val="auto"/>
          <w:spacing w:val="-43"/>
          <w:sz w:val="24"/>
          <w:szCs w:val="24"/>
          <w:highlight w:val="none"/>
        </w:rPr>
        <w:t xml:space="preserve"> </w:t>
      </w:r>
      <w:r>
        <w:rPr>
          <w:rFonts w:ascii="黑体" w:hAnsi="黑体" w:eastAsia="黑体" w:cs="黑体"/>
          <w:color w:val="auto"/>
          <w:spacing w:val="-3"/>
          <w:sz w:val="24"/>
          <w:szCs w:val="24"/>
          <w:highlight w:val="none"/>
        </w:rPr>
        <w:t>争议评审</w:t>
      </w:r>
    </w:p>
    <w:p w14:paraId="47301F53">
      <w:pPr>
        <w:spacing w:before="129"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合同当事人在专用合同条款中约定采取争议评审方式解决争议以及评审规则，并按下</w:t>
      </w:r>
    </w:p>
    <w:p w14:paraId="644C279F">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列约定执行：</w:t>
      </w:r>
    </w:p>
    <w:p w14:paraId="5B0A2253">
      <w:pPr>
        <w:spacing w:before="152"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20.3.1 </w:t>
      </w:r>
      <w:r>
        <w:rPr>
          <w:rFonts w:ascii="宋体" w:hAnsi="宋体" w:eastAsia="宋体" w:cs="宋体"/>
          <w:color w:val="auto"/>
          <w:sz w:val="21"/>
          <w:szCs w:val="21"/>
          <w:highlight w:val="none"/>
        </w:rPr>
        <w:t>争议评审小组的确定</w:t>
      </w:r>
    </w:p>
    <w:p w14:paraId="646384F0">
      <w:pPr>
        <w:spacing w:before="148" w:line="352"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合同当事人可以共同选择一名或三名争议评审员，组成争议评审小组。除专用合同条</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 xml:space="preserve">款另有约定外，合同当事人应当自合同签订后 </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天内，或者争议发</w:t>
      </w:r>
      <w:r>
        <w:rPr>
          <w:rFonts w:ascii="宋体" w:hAnsi="宋体" w:eastAsia="宋体" w:cs="宋体"/>
          <w:color w:val="auto"/>
          <w:spacing w:val="-2"/>
          <w:sz w:val="21"/>
          <w:szCs w:val="21"/>
          <w:highlight w:val="none"/>
        </w:rPr>
        <w:t xml:space="preserve">生后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2"/>
          <w:sz w:val="21"/>
          <w:szCs w:val="21"/>
          <w:highlight w:val="none"/>
        </w:rPr>
        <w:t>天内，选定争</w:t>
      </w:r>
    </w:p>
    <w:p w14:paraId="202EEBAE">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议评审员。</w:t>
      </w:r>
    </w:p>
    <w:p w14:paraId="2FC91C0B">
      <w:pPr>
        <w:spacing w:before="148" w:line="352" w:lineRule="auto"/>
        <w:ind w:left="21" w:right="174" w:firstLine="418"/>
        <w:rPr>
          <w:rFonts w:ascii="宋体" w:hAnsi="宋体" w:eastAsia="宋体" w:cs="宋体"/>
          <w:color w:val="auto"/>
          <w:sz w:val="21"/>
          <w:szCs w:val="21"/>
          <w:highlight w:val="none"/>
        </w:rPr>
      </w:pPr>
      <w:r>
        <w:rPr>
          <w:rFonts w:ascii="宋体" w:hAnsi="宋体" w:eastAsia="宋体" w:cs="宋体"/>
          <w:color w:val="auto"/>
          <w:sz w:val="21"/>
          <w:szCs w:val="21"/>
          <w:highlight w:val="none"/>
        </w:rPr>
        <w:t>选择一名争议评审员的，由合同当事人共同确定；选择三名争议评审员的， 各自选定</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一名， 第三名成员为首席争议评审员，由合同当事人共同确定或由合同当事人委托已选定</w:t>
      </w:r>
    </w:p>
    <w:p w14:paraId="13A300CF">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的争议评审员共同确定，或由专用合同条款约定的评审机构指定第三名首席争议评</w:t>
      </w:r>
      <w:r>
        <w:rPr>
          <w:rFonts w:ascii="宋体" w:hAnsi="宋体" w:eastAsia="宋体" w:cs="宋体"/>
          <w:color w:val="auto"/>
          <w:spacing w:val="-2"/>
          <w:sz w:val="21"/>
          <w:szCs w:val="21"/>
          <w:highlight w:val="none"/>
        </w:rPr>
        <w:t>审员。</w:t>
      </w:r>
    </w:p>
    <w:p w14:paraId="66693577">
      <w:pPr>
        <w:spacing w:before="148" w:line="221"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评审员报酬由发包人和承</w:t>
      </w:r>
      <w:r>
        <w:rPr>
          <w:rFonts w:ascii="宋体" w:hAnsi="宋体" w:eastAsia="宋体" w:cs="宋体"/>
          <w:color w:val="auto"/>
          <w:spacing w:val="-5"/>
          <w:sz w:val="21"/>
          <w:szCs w:val="21"/>
          <w:highlight w:val="none"/>
        </w:rPr>
        <w:t>包人各承担一半。</w:t>
      </w:r>
    </w:p>
    <w:p w14:paraId="1F4B57DD">
      <w:pPr>
        <w:spacing w:before="147"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20.3.2 </w:t>
      </w:r>
      <w:r>
        <w:rPr>
          <w:rFonts w:ascii="宋体" w:hAnsi="宋体" w:eastAsia="宋体" w:cs="宋体"/>
          <w:color w:val="auto"/>
          <w:sz w:val="21"/>
          <w:szCs w:val="21"/>
          <w:highlight w:val="none"/>
        </w:rPr>
        <w:t>争议评审小组的决定</w:t>
      </w:r>
    </w:p>
    <w:p w14:paraId="1C8C709C">
      <w:pPr>
        <w:spacing w:before="153" w:line="221"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合同当事人可在任何时间将与合同有关的任何争议共同提请争议评审小组进</w:t>
      </w:r>
      <w:r>
        <w:rPr>
          <w:rFonts w:ascii="宋体" w:hAnsi="宋体" w:eastAsia="宋体" w:cs="宋体"/>
          <w:color w:val="auto"/>
          <w:spacing w:val="2"/>
          <w:sz w:val="21"/>
          <w:szCs w:val="21"/>
          <w:highlight w:val="none"/>
        </w:rPr>
        <w:t>行评审。</w:t>
      </w:r>
    </w:p>
    <w:p w14:paraId="787B61DA">
      <w:pPr>
        <w:spacing w:before="148" w:line="352" w:lineRule="auto"/>
        <w:ind w:left="19" w:firstLine="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争议评审小组应秉持客观、公正原则，充分听取合同当事人的意见，依据相关法律、</w:t>
      </w:r>
      <w:r>
        <w:rPr>
          <w:rFonts w:ascii="宋体" w:hAnsi="宋体" w:eastAsia="宋体" w:cs="宋体"/>
          <w:color w:val="auto"/>
          <w:spacing w:val="1"/>
          <w:sz w:val="21"/>
          <w:szCs w:val="21"/>
          <w:highlight w:val="none"/>
        </w:rPr>
        <w:t>规范、</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标准、案例经验及商业惯例等，自收到争议评审申请报告后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天内作出书面决定，并说明</w:t>
      </w:r>
    </w:p>
    <w:p w14:paraId="6DB095E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理由。合同当事人可以在专用合同条款中对本项事项</w:t>
      </w:r>
      <w:r>
        <w:rPr>
          <w:rFonts w:ascii="宋体" w:hAnsi="宋体" w:eastAsia="宋体" w:cs="宋体"/>
          <w:color w:val="auto"/>
          <w:spacing w:val="-2"/>
          <w:sz w:val="21"/>
          <w:szCs w:val="21"/>
          <w:highlight w:val="none"/>
        </w:rPr>
        <w:t>另行约定。</w:t>
      </w:r>
    </w:p>
    <w:p w14:paraId="309CFCB1">
      <w:pPr>
        <w:spacing w:before="14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20.3.3 </w:t>
      </w:r>
      <w:r>
        <w:rPr>
          <w:rFonts w:ascii="宋体" w:hAnsi="宋体" w:eastAsia="宋体" w:cs="宋体"/>
          <w:color w:val="auto"/>
          <w:sz w:val="21"/>
          <w:szCs w:val="21"/>
          <w:highlight w:val="none"/>
        </w:rPr>
        <w:t>争议评审小组决定的效力</w:t>
      </w:r>
    </w:p>
    <w:p w14:paraId="1DFFEBDF">
      <w:pPr>
        <w:spacing w:before="148" w:line="403" w:lineRule="exact"/>
        <w:ind w:left="445"/>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争议评审小组作出的书面决定经合同当事人签字确认后，对双方具有约束力，双</w:t>
      </w:r>
      <w:r>
        <w:rPr>
          <w:rFonts w:ascii="宋体" w:hAnsi="宋体" w:eastAsia="宋体" w:cs="宋体"/>
          <w:color w:val="auto"/>
          <w:spacing w:val="2"/>
          <w:position w:val="14"/>
          <w:sz w:val="21"/>
          <w:szCs w:val="21"/>
          <w:highlight w:val="none"/>
        </w:rPr>
        <w:t>方应</w:t>
      </w:r>
    </w:p>
    <w:p w14:paraId="41F9BCDA">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遵照执行。</w:t>
      </w:r>
    </w:p>
    <w:p w14:paraId="7278F3EE">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任何一方当事人不接受争议评审小组决定或不履行争议评审小组决定的，双方可选择</w:t>
      </w:r>
    </w:p>
    <w:p w14:paraId="63E09388">
      <w:pPr>
        <w:spacing w:before="148"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采用其他争议解决方式。</w:t>
      </w:r>
    </w:p>
    <w:p w14:paraId="15624F1E">
      <w:pPr>
        <w:spacing w:before="47" w:line="217"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20.4</w:t>
      </w:r>
      <w:r>
        <w:rPr>
          <w:rFonts w:ascii="黑体" w:hAnsi="黑体" w:eastAsia="黑体" w:cs="黑体"/>
          <w:color w:val="auto"/>
          <w:spacing w:val="-49"/>
          <w:sz w:val="24"/>
          <w:szCs w:val="24"/>
          <w:highlight w:val="none"/>
        </w:rPr>
        <w:t xml:space="preserve"> </w:t>
      </w:r>
      <w:r>
        <w:rPr>
          <w:rFonts w:ascii="黑体" w:hAnsi="黑体" w:eastAsia="黑体" w:cs="黑体"/>
          <w:color w:val="auto"/>
          <w:spacing w:val="-2"/>
          <w:sz w:val="24"/>
          <w:szCs w:val="24"/>
          <w:highlight w:val="none"/>
        </w:rPr>
        <w:t>仲裁或诉讼</w:t>
      </w:r>
    </w:p>
    <w:p w14:paraId="2C05F784">
      <w:pPr>
        <w:spacing w:before="131" w:line="404"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因合同及合同有关事项产生的争议， 合同当事人可以在专用合同条</w:t>
      </w:r>
      <w:r>
        <w:rPr>
          <w:rFonts w:ascii="宋体" w:hAnsi="宋体" w:eastAsia="宋体" w:cs="宋体"/>
          <w:color w:val="auto"/>
          <w:spacing w:val="-1"/>
          <w:position w:val="14"/>
          <w:sz w:val="21"/>
          <w:szCs w:val="21"/>
          <w:highlight w:val="none"/>
        </w:rPr>
        <w:t>款中约定以下一种</w:t>
      </w:r>
    </w:p>
    <w:p w14:paraId="1D0CFB72">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方式解决争议：</w:t>
      </w:r>
    </w:p>
    <w:p w14:paraId="34780AC5">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）向约定的仲裁委员会申请仲裁；</w:t>
      </w:r>
    </w:p>
    <w:p w14:paraId="47FAFD4F">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）向有管辖权的人民法院起诉。</w:t>
      </w:r>
    </w:p>
    <w:p w14:paraId="3DA256C3">
      <w:pPr>
        <w:spacing w:before="52" w:line="218"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20.5</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争议解决条款效力</w:t>
      </w:r>
    </w:p>
    <w:p w14:paraId="6277DDEE">
      <w:pPr>
        <w:spacing w:before="130" w:line="398"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合同有关争议解决的条款独立存在， 合同的变更、解除、终止、无效或者被撤销均不</w:t>
      </w:r>
    </w:p>
    <w:p w14:paraId="01D195A3">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影响其效力。</w:t>
      </w:r>
    </w:p>
    <w:p w14:paraId="01263A0F">
      <w:pPr>
        <w:spacing w:line="220" w:lineRule="auto"/>
        <w:rPr>
          <w:rFonts w:ascii="宋体" w:hAnsi="宋体" w:eastAsia="宋体" w:cs="宋体"/>
          <w:color w:val="auto"/>
          <w:sz w:val="21"/>
          <w:szCs w:val="21"/>
          <w:highlight w:val="none"/>
        </w:rPr>
        <w:sectPr>
          <w:footerReference r:id="rId151" w:type="default"/>
          <w:pgSz w:w="11905" w:h="16839"/>
          <w:pgMar w:top="1431" w:right="1617" w:bottom="1004" w:left="1785" w:header="0" w:footer="828" w:gutter="0"/>
          <w:pgNumType w:fmt="decimal"/>
          <w:cols w:space="720" w:num="1"/>
        </w:sectPr>
      </w:pPr>
    </w:p>
    <w:p w14:paraId="19C32C0F">
      <w:pPr>
        <w:pStyle w:val="3"/>
        <w:rPr>
          <w:color w:val="auto"/>
          <w:highlight w:val="none"/>
        </w:rPr>
      </w:pPr>
    </w:p>
    <w:p w14:paraId="5C1596C2">
      <w:pPr>
        <w:pStyle w:val="3"/>
        <w:rPr>
          <w:color w:val="auto"/>
          <w:highlight w:val="none"/>
        </w:rPr>
      </w:pPr>
    </w:p>
    <w:p w14:paraId="22BDA925">
      <w:pPr>
        <w:pStyle w:val="3"/>
        <w:rPr>
          <w:color w:val="auto"/>
          <w:highlight w:val="none"/>
        </w:rPr>
      </w:pPr>
    </w:p>
    <w:p w14:paraId="5BB2B193">
      <w:pPr>
        <w:pStyle w:val="3"/>
        <w:rPr>
          <w:color w:val="auto"/>
          <w:highlight w:val="none"/>
        </w:rPr>
      </w:pPr>
    </w:p>
    <w:p w14:paraId="0E54224F">
      <w:pPr>
        <w:pStyle w:val="3"/>
        <w:rPr>
          <w:color w:val="auto"/>
          <w:highlight w:val="none"/>
        </w:rPr>
      </w:pPr>
    </w:p>
    <w:p w14:paraId="361472C9">
      <w:pPr>
        <w:pStyle w:val="3"/>
        <w:rPr>
          <w:color w:val="auto"/>
          <w:highlight w:val="none"/>
        </w:rPr>
      </w:pPr>
    </w:p>
    <w:p w14:paraId="505996A6">
      <w:pPr>
        <w:pStyle w:val="3"/>
        <w:rPr>
          <w:color w:val="auto"/>
          <w:highlight w:val="none"/>
        </w:rPr>
      </w:pPr>
    </w:p>
    <w:p w14:paraId="65F4C09A">
      <w:pPr>
        <w:pStyle w:val="3"/>
        <w:rPr>
          <w:color w:val="auto"/>
          <w:highlight w:val="none"/>
        </w:rPr>
      </w:pPr>
    </w:p>
    <w:p w14:paraId="10B0B939">
      <w:pPr>
        <w:pStyle w:val="3"/>
        <w:rPr>
          <w:color w:val="auto"/>
          <w:highlight w:val="none"/>
        </w:rPr>
      </w:pPr>
    </w:p>
    <w:p w14:paraId="257F0898">
      <w:pPr>
        <w:pStyle w:val="3"/>
        <w:rPr>
          <w:color w:val="auto"/>
          <w:highlight w:val="none"/>
        </w:rPr>
      </w:pPr>
    </w:p>
    <w:p w14:paraId="4F1D9B70">
      <w:pPr>
        <w:pStyle w:val="3"/>
        <w:rPr>
          <w:color w:val="auto"/>
          <w:highlight w:val="none"/>
        </w:rPr>
      </w:pPr>
    </w:p>
    <w:p w14:paraId="4A863C6F">
      <w:pPr>
        <w:pStyle w:val="3"/>
        <w:rPr>
          <w:color w:val="auto"/>
          <w:highlight w:val="none"/>
        </w:rPr>
      </w:pPr>
    </w:p>
    <w:p w14:paraId="2CC2F55C">
      <w:pPr>
        <w:spacing w:before="88" w:line="225" w:lineRule="auto"/>
        <w:ind w:left="2744"/>
        <w:outlineLvl w:val="1"/>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第三部分</w:t>
      </w:r>
      <w:r>
        <w:rPr>
          <w:rFonts w:ascii="黑体" w:hAnsi="黑体" w:eastAsia="黑体" w:cs="黑体"/>
          <w:color w:val="auto"/>
          <w:spacing w:val="-42"/>
          <w:sz w:val="27"/>
          <w:szCs w:val="27"/>
          <w:highlight w:val="none"/>
        </w:rPr>
        <w:t xml:space="preserve"> </w:t>
      </w:r>
      <w:r>
        <w:rPr>
          <w:rFonts w:ascii="黑体" w:hAnsi="黑体" w:eastAsia="黑体" w:cs="黑体"/>
          <w:color w:val="auto"/>
          <w:spacing w:val="6"/>
          <w:sz w:val="27"/>
          <w:szCs w:val="27"/>
          <w:highlight w:val="none"/>
        </w:rPr>
        <w:t>专用合同条款</w:t>
      </w:r>
    </w:p>
    <w:p w14:paraId="1B681E5A">
      <w:pPr>
        <w:spacing w:line="225" w:lineRule="auto"/>
        <w:rPr>
          <w:rFonts w:ascii="黑体" w:hAnsi="黑体" w:eastAsia="黑体" w:cs="黑体"/>
          <w:color w:val="auto"/>
          <w:sz w:val="27"/>
          <w:szCs w:val="27"/>
          <w:highlight w:val="none"/>
        </w:rPr>
        <w:sectPr>
          <w:footerReference r:id="rId152" w:type="default"/>
          <w:pgSz w:w="11905" w:h="16839"/>
          <w:pgMar w:top="1431" w:right="1785" w:bottom="1004" w:left="1785" w:header="0" w:footer="828" w:gutter="0"/>
          <w:pgNumType w:fmt="decimal"/>
          <w:cols w:space="720" w:num="1"/>
        </w:sectPr>
      </w:pPr>
    </w:p>
    <w:p w14:paraId="06DBEA25">
      <w:pPr>
        <w:spacing w:before="91" w:line="226" w:lineRule="auto"/>
        <w:ind w:left="3344"/>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专用合同条款</w:t>
      </w:r>
    </w:p>
    <w:p w14:paraId="6B319B38">
      <w:pPr>
        <w:pStyle w:val="3"/>
        <w:spacing w:line="447" w:lineRule="auto"/>
        <w:rPr>
          <w:color w:val="auto"/>
          <w:highlight w:val="none"/>
        </w:rPr>
      </w:pPr>
    </w:p>
    <w:p w14:paraId="22F8A5A2">
      <w:pPr>
        <w:pStyle w:val="15"/>
        <w:spacing w:before="120" w:after="120" w:line="360" w:lineRule="auto"/>
        <w:outlineLvl w:val="9"/>
        <w:rPr>
          <w:rStyle w:val="8"/>
          <w:rFonts w:ascii="宋体" w:hAnsi="宋体" w:eastAsia="宋体"/>
          <w:b w:val="0"/>
          <w:color w:val="auto"/>
          <w:sz w:val="24"/>
          <w:szCs w:val="24"/>
          <w:highlight w:val="none"/>
        </w:rPr>
      </w:pPr>
      <w:bookmarkStart w:id="200" w:name="_Toc69461797"/>
      <w:bookmarkStart w:id="201" w:name="_Toc351203633"/>
      <w:bookmarkStart w:id="202" w:name="_Toc69461142"/>
      <w:bookmarkStart w:id="203" w:name="_Toc5946"/>
      <w:bookmarkStart w:id="204" w:name="_Toc256001055"/>
      <w:bookmarkStart w:id="205" w:name="_Toc256000322"/>
      <w:bookmarkStart w:id="206" w:name="_Toc256000551"/>
      <w:bookmarkStart w:id="207" w:name="_Toc256000818"/>
      <w:bookmarkStart w:id="208" w:name="_Toc256001285"/>
      <w:bookmarkStart w:id="209" w:name="_Toc12656"/>
      <w:r>
        <w:rPr>
          <w:rStyle w:val="8"/>
          <w:rFonts w:ascii="宋体" w:hAnsi="宋体" w:eastAsia="宋体"/>
          <w:b w:val="0"/>
          <w:color w:val="auto"/>
          <w:sz w:val="24"/>
          <w:szCs w:val="24"/>
          <w:highlight w:val="none"/>
        </w:rPr>
        <w:t>1</w:t>
      </w:r>
      <w:bookmarkStart w:id="210" w:name="_Toc297120456"/>
      <w:bookmarkStart w:id="211" w:name="_Toc296346657"/>
      <w:bookmarkStart w:id="212" w:name="_Toc296944495"/>
      <w:bookmarkStart w:id="213" w:name="_Toc292559361"/>
      <w:bookmarkStart w:id="214" w:name="_Toc296891196"/>
      <w:bookmarkStart w:id="215" w:name="_Toc292559866"/>
      <w:bookmarkStart w:id="216" w:name="_Toc296347155"/>
      <w:bookmarkStart w:id="217" w:name="_Toc296503156"/>
      <w:bookmarkStart w:id="218" w:name="_Toc297048342"/>
      <w:bookmarkStart w:id="219" w:name="_Toc296890984"/>
      <w:r>
        <w:rPr>
          <w:rStyle w:val="8"/>
          <w:rFonts w:ascii="宋体" w:hAnsi="宋体" w:eastAsia="宋体"/>
          <w:b w:val="0"/>
          <w:color w:val="auto"/>
          <w:sz w:val="24"/>
          <w:szCs w:val="24"/>
          <w:highlight w:val="none"/>
        </w:rPr>
        <w:t>. 一般约定</w:t>
      </w:r>
      <w:bookmarkEnd w:id="200"/>
      <w:bookmarkEnd w:id="201"/>
      <w:bookmarkEnd w:id="202"/>
      <w:bookmarkEnd w:id="203"/>
      <w:bookmarkEnd w:id="204"/>
      <w:bookmarkEnd w:id="205"/>
      <w:bookmarkEnd w:id="206"/>
      <w:bookmarkEnd w:id="207"/>
      <w:bookmarkEnd w:id="208"/>
      <w:bookmarkEnd w:id="209"/>
    </w:p>
    <w:bookmarkEnd w:id="210"/>
    <w:bookmarkEnd w:id="211"/>
    <w:bookmarkEnd w:id="212"/>
    <w:bookmarkEnd w:id="213"/>
    <w:bookmarkEnd w:id="214"/>
    <w:bookmarkEnd w:id="215"/>
    <w:bookmarkEnd w:id="216"/>
    <w:bookmarkEnd w:id="217"/>
    <w:bookmarkEnd w:id="218"/>
    <w:bookmarkEnd w:id="219"/>
    <w:p w14:paraId="3034BF7F">
      <w:pPr>
        <w:pStyle w:val="13"/>
        <w:spacing w:after="120" w:line="360" w:lineRule="auto"/>
        <w:ind w:firstLine="480" w:firstLineChars="200"/>
        <w:outlineLvl w:val="9"/>
        <w:rPr>
          <w:rStyle w:val="8"/>
          <w:rFonts w:ascii="宋体" w:hAnsi="宋体"/>
          <w:color w:val="auto"/>
          <w:kern w:val="2"/>
          <w:sz w:val="24"/>
          <w:szCs w:val="24"/>
          <w:highlight w:val="none"/>
        </w:rPr>
      </w:pPr>
      <w:bookmarkStart w:id="220" w:name="_Toc12384"/>
      <w:bookmarkStart w:id="221" w:name="_Toc256000552"/>
      <w:bookmarkStart w:id="222" w:name="_Toc69461798"/>
      <w:bookmarkStart w:id="223" w:name="_Toc25829"/>
      <w:bookmarkStart w:id="224" w:name="_Toc256001056"/>
      <w:bookmarkStart w:id="225" w:name="_Toc19244"/>
      <w:bookmarkStart w:id="226" w:name="_Toc256000046"/>
      <w:bookmarkStart w:id="227" w:name="_Toc256000819"/>
      <w:bookmarkStart w:id="228" w:name="_Toc256000323"/>
      <w:bookmarkStart w:id="229" w:name="_Toc256001286"/>
      <w:bookmarkStart w:id="230" w:name="_Toc69461143"/>
      <w:bookmarkStart w:id="231" w:name="_Toc23436"/>
      <w:r>
        <w:rPr>
          <w:rStyle w:val="8"/>
          <w:rFonts w:ascii="宋体" w:hAnsi="宋体"/>
          <w:color w:val="auto"/>
          <w:kern w:val="2"/>
          <w:sz w:val="24"/>
          <w:szCs w:val="24"/>
          <w:highlight w:val="none"/>
        </w:rPr>
        <w:t>1.1 词语定义</w:t>
      </w:r>
      <w:bookmarkEnd w:id="220"/>
      <w:bookmarkEnd w:id="221"/>
      <w:bookmarkEnd w:id="222"/>
      <w:bookmarkEnd w:id="223"/>
      <w:bookmarkEnd w:id="224"/>
      <w:bookmarkEnd w:id="225"/>
      <w:bookmarkEnd w:id="226"/>
      <w:bookmarkEnd w:id="227"/>
      <w:bookmarkEnd w:id="228"/>
      <w:bookmarkEnd w:id="229"/>
      <w:bookmarkEnd w:id="230"/>
      <w:bookmarkEnd w:id="231"/>
    </w:p>
    <w:p w14:paraId="67342A5D">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1.1.1合同</w:t>
      </w:r>
    </w:p>
    <w:p w14:paraId="6F6390E3">
      <w:pPr>
        <w:pStyle w:val="13"/>
        <w:spacing w:line="360" w:lineRule="auto"/>
        <w:ind w:firstLine="480" w:firstLineChars="200"/>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1.1.1.10其他合同文件包括：</w:t>
      </w:r>
      <w:r>
        <w:rPr>
          <w:rStyle w:val="8"/>
          <w:rFonts w:ascii="宋体" w:hAnsi="宋体" w:cs="宋体"/>
          <w:color w:val="auto"/>
          <w:kern w:val="2"/>
          <w:sz w:val="24"/>
          <w:szCs w:val="24"/>
          <w:highlight w:val="none"/>
        </w:rPr>
        <w:t></w:t>
      </w:r>
      <w:r>
        <w:rPr>
          <w:rStyle w:val="8"/>
          <w:rFonts w:hint="eastAsia" w:ascii="宋体" w:hAnsi="宋体"/>
          <w:color w:val="auto"/>
          <w:kern w:val="2"/>
          <w:sz w:val="24"/>
          <w:szCs w:val="24"/>
          <w:highlight w:val="none"/>
          <w:u w:val="single"/>
        </w:rPr>
        <w:t>招标文件、投标文件、招投标过程中澄清答疑、合同附件、双方签署的补充协议等。</w:t>
      </w:r>
    </w:p>
    <w:p w14:paraId="00AB3C67">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 合同当事人及其他相关方</w:t>
      </w:r>
    </w:p>
    <w:p w14:paraId="005CA34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1.1.2.4监理人：</w:t>
      </w:r>
    </w:p>
    <w:p w14:paraId="7B968382">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名    称：</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BB704D9">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资质类别和等级：</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18B0F9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71E630F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6E8FEB60">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1B433D21">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1.1.2.5 设计人：</w:t>
      </w:r>
    </w:p>
    <w:p w14:paraId="0C99FC2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名    称：</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1503D4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资质类别和等级：</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4514CBC1">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77BBD8A1">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E1516F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35835D76">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1.1.3 工程和设备</w:t>
      </w:r>
    </w:p>
    <w:p w14:paraId="6CBAA400">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1.1.3.7 作为施工现场组成部分的其他场所包括：</w:t>
      </w:r>
      <w:r>
        <w:rPr>
          <w:rStyle w:val="8"/>
          <w:rFonts w:hint="eastAsia" w:ascii="宋体" w:hAnsi="宋体"/>
          <w:color w:val="auto"/>
          <w:kern w:val="2"/>
          <w:sz w:val="24"/>
          <w:szCs w:val="24"/>
          <w:highlight w:val="none"/>
          <w:u w:val="single"/>
        </w:rPr>
        <w:t xml:space="preserve">           </w:t>
      </w:r>
    </w:p>
    <w:p w14:paraId="1A8D5DAC">
      <w:pPr>
        <w:pStyle w:val="13"/>
        <w:spacing w:line="360" w:lineRule="auto"/>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33C35BC2">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1.1.3.9 永久占地包括：</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sz w:val="24"/>
          <w:szCs w:val="24"/>
          <w:highlight w:val="none"/>
        </w:rPr>
        <w:t>。</w:t>
      </w:r>
    </w:p>
    <w:p w14:paraId="132E15A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1.1.3.10 临时占地包括：</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sz w:val="24"/>
          <w:szCs w:val="24"/>
          <w:highlight w:val="none"/>
        </w:rPr>
        <w:t>。</w:t>
      </w:r>
    </w:p>
    <w:p w14:paraId="7FD1435A">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1.3法律 </w:t>
      </w:r>
    </w:p>
    <w:p w14:paraId="2774124E">
      <w:pPr>
        <w:pStyle w:val="14"/>
        <w:autoSpaceDE w:val="0"/>
        <w:autoSpaceDN w:val="0"/>
        <w:adjustRightInd w:val="0"/>
        <w:spacing w:line="360" w:lineRule="auto"/>
        <w:ind w:firstLine="595" w:firstLineChars="248"/>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适用于合同的其他规范性文件：</w:t>
      </w:r>
      <w:r>
        <w:rPr>
          <w:rStyle w:val="8"/>
          <w:rFonts w:hint="eastAsia" w:ascii="宋体" w:hAnsi="宋体"/>
          <w:color w:val="auto"/>
          <w:kern w:val="2"/>
          <w:sz w:val="24"/>
          <w:szCs w:val="24"/>
          <w:highlight w:val="none"/>
          <w:u w:val="single"/>
        </w:rPr>
        <w:t>《中华人民共和国建筑法》、</w:t>
      </w:r>
      <w:r>
        <w:rPr>
          <w:rStyle w:val="8"/>
          <w:rFonts w:hint="eastAsia" w:ascii="宋体" w:hAnsi="宋体"/>
          <w:color w:val="auto"/>
          <w:kern w:val="2"/>
          <w:sz w:val="24"/>
          <w:szCs w:val="24"/>
          <w:highlight w:val="none"/>
          <w:u w:val="single"/>
          <w:lang w:val="en-US" w:eastAsia="zh-CN"/>
        </w:rPr>
        <w:t xml:space="preserve">       </w:t>
      </w:r>
      <w:r>
        <w:rPr>
          <w:rStyle w:val="8"/>
          <w:rFonts w:hint="eastAsia" w:ascii="宋体" w:hAnsi="宋体"/>
          <w:color w:val="auto"/>
          <w:kern w:val="2"/>
          <w:sz w:val="24"/>
          <w:szCs w:val="24"/>
          <w:highlight w:val="none"/>
          <w:u w:val="single"/>
        </w:rPr>
        <w:t>《中华人民共和国招标投标法》、《中华人民共和国民法典》、《</w:t>
      </w:r>
      <w:r>
        <w:rPr>
          <w:rStyle w:val="8"/>
          <w:rFonts w:hint="eastAsia" w:ascii="宋体" w:hAnsi="宋体"/>
          <w:color w:val="auto"/>
          <w:kern w:val="2"/>
          <w:sz w:val="24"/>
          <w:szCs w:val="24"/>
          <w:highlight w:val="none"/>
          <w:u w:val="single"/>
          <w:lang w:eastAsia="zh-CN"/>
        </w:rPr>
        <w:t>建设工程质量管理条例</w:t>
      </w:r>
      <w:r>
        <w:rPr>
          <w:rStyle w:val="8"/>
          <w:rFonts w:hint="eastAsia" w:ascii="宋体" w:hAnsi="宋体"/>
          <w:color w:val="auto"/>
          <w:kern w:val="2"/>
          <w:sz w:val="24"/>
          <w:szCs w:val="24"/>
          <w:highlight w:val="none"/>
          <w:u w:val="single"/>
        </w:rPr>
        <w:t>》、辽宁省及</w:t>
      </w:r>
      <w:r>
        <w:rPr>
          <w:rStyle w:val="8"/>
          <w:rFonts w:hint="eastAsia" w:ascii="宋体" w:hAnsi="宋体"/>
          <w:color w:val="auto"/>
          <w:kern w:val="2"/>
          <w:sz w:val="24"/>
          <w:szCs w:val="24"/>
          <w:highlight w:val="none"/>
          <w:u w:val="single"/>
          <w:lang w:eastAsia="zh-CN"/>
        </w:rPr>
        <w:t>营口市</w:t>
      </w:r>
      <w:r>
        <w:rPr>
          <w:rStyle w:val="8"/>
          <w:rFonts w:hint="eastAsia" w:ascii="宋体" w:hAnsi="宋体"/>
          <w:color w:val="auto"/>
          <w:kern w:val="2"/>
          <w:sz w:val="24"/>
          <w:szCs w:val="24"/>
          <w:highlight w:val="none"/>
          <w:u w:val="single"/>
        </w:rPr>
        <w:t>相关规定等。</w:t>
      </w:r>
    </w:p>
    <w:p w14:paraId="39816EE0">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 标准和规范</w:t>
      </w:r>
    </w:p>
    <w:p w14:paraId="2409C8D7">
      <w:pPr>
        <w:pStyle w:val="13"/>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1.4.1适用于工程的标准规范包括：</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 xml:space="preserve"> </w:t>
      </w:r>
    </w:p>
    <w:p w14:paraId="72134664">
      <w:pPr>
        <w:pStyle w:val="13"/>
        <w:spacing w:line="360" w:lineRule="auto"/>
        <w:rPr>
          <w:rStyle w:val="8"/>
          <w:rFonts w:ascii="宋体" w:hAnsi="宋体"/>
          <w:color w:val="auto"/>
          <w:kern w:val="2"/>
          <w:sz w:val="24"/>
          <w:szCs w:val="24"/>
          <w:highlight w:val="none"/>
        </w:rPr>
      </w:pP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6E6F8B84">
      <w:pPr>
        <w:pStyle w:val="13"/>
        <w:spacing w:line="360" w:lineRule="auto"/>
        <w:ind w:firstLine="480" w:firstLineChars="200"/>
        <w:outlineLvl w:val="9"/>
        <w:rPr>
          <w:rStyle w:val="8"/>
          <w:rFonts w:ascii="宋体" w:hAnsi="宋体"/>
          <w:color w:val="auto"/>
          <w:sz w:val="24"/>
          <w:szCs w:val="24"/>
          <w:highlight w:val="none"/>
        </w:rPr>
      </w:pPr>
      <w:bookmarkStart w:id="232" w:name="_Toc69461799"/>
      <w:bookmarkStart w:id="233" w:name="_Toc256000553"/>
      <w:bookmarkStart w:id="234" w:name="_Toc256000820"/>
      <w:bookmarkStart w:id="235" w:name="_Toc69461144"/>
      <w:bookmarkStart w:id="236" w:name="_Toc256001057"/>
      <w:bookmarkStart w:id="237" w:name="_Toc256000324"/>
      <w:bookmarkStart w:id="238" w:name="_Toc256000047"/>
      <w:bookmarkStart w:id="239" w:name="_Toc5953"/>
      <w:bookmarkStart w:id="240" w:name="_Toc833"/>
      <w:bookmarkStart w:id="241" w:name="_Toc29975"/>
      <w:bookmarkStart w:id="242" w:name="_Toc256001287"/>
      <w:bookmarkStart w:id="243" w:name="_Toc5562"/>
      <w:r>
        <w:rPr>
          <w:rStyle w:val="8"/>
          <w:rFonts w:ascii="宋体" w:hAnsi="宋体"/>
          <w:color w:val="auto"/>
          <w:sz w:val="24"/>
          <w:szCs w:val="24"/>
          <w:highlight w:val="none"/>
        </w:rPr>
        <w:t>1.4.2 发包人提供国外标准、规范的名称：</w:t>
      </w:r>
      <w:bookmarkEnd w:id="232"/>
      <w:bookmarkEnd w:id="233"/>
      <w:bookmarkEnd w:id="234"/>
      <w:bookmarkEnd w:id="235"/>
      <w:bookmarkEnd w:id="236"/>
      <w:bookmarkEnd w:id="237"/>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bookmarkEnd w:id="238"/>
      <w:bookmarkEnd w:id="239"/>
      <w:bookmarkEnd w:id="240"/>
      <w:bookmarkEnd w:id="241"/>
      <w:bookmarkEnd w:id="242"/>
      <w:bookmarkEnd w:id="243"/>
    </w:p>
    <w:p w14:paraId="7660A840">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发包人提供国外标准、规范的份数：</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7AB88E6B">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sz w:val="24"/>
          <w:szCs w:val="24"/>
          <w:highlight w:val="none"/>
        </w:rPr>
        <w:t>发包人提供国外标准、规范的名称：</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62EA350B">
      <w:pPr>
        <w:pStyle w:val="13"/>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1.4.3发包人对工程的技术标准和功能要求的特殊要求：</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FADBC67">
      <w:pPr>
        <w:pStyle w:val="13"/>
        <w:spacing w:after="120" w:line="360" w:lineRule="auto"/>
        <w:ind w:firstLine="480" w:firstLineChars="200"/>
        <w:outlineLvl w:val="9"/>
        <w:rPr>
          <w:rStyle w:val="8"/>
          <w:rFonts w:ascii="宋体" w:hAnsi="宋体"/>
          <w:color w:val="auto"/>
          <w:kern w:val="2"/>
          <w:sz w:val="24"/>
          <w:szCs w:val="24"/>
          <w:highlight w:val="none"/>
        </w:rPr>
      </w:pPr>
      <w:bookmarkStart w:id="244" w:name="_Toc10604"/>
      <w:bookmarkStart w:id="245" w:name="_Toc256000325"/>
      <w:bookmarkStart w:id="246" w:name="_Toc256000821"/>
      <w:bookmarkStart w:id="247" w:name="_Toc69461800"/>
      <w:bookmarkStart w:id="248" w:name="_Toc256000554"/>
      <w:bookmarkStart w:id="249" w:name="_Toc29750"/>
      <w:bookmarkStart w:id="250" w:name="_Toc256001058"/>
      <w:bookmarkStart w:id="251" w:name="_Toc256000048"/>
      <w:bookmarkStart w:id="252" w:name="_Toc18382"/>
      <w:bookmarkStart w:id="253" w:name="_Toc20068"/>
      <w:bookmarkStart w:id="254" w:name="_Toc256001288"/>
      <w:bookmarkStart w:id="255" w:name="_Toc69461145"/>
      <w:r>
        <w:rPr>
          <w:rStyle w:val="8"/>
          <w:rFonts w:ascii="宋体" w:hAnsi="宋体"/>
          <w:color w:val="auto"/>
          <w:kern w:val="2"/>
          <w:sz w:val="24"/>
          <w:szCs w:val="24"/>
          <w:highlight w:val="none"/>
        </w:rPr>
        <w:t>1.5 合同文件的优先顺序</w:t>
      </w:r>
      <w:bookmarkEnd w:id="244"/>
      <w:bookmarkEnd w:id="245"/>
      <w:bookmarkEnd w:id="246"/>
      <w:bookmarkEnd w:id="247"/>
      <w:bookmarkEnd w:id="248"/>
      <w:bookmarkEnd w:id="249"/>
      <w:bookmarkEnd w:id="250"/>
      <w:bookmarkEnd w:id="251"/>
      <w:bookmarkEnd w:id="252"/>
      <w:bookmarkEnd w:id="253"/>
      <w:bookmarkEnd w:id="254"/>
      <w:bookmarkEnd w:id="255"/>
    </w:p>
    <w:p w14:paraId="22499F9B">
      <w:pPr>
        <w:pStyle w:val="14"/>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合同文件组成及优先顺序为：</w:t>
      </w:r>
    </w:p>
    <w:p w14:paraId="03E2B3B1">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（1）合同协议书；</w:t>
      </w:r>
    </w:p>
    <w:p w14:paraId="2413B459">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（2）中标通知书；</w:t>
      </w:r>
    </w:p>
    <w:p w14:paraId="66F9E0FA">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（3）投标函及其附录；</w:t>
      </w:r>
    </w:p>
    <w:p w14:paraId="1AEB62E0">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（4）专用合同条款及其附件；</w:t>
      </w:r>
    </w:p>
    <w:p w14:paraId="75943192">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（5）通用合同条款；</w:t>
      </w:r>
    </w:p>
    <w:p w14:paraId="1CF34546">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（6）技术标准和要求；</w:t>
      </w:r>
    </w:p>
    <w:p w14:paraId="61C3CF00">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（7）图纸；</w:t>
      </w:r>
    </w:p>
    <w:p w14:paraId="53F4303C">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（8）已标价工程量清单；</w:t>
      </w:r>
    </w:p>
    <w:p w14:paraId="46DE171B">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（9）招标文件及招标答疑（含工程量清单）；</w:t>
      </w:r>
    </w:p>
    <w:p w14:paraId="4D5FB68E">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（10）其他合同文件。</w:t>
      </w:r>
    </w:p>
    <w:p w14:paraId="29DDEF37">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 图纸和承包人文件</w:t>
      </w:r>
      <w:r>
        <w:rPr>
          <w:rStyle w:val="8"/>
          <w:rFonts w:ascii="宋体" w:hAnsi="宋体"/>
          <w:color w:val="auto"/>
          <w:kern w:val="2"/>
          <w:sz w:val="24"/>
          <w:szCs w:val="24"/>
          <w:highlight w:val="none"/>
        </w:rPr>
        <w:tab/>
      </w:r>
    </w:p>
    <w:p w14:paraId="73DC208B">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1.6.1 图纸的提供</w:t>
      </w:r>
    </w:p>
    <w:p w14:paraId="24049676">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发包人向承包人提供图纸的期限：</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0942FE3D">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发包人向承包人提供图纸的数量：</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0071C45C">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发包人向承包人提供图纸的内容：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226CCBBA">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1.6.4 承包人文件</w:t>
      </w:r>
    </w:p>
    <w:p w14:paraId="0E966686">
      <w:pPr>
        <w:pStyle w:val="14"/>
        <w:spacing w:line="360" w:lineRule="auto"/>
        <w:ind w:left="596" w:leftChars="284"/>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需要由承包人提供的文件，包括：</w:t>
      </w:r>
      <w:r>
        <w:rPr>
          <w:rStyle w:val="8"/>
          <w:rFonts w:hint="eastAsia" w:ascii="宋体" w:hAnsi="宋体"/>
          <w:color w:val="auto"/>
          <w:kern w:val="2"/>
          <w:sz w:val="24"/>
          <w:szCs w:val="24"/>
          <w:highlight w:val="none"/>
          <w:u w:val="single"/>
        </w:rPr>
        <w:t>按辽宁省建设工程档案管理规范及发包人要求提供；</w:t>
      </w:r>
    </w:p>
    <w:p w14:paraId="1569A6DB">
      <w:pPr>
        <w:pStyle w:val="13"/>
        <w:spacing w:line="360" w:lineRule="auto"/>
        <w:ind w:left="596" w:leftChars="284"/>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承包人提供的文件的期限为：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按发包人要求</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15D5423A">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承包人提供的文件的数量为：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6份</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1C4DB43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承包人提供的文件的形式为：</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纸质及电子版</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6DCB10F2">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承包人文件的期限：</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2E0FC0DD">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1.6.5 现场图纸准备</w:t>
      </w:r>
    </w:p>
    <w:p w14:paraId="4ADF15E6">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关于现场图纸准备的约定：</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38948F8F">
      <w:pPr>
        <w:pStyle w:val="13"/>
        <w:spacing w:after="120" w:line="360" w:lineRule="auto"/>
        <w:ind w:firstLine="480" w:firstLineChars="200"/>
        <w:outlineLvl w:val="9"/>
        <w:rPr>
          <w:rStyle w:val="8"/>
          <w:rFonts w:ascii="宋体" w:hAnsi="宋体"/>
          <w:color w:val="auto"/>
          <w:kern w:val="2"/>
          <w:sz w:val="24"/>
          <w:szCs w:val="24"/>
          <w:highlight w:val="none"/>
        </w:rPr>
      </w:pPr>
      <w:bookmarkStart w:id="256" w:name="_Toc256001059"/>
      <w:bookmarkStart w:id="257" w:name="_Toc256000822"/>
      <w:bookmarkStart w:id="258" w:name="_Toc256001289"/>
      <w:bookmarkStart w:id="259" w:name="_Toc256000555"/>
      <w:bookmarkStart w:id="260" w:name="_Toc12612"/>
      <w:bookmarkStart w:id="261" w:name="_Toc256000326"/>
      <w:bookmarkStart w:id="262" w:name="_Toc69461146"/>
      <w:bookmarkStart w:id="263" w:name="_Toc69461801"/>
      <w:bookmarkStart w:id="264" w:name="_Toc15857"/>
      <w:bookmarkStart w:id="265" w:name="_Toc25891"/>
      <w:bookmarkStart w:id="266" w:name="_Toc256000049"/>
      <w:bookmarkStart w:id="267" w:name="_Toc28396"/>
      <w:r>
        <w:rPr>
          <w:rStyle w:val="8"/>
          <w:rFonts w:ascii="宋体" w:hAnsi="宋体"/>
          <w:color w:val="auto"/>
          <w:kern w:val="2"/>
          <w:sz w:val="24"/>
          <w:szCs w:val="24"/>
          <w:highlight w:val="none"/>
        </w:rPr>
        <w:t>1.7 联络</w:t>
      </w:r>
      <w:bookmarkEnd w:id="256"/>
      <w:bookmarkEnd w:id="257"/>
      <w:bookmarkEnd w:id="258"/>
      <w:bookmarkEnd w:id="259"/>
      <w:bookmarkEnd w:id="260"/>
      <w:bookmarkEnd w:id="261"/>
      <w:bookmarkEnd w:id="262"/>
      <w:bookmarkEnd w:id="263"/>
      <w:bookmarkEnd w:id="264"/>
      <w:bookmarkEnd w:id="265"/>
      <w:bookmarkEnd w:id="266"/>
      <w:bookmarkEnd w:id="267"/>
    </w:p>
    <w:p w14:paraId="5C5FF2BF">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1.7.1发包人和承包人应当在</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7</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天内将与合同有关的通知、批准、证明、证书、指示、指令、要求、请求、同意、意见、确定和决定等书面函件送达对方当事人</w:t>
      </w:r>
      <w:r>
        <w:rPr>
          <w:rStyle w:val="8"/>
          <w:rFonts w:hint="eastAsia" w:ascii="宋体" w:hAnsi="宋体"/>
          <w:color w:val="auto"/>
          <w:sz w:val="24"/>
          <w:szCs w:val="24"/>
          <w:highlight w:val="none"/>
        </w:rPr>
        <w:t>。</w:t>
      </w:r>
    </w:p>
    <w:p w14:paraId="30089128">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1.7.2 发包人接收文件的地点：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项目现场办公地点</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14:paraId="6EA3A959">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发包人指定的接收人为：</w:t>
      </w:r>
      <w:r>
        <w:rPr>
          <w:rStyle w:val="8"/>
          <w:rFonts w:hint="eastAsia" w:ascii="宋体" w:hAnsi="宋体"/>
          <w:color w:val="auto"/>
          <w:kern w:val="2"/>
          <w:sz w:val="24"/>
          <w:szCs w:val="24"/>
          <w:highlight w:val="none"/>
          <w:u w:val="single"/>
        </w:rPr>
        <w:t xml:space="preserve">发包人现场档案员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rPr>
        <w:t>；</w:t>
      </w:r>
    </w:p>
    <w:p w14:paraId="2731E23E">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承包人接收文件的地点：</w:t>
      </w:r>
      <w:r>
        <w:rPr>
          <w:rStyle w:val="8"/>
          <w:rFonts w:hint="eastAsia" w:ascii="宋体" w:hAnsi="宋体"/>
          <w:color w:val="auto"/>
          <w:kern w:val="2"/>
          <w:sz w:val="24"/>
          <w:szCs w:val="24"/>
          <w:highlight w:val="none"/>
          <w:u w:val="single"/>
        </w:rPr>
        <w:t>项目现场办公地点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14:paraId="408317B5">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承包人指定的接收人为：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合同协议书中载明的承包人项目经理或者项目经理授权代表；</w:t>
      </w:r>
    </w:p>
    <w:p w14:paraId="4C742A9F">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监理人接收文件的地点：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p>
    <w:p w14:paraId="3278D672">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监理人指定的接收人为：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14:paraId="4B6A644E">
      <w:pPr>
        <w:pStyle w:val="13"/>
        <w:spacing w:after="120" w:line="360" w:lineRule="auto"/>
        <w:ind w:firstLine="480" w:firstLineChars="200"/>
        <w:outlineLvl w:val="9"/>
        <w:rPr>
          <w:rStyle w:val="8"/>
          <w:rFonts w:ascii="宋体" w:hAnsi="宋体"/>
          <w:color w:val="auto"/>
          <w:kern w:val="2"/>
          <w:sz w:val="24"/>
          <w:szCs w:val="24"/>
          <w:highlight w:val="none"/>
        </w:rPr>
      </w:pPr>
      <w:bookmarkStart w:id="268" w:name="_Toc256001060"/>
      <w:bookmarkStart w:id="269" w:name="_Toc4973"/>
      <w:bookmarkStart w:id="270" w:name="_Toc256000050"/>
      <w:bookmarkStart w:id="271" w:name="_Toc69461802"/>
      <w:bookmarkStart w:id="272" w:name="_Toc15266"/>
      <w:bookmarkStart w:id="273" w:name="_Toc256000327"/>
      <w:bookmarkStart w:id="274" w:name="_Toc261"/>
      <w:bookmarkStart w:id="275" w:name="_Toc256001290"/>
      <w:bookmarkStart w:id="276" w:name="_Toc69461147"/>
      <w:bookmarkStart w:id="277" w:name="_Toc256000556"/>
      <w:bookmarkStart w:id="278" w:name="_Toc19836"/>
      <w:bookmarkStart w:id="279" w:name="_Toc256000823"/>
      <w:r>
        <w:rPr>
          <w:rStyle w:val="8"/>
          <w:rFonts w:ascii="宋体" w:hAnsi="宋体"/>
          <w:color w:val="auto"/>
          <w:kern w:val="2"/>
          <w:sz w:val="24"/>
          <w:szCs w:val="24"/>
          <w:highlight w:val="none"/>
        </w:rPr>
        <w:t>1.10 交通运输</w:t>
      </w:r>
      <w:bookmarkEnd w:id="268"/>
      <w:bookmarkEnd w:id="269"/>
      <w:bookmarkEnd w:id="270"/>
      <w:bookmarkEnd w:id="271"/>
      <w:bookmarkEnd w:id="272"/>
      <w:bookmarkEnd w:id="273"/>
      <w:bookmarkEnd w:id="274"/>
      <w:bookmarkEnd w:id="275"/>
      <w:bookmarkEnd w:id="276"/>
      <w:bookmarkEnd w:id="277"/>
      <w:bookmarkEnd w:id="278"/>
      <w:bookmarkEnd w:id="279"/>
    </w:p>
    <w:p w14:paraId="6ACCA469">
      <w:pPr>
        <w:pStyle w:val="13"/>
        <w:spacing w:line="360" w:lineRule="auto"/>
        <w:ind w:firstLine="480" w:firstLineChars="200"/>
        <w:outlineLvl w:val="9"/>
        <w:rPr>
          <w:rStyle w:val="8"/>
          <w:rFonts w:ascii="宋体" w:hAnsi="宋体"/>
          <w:color w:val="auto"/>
          <w:kern w:val="2"/>
          <w:sz w:val="24"/>
          <w:szCs w:val="24"/>
          <w:highlight w:val="none"/>
        </w:rPr>
      </w:pPr>
      <w:bookmarkStart w:id="280" w:name="_Toc69461148"/>
      <w:bookmarkStart w:id="281" w:name="_Toc256001061"/>
      <w:bookmarkStart w:id="282" w:name="_Toc256000328"/>
      <w:bookmarkStart w:id="283" w:name="_Toc256000824"/>
      <w:bookmarkStart w:id="284" w:name="_Toc256000051"/>
      <w:bookmarkStart w:id="285" w:name="_Toc7778"/>
      <w:bookmarkStart w:id="286" w:name="_Toc10233"/>
      <w:bookmarkStart w:id="287" w:name="_Toc256000557"/>
      <w:bookmarkStart w:id="288" w:name="_Toc256001291"/>
      <w:bookmarkStart w:id="289" w:name="_Toc69461803"/>
      <w:bookmarkStart w:id="290" w:name="_Toc10663"/>
      <w:bookmarkStart w:id="291" w:name="_Toc13898"/>
      <w:r>
        <w:rPr>
          <w:rStyle w:val="8"/>
          <w:rFonts w:ascii="宋体" w:hAnsi="宋体"/>
          <w:color w:val="auto"/>
          <w:kern w:val="2"/>
          <w:sz w:val="24"/>
          <w:szCs w:val="24"/>
          <w:highlight w:val="none"/>
        </w:rPr>
        <w:t>1</w:t>
      </w:r>
      <w:bookmarkStart w:id="292" w:name="_Toc303539100"/>
      <w:bookmarkStart w:id="293" w:name="_Toc318581155"/>
      <w:bookmarkStart w:id="294" w:name="_Toc312677986"/>
      <w:bookmarkStart w:id="295" w:name="_Toc300934943"/>
      <w:bookmarkStart w:id="296" w:name="_Toc304295521"/>
      <w:r>
        <w:rPr>
          <w:rStyle w:val="8"/>
          <w:rFonts w:ascii="宋体" w:hAnsi="宋体"/>
          <w:color w:val="auto"/>
          <w:kern w:val="2"/>
          <w:sz w:val="24"/>
          <w:szCs w:val="24"/>
          <w:highlight w:val="none"/>
        </w:rPr>
        <w:t>.10.1 出入现场的权利</w:t>
      </w:r>
      <w:bookmarkEnd w:id="280"/>
      <w:bookmarkEnd w:id="281"/>
      <w:bookmarkEnd w:id="282"/>
      <w:bookmarkEnd w:id="283"/>
      <w:bookmarkEnd w:id="284"/>
      <w:bookmarkEnd w:id="285"/>
      <w:bookmarkEnd w:id="286"/>
      <w:bookmarkEnd w:id="287"/>
      <w:bookmarkEnd w:id="288"/>
      <w:bookmarkEnd w:id="289"/>
      <w:bookmarkEnd w:id="290"/>
      <w:bookmarkEnd w:id="291"/>
    </w:p>
    <w:p w14:paraId="1B3A911B">
      <w:pPr>
        <w:pStyle w:val="13"/>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关于出入现场的权利的约定：</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以现场施工围档为界</w:t>
      </w:r>
      <w:r>
        <w:rPr>
          <w:rStyle w:val="8"/>
          <w:rFonts w:ascii="宋体" w:hAnsi="宋体" w:cs="宋体"/>
          <w:color w:val="auto"/>
          <w:kern w:val="2"/>
          <w:sz w:val="24"/>
          <w:szCs w:val="24"/>
          <w:highlight w:val="none"/>
          <w:u w:val="single"/>
        </w:rPr>
        <w:t></w:t>
      </w:r>
    </w:p>
    <w:p w14:paraId="3F36F597">
      <w:pPr>
        <w:pStyle w:val="13"/>
        <w:spacing w:line="360" w:lineRule="auto"/>
        <w:rPr>
          <w:rStyle w:val="8"/>
          <w:rFonts w:ascii="宋体" w:hAnsi="宋体"/>
          <w:color w:val="auto"/>
          <w:kern w:val="2"/>
          <w:sz w:val="24"/>
          <w:szCs w:val="24"/>
          <w:highlight w:val="none"/>
        </w:rPr>
      </w:pPr>
    </w:p>
    <w:bookmarkEnd w:id="292"/>
    <w:bookmarkEnd w:id="293"/>
    <w:bookmarkEnd w:id="294"/>
    <w:bookmarkEnd w:id="295"/>
    <w:bookmarkEnd w:id="296"/>
    <w:p w14:paraId="3CF68391">
      <w:pPr>
        <w:pStyle w:val="13"/>
        <w:spacing w:line="360" w:lineRule="auto"/>
        <w:ind w:firstLine="480" w:firstLineChars="200"/>
        <w:jc w:val="left"/>
        <w:outlineLvl w:val="9"/>
        <w:rPr>
          <w:rStyle w:val="8"/>
          <w:rFonts w:ascii="宋体" w:hAnsi="宋体"/>
          <w:color w:val="auto"/>
          <w:kern w:val="2"/>
          <w:sz w:val="24"/>
          <w:szCs w:val="24"/>
          <w:highlight w:val="none"/>
        </w:rPr>
      </w:pPr>
      <w:bookmarkStart w:id="297" w:name="_Toc69461804"/>
      <w:bookmarkStart w:id="298" w:name="_Toc256001062"/>
      <w:bookmarkStart w:id="299" w:name="_Toc18425"/>
      <w:bookmarkStart w:id="300" w:name="_Toc24596"/>
      <w:bookmarkStart w:id="301" w:name="_Toc256000329"/>
      <w:bookmarkStart w:id="302" w:name="_Toc256000052"/>
      <w:bookmarkStart w:id="303" w:name="_Toc22957"/>
      <w:bookmarkStart w:id="304" w:name="_Toc256000825"/>
      <w:bookmarkStart w:id="305" w:name="_Toc8263"/>
      <w:bookmarkStart w:id="306" w:name="_Toc256001292"/>
      <w:bookmarkStart w:id="307" w:name="_Toc256000558"/>
      <w:bookmarkStart w:id="308" w:name="_Toc69461149"/>
      <w:r>
        <w:rPr>
          <w:rStyle w:val="8"/>
          <w:rFonts w:ascii="宋体" w:hAnsi="宋体"/>
          <w:color w:val="auto"/>
          <w:kern w:val="2"/>
          <w:sz w:val="24"/>
          <w:szCs w:val="24"/>
          <w:highlight w:val="none"/>
        </w:rPr>
        <w:t>1</w:t>
      </w:r>
      <w:bookmarkStart w:id="309" w:name="_Toc304295522"/>
      <w:bookmarkStart w:id="310" w:name="_Toc318581156"/>
      <w:bookmarkStart w:id="311" w:name="_Toc312677987"/>
      <w:bookmarkStart w:id="312" w:name="_Toc303539101"/>
      <w:bookmarkStart w:id="313" w:name="_Toc300934944"/>
      <w:r>
        <w:rPr>
          <w:rStyle w:val="8"/>
          <w:rFonts w:ascii="宋体" w:hAnsi="宋体"/>
          <w:color w:val="auto"/>
          <w:kern w:val="2"/>
          <w:sz w:val="24"/>
          <w:szCs w:val="24"/>
          <w:highlight w:val="none"/>
        </w:rPr>
        <w:t>.10.3 场内交通</w:t>
      </w:r>
      <w:bookmarkEnd w:id="297"/>
      <w:bookmarkEnd w:id="298"/>
      <w:bookmarkEnd w:id="299"/>
      <w:bookmarkEnd w:id="300"/>
      <w:bookmarkEnd w:id="301"/>
      <w:bookmarkEnd w:id="302"/>
      <w:bookmarkEnd w:id="303"/>
      <w:bookmarkEnd w:id="304"/>
      <w:bookmarkEnd w:id="305"/>
      <w:bookmarkEnd w:id="306"/>
      <w:bookmarkEnd w:id="307"/>
      <w:bookmarkEnd w:id="308"/>
    </w:p>
    <w:p w14:paraId="4748879F">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关于场外交通和场内交通的边界的约定：</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承包人有权无偿使用发包人修建的临时道路和交通设施，不需要交纳任何费用</w:t>
      </w:r>
      <w:r>
        <w:rPr>
          <w:rStyle w:val="8"/>
          <w:rFonts w:hint="eastAsia" w:ascii="宋体" w:hAnsi="宋体" w:cs="宋体"/>
          <w:color w:val="auto"/>
          <w:kern w:val="2"/>
          <w:sz w:val="24"/>
          <w:szCs w:val="24"/>
          <w:highlight w:val="none"/>
          <w:u w:val="single"/>
        </w:rPr>
        <w:t>。</w:t>
      </w:r>
    </w:p>
    <w:p w14:paraId="51FF5F2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关于发包人向承包人免费提供满足工程施工需要的场内道路和交通设施的约定：</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bookmarkEnd w:id="309"/>
      <w:bookmarkEnd w:id="310"/>
      <w:bookmarkEnd w:id="311"/>
      <w:bookmarkEnd w:id="312"/>
      <w:bookmarkEnd w:id="313"/>
      <w:r>
        <w:rPr>
          <w:rStyle w:val="8"/>
          <w:rFonts w:ascii="宋体" w:hAnsi="宋体"/>
          <w:color w:val="auto"/>
          <w:kern w:val="2"/>
          <w:sz w:val="24"/>
          <w:szCs w:val="24"/>
          <w:highlight w:val="none"/>
        </w:rPr>
        <w:t xml:space="preserve">  </w:t>
      </w:r>
      <w:bookmarkStart w:id="314" w:name="_Toc318581157"/>
    </w:p>
    <w:p w14:paraId="5357D49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1.10.4超大件和超重件的运输</w:t>
      </w:r>
    </w:p>
    <w:p w14:paraId="4D6A9F2F">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运输超大件或超重件所需的道路和桥梁临时加固改造费用和其他有关费用由</w:t>
      </w:r>
      <w:r>
        <w:rPr>
          <w:rStyle w:val="8"/>
          <w:rFonts w:hint="eastAsia" w:ascii="宋体" w:hAnsi="宋体"/>
          <w:color w:val="auto"/>
          <w:kern w:val="2"/>
          <w:sz w:val="24"/>
          <w:szCs w:val="24"/>
          <w:highlight w:val="none"/>
          <w:u w:val="single"/>
        </w:rPr>
        <w:t>承包人</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承担。</w:t>
      </w:r>
    </w:p>
    <w:bookmarkEnd w:id="314"/>
    <w:p w14:paraId="01D3EBC0">
      <w:pPr>
        <w:pStyle w:val="13"/>
        <w:spacing w:after="120" w:line="360" w:lineRule="auto"/>
        <w:ind w:firstLine="480" w:firstLineChars="200"/>
        <w:outlineLvl w:val="9"/>
        <w:rPr>
          <w:rStyle w:val="8"/>
          <w:rFonts w:ascii="宋体" w:hAnsi="宋体"/>
          <w:color w:val="auto"/>
          <w:kern w:val="2"/>
          <w:sz w:val="24"/>
          <w:szCs w:val="24"/>
          <w:highlight w:val="none"/>
        </w:rPr>
      </w:pPr>
      <w:bookmarkStart w:id="315" w:name="_Toc256000330"/>
      <w:bookmarkStart w:id="316" w:name="_Toc256000053"/>
      <w:bookmarkStart w:id="317" w:name="_Toc10722"/>
      <w:bookmarkStart w:id="318" w:name="_Toc11629"/>
      <w:bookmarkStart w:id="319" w:name="_Toc69461805"/>
      <w:bookmarkStart w:id="320" w:name="_Toc18201"/>
      <w:bookmarkStart w:id="321" w:name="_Toc256000559"/>
      <w:bookmarkStart w:id="322" w:name="_Toc256000826"/>
      <w:bookmarkStart w:id="323" w:name="_Toc69461150"/>
      <w:bookmarkStart w:id="324" w:name="_Toc8317"/>
      <w:bookmarkStart w:id="325" w:name="_Toc256001293"/>
      <w:bookmarkStart w:id="326" w:name="_Toc256001063"/>
      <w:r>
        <w:rPr>
          <w:rStyle w:val="8"/>
          <w:rFonts w:ascii="宋体" w:hAnsi="宋体"/>
          <w:color w:val="auto"/>
          <w:kern w:val="2"/>
          <w:sz w:val="24"/>
          <w:szCs w:val="24"/>
          <w:highlight w:val="none"/>
        </w:rPr>
        <w:t>1.11 知识产权</w:t>
      </w:r>
      <w:bookmarkEnd w:id="315"/>
      <w:bookmarkEnd w:id="316"/>
      <w:bookmarkEnd w:id="317"/>
      <w:bookmarkEnd w:id="318"/>
      <w:bookmarkEnd w:id="319"/>
      <w:bookmarkEnd w:id="320"/>
      <w:bookmarkEnd w:id="321"/>
      <w:bookmarkEnd w:id="322"/>
      <w:bookmarkEnd w:id="323"/>
      <w:bookmarkEnd w:id="324"/>
      <w:bookmarkEnd w:id="325"/>
      <w:bookmarkEnd w:id="326"/>
    </w:p>
    <w:p w14:paraId="425B5BF0">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1.11.1关于发包人提供给承包人的图纸、发包人为实施工程自行编制或委托编制的技术规范以及反映发包人关于合同要求或其他类似性质的文件的著作权的归属：</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发包人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p>
    <w:p w14:paraId="32E22A70">
      <w:pPr>
        <w:pStyle w:val="14"/>
        <w:spacing w:line="360" w:lineRule="auto"/>
        <w:ind w:left="596" w:leftChars="284"/>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关于发包人提供的上述文件的使用限制的要求：</w:t>
      </w:r>
      <w:r>
        <w:rPr>
          <w:rStyle w:val="8"/>
          <w:rFonts w:hint="eastAsia" w:ascii="宋体" w:hAnsi="宋体"/>
          <w:color w:val="auto"/>
          <w:kern w:val="2"/>
          <w:sz w:val="24"/>
          <w:szCs w:val="24"/>
          <w:highlight w:val="none"/>
          <w:u w:val="single"/>
        </w:rPr>
        <w:t>未经发包人书面同意，承包人不得为了合同以外目的而复制，使用上述文件或将之提供给任何第三方。</w:t>
      </w:r>
    </w:p>
    <w:p w14:paraId="3ABC7C18">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1.11.2 关于承包人为实施工程所编制文件的著作权的归属</w:t>
      </w:r>
      <w:r>
        <w:rPr>
          <w:rStyle w:val="8"/>
          <w:rFonts w:hint="eastAsia" w:ascii="宋体" w:hAnsi="宋体"/>
          <w:color w:val="auto"/>
          <w:kern w:val="2"/>
          <w:sz w:val="24"/>
          <w:szCs w:val="24"/>
          <w:highlight w:val="none"/>
        </w:rPr>
        <w:t>：</w:t>
      </w:r>
      <w:r>
        <w:rPr>
          <w:rStyle w:val="8"/>
          <w:rFonts w:hint="eastAsia" w:ascii="宋体" w:hAnsi="宋体"/>
          <w:color w:val="auto"/>
          <w:kern w:val="2"/>
          <w:sz w:val="24"/>
          <w:szCs w:val="24"/>
          <w:highlight w:val="none"/>
          <w:u w:val="single"/>
        </w:rPr>
        <w:t>除署名权以外全部归发包人所有。</w:t>
      </w:r>
    </w:p>
    <w:p w14:paraId="3ED79297">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关于承包人提供的上述文件的使用限制的要求：</w:t>
      </w:r>
      <w:r>
        <w:rPr>
          <w:rStyle w:val="8"/>
          <w:rFonts w:hint="eastAsia" w:ascii="宋体" w:hAnsi="宋体"/>
          <w:color w:val="auto"/>
          <w:kern w:val="2"/>
          <w:sz w:val="24"/>
          <w:szCs w:val="24"/>
          <w:highlight w:val="none"/>
          <w:u w:val="single"/>
        </w:rPr>
        <w:t>未经发包人同意，承包人不得为了合同以外的目的而复制，使用上述文件或将之提供给任何第三方。</w:t>
      </w:r>
    </w:p>
    <w:p w14:paraId="762F1377">
      <w:pPr>
        <w:pStyle w:val="14"/>
        <w:spacing w:line="360" w:lineRule="auto"/>
        <w:ind w:firstLine="480" w:firstLineChars="200"/>
        <w:outlineLvl w:val="9"/>
        <w:rPr>
          <w:rStyle w:val="8"/>
          <w:rFonts w:ascii="宋体" w:hAnsi="宋体"/>
          <w:color w:val="auto"/>
          <w:kern w:val="2"/>
          <w:sz w:val="24"/>
          <w:szCs w:val="24"/>
          <w:highlight w:val="none"/>
          <w:u w:val="single"/>
        </w:rPr>
      </w:pPr>
      <w:bookmarkStart w:id="327" w:name="_Toc15958"/>
      <w:bookmarkStart w:id="328" w:name="_Toc69461806"/>
      <w:bookmarkStart w:id="329" w:name="_Toc256000054"/>
      <w:bookmarkStart w:id="330" w:name="_Toc256001294"/>
      <w:bookmarkStart w:id="331" w:name="_Toc256001064"/>
      <w:bookmarkStart w:id="332" w:name="_Toc69461151"/>
      <w:bookmarkStart w:id="333" w:name="_Toc256000827"/>
      <w:bookmarkStart w:id="334" w:name="_Toc256000560"/>
      <w:bookmarkStart w:id="335" w:name="_Toc4073"/>
      <w:bookmarkStart w:id="336" w:name="_Toc9004"/>
      <w:bookmarkStart w:id="337" w:name="_Toc256000331"/>
      <w:bookmarkStart w:id="338" w:name="_Toc20868"/>
      <w:r>
        <w:rPr>
          <w:rStyle w:val="8"/>
          <w:rFonts w:ascii="宋体" w:hAnsi="宋体"/>
          <w:color w:val="auto"/>
          <w:kern w:val="2"/>
          <w:sz w:val="24"/>
          <w:szCs w:val="24"/>
          <w:highlight w:val="none"/>
        </w:rPr>
        <w:t>1.11.4 承包人在施工过程中所采用的专利、专有技术、技术秘密的使用费的承担方式：</w:t>
      </w:r>
      <w:r>
        <w:rPr>
          <w:rStyle w:val="8"/>
          <w:rFonts w:hint="eastAsia" w:ascii="宋体" w:hAnsi="宋体"/>
          <w:color w:val="auto"/>
          <w:kern w:val="2"/>
          <w:sz w:val="24"/>
          <w:szCs w:val="24"/>
          <w:highlight w:val="none"/>
          <w:u w:val="single"/>
        </w:rPr>
        <w:t>已包含在合同价款中，发包人不另行支付。</w:t>
      </w:r>
      <w:bookmarkEnd w:id="327"/>
      <w:bookmarkEnd w:id="328"/>
      <w:bookmarkEnd w:id="329"/>
      <w:bookmarkEnd w:id="330"/>
      <w:bookmarkEnd w:id="331"/>
      <w:bookmarkEnd w:id="332"/>
      <w:bookmarkEnd w:id="333"/>
      <w:bookmarkEnd w:id="334"/>
      <w:bookmarkEnd w:id="335"/>
      <w:bookmarkEnd w:id="336"/>
      <w:bookmarkEnd w:id="337"/>
      <w:bookmarkEnd w:id="338"/>
    </w:p>
    <w:p w14:paraId="47E373B1">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1.13工程量清单错误的修正</w:t>
      </w:r>
    </w:p>
    <w:p w14:paraId="299D42F5">
      <w:pPr>
        <w:pStyle w:val="13"/>
        <w:spacing w:line="360" w:lineRule="auto"/>
        <w:ind w:firstLine="480" w:firstLineChars="200"/>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出现工程量清单错误时，是否调整合同价格：</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调整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p>
    <w:p w14:paraId="0701FF2B">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允许调整合同价格的工程量偏差范围：</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据实调整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24144038">
      <w:pPr>
        <w:pStyle w:val="15"/>
        <w:spacing w:before="120" w:after="120" w:line="360" w:lineRule="auto"/>
        <w:outlineLvl w:val="9"/>
        <w:rPr>
          <w:rStyle w:val="8"/>
          <w:rFonts w:ascii="宋体" w:hAnsi="宋体" w:eastAsia="宋体"/>
          <w:b w:val="0"/>
          <w:color w:val="auto"/>
          <w:sz w:val="24"/>
          <w:szCs w:val="24"/>
          <w:highlight w:val="none"/>
        </w:rPr>
      </w:pPr>
      <w:bookmarkStart w:id="339" w:name="_Toc256001295"/>
      <w:bookmarkStart w:id="340" w:name="_Toc69461807"/>
      <w:bookmarkStart w:id="341" w:name="_Toc256000332"/>
      <w:bookmarkStart w:id="342" w:name="_Toc26327"/>
      <w:bookmarkStart w:id="343" w:name="_Toc256000828"/>
      <w:bookmarkStart w:id="344" w:name="_Toc256001065"/>
      <w:bookmarkStart w:id="345" w:name="_Toc256000561"/>
      <w:bookmarkStart w:id="346" w:name="_Toc69461152"/>
      <w:bookmarkStart w:id="347" w:name="_Toc5406"/>
      <w:bookmarkStart w:id="348" w:name="_Toc351203634"/>
      <w:r>
        <w:rPr>
          <w:rStyle w:val="8"/>
          <w:rFonts w:ascii="宋体" w:hAnsi="宋体" w:eastAsia="宋体"/>
          <w:b w:val="0"/>
          <w:color w:val="auto"/>
          <w:sz w:val="24"/>
          <w:szCs w:val="24"/>
          <w:highlight w:val="none"/>
        </w:rPr>
        <w:t>2</w:t>
      </w:r>
      <w:bookmarkStart w:id="349" w:name="_Toc296944496"/>
      <w:bookmarkStart w:id="350" w:name="_Toc297048343"/>
      <w:bookmarkStart w:id="351" w:name="_Toc296503157"/>
      <w:bookmarkStart w:id="352" w:name="_Toc296347156"/>
      <w:bookmarkStart w:id="353" w:name="_Toc292559362"/>
      <w:bookmarkStart w:id="354" w:name="_Toc296890985"/>
      <w:bookmarkStart w:id="355" w:name="_Toc297120457"/>
      <w:bookmarkStart w:id="356" w:name="_Toc292559867"/>
      <w:bookmarkStart w:id="357" w:name="_Toc296891197"/>
      <w:bookmarkStart w:id="358" w:name="_Toc296346658"/>
      <w:r>
        <w:rPr>
          <w:rStyle w:val="8"/>
          <w:rFonts w:ascii="宋体" w:hAnsi="宋体" w:eastAsia="宋体"/>
          <w:b w:val="0"/>
          <w:color w:val="auto"/>
          <w:sz w:val="24"/>
          <w:szCs w:val="24"/>
          <w:highlight w:val="none"/>
        </w:rPr>
        <w:t>. 发包人</w:t>
      </w:r>
      <w:bookmarkEnd w:id="339"/>
      <w:bookmarkEnd w:id="340"/>
      <w:bookmarkEnd w:id="341"/>
      <w:bookmarkEnd w:id="342"/>
      <w:bookmarkEnd w:id="343"/>
      <w:bookmarkEnd w:id="344"/>
      <w:bookmarkEnd w:id="345"/>
      <w:bookmarkEnd w:id="346"/>
      <w:bookmarkEnd w:id="347"/>
      <w:bookmarkEnd w:id="348"/>
    </w:p>
    <w:bookmarkEnd w:id="349"/>
    <w:bookmarkEnd w:id="350"/>
    <w:bookmarkEnd w:id="351"/>
    <w:bookmarkEnd w:id="352"/>
    <w:bookmarkEnd w:id="353"/>
    <w:bookmarkEnd w:id="354"/>
    <w:bookmarkEnd w:id="355"/>
    <w:bookmarkEnd w:id="356"/>
    <w:bookmarkEnd w:id="357"/>
    <w:bookmarkEnd w:id="358"/>
    <w:p w14:paraId="6B3FE715">
      <w:pPr>
        <w:pStyle w:val="13"/>
        <w:spacing w:after="120" w:line="360" w:lineRule="auto"/>
        <w:ind w:firstLine="480" w:firstLineChars="200"/>
        <w:outlineLvl w:val="9"/>
        <w:rPr>
          <w:rStyle w:val="8"/>
          <w:rFonts w:ascii="宋体" w:hAnsi="宋体"/>
          <w:color w:val="auto"/>
          <w:kern w:val="2"/>
          <w:sz w:val="24"/>
          <w:szCs w:val="24"/>
          <w:highlight w:val="none"/>
        </w:rPr>
      </w:pPr>
      <w:bookmarkStart w:id="359" w:name="_Toc30028"/>
      <w:bookmarkStart w:id="360" w:name="_Toc25928"/>
      <w:bookmarkStart w:id="361" w:name="_Toc256000055"/>
      <w:bookmarkStart w:id="362" w:name="_Toc256001296"/>
      <w:bookmarkStart w:id="363" w:name="_Toc1401"/>
      <w:bookmarkStart w:id="364" w:name="_Toc256000333"/>
      <w:bookmarkStart w:id="365" w:name="_Toc69461808"/>
      <w:bookmarkStart w:id="366" w:name="_Toc69461153"/>
      <w:bookmarkStart w:id="367" w:name="_Toc256001066"/>
      <w:bookmarkStart w:id="368" w:name="_Toc256000562"/>
      <w:bookmarkStart w:id="369" w:name="_Toc256000829"/>
      <w:bookmarkStart w:id="370" w:name="_Toc5426"/>
      <w:r>
        <w:rPr>
          <w:rStyle w:val="8"/>
          <w:rFonts w:ascii="宋体" w:hAnsi="宋体"/>
          <w:color w:val="auto"/>
          <w:kern w:val="2"/>
          <w:sz w:val="24"/>
          <w:szCs w:val="24"/>
          <w:highlight w:val="none"/>
        </w:rPr>
        <w:t>2.2 发包人代表</w:t>
      </w:r>
      <w:bookmarkEnd w:id="359"/>
      <w:bookmarkEnd w:id="360"/>
      <w:bookmarkEnd w:id="361"/>
      <w:bookmarkEnd w:id="362"/>
      <w:bookmarkEnd w:id="363"/>
      <w:bookmarkEnd w:id="364"/>
      <w:bookmarkEnd w:id="365"/>
      <w:bookmarkEnd w:id="366"/>
      <w:bookmarkEnd w:id="367"/>
      <w:bookmarkEnd w:id="368"/>
      <w:bookmarkEnd w:id="369"/>
      <w:bookmarkEnd w:id="370"/>
    </w:p>
    <w:p w14:paraId="55B2E5C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发包人代表：</w:t>
      </w:r>
    </w:p>
    <w:p w14:paraId="5CDACB8A">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353CE7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身份证号：</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2DA080F1">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职    务：</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495E3CDD">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00B5274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080907E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628188A8">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发包人对发包人代表的授权范围如下：</w:t>
      </w:r>
      <w:r>
        <w:rPr>
          <w:rStyle w:val="8"/>
          <w:rFonts w:hint="eastAsia" w:ascii="宋体" w:hAnsi="宋体"/>
          <w:color w:val="auto"/>
          <w:kern w:val="2"/>
          <w:sz w:val="24"/>
          <w:szCs w:val="24"/>
          <w:highlight w:val="none"/>
          <w:u w:val="single"/>
        </w:rPr>
        <w:t>工程管理和协调，并负责处理合同履行过程中与发包人有关的具体事宜   。</w:t>
      </w:r>
    </w:p>
    <w:p w14:paraId="6B9B5B95">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 施工现场、施工条件和基础资料的提供</w:t>
      </w:r>
    </w:p>
    <w:p w14:paraId="256AB4E3">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2.4.1 提供施工现场</w:t>
      </w:r>
    </w:p>
    <w:p w14:paraId="2A96E53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关于发包人移交施工现场的期限要求：</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开工前3日</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 xml:space="preserve">     </w:t>
      </w:r>
    </w:p>
    <w:p w14:paraId="29A7C20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2.4.2 提供施工条件</w:t>
      </w:r>
    </w:p>
    <w:p w14:paraId="396757D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关于发包人应负责提供施工</w:t>
      </w:r>
      <w:r>
        <w:rPr>
          <w:rStyle w:val="8"/>
          <w:rFonts w:hint="eastAsia" w:ascii="宋体" w:hAnsi="宋体"/>
          <w:color w:val="auto"/>
          <w:kern w:val="2"/>
          <w:sz w:val="24"/>
          <w:szCs w:val="24"/>
          <w:highlight w:val="none"/>
        </w:rPr>
        <w:t>所需要的条件，</w:t>
      </w:r>
      <w:r>
        <w:rPr>
          <w:rStyle w:val="8"/>
          <w:rFonts w:ascii="宋体" w:hAnsi="宋体"/>
          <w:color w:val="auto"/>
          <w:kern w:val="2"/>
          <w:sz w:val="24"/>
          <w:szCs w:val="24"/>
          <w:highlight w:val="none"/>
        </w:rPr>
        <w:t>包括：</w:t>
      </w:r>
      <w:r>
        <w:rPr>
          <w:rStyle w:val="8"/>
          <w:rFonts w:hint="eastAsia" w:ascii="宋体" w:hAnsi="宋体"/>
          <w:color w:val="auto"/>
          <w:kern w:val="2"/>
          <w:sz w:val="24"/>
          <w:szCs w:val="24"/>
          <w:highlight w:val="none"/>
          <w:u w:val="single"/>
        </w:rPr>
        <w:t>执行招标文件招标内容约定。</w:t>
      </w:r>
    </w:p>
    <w:p w14:paraId="5A435AD5">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2.5 资金来源证明及支付担保</w:t>
      </w:r>
    </w:p>
    <w:p w14:paraId="4CBE5A2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发包人提供资金来源证明的期限要求：</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527D840">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发包人是否提供支付担保：</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6FF5C53">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发包人提供支付担保的形式：</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090E114E">
      <w:pPr>
        <w:pStyle w:val="15"/>
        <w:spacing w:before="120" w:after="120" w:line="360" w:lineRule="auto"/>
        <w:outlineLvl w:val="9"/>
        <w:rPr>
          <w:rStyle w:val="8"/>
          <w:rFonts w:ascii="宋体" w:hAnsi="宋体" w:eastAsia="宋体"/>
          <w:b w:val="0"/>
          <w:color w:val="auto"/>
          <w:sz w:val="24"/>
          <w:szCs w:val="24"/>
          <w:highlight w:val="none"/>
        </w:rPr>
      </w:pPr>
      <w:bookmarkStart w:id="371" w:name="_Toc256001297"/>
      <w:bookmarkStart w:id="372" w:name="_Toc9510"/>
      <w:bookmarkStart w:id="373" w:name="_Toc256000563"/>
      <w:bookmarkStart w:id="374" w:name="_Toc351203635"/>
      <w:bookmarkStart w:id="375" w:name="_Toc69461154"/>
      <w:bookmarkStart w:id="376" w:name="_Toc69461809"/>
      <w:bookmarkStart w:id="377" w:name="_Toc1345"/>
      <w:bookmarkStart w:id="378" w:name="_Toc256001067"/>
      <w:bookmarkStart w:id="379" w:name="_Toc256000830"/>
      <w:bookmarkStart w:id="380" w:name="_Toc256000334"/>
      <w:r>
        <w:rPr>
          <w:rStyle w:val="8"/>
          <w:rFonts w:ascii="宋体" w:hAnsi="宋体" w:eastAsia="宋体"/>
          <w:b w:val="0"/>
          <w:color w:val="auto"/>
          <w:sz w:val="24"/>
          <w:szCs w:val="24"/>
          <w:highlight w:val="none"/>
        </w:rPr>
        <w:t>3</w:t>
      </w:r>
      <w:bookmarkStart w:id="381" w:name="_Toc296503158"/>
      <w:bookmarkStart w:id="382" w:name="_Toc296944497"/>
      <w:bookmarkStart w:id="383" w:name="_Toc292559868"/>
      <w:bookmarkStart w:id="384" w:name="_Toc296891198"/>
      <w:bookmarkStart w:id="385" w:name="_Toc292559363"/>
      <w:bookmarkStart w:id="386" w:name="_Toc296346659"/>
      <w:bookmarkStart w:id="387" w:name="_Toc296347157"/>
      <w:bookmarkStart w:id="388" w:name="_Toc297048344"/>
      <w:bookmarkStart w:id="389" w:name="_Toc296890986"/>
      <w:bookmarkStart w:id="390" w:name="_Toc297120458"/>
      <w:r>
        <w:rPr>
          <w:rStyle w:val="8"/>
          <w:rFonts w:ascii="宋体" w:hAnsi="宋体" w:eastAsia="宋体"/>
          <w:b w:val="0"/>
          <w:color w:val="auto"/>
          <w:sz w:val="24"/>
          <w:szCs w:val="24"/>
          <w:highlight w:val="none"/>
        </w:rPr>
        <w:t>. 承包人</w:t>
      </w:r>
      <w:bookmarkEnd w:id="371"/>
      <w:bookmarkEnd w:id="372"/>
      <w:bookmarkEnd w:id="373"/>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p w14:paraId="79FBE55D">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3.1 承包人的一般义务</w:t>
      </w:r>
    </w:p>
    <w:p w14:paraId="3F3763CD">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w:t>
      </w:r>
      <w:r>
        <w:rPr>
          <w:rStyle w:val="8"/>
          <w:rFonts w:hint="eastAsia" w:ascii="宋体" w:hAnsi="宋体"/>
          <w:color w:val="auto"/>
          <w:sz w:val="24"/>
          <w:szCs w:val="24"/>
          <w:highlight w:val="none"/>
        </w:rPr>
        <w:t>9</w:t>
      </w:r>
      <w:r>
        <w:rPr>
          <w:rStyle w:val="8"/>
          <w:rFonts w:ascii="宋体" w:hAnsi="宋体"/>
          <w:color w:val="auto"/>
          <w:sz w:val="24"/>
          <w:szCs w:val="24"/>
          <w:highlight w:val="none"/>
        </w:rPr>
        <w:t>）</w:t>
      </w:r>
      <w:r>
        <w:rPr>
          <w:rStyle w:val="8"/>
          <w:rFonts w:ascii="宋体" w:hAnsi="宋体"/>
          <w:color w:val="auto"/>
          <w:kern w:val="2"/>
          <w:sz w:val="24"/>
          <w:szCs w:val="24"/>
          <w:highlight w:val="none"/>
        </w:rPr>
        <w:t>承包人提交的竣工资料的内容：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按照相关法律及竣工备案、档案保存部门关于竣工资料备案归档材料要求执行  。</w:t>
      </w:r>
      <w:r>
        <w:rPr>
          <w:rStyle w:val="8"/>
          <w:rFonts w:ascii="宋体" w:hAnsi="宋体"/>
          <w:color w:val="auto"/>
          <w:kern w:val="2"/>
          <w:sz w:val="24"/>
          <w:szCs w:val="24"/>
          <w:highlight w:val="none"/>
          <w:u w:val="single"/>
        </w:rPr>
        <w:t xml:space="preserve"> </w:t>
      </w:r>
    </w:p>
    <w:p w14:paraId="4508CBA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承包人需要提交的竣工资料套数：</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提交竣工图6套，竣工档案资料6套</w:t>
      </w:r>
      <w:r>
        <w:rPr>
          <w:rStyle w:val="8"/>
          <w:rFonts w:ascii="宋体" w:hAnsi="宋体"/>
          <w:color w:val="auto"/>
          <w:kern w:val="2"/>
          <w:sz w:val="24"/>
          <w:szCs w:val="24"/>
          <w:highlight w:val="none"/>
        </w:rPr>
        <w:t>。</w:t>
      </w:r>
    </w:p>
    <w:p w14:paraId="71547EA2">
      <w:pPr>
        <w:pStyle w:val="13"/>
        <w:spacing w:line="360" w:lineRule="auto"/>
        <w:ind w:left="638" w:leftChars="304"/>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承包人提交的竣工资料的费用承担：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32236154">
      <w:pPr>
        <w:pStyle w:val="13"/>
        <w:spacing w:line="360" w:lineRule="auto"/>
        <w:ind w:left="638" w:leftChars="304"/>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承包人提交的竣工资料移交时间：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工程完工后28天内</w:t>
      </w:r>
      <w:r>
        <w:rPr>
          <w:rStyle w:val="8"/>
          <w:rFonts w:ascii="宋体" w:hAnsi="宋体"/>
          <w:color w:val="auto"/>
          <w:kern w:val="2"/>
          <w:sz w:val="24"/>
          <w:szCs w:val="24"/>
          <w:highlight w:val="none"/>
          <w:u w:val="single"/>
        </w:rPr>
        <w:t xml:space="preserve">  。</w:t>
      </w:r>
    </w:p>
    <w:p w14:paraId="75942CFB">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承包人提交的竣工资料形式要求：</w:t>
      </w:r>
      <w:r>
        <w:rPr>
          <w:rStyle w:val="8"/>
          <w:rFonts w:hint="eastAsia" w:ascii="宋体" w:hAnsi="宋体"/>
          <w:color w:val="auto"/>
          <w:kern w:val="2"/>
          <w:sz w:val="24"/>
          <w:szCs w:val="24"/>
          <w:highlight w:val="none"/>
          <w:u w:val="single"/>
        </w:rPr>
        <w:t>纸质和光盘(电子档案)</w:t>
      </w:r>
      <w:r>
        <w:rPr>
          <w:rStyle w:val="8"/>
          <w:rFonts w:ascii="宋体" w:hAnsi="宋体"/>
          <w:color w:val="auto"/>
          <w:kern w:val="2"/>
          <w:sz w:val="24"/>
          <w:szCs w:val="24"/>
          <w:highlight w:val="none"/>
          <w:u w:val="single"/>
        </w:rPr>
        <w:t>。</w:t>
      </w:r>
    </w:p>
    <w:p w14:paraId="457526D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w:t>
      </w:r>
      <w:r>
        <w:rPr>
          <w:rStyle w:val="8"/>
          <w:rFonts w:hint="eastAsia" w:ascii="宋体" w:hAnsi="宋体"/>
          <w:color w:val="auto"/>
          <w:sz w:val="24"/>
          <w:szCs w:val="24"/>
          <w:highlight w:val="none"/>
        </w:rPr>
        <w:t>10</w:t>
      </w:r>
      <w:r>
        <w:rPr>
          <w:rStyle w:val="8"/>
          <w:rFonts w:ascii="宋体" w:hAnsi="宋体"/>
          <w:color w:val="auto"/>
          <w:sz w:val="24"/>
          <w:szCs w:val="24"/>
          <w:highlight w:val="none"/>
        </w:rPr>
        <w:t>）承包人应履行的其他义务：</w:t>
      </w:r>
      <w:r>
        <w:rPr>
          <w:rStyle w:val="8"/>
          <w:rFonts w:hint="eastAsia" w:ascii="宋体" w:hAnsi="宋体"/>
          <w:color w:val="auto"/>
          <w:kern w:val="2"/>
          <w:sz w:val="24"/>
          <w:szCs w:val="24"/>
          <w:highlight w:val="none"/>
          <w:u w:val="single"/>
        </w:rPr>
        <w:t>承包人应当对在施工场地或者附近实施与合同工程有关的其他工作的独立承包人履行管理、协调、配合、照管和服务义务。</w:t>
      </w:r>
    </w:p>
    <w:p w14:paraId="590B82A5">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3.2 项目经理</w:t>
      </w:r>
    </w:p>
    <w:p w14:paraId="1EF5BCF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sz w:val="24"/>
          <w:szCs w:val="24"/>
          <w:highlight w:val="none"/>
        </w:rPr>
        <w:t xml:space="preserve">3.2.1 </w:t>
      </w:r>
      <w:r>
        <w:rPr>
          <w:rStyle w:val="8"/>
          <w:rFonts w:ascii="宋体" w:hAnsi="宋体"/>
          <w:color w:val="auto"/>
          <w:kern w:val="2"/>
          <w:sz w:val="24"/>
          <w:szCs w:val="24"/>
          <w:highlight w:val="none"/>
        </w:rPr>
        <w:t>项目经理：</w:t>
      </w:r>
    </w:p>
    <w:p w14:paraId="2DB73C5C">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A18386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身份证号：</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001B6C5">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建造师执业资格等级：</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127E1DF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建造师注册证书号：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2F201462">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建造师执业印章号：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36E89320">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安全生产考核合格证书号：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58B9DFA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0F390902">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2EC0366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98A4116">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承包人对项目经理的授权范围如下：</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7E1C14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关于项目经理每月在施工现场的时间要求：</w:t>
      </w:r>
      <w:r>
        <w:rPr>
          <w:rStyle w:val="8"/>
          <w:rFonts w:hint="eastAsia" w:ascii="宋体" w:hAnsi="宋体"/>
          <w:color w:val="auto"/>
          <w:kern w:val="2"/>
          <w:sz w:val="24"/>
          <w:szCs w:val="24"/>
          <w:highlight w:val="none"/>
          <w:u w:val="single"/>
        </w:rPr>
        <w:t>不少于24 日（必须满足现场施工需求）。</w:t>
      </w:r>
    </w:p>
    <w:p w14:paraId="1A533E9B">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承包人未提交劳动合同，以及没有为项目经理缴纳社会保险证明的违约责任：</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14:paraId="70253F05">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项目经理未经批准，擅自离开施工现场的违约责任：</w:t>
      </w:r>
      <w:r>
        <w:rPr>
          <w:rStyle w:val="8"/>
          <w:rFonts w:hint="eastAsia" w:ascii="宋体" w:hAnsi="宋体"/>
          <w:color w:val="auto"/>
          <w:kern w:val="2"/>
          <w:sz w:val="24"/>
          <w:szCs w:val="24"/>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14:paraId="02050C71">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3.2.3 承包人擅自更换项目经理的违约责任：</w:t>
      </w:r>
      <w:r>
        <w:rPr>
          <w:rStyle w:val="8"/>
          <w:rFonts w:hint="eastAsia" w:ascii="宋体" w:hAnsi="宋体"/>
          <w:color w:val="auto"/>
          <w:kern w:val="2"/>
          <w:sz w:val="24"/>
          <w:szCs w:val="24"/>
          <w:highlight w:val="none"/>
          <w:u w:val="single"/>
        </w:rPr>
        <w:t xml:space="preserve">承包人未经发包人同意擅自更换项目经理的，每发生一次，承包人应向发包人支付违约金50000元，同时承包人应当按发包人要求及时更换项目经理，上述违约金发包人有权自工程款中径行扣除。 </w:t>
      </w:r>
    </w:p>
    <w:p w14:paraId="0883377E">
      <w:pPr>
        <w:pStyle w:val="14"/>
        <w:spacing w:line="360" w:lineRule="auto"/>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 xml:space="preserve">    3.2.4 承包人无正当理由拒绝更换项目经理的违约责任：</w:t>
      </w:r>
      <w:r>
        <w:rPr>
          <w:rStyle w:val="8"/>
          <w:rFonts w:hint="eastAsia" w:ascii="宋体" w:hAnsi="宋体"/>
          <w:color w:val="auto"/>
          <w:kern w:val="2"/>
          <w:sz w:val="24"/>
          <w:szCs w:val="24"/>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p>
    <w:p w14:paraId="3FF7FA2B">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3.3 承包人人员</w:t>
      </w:r>
    </w:p>
    <w:p w14:paraId="39AF0FAF">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3.3.1 承包人提交项目管理机构及施工现场管理人员安排报告的期限：</w:t>
      </w:r>
      <w:r>
        <w:rPr>
          <w:rStyle w:val="8"/>
          <w:rFonts w:hint="eastAsia" w:ascii="宋体" w:hAnsi="宋体"/>
          <w:color w:val="auto"/>
          <w:kern w:val="2"/>
          <w:sz w:val="24"/>
          <w:szCs w:val="24"/>
          <w:highlight w:val="none"/>
          <w:u w:val="single"/>
        </w:rPr>
        <w:t>开工通知后7日内  。</w:t>
      </w:r>
    </w:p>
    <w:p w14:paraId="7D7A2F41">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3.3.3 承包人无正当理由拒绝撤换主要施工管理人员的违约责任：</w:t>
      </w:r>
      <w:r>
        <w:rPr>
          <w:rStyle w:val="8"/>
          <w:rFonts w:hint="eastAsia" w:ascii="宋体" w:hAnsi="宋体"/>
          <w:color w:val="auto"/>
          <w:kern w:val="2"/>
          <w:sz w:val="24"/>
          <w:szCs w:val="24"/>
          <w:highlight w:val="none"/>
          <w:u w:val="single"/>
        </w:rPr>
        <w:t>承包人未按发包人要求更换主要施工人员且无正当理由的，发包人有权要求承包人停止施工，并由承包人承担由此产生的一切损失。</w:t>
      </w:r>
    </w:p>
    <w:p w14:paraId="7E8CFB82">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 xml:space="preserve">3.3.4 承包人主要施工管理人员离开施工现场的批准要求：   </w:t>
      </w:r>
      <w:r>
        <w:rPr>
          <w:rStyle w:val="8"/>
          <w:rFonts w:hint="eastAsia" w:ascii="宋体" w:hAnsi="宋体"/>
          <w:color w:val="auto"/>
          <w:kern w:val="2"/>
          <w:sz w:val="24"/>
          <w:szCs w:val="24"/>
          <w:highlight w:val="none"/>
          <w:u w:val="single"/>
        </w:rPr>
        <w:t>必须取得监理和发包人的书面同意   。</w:t>
      </w:r>
    </w:p>
    <w:p w14:paraId="6D149D56">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3.3.5承包人擅自更换主要施工管理人员的违约责任：</w:t>
      </w:r>
      <w:r>
        <w:rPr>
          <w:rStyle w:val="8"/>
          <w:rFonts w:hint="eastAsia" w:ascii="宋体" w:hAnsi="宋体"/>
          <w:color w:val="auto"/>
          <w:kern w:val="2"/>
          <w:sz w:val="24"/>
          <w:szCs w:val="24"/>
          <w:highlight w:val="none"/>
          <w:u w:val="single"/>
        </w:rPr>
        <w:t>发现每1 人次扣违约金5000 元整，并要求承包人更正   。</w:t>
      </w:r>
    </w:p>
    <w:p w14:paraId="2CE7E1C8">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承包人主要施工管理人员擅自离开施工现场的违约责任：</w:t>
      </w:r>
      <w:r>
        <w:rPr>
          <w:rStyle w:val="8"/>
          <w:rFonts w:hint="eastAsia" w:ascii="宋体" w:hAnsi="宋体"/>
          <w:color w:val="auto"/>
          <w:kern w:val="2"/>
          <w:sz w:val="24"/>
          <w:szCs w:val="24"/>
          <w:highlight w:val="none"/>
          <w:u w:val="single"/>
        </w:rPr>
        <w:t xml:space="preserve">  发现每1人次.日扣违约金1000元整 。 上述违约金发包人有权自工程款中径行扣除。</w:t>
      </w:r>
    </w:p>
    <w:p w14:paraId="6F7073A3">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w:t>
      </w:r>
      <w:bookmarkStart w:id="391" w:name="_Toc296890987"/>
      <w:bookmarkStart w:id="392" w:name="_Toc300934945"/>
      <w:bookmarkStart w:id="393" w:name="_Toc292559364"/>
      <w:bookmarkStart w:id="394" w:name="_Toc296944498"/>
      <w:bookmarkStart w:id="395" w:name="_Toc297120459"/>
      <w:bookmarkStart w:id="396" w:name="_Toc312677988"/>
      <w:bookmarkStart w:id="397" w:name="_Toc304295523"/>
      <w:bookmarkStart w:id="398" w:name="_Toc303539102"/>
      <w:bookmarkStart w:id="399" w:name="_Toc296347158"/>
      <w:bookmarkStart w:id="400" w:name="_Toc292559869"/>
      <w:bookmarkStart w:id="401" w:name="_Toc297216151"/>
      <w:bookmarkStart w:id="402" w:name="_Toc296891199"/>
      <w:bookmarkStart w:id="403" w:name="_Toc296346660"/>
      <w:bookmarkStart w:id="404" w:name="_Toc297048345"/>
      <w:bookmarkStart w:id="405" w:name="_Toc296503159"/>
      <w:bookmarkStart w:id="406" w:name="_Toc297123492"/>
      <w:r>
        <w:rPr>
          <w:rStyle w:val="8"/>
          <w:rFonts w:ascii="宋体" w:hAnsi="宋体"/>
          <w:color w:val="auto"/>
          <w:kern w:val="2"/>
          <w:sz w:val="24"/>
          <w:szCs w:val="24"/>
          <w:highlight w:val="none"/>
        </w:rPr>
        <w:t>.5 分包</w:t>
      </w: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14:paraId="089D0F05">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w:t>
      </w:r>
      <w:bookmarkStart w:id="407" w:name="_Toc304295524"/>
      <w:bookmarkStart w:id="408" w:name="_Toc296347159"/>
      <w:bookmarkStart w:id="409" w:name="_Toc296890988"/>
      <w:bookmarkStart w:id="410" w:name="_Toc297123493"/>
      <w:bookmarkStart w:id="411" w:name="_Toc296944499"/>
      <w:bookmarkStart w:id="412" w:name="_Toc296891200"/>
      <w:bookmarkStart w:id="413" w:name="_Toc300934946"/>
      <w:bookmarkStart w:id="414" w:name="_Toc303539103"/>
      <w:bookmarkStart w:id="415" w:name="_Toc292559870"/>
      <w:bookmarkStart w:id="416" w:name="_Toc297120460"/>
      <w:bookmarkStart w:id="417" w:name="_Toc297216152"/>
      <w:bookmarkStart w:id="418" w:name="_Toc296346661"/>
      <w:bookmarkStart w:id="419" w:name="_Toc292559365"/>
      <w:bookmarkStart w:id="420" w:name="_Toc297048346"/>
      <w:bookmarkStart w:id="421" w:name="_Toc296503160"/>
      <w:bookmarkStart w:id="422" w:name="_Toc312677989"/>
      <w:bookmarkStart w:id="423" w:name="_Toc318581158"/>
      <w:r>
        <w:rPr>
          <w:rStyle w:val="8"/>
          <w:rFonts w:ascii="宋体" w:hAnsi="宋体"/>
          <w:color w:val="auto"/>
          <w:kern w:val="2"/>
          <w:sz w:val="24"/>
          <w:szCs w:val="24"/>
          <w:highlight w:val="none"/>
        </w:rPr>
        <w:t>.5.1 分包的一般约定</w:t>
      </w:r>
    </w:p>
    <w:p w14:paraId="255168F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禁止分包的工程包括：</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819C945">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主体结构、关键性工作的范围：</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Start w:id="424" w:name="_Toc297123494"/>
      <w:bookmarkStart w:id="425" w:name="_Toc296890989"/>
      <w:bookmarkStart w:id="426" w:name="_Toc297048347"/>
      <w:bookmarkStart w:id="427" w:name="_Toc296891201"/>
      <w:bookmarkStart w:id="428" w:name="_Toc300934947"/>
      <w:bookmarkStart w:id="429" w:name="_Toc297216153"/>
      <w:bookmarkStart w:id="430" w:name="_Toc296347160"/>
      <w:bookmarkStart w:id="431" w:name="_Toc296503161"/>
      <w:bookmarkStart w:id="432" w:name="_Toc297120461"/>
      <w:bookmarkStart w:id="433" w:name="_Toc296944500"/>
      <w:bookmarkStart w:id="434" w:name="_Toc303539104"/>
      <w:bookmarkStart w:id="435" w:name="_Toc296346662"/>
      <w:bookmarkStart w:id="436" w:name="_Toc304295525"/>
    </w:p>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14:paraId="25BA18D9">
      <w:pPr>
        <w:pStyle w:val="13"/>
        <w:spacing w:line="360" w:lineRule="auto"/>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    3</w:t>
      </w:r>
      <w:bookmarkStart w:id="437" w:name="_Toc312677990"/>
      <w:bookmarkStart w:id="438" w:name="_Toc318581159"/>
      <w:r>
        <w:rPr>
          <w:rStyle w:val="8"/>
          <w:rFonts w:ascii="宋体" w:hAnsi="宋体"/>
          <w:color w:val="auto"/>
          <w:kern w:val="2"/>
          <w:sz w:val="24"/>
          <w:szCs w:val="24"/>
          <w:highlight w:val="none"/>
        </w:rPr>
        <w:t>.5.2分包的确定</w:t>
      </w:r>
    </w:p>
    <w:p w14:paraId="203C4858">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允许分包的专业工程包括：</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1FD081C">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其他关于分包的约定：</w:t>
      </w:r>
      <w:r>
        <w:rPr>
          <w:rStyle w:val="8"/>
          <w:rFonts w:hint="eastAsia" w:ascii="宋体" w:hAnsi="宋体"/>
          <w:color w:val="auto"/>
          <w:kern w:val="2"/>
          <w:sz w:val="24"/>
          <w:szCs w:val="24"/>
          <w:highlight w:val="none"/>
          <w:u w:val="single"/>
        </w:rPr>
        <w:t xml:space="preserve"> 本工程不得转包、分包或挂靠</w:t>
      </w:r>
      <w:r>
        <w:rPr>
          <w:rStyle w:val="8"/>
          <w:rFonts w:ascii="宋体" w:hAnsi="宋体"/>
          <w:color w:val="auto"/>
          <w:kern w:val="2"/>
          <w:sz w:val="24"/>
          <w:szCs w:val="24"/>
          <w:highlight w:val="none"/>
          <w:u w:val="single"/>
        </w:rPr>
        <w:t>。</w:t>
      </w:r>
    </w:p>
    <w:p w14:paraId="5A2E1B60">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3.5.4 分包合同价款</w:t>
      </w:r>
    </w:p>
    <w:p w14:paraId="7BB5D5AC">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关于分包合同价款支付的约定：</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437"/>
    <w:bookmarkEnd w:id="438"/>
    <w:p w14:paraId="51386CBE">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3.6 工程照管与成品、半成品保护</w:t>
      </w:r>
    </w:p>
    <w:p w14:paraId="1E66AF8E">
      <w:pPr>
        <w:pStyle w:val="14"/>
        <w:spacing w:before="120" w:after="120"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承包人负责照管工程及工程相关的材料、工程设备的起始时间：</w:t>
      </w:r>
      <w:r>
        <w:rPr>
          <w:rStyle w:val="8"/>
          <w:rFonts w:hint="eastAsia" w:ascii="宋体" w:hAnsi="宋体"/>
          <w:color w:val="auto"/>
          <w:kern w:val="2"/>
          <w:sz w:val="24"/>
          <w:szCs w:val="24"/>
          <w:highlight w:val="none"/>
          <w:u w:val="single"/>
        </w:rPr>
        <w:t>设备、人员进场至验收合格并交付使用之前，均由承包人负责照管、保修，所产生的费用由承包人承担  。</w:t>
      </w:r>
    </w:p>
    <w:p w14:paraId="1304A27C">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3.7 履约担保</w:t>
      </w:r>
    </w:p>
    <w:p w14:paraId="2B3E7F05">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承包人是否提供履约担保：</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提供</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2C2DD3B">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承包人提供履约担保的形式</w:t>
      </w:r>
      <w:r>
        <w:rPr>
          <w:rStyle w:val="8"/>
          <w:rFonts w:hint="eastAsia" w:ascii="宋体" w:hAnsi="宋体"/>
          <w:color w:val="auto"/>
          <w:kern w:val="2"/>
          <w:sz w:val="24"/>
          <w:szCs w:val="24"/>
          <w:highlight w:val="none"/>
        </w:rPr>
        <w:t>、金额及期限的</w:t>
      </w:r>
      <w:r>
        <w:rPr>
          <w:rStyle w:val="8"/>
          <w:rFonts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合同签订前，承包人合同金额的5</w:t>
      </w:r>
      <w:r>
        <w:rPr>
          <w:rStyle w:val="8"/>
          <w:rFonts w:ascii="宋体" w:hAnsi="宋体"/>
          <w:color w:val="auto"/>
          <w:kern w:val="2"/>
          <w:sz w:val="24"/>
          <w:szCs w:val="24"/>
          <w:highlight w:val="none"/>
          <w:u w:val="single"/>
        </w:rPr>
        <w:t>%</w:t>
      </w:r>
      <w:r>
        <w:rPr>
          <w:rStyle w:val="8"/>
          <w:rFonts w:hint="eastAsia" w:ascii="宋体" w:hAnsi="宋体"/>
          <w:color w:val="auto"/>
          <w:kern w:val="2"/>
          <w:sz w:val="24"/>
          <w:szCs w:val="24"/>
          <w:highlight w:val="none"/>
          <w:u w:val="single"/>
        </w:rPr>
        <w:t>履约担保，形式为银行保函、现金、汇款，项目竣工验收后7日内退还</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p w14:paraId="11ED062A">
      <w:pPr>
        <w:pStyle w:val="15"/>
        <w:spacing w:before="120" w:after="120" w:line="360" w:lineRule="auto"/>
        <w:outlineLvl w:val="9"/>
        <w:rPr>
          <w:rStyle w:val="8"/>
          <w:rFonts w:ascii="宋体" w:hAnsi="宋体" w:eastAsia="宋体"/>
          <w:b w:val="0"/>
          <w:color w:val="auto"/>
          <w:sz w:val="24"/>
          <w:szCs w:val="24"/>
          <w:highlight w:val="none"/>
        </w:rPr>
      </w:pPr>
      <w:bookmarkStart w:id="439" w:name="_Toc256000831"/>
      <w:bookmarkStart w:id="440" w:name="_Toc256000335"/>
      <w:bookmarkStart w:id="441" w:name="_Toc256000564"/>
      <w:bookmarkStart w:id="442" w:name="_Toc69461155"/>
      <w:bookmarkStart w:id="443" w:name="_Toc256001068"/>
      <w:bookmarkStart w:id="444" w:name="_Toc351203636"/>
      <w:bookmarkStart w:id="445" w:name="_Toc69461810"/>
      <w:bookmarkStart w:id="446" w:name="_Toc256001298"/>
      <w:bookmarkStart w:id="447" w:name="_Toc4268"/>
      <w:bookmarkStart w:id="448" w:name="_Toc26892"/>
      <w:r>
        <w:rPr>
          <w:rStyle w:val="8"/>
          <w:rFonts w:ascii="宋体" w:hAnsi="宋体" w:eastAsia="宋体"/>
          <w:b w:val="0"/>
          <w:color w:val="auto"/>
          <w:sz w:val="24"/>
          <w:szCs w:val="24"/>
          <w:highlight w:val="none"/>
        </w:rPr>
        <w:t>4</w:t>
      </w:r>
      <w:bookmarkStart w:id="449" w:name="_Toc296503162"/>
      <w:bookmarkStart w:id="450" w:name="_Toc296346663"/>
      <w:bookmarkStart w:id="451" w:name="_Toc292559871"/>
      <w:bookmarkStart w:id="452" w:name="_Toc292559366"/>
      <w:bookmarkStart w:id="453" w:name="_Toc296347161"/>
      <w:bookmarkStart w:id="454" w:name="_Toc297048348"/>
      <w:bookmarkStart w:id="455" w:name="_Toc296890990"/>
      <w:bookmarkStart w:id="456" w:name="_Toc297120462"/>
      <w:bookmarkStart w:id="457" w:name="_Toc267251413"/>
      <w:bookmarkStart w:id="458" w:name="_Toc296944501"/>
      <w:bookmarkStart w:id="459" w:name="_Toc296891202"/>
      <w:r>
        <w:rPr>
          <w:rStyle w:val="8"/>
          <w:rFonts w:ascii="宋体" w:hAnsi="宋体" w:eastAsia="宋体"/>
          <w:b w:val="0"/>
          <w:color w:val="auto"/>
          <w:sz w:val="24"/>
          <w:szCs w:val="24"/>
          <w:highlight w:val="none"/>
        </w:rPr>
        <w:t>. 监</w:t>
      </w:r>
      <w:bookmarkEnd w:id="449"/>
      <w:bookmarkEnd w:id="450"/>
      <w:bookmarkEnd w:id="451"/>
      <w:bookmarkEnd w:id="452"/>
      <w:bookmarkEnd w:id="453"/>
      <w:bookmarkEnd w:id="454"/>
      <w:bookmarkEnd w:id="455"/>
      <w:bookmarkEnd w:id="456"/>
      <w:bookmarkEnd w:id="457"/>
      <w:bookmarkEnd w:id="458"/>
      <w:bookmarkEnd w:id="459"/>
      <w:r>
        <w:rPr>
          <w:rStyle w:val="8"/>
          <w:rFonts w:ascii="宋体" w:hAnsi="宋体" w:eastAsia="宋体"/>
          <w:b w:val="0"/>
          <w:color w:val="auto"/>
          <w:sz w:val="24"/>
          <w:szCs w:val="24"/>
          <w:highlight w:val="none"/>
        </w:rPr>
        <w:t>理人</w:t>
      </w:r>
      <w:bookmarkEnd w:id="439"/>
      <w:bookmarkEnd w:id="440"/>
      <w:bookmarkEnd w:id="441"/>
      <w:bookmarkEnd w:id="442"/>
      <w:bookmarkEnd w:id="443"/>
      <w:bookmarkEnd w:id="444"/>
      <w:bookmarkEnd w:id="445"/>
      <w:bookmarkEnd w:id="446"/>
      <w:bookmarkEnd w:id="447"/>
      <w:bookmarkEnd w:id="448"/>
    </w:p>
    <w:p w14:paraId="57AF0245">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4.1监理人的一般规定</w:t>
      </w:r>
    </w:p>
    <w:p w14:paraId="0855432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关于监理人的监理内容：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42EA98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关于监理人的监理权限：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14:paraId="6821BB6C">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关于监理人在施工现场的办公场所、生活场所的提供和费用承担的约定：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p w14:paraId="6BE09C3A">
      <w:pPr>
        <w:pStyle w:val="13"/>
        <w:spacing w:line="360" w:lineRule="auto"/>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130182C">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4.2 监理人员</w:t>
      </w:r>
    </w:p>
    <w:p w14:paraId="7211D4E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总监理工程师：</w:t>
      </w:r>
    </w:p>
    <w:p w14:paraId="7798E53C">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04A1A7B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职    务：</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056F316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监理工程师执业资格证书号：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0F442913">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6B43A09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33C2F84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3CB99669">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关于监理人的其他约定：</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323AC892">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4.4 商定或确定</w:t>
      </w:r>
    </w:p>
    <w:p w14:paraId="40F70419">
      <w:pPr>
        <w:pStyle w:val="13"/>
        <w:spacing w:line="360" w:lineRule="auto"/>
        <w:ind w:firstLine="480" w:firstLineChars="200"/>
        <w:rPr>
          <w:rStyle w:val="8"/>
          <w:rFonts w:ascii="宋体" w:hAnsi="宋体"/>
          <w:color w:val="auto"/>
          <w:kern w:val="2"/>
          <w:sz w:val="24"/>
          <w:szCs w:val="24"/>
          <w:highlight w:val="none"/>
        </w:rPr>
      </w:pPr>
      <w:bookmarkStart w:id="460" w:name="_Toc267251418"/>
      <w:r>
        <w:rPr>
          <w:rStyle w:val="8"/>
          <w:rFonts w:ascii="宋体" w:hAnsi="宋体"/>
          <w:color w:val="auto"/>
          <w:kern w:val="2"/>
          <w:sz w:val="24"/>
          <w:szCs w:val="24"/>
          <w:highlight w:val="none"/>
        </w:rPr>
        <w:t>在发包人和承包人不能通过协商达成一致意见时，发包人授权监理人对以下事项进行确定：</w:t>
      </w:r>
    </w:p>
    <w:p w14:paraId="58954D0D">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6C51C23">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5DF3B7A">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FB522FC">
      <w:pPr>
        <w:pStyle w:val="15"/>
        <w:spacing w:before="120" w:after="120" w:line="360" w:lineRule="auto"/>
        <w:outlineLvl w:val="9"/>
        <w:rPr>
          <w:rStyle w:val="8"/>
          <w:rFonts w:ascii="宋体" w:hAnsi="宋体" w:eastAsia="宋体"/>
          <w:b w:val="0"/>
          <w:color w:val="auto"/>
          <w:sz w:val="24"/>
          <w:szCs w:val="24"/>
          <w:highlight w:val="none"/>
        </w:rPr>
      </w:pPr>
      <w:bookmarkStart w:id="461" w:name="_Toc30373"/>
      <w:bookmarkStart w:id="462" w:name="_Toc256000565"/>
      <w:bookmarkStart w:id="463" w:name="_Toc21299"/>
      <w:bookmarkStart w:id="464" w:name="_Toc256001069"/>
      <w:bookmarkStart w:id="465" w:name="_Toc256001299"/>
      <w:bookmarkStart w:id="466" w:name="_Toc256000336"/>
      <w:bookmarkStart w:id="467" w:name="_Toc351203637"/>
      <w:bookmarkStart w:id="468" w:name="_Toc256000832"/>
      <w:bookmarkStart w:id="469" w:name="_Toc69461811"/>
      <w:bookmarkStart w:id="470" w:name="_Toc69461156"/>
      <w:r>
        <w:rPr>
          <w:rStyle w:val="8"/>
          <w:rFonts w:ascii="宋体" w:hAnsi="宋体" w:eastAsia="宋体"/>
          <w:b w:val="0"/>
          <w:color w:val="auto"/>
          <w:sz w:val="24"/>
          <w:szCs w:val="24"/>
          <w:highlight w:val="none"/>
        </w:rPr>
        <w:t>5</w:t>
      </w:r>
      <w:bookmarkEnd w:id="460"/>
      <w:bookmarkStart w:id="471" w:name="_Toc297048349"/>
      <w:bookmarkStart w:id="472" w:name="_Toc296890991"/>
      <w:bookmarkStart w:id="473" w:name="_Toc296944502"/>
      <w:bookmarkStart w:id="474" w:name="_Toc296891203"/>
      <w:bookmarkStart w:id="475" w:name="_Toc292559872"/>
      <w:bookmarkStart w:id="476" w:name="_Toc296347162"/>
      <w:bookmarkStart w:id="477" w:name="_Toc292559367"/>
      <w:bookmarkStart w:id="478" w:name="_Toc296346664"/>
      <w:bookmarkStart w:id="479" w:name="_Toc297120463"/>
      <w:bookmarkStart w:id="480" w:name="_Toc296503163"/>
      <w:r>
        <w:rPr>
          <w:rStyle w:val="8"/>
          <w:rFonts w:ascii="宋体" w:hAnsi="宋体" w:eastAsia="宋体"/>
          <w:b w:val="0"/>
          <w:color w:val="auto"/>
          <w:sz w:val="24"/>
          <w:szCs w:val="24"/>
          <w:highlight w:val="none"/>
        </w:rPr>
        <w:t>. 工程质量</w:t>
      </w:r>
      <w:bookmarkEnd w:id="461"/>
      <w:bookmarkEnd w:id="462"/>
      <w:bookmarkEnd w:id="463"/>
      <w:bookmarkEnd w:id="464"/>
      <w:bookmarkEnd w:id="465"/>
      <w:bookmarkEnd w:id="466"/>
      <w:bookmarkEnd w:id="467"/>
      <w:bookmarkEnd w:id="468"/>
      <w:bookmarkEnd w:id="469"/>
      <w:bookmarkEnd w:id="470"/>
    </w:p>
    <w:p w14:paraId="320A5777">
      <w:pPr>
        <w:pStyle w:val="13"/>
        <w:spacing w:after="120" w:line="360" w:lineRule="auto"/>
        <w:ind w:firstLine="480" w:firstLineChars="200"/>
        <w:outlineLvl w:val="9"/>
        <w:rPr>
          <w:rStyle w:val="8"/>
          <w:rFonts w:ascii="宋体" w:hAnsi="宋体"/>
          <w:color w:val="auto"/>
          <w:kern w:val="2"/>
          <w:sz w:val="24"/>
          <w:szCs w:val="24"/>
          <w:highlight w:val="none"/>
        </w:rPr>
      </w:pPr>
      <w:bookmarkStart w:id="481" w:name="_Toc256000056"/>
      <w:bookmarkStart w:id="482" w:name="_Toc3403"/>
      <w:bookmarkStart w:id="483" w:name="_Toc256001300"/>
      <w:bookmarkStart w:id="484" w:name="_Toc256000833"/>
      <w:bookmarkStart w:id="485" w:name="_Toc22361"/>
      <w:bookmarkStart w:id="486" w:name="_Toc69461812"/>
      <w:bookmarkStart w:id="487" w:name="_Toc6496"/>
      <w:bookmarkStart w:id="488" w:name="_Toc69461157"/>
      <w:bookmarkStart w:id="489" w:name="_Toc256000566"/>
      <w:bookmarkStart w:id="490" w:name="_Toc256001070"/>
      <w:bookmarkStart w:id="491" w:name="_Toc10657"/>
      <w:bookmarkStart w:id="492" w:name="_Toc256000337"/>
      <w:r>
        <w:rPr>
          <w:rStyle w:val="8"/>
          <w:rFonts w:ascii="宋体" w:hAnsi="宋体"/>
          <w:color w:val="auto"/>
          <w:kern w:val="2"/>
          <w:sz w:val="24"/>
          <w:szCs w:val="24"/>
          <w:highlight w:val="none"/>
        </w:rPr>
        <w:t>5.1 质量要求</w:t>
      </w:r>
      <w:bookmarkEnd w:id="481"/>
      <w:bookmarkEnd w:id="482"/>
      <w:bookmarkEnd w:id="483"/>
      <w:bookmarkEnd w:id="484"/>
      <w:bookmarkEnd w:id="485"/>
      <w:bookmarkEnd w:id="486"/>
      <w:bookmarkEnd w:id="487"/>
      <w:bookmarkEnd w:id="488"/>
      <w:bookmarkEnd w:id="489"/>
      <w:bookmarkEnd w:id="490"/>
      <w:bookmarkEnd w:id="491"/>
      <w:bookmarkEnd w:id="492"/>
    </w:p>
    <w:p w14:paraId="56D9A9E9">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5</w:t>
      </w:r>
      <w:bookmarkStart w:id="493" w:name="_Toc318581164"/>
      <w:bookmarkStart w:id="494" w:name="_Toc297216155"/>
      <w:bookmarkStart w:id="495" w:name="_Toc304295527"/>
      <w:bookmarkStart w:id="496" w:name="_Toc312677997"/>
      <w:bookmarkStart w:id="497" w:name="_Toc303539106"/>
      <w:bookmarkStart w:id="498" w:name="_Toc297123496"/>
      <w:bookmarkStart w:id="499" w:name="_Toc300934949"/>
      <w:r>
        <w:rPr>
          <w:rStyle w:val="8"/>
          <w:rFonts w:ascii="宋体" w:hAnsi="宋体"/>
          <w:color w:val="auto"/>
          <w:kern w:val="2"/>
          <w:sz w:val="24"/>
          <w:szCs w:val="24"/>
          <w:highlight w:val="none"/>
        </w:rPr>
        <w:t>.1.1 特殊质量标准和要求：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34CF82EE">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关于工程奖项的约定：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07049568">
      <w:pPr>
        <w:pStyle w:val="13"/>
        <w:spacing w:after="120" w:line="360" w:lineRule="auto"/>
        <w:ind w:firstLine="480" w:firstLineChars="200"/>
        <w:outlineLvl w:val="9"/>
        <w:rPr>
          <w:rStyle w:val="8"/>
          <w:rFonts w:ascii="宋体" w:hAnsi="宋体"/>
          <w:color w:val="auto"/>
          <w:kern w:val="2"/>
          <w:sz w:val="24"/>
          <w:szCs w:val="24"/>
          <w:highlight w:val="none"/>
        </w:rPr>
      </w:pPr>
      <w:bookmarkStart w:id="500" w:name="_Toc256001071"/>
      <w:bookmarkStart w:id="501" w:name="_Toc69461813"/>
      <w:bookmarkStart w:id="502" w:name="_Toc69461158"/>
      <w:bookmarkStart w:id="503" w:name="_Toc14725"/>
      <w:bookmarkStart w:id="504" w:name="_Toc26904"/>
      <w:bookmarkStart w:id="505" w:name="_Toc256000834"/>
      <w:bookmarkStart w:id="506" w:name="_Toc24636"/>
      <w:bookmarkStart w:id="507" w:name="_Toc256000057"/>
      <w:bookmarkStart w:id="508" w:name="_Toc13660"/>
      <w:bookmarkStart w:id="509" w:name="_Toc256000567"/>
      <w:bookmarkStart w:id="510" w:name="_Toc256001301"/>
      <w:bookmarkStart w:id="511" w:name="_Toc256000338"/>
      <w:r>
        <w:rPr>
          <w:rStyle w:val="8"/>
          <w:rFonts w:ascii="宋体" w:hAnsi="宋体"/>
          <w:color w:val="auto"/>
          <w:kern w:val="2"/>
          <w:sz w:val="24"/>
          <w:szCs w:val="24"/>
          <w:highlight w:val="none"/>
        </w:rPr>
        <w:t>5.3 隐蔽工程检查</w:t>
      </w:r>
      <w:bookmarkEnd w:id="500"/>
      <w:bookmarkEnd w:id="501"/>
      <w:bookmarkEnd w:id="502"/>
      <w:bookmarkEnd w:id="503"/>
      <w:bookmarkEnd w:id="504"/>
      <w:bookmarkEnd w:id="505"/>
      <w:bookmarkEnd w:id="506"/>
      <w:bookmarkEnd w:id="507"/>
      <w:bookmarkEnd w:id="508"/>
      <w:bookmarkEnd w:id="509"/>
      <w:bookmarkEnd w:id="510"/>
      <w:bookmarkEnd w:id="511"/>
    </w:p>
    <w:p w14:paraId="1B70A05E">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5.3.2承包人提前通知监理人隐蔽工程检查的期限的约定：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执行通用条款 </w:t>
      </w:r>
    </w:p>
    <w:p w14:paraId="6D21968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监理人不能按时进行检查时，应提前</w:t>
      </w:r>
      <w:r>
        <w:rPr>
          <w:rStyle w:val="8"/>
          <w:rFonts w:ascii="宋体" w:hAnsi="宋体"/>
          <w:color w:val="auto"/>
          <w:kern w:val="2"/>
          <w:sz w:val="24"/>
          <w:szCs w:val="24"/>
          <w:highlight w:val="none"/>
          <w:u w:val="single"/>
        </w:rPr>
        <w:t xml:space="preserve"> 24 </w:t>
      </w:r>
      <w:r>
        <w:rPr>
          <w:rStyle w:val="8"/>
          <w:rFonts w:ascii="宋体" w:hAnsi="宋体"/>
          <w:color w:val="auto"/>
          <w:kern w:val="2"/>
          <w:sz w:val="24"/>
          <w:szCs w:val="24"/>
          <w:highlight w:val="none"/>
        </w:rPr>
        <w:t>小时提交书面延期要求。</w:t>
      </w:r>
    </w:p>
    <w:p w14:paraId="56CAD77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关于延期最长不得超过：</w:t>
      </w:r>
      <w:r>
        <w:rPr>
          <w:rStyle w:val="8"/>
          <w:rFonts w:hint="eastAsia" w:ascii="宋体" w:hAnsi="宋体"/>
          <w:color w:val="auto"/>
          <w:kern w:val="2"/>
          <w:sz w:val="24"/>
          <w:szCs w:val="24"/>
          <w:highlight w:val="none"/>
          <w:u w:val="single"/>
        </w:rPr>
        <w:t xml:space="preserve"> 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14:paraId="506EBF84">
      <w:pPr>
        <w:pStyle w:val="15"/>
        <w:spacing w:before="120" w:after="120" w:line="360" w:lineRule="auto"/>
        <w:outlineLvl w:val="9"/>
        <w:rPr>
          <w:rStyle w:val="8"/>
          <w:rFonts w:ascii="宋体" w:hAnsi="宋体" w:eastAsia="宋体"/>
          <w:b w:val="0"/>
          <w:color w:val="auto"/>
          <w:sz w:val="24"/>
          <w:szCs w:val="24"/>
          <w:highlight w:val="none"/>
        </w:rPr>
      </w:pPr>
      <w:bookmarkStart w:id="512" w:name="_Toc256000568"/>
      <w:bookmarkStart w:id="513" w:name="_Toc18974"/>
      <w:bookmarkStart w:id="514" w:name="_Toc351203638"/>
      <w:bookmarkStart w:id="515" w:name="_Toc256000339"/>
      <w:bookmarkStart w:id="516" w:name="_Toc256000835"/>
      <w:bookmarkStart w:id="517" w:name="_Toc69461159"/>
      <w:bookmarkStart w:id="518" w:name="_Toc69461814"/>
      <w:bookmarkStart w:id="519" w:name="_Toc256001072"/>
      <w:bookmarkStart w:id="520" w:name="_Toc25555"/>
      <w:bookmarkStart w:id="521" w:name="_Toc256001302"/>
      <w:r>
        <w:rPr>
          <w:rStyle w:val="8"/>
          <w:rFonts w:ascii="宋体" w:hAnsi="宋体" w:eastAsia="宋体"/>
          <w:b w:val="0"/>
          <w:color w:val="auto"/>
          <w:sz w:val="24"/>
          <w:szCs w:val="24"/>
          <w:highlight w:val="none"/>
        </w:rPr>
        <w:t>6. 安全文明施工与环境保护</w:t>
      </w:r>
      <w:bookmarkEnd w:id="512"/>
      <w:bookmarkEnd w:id="513"/>
      <w:bookmarkEnd w:id="514"/>
      <w:bookmarkEnd w:id="515"/>
      <w:bookmarkEnd w:id="516"/>
      <w:bookmarkEnd w:id="517"/>
      <w:bookmarkEnd w:id="518"/>
      <w:bookmarkEnd w:id="519"/>
      <w:bookmarkEnd w:id="520"/>
      <w:bookmarkEnd w:id="521"/>
    </w:p>
    <w:p w14:paraId="63DAA713">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6.1安全文明施工</w:t>
      </w:r>
    </w:p>
    <w:p w14:paraId="28F8619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6.1.1 项目安全生产的达标目标及相应事项的约定：</w:t>
      </w:r>
      <w:r>
        <w:rPr>
          <w:rStyle w:val="8"/>
          <w:rFonts w:ascii="宋体" w:hAnsi="宋体"/>
          <w:color w:val="auto"/>
          <w:kern w:val="2"/>
          <w:sz w:val="24"/>
          <w:szCs w:val="24"/>
          <w:highlight w:val="none"/>
          <w:u w:val="single"/>
        </w:rPr>
        <w:t xml:space="preserve">         </w:t>
      </w:r>
    </w:p>
    <w:p w14:paraId="46CF29E0">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B4F42AA">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6.1.4 关于治安保卫的特别约定：</w:t>
      </w:r>
      <w:r>
        <w:rPr>
          <w:rStyle w:val="8"/>
          <w:rFonts w:ascii="宋体" w:hAnsi="宋体"/>
          <w:color w:val="auto"/>
          <w:kern w:val="2"/>
          <w:sz w:val="24"/>
          <w:szCs w:val="24"/>
          <w:highlight w:val="none"/>
          <w:u w:val="single"/>
        </w:rPr>
        <w:t xml:space="preserve">                         </w:t>
      </w:r>
    </w:p>
    <w:p w14:paraId="20442C06">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203A871">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关于编制施工场地治安管理计划的约定：</w:t>
      </w:r>
      <w:r>
        <w:rPr>
          <w:rStyle w:val="8"/>
          <w:rFonts w:hint="eastAsia" w:ascii="宋体" w:hAnsi="宋体"/>
          <w:color w:val="auto"/>
          <w:kern w:val="2"/>
          <w:sz w:val="24"/>
          <w:szCs w:val="24"/>
          <w:highlight w:val="none"/>
          <w:u w:val="single"/>
        </w:rPr>
        <w:t>承包人负责编制和执行施工场地治安管理计划，发包人应予以协助  。</w:t>
      </w:r>
    </w:p>
    <w:p w14:paraId="7FEE47F6">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6.1.5 文明施工</w:t>
      </w:r>
    </w:p>
    <w:p w14:paraId="3875BE0B">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合同当事人对文明施工的要求：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符合国家建设工程安全文明施工的要求及</w:t>
      </w:r>
      <w:r>
        <w:rPr>
          <w:rStyle w:val="8"/>
          <w:rFonts w:hint="eastAsia" w:ascii="宋体" w:hAnsi="宋体"/>
          <w:color w:val="auto"/>
          <w:kern w:val="2"/>
          <w:sz w:val="24"/>
          <w:szCs w:val="24"/>
          <w:highlight w:val="none"/>
          <w:u w:val="single"/>
          <w:lang w:eastAsia="zh-CN"/>
        </w:rPr>
        <w:t>营口市</w:t>
      </w:r>
      <w:r>
        <w:rPr>
          <w:rStyle w:val="8"/>
          <w:rFonts w:hint="eastAsia" w:ascii="宋体" w:hAnsi="宋体"/>
          <w:color w:val="auto"/>
          <w:kern w:val="2"/>
          <w:sz w:val="24"/>
          <w:szCs w:val="24"/>
          <w:highlight w:val="none"/>
          <w:u w:val="single"/>
        </w:rPr>
        <w:t>政府相关规定 。</w:t>
      </w:r>
    </w:p>
    <w:p w14:paraId="7670256E">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6.1.6 关于安全文明施工费支付比例和支付期限的约定：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随工程进度款同比例支付  。</w:t>
      </w:r>
    </w:p>
    <w:bookmarkEnd w:id="493"/>
    <w:bookmarkEnd w:id="494"/>
    <w:bookmarkEnd w:id="495"/>
    <w:bookmarkEnd w:id="496"/>
    <w:bookmarkEnd w:id="497"/>
    <w:bookmarkEnd w:id="498"/>
    <w:bookmarkEnd w:id="499"/>
    <w:p w14:paraId="1AFC18E0">
      <w:pPr>
        <w:pStyle w:val="15"/>
        <w:spacing w:before="120" w:after="120" w:line="360" w:lineRule="auto"/>
        <w:outlineLvl w:val="9"/>
        <w:rPr>
          <w:rStyle w:val="8"/>
          <w:rFonts w:ascii="宋体" w:hAnsi="宋体" w:eastAsia="宋体"/>
          <w:b w:val="0"/>
          <w:color w:val="auto"/>
          <w:sz w:val="24"/>
          <w:szCs w:val="24"/>
          <w:highlight w:val="none"/>
        </w:rPr>
      </w:pPr>
      <w:bookmarkStart w:id="522" w:name="_Toc256000836"/>
      <w:bookmarkStart w:id="523" w:name="_Toc3767"/>
      <w:bookmarkStart w:id="524" w:name="_Toc351203639"/>
      <w:bookmarkStart w:id="525" w:name="_Toc69461815"/>
      <w:bookmarkStart w:id="526" w:name="_Toc23654"/>
      <w:bookmarkStart w:id="527" w:name="_Toc69461160"/>
      <w:bookmarkStart w:id="528" w:name="_Toc256001303"/>
      <w:bookmarkStart w:id="529" w:name="_Toc256000340"/>
      <w:bookmarkStart w:id="530" w:name="_Toc256000569"/>
      <w:bookmarkStart w:id="531" w:name="_Toc256001073"/>
      <w:r>
        <w:rPr>
          <w:rStyle w:val="8"/>
          <w:rFonts w:ascii="宋体" w:hAnsi="宋体" w:eastAsia="宋体"/>
          <w:b w:val="0"/>
          <w:color w:val="auto"/>
          <w:sz w:val="24"/>
          <w:szCs w:val="24"/>
          <w:highlight w:val="none"/>
        </w:rPr>
        <w:t>7. 工期和进度</w:t>
      </w:r>
      <w:bookmarkEnd w:id="522"/>
      <w:bookmarkEnd w:id="523"/>
      <w:bookmarkEnd w:id="524"/>
      <w:bookmarkEnd w:id="525"/>
      <w:bookmarkEnd w:id="526"/>
      <w:bookmarkEnd w:id="527"/>
      <w:bookmarkEnd w:id="528"/>
      <w:bookmarkEnd w:id="529"/>
      <w:bookmarkEnd w:id="530"/>
      <w:bookmarkEnd w:id="531"/>
    </w:p>
    <w:p w14:paraId="122EEAB4">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7.1 施工组织设计</w:t>
      </w:r>
    </w:p>
    <w:p w14:paraId="5D443660">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7.1.</w:t>
      </w:r>
      <w:r>
        <w:rPr>
          <w:rStyle w:val="8"/>
          <w:rFonts w:hint="eastAsia" w:ascii="宋体" w:hAnsi="宋体"/>
          <w:color w:val="auto"/>
          <w:kern w:val="2"/>
          <w:sz w:val="24"/>
          <w:szCs w:val="24"/>
          <w:highlight w:val="none"/>
        </w:rPr>
        <w:t>1 合</w:t>
      </w:r>
      <w:r>
        <w:rPr>
          <w:rStyle w:val="8"/>
          <w:rFonts w:hint="eastAsia" w:ascii="宋体" w:hAnsi="宋体"/>
          <w:color w:val="auto"/>
          <w:sz w:val="24"/>
          <w:szCs w:val="24"/>
          <w:highlight w:val="none"/>
        </w:rPr>
        <w:t>同当事人约定的</w:t>
      </w:r>
      <w:r>
        <w:rPr>
          <w:rStyle w:val="8"/>
          <w:rFonts w:ascii="宋体" w:hAnsi="宋体"/>
          <w:color w:val="auto"/>
          <w:sz w:val="24"/>
          <w:szCs w:val="24"/>
          <w:highlight w:val="none"/>
        </w:rPr>
        <w:t>施工组织设计</w:t>
      </w:r>
      <w:r>
        <w:rPr>
          <w:rStyle w:val="8"/>
          <w:rFonts w:hint="eastAsia" w:ascii="宋体" w:hAnsi="宋体"/>
          <w:color w:val="auto"/>
          <w:sz w:val="24"/>
          <w:szCs w:val="24"/>
          <w:highlight w:val="none"/>
        </w:rPr>
        <w:t>应包括的其他内容</w:t>
      </w:r>
      <w:r>
        <w:rPr>
          <w:rStyle w:val="8"/>
          <w:rFonts w:ascii="宋体" w:hAnsi="宋体"/>
          <w:color w:val="auto"/>
          <w:sz w:val="24"/>
          <w:szCs w:val="24"/>
          <w:highlight w:val="non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77F0151">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kern w:val="2"/>
          <w:sz w:val="24"/>
          <w:szCs w:val="24"/>
          <w:highlight w:val="none"/>
        </w:rPr>
        <w:t xml:space="preserve">7.1.2 </w:t>
      </w:r>
      <w:r>
        <w:rPr>
          <w:rStyle w:val="8"/>
          <w:rFonts w:ascii="宋体" w:hAnsi="宋体"/>
          <w:color w:val="auto"/>
          <w:sz w:val="24"/>
          <w:szCs w:val="24"/>
          <w:highlight w:val="none"/>
        </w:rPr>
        <w:t>施工组织设计的提交和修改</w:t>
      </w:r>
    </w:p>
    <w:p w14:paraId="3D3E4314">
      <w:pPr>
        <w:pStyle w:val="14"/>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承包人提交详细施工组织设计的期限的约定：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承包人在收到发包人下发的开工通知后5日内    。</w:t>
      </w:r>
    </w:p>
    <w:p w14:paraId="6141AE5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发包人和监理人在收到</w:t>
      </w:r>
      <w:r>
        <w:rPr>
          <w:rStyle w:val="8"/>
          <w:rFonts w:hint="eastAsia" w:ascii="宋体" w:hAnsi="宋体"/>
          <w:color w:val="auto"/>
          <w:kern w:val="2"/>
          <w:sz w:val="24"/>
          <w:szCs w:val="24"/>
          <w:highlight w:val="none"/>
        </w:rPr>
        <w:t>详细的施工组织设计</w:t>
      </w:r>
      <w:r>
        <w:rPr>
          <w:rStyle w:val="8"/>
          <w:rFonts w:ascii="宋体" w:hAnsi="宋体"/>
          <w:color w:val="auto"/>
          <w:kern w:val="2"/>
          <w:sz w:val="24"/>
          <w:szCs w:val="24"/>
          <w:highlight w:val="none"/>
        </w:rPr>
        <w:t>后确认或提出修改意见的期限：</w:t>
      </w:r>
      <w:r>
        <w:rPr>
          <w:rStyle w:val="8"/>
          <w:rFonts w:hint="eastAsia" w:ascii="宋体" w:hAnsi="宋体"/>
          <w:color w:val="auto"/>
          <w:kern w:val="2"/>
          <w:sz w:val="24"/>
          <w:szCs w:val="24"/>
          <w:highlight w:val="none"/>
          <w:u w:val="single"/>
        </w:rPr>
        <w:t>自发包人收到承包人报送的相关进度计划和设计方案说明后5天内 。</w:t>
      </w:r>
    </w:p>
    <w:p w14:paraId="524127E3">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32" w:name="_Toc312678005"/>
      <w:bookmarkStart w:id="533" w:name="_Toc297123514"/>
      <w:bookmarkStart w:id="534" w:name="_Toc297216173"/>
      <w:bookmarkStart w:id="535" w:name="_Toc303539123"/>
      <w:bookmarkStart w:id="536" w:name="_Toc304295541"/>
      <w:bookmarkStart w:id="537" w:name="_Toc300934966"/>
      <w:bookmarkStart w:id="538" w:name="_Toc312677479"/>
      <w:r>
        <w:rPr>
          <w:rStyle w:val="8"/>
          <w:rFonts w:ascii="宋体" w:hAnsi="宋体"/>
          <w:color w:val="auto"/>
          <w:kern w:val="2"/>
          <w:sz w:val="24"/>
          <w:szCs w:val="24"/>
          <w:highlight w:val="none"/>
        </w:rPr>
        <w:t>.2 施工进度计划</w:t>
      </w:r>
    </w:p>
    <w:p w14:paraId="2510B21B">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7.2.2 施工进度计划的修订</w:t>
      </w:r>
    </w:p>
    <w:p w14:paraId="43CBDC24">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发包人和监理人在收到修订的施工进度计划后确认或提出修改意见的期限：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5 天内完成审核和批准或提出修改意见 。</w:t>
      </w:r>
    </w:p>
    <w:p w14:paraId="73450306">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7.3 开工</w:t>
      </w:r>
    </w:p>
    <w:p w14:paraId="5EE18A7A">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7.3.1 开工准备</w:t>
      </w:r>
    </w:p>
    <w:p w14:paraId="386E0CCB">
      <w:pPr>
        <w:pStyle w:val="14"/>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关于承包人提交</w:t>
      </w:r>
      <w:r>
        <w:rPr>
          <w:rStyle w:val="8"/>
          <w:rFonts w:ascii="宋体" w:hAnsi="宋体"/>
          <w:color w:val="auto"/>
          <w:sz w:val="24"/>
          <w:szCs w:val="24"/>
          <w:highlight w:val="none"/>
        </w:rPr>
        <w:t>工程开工报审表的期限：</w:t>
      </w:r>
      <w:r>
        <w:rPr>
          <w:rStyle w:val="8"/>
          <w:rFonts w:hint="eastAsia" w:ascii="宋体" w:hAnsi="宋体"/>
          <w:color w:val="auto"/>
          <w:kern w:val="2"/>
          <w:sz w:val="24"/>
          <w:szCs w:val="24"/>
          <w:highlight w:val="none"/>
          <w:u w:val="single"/>
        </w:rPr>
        <w:t>承包人应在合同签订后10 天内，但不迟于开工通知载明的开工日期前7 日内   。</w:t>
      </w:r>
    </w:p>
    <w:p w14:paraId="11D168BC">
      <w:pPr>
        <w:pStyle w:val="13"/>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关于发包人应完成的其他开工准备工作及期限：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0404602F">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关于承包人应完成的其他开工准备工作及期限：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388D602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7.3.2开工通知</w:t>
      </w:r>
    </w:p>
    <w:p w14:paraId="0087CD4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因发包人原因造成监理人未能在计划开工日期之日起</w:t>
      </w:r>
      <w:r>
        <w:rPr>
          <w:rStyle w:val="8"/>
          <w:rFonts w:ascii="宋体" w:hAnsi="宋体"/>
          <w:color w:val="auto"/>
          <w:kern w:val="2"/>
          <w:sz w:val="24"/>
          <w:szCs w:val="24"/>
          <w:highlight w:val="none"/>
          <w:u w:val="single"/>
        </w:rPr>
        <w:t xml:space="preserve">   7  </w:t>
      </w:r>
      <w:r>
        <w:rPr>
          <w:rStyle w:val="8"/>
          <w:rFonts w:ascii="宋体" w:hAnsi="宋体"/>
          <w:color w:val="auto"/>
          <w:kern w:val="2"/>
          <w:sz w:val="24"/>
          <w:szCs w:val="24"/>
          <w:highlight w:val="none"/>
        </w:rPr>
        <w:t>天内发出开工通知的，承包人有权提出价格调整要求，或者解除合同。</w:t>
      </w:r>
    </w:p>
    <w:bookmarkEnd w:id="532"/>
    <w:bookmarkEnd w:id="533"/>
    <w:bookmarkEnd w:id="534"/>
    <w:bookmarkEnd w:id="535"/>
    <w:bookmarkEnd w:id="536"/>
    <w:bookmarkEnd w:id="537"/>
    <w:bookmarkEnd w:id="538"/>
    <w:p w14:paraId="341F50C3">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7.4 测量放线</w:t>
      </w:r>
    </w:p>
    <w:p w14:paraId="4DB4B3A2">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7.4.1发包人通过监理人向承包人提供测量基准点、基准线和水准点及其书面资料的期限：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工程开工前7日内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541619FB">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39" w:name="_Toc312677484"/>
      <w:bookmarkStart w:id="540" w:name="_Toc303539125"/>
      <w:bookmarkStart w:id="541" w:name="_Toc304295546"/>
      <w:bookmarkStart w:id="542" w:name="_Toc297216175"/>
      <w:bookmarkStart w:id="543" w:name="_Toc300934968"/>
      <w:bookmarkStart w:id="544" w:name="_Toc312678010"/>
      <w:bookmarkStart w:id="545" w:name="_Toc297123516"/>
      <w:r>
        <w:rPr>
          <w:rStyle w:val="8"/>
          <w:rFonts w:ascii="宋体" w:hAnsi="宋体"/>
          <w:color w:val="auto"/>
          <w:kern w:val="2"/>
          <w:sz w:val="24"/>
          <w:szCs w:val="24"/>
          <w:highlight w:val="none"/>
        </w:rPr>
        <w:t>.5 工期延误</w:t>
      </w:r>
    </w:p>
    <w:bookmarkEnd w:id="539"/>
    <w:bookmarkEnd w:id="540"/>
    <w:bookmarkEnd w:id="541"/>
    <w:bookmarkEnd w:id="542"/>
    <w:bookmarkEnd w:id="543"/>
    <w:bookmarkEnd w:id="544"/>
    <w:bookmarkEnd w:id="545"/>
    <w:p w14:paraId="3753F1B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7.5.1 因发包人原因导致工期延误</w:t>
      </w:r>
    </w:p>
    <w:p w14:paraId="266E91C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（7）因发包人原因导致工期延误的其他情形：</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发包人因政策变化等原因推迟开工需以书面形式通知承包人，顺延相应工期，发包人不承担补偿和损失的费用及违约责任  。</w:t>
      </w:r>
    </w:p>
    <w:p w14:paraId="41C2991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46" w:name="_Toc318581169"/>
      <w:bookmarkStart w:id="547" w:name="_Toc312678012"/>
      <w:bookmarkStart w:id="548" w:name="_Toc312677486"/>
      <w:bookmarkStart w:id="549" w:name="_Toc303539127"/>
      <w:bookmarkStart w:id="550" w:name="_Toc304295548"/>
      <w:bookmarkStart w:id="551" w:name="_Toc300934970"/>
      <w:bookmarkStart w:id="552" w:name="_Toc297216177"/>
      <w:bookmarkStart w:id="553" w:name="_Toc297123518"/>
      <w:r>
        <w:rPr>
          <w:rStyle w:val="8"/>
          <w:rFonts w:ascii="宋体" w:hAnsi="宋体"/>
          <w:color w:val="auto"/>
          <w:kern w:val="2"/>
          <w:sz w:val="24"/>
          <w:szCs w:val="24"/>
          <w:highlight w:val="none"/>
        </w:rPr>
        <w:t>.5.2 因承包人原因导致工期延误</w:t>
      </w:r>
    </w:p>
    <w:bookmarkEnd w:id="546"/>
    <w:bookmarkEnd w:id="547"/>
    <w:bookmarkEnd w:id="548"/>
    <w:p w14:paraId="49633145">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因</w:t>
      </w:r>
      <w:bookmarkStart w:id="554" w:name="_Toc312677487"/>
      <w:bookmarkStart w:id="555" w:name="_Toc318581170"/>
      <w:bookmarkStart w:id="556" w:name="_Toc312678013"/>
      <w:r>
        <w:rPr>
          <w:rStyle w:val="8"/>
          <w:rFonts w:ascii="宋体" w:hAnsi="宋体"/>
          <w:color w:val="auto"/>
          <w:kern w:val="2"/>
          <w:sz w:val="24"/>
          <w:szCs w:val="24"/>
          <w:highlight w:val="none"/>
        </w:rPr>
        <w:t>承包人原因造成工期延误，逾期竣工违约金的计算方法为：</w:t>
      </w:r>
      <w:r>
        <w:rPr>
          <w:rStyle w:val="8"/>
          <w:rFonts w:hint="eastAsia" w:ascii="宋体" w:hAnsi="宋体"/>
          <w:color w:val="auto"/>
          <w:kern w:val="2"/>
          <w:sz w:val="24"/>
          <w:szCs w:val="24"/>
          <w:highlight w:val="none"/>
          <w:u w:val="single"/>
          <w:lang w:val="en-US" w:eastAsia="zh-CN"/>
        </w:rPr>
        <w:t>发包人根据工期延误的实际情况，可以进行每延误1天按照合同额0.1%</w:t>
      </w:r>
      <w:r>
        <w:rPr>
          <w:rStyle w:val="8"/>
          <w:rFonts w:hint="eastAsia"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lang w:val="en-US" w:eastAsia="zh-CN"/>
        </w:rPr>
        <w:t>进行处罚</w:t>
      </w:r>
      <w:r>
        <w:rPr>
          <w:rStyle w:val="8"/>
          <w:rFonts w:hint="eastAsia" w:ascii="宋体" w:hAnsi="宋体"/>
          <w:color w:val="auto"/>
          <w:kern w:val="2"/>
          <w:sz w:val="24"/>
          <w:szCs w:val="24"/>
          <w:highlight w:val="none"/>
          <w:u w:val="single"/>
        </w:rPr>
        <w:t>。</w:t>
      </w:r>
    </w:p>
    <w:bookmarkEnd w:id="549"/>
    <w:bookmarkEnd w:id="550"/>
    <w:bookmarkEnd w:id="551"/>
    <w:bookmarkEnd w:id="552"/>
    <w:bookmarkEnd w:id="553"/>
    <w:bookmarkEnd w:id="554"/>
    <w:bookmarkEnd w:id="555"/>
    <w:bookmarkEnd w:id="556"/>
    <w:p w14:paraId="70EB690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因承包人原因造成工期延误，逾</w:t>
      </w:r>
      <w:bookmarkStart w:id="557" w:name="_Toc318581171"/>
      <w:bookmarkStart w:id="558" w:name="_Toc312678014"/>
      <w:r>
        <w:rPr>
          <w:rStyle w:val="8"/>
          <w:rFonts w:ascii="宋体" w:hAnsi="宋体"/>
          <w:color w:val="auto"/>
          <w:kern w:val="2"/>
          <w:sz w:val="24"/>
          <w:szCs w:val="24"/>
          <w:highlight w:val="none"/>
        </w:rPr>
        <w:t>期竣工违约金的上限：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合同价款的</w:t>
      </w:r>
      <w:r>
        <w:rPr>
          <w:rStyle w:val="8"/>
          <w:rFonts w:hint="eastAsia" w:ascii="宋体" w:hAnsi="宋体"/>
          <w:color w:val="auto"/>
          <w:kern w:val="2"/>
          <w:sz w:val="24"/>
          <w:szCs w:val="24"/>
          <w:highlight w:val="none"/>
          <w:u w:val="single"/>
          <w:lang w:val="en-US" w:eastAsia="zh-CN"/>
        </w:rPr>
        <w:t>5</w:t>
      </w:r>
      <w:r>
        <w:rPr>
          <w:rStyle w:val="8"/>
          <w:rFonts w:hint="eastAsia" w:ascii="宋体" w:hAnsi="宋体"/>
          <w:color w:val="auto"/>
          <w:kern w:val="2"/>
          <w:sz w:val="24"/>
          <w:szCs w:val="24"/>
          <w:highlight w:val="none"/>
          <w:u w:val="single"/>
        </w:rPr>
        <w:t>% 。</w:t>
      </w:r>
      <w:r>
        <w:rPr>
          <w:rStyle w:val="8"/>
          <w:rFonts w:ascii="宋体" w:hAnsi="宋体"/>
          <w:color w:val="auto"/>
          <w:kern w:val="2"/>
          <w:sz w:val="24"/>
          <w:szCs w:val="24"/>
          <w:highlight w:val="none"/>
          <w:u w:val="single"/>
        </w:rPr>
        <w:t xml:space="preserve">     </w:t>
      </w:r>
    </w:p>
    <w:bookmarkEnd w:id="557"/>
    <w:bookmarkEnd w:id="558"/>
    <w:p w14:paraId="232DD0EF">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59" w:name="_Toc304295549"/>
      <w:bookmarkStart w:id="560" w:name="_Toc300934971"/>
      <w:bookmarkStart w:id="561" w:name="_Toc312678015"/>
      <w:bookmarkStart w:id="562" w:name="_Toc297216178"/>
      <w:bookmarkStart w:id="563" w:name="_Toc297123519"/>
      <w:bookmarkStart w:id="564" w:name="_Toc303539128"/>
      <w:r>
        <w:rPr>
          <w:rStyle w:val="8"/>
          <w:rFonts w:ascii="宋体" w:hAnsi="宋体"/>
          <w:color w:val="auto"/>
          <w:kern w:val="2"/>
          <w:sz w:val="24"/>
          <w:szCs w:val="24"/>
          <w:highlight w:val="none"/>
        </w:rPr>
        <w:t>.6 不</w:t>
      </w:r>
      <w:bookmarkEnd w:id="559"/>
      <w:bookmarkEnd w:id="560"/>
      <w:bookmarkEnd w:id="561"/>
      <w:bookmarkEnd w:id="562"/>
      <w:bookmarkEnd w:id="563"/>
      <w:bookmarkEnd w:id="564"/>
      <w:r>
        <w:rPr>
          <w:rStyle w:val="8"/>
          <w:rFonts w:ascii="宋体" w:hAnsi="宋体"/>
          <w:color w:val="auto"/>
          <w:kern w:val="2"/>
          <w:sz w:val="24"/>
          <w:szCs w:val="24"/>
          <w:highlight w:val="none"/>
        </w:rPr>
        <w:t>利物质条件</w:t>
      </w:r>
    </w:p>
    <w:p w14:paraId="21F599EF">
      <w:pPr>
        <w:pStyle w:val="13"/>
        <w:spacing w:line="360" w:lineRule="auto"/>
        <w:ind w:firstLine="480" w:firstLineChars="200"/>
        <w:jc w:val="left"/>
        <w:rPr>
          <w:rStyle w:val="8"/>
          <w:rFonts w:ascii="宋体" w:hAnsi="宋体"/>
          <w:color w:val="auto"/>
          <w:kern w:val="2"/>
          <w:sz w:val="24"/>
          <w:szCs w:val="24"/>
          <w:highlight w:val="none"/>
          <w:u w:val="single"/>
        </w:rPr>
      </w:pPr>
      <w:bookmarkStart w:id="565" w:name="_Toc312678016"/>
      <w:bookmarkStart w:id="566" w:name="_Toc297123520"/>
      <w:bookmarkStart w:id="567" w:name="_Toc318581172"/>
      <w:bookmarkStart w:id="568" w:name="_Toc304295550"/>
      <w:bookmarkStart w:id="569" w:name="_Toc297216179"/>
      <w:bookmarkStart w:id="570" w:name="_Toc300934972"/>
      <w:bookmarkStart w:id="571" w:name="_Toc303539129"/>
      <w:r>
        <w:rPr>
          <w:rStyle w:val="8"/>
          <w:rFonts w:ascii="宋体" w:hAnsi="宋体"/>
          <w:color w:val="auto"/>
          <w:kern w:val="2"/>
          <w:sz w:val="24"/>
          <w:szCs w:val="24"/>
          <w:highlight w:val="none"/>
        </w:rPr>
        <w:t>不利物质条件的其他情形和有关约定：</w:t>
      </w:r>
      <w:r>
        <w:rPr>
          <w:rStyle w:val="8"/>
          <w:rFonts w:ascii="宋体" w:hAnsi="宋体"/>
          <w:color w:val="auto"/>
          <w:kern w:val="2"/>
          <w:sz w:val="24"/>
          <w:szCs w:val="24"/>
          <w:highlight w:val="none"/>
          <w:u w:val="single"/>
        </w:rPr>
        <w:t xml:space="preserve">                    </w:t>
      </w:r>
    </w:p>
    <w:p w14:paraId="4143C40F">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565"/>
    <w:bookmarkEnd w:id="566"/>
    <w:bookmarkEnd w:id="567"/>
    <w:bookmarkEnd w:id="568"/>
    <w:bookmarkEnd w:id="569"/>
    <w:bookmarkEnd w:id="570"/>
    <w:bookmarkEnd w:id="571"/>
    <w:p w14:paraId="704232C6">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72" w:name="_Toc297216180"/>
      <w:bookmarkStart w:id="573" w:name="_Toc300934973"/>
      <w:bookmarkStart w:id="574" w:name="_Toc303539130"/>
      <w:bookmarkStart w:id="575" w:name="_Toc312678017"/>
      <w:bookmarkStart w:id="576" w:name="_Toc304295551"/>
      <w:bookmarkStart w:id="577" w:name="_Toc297123521"/>
      <w:r>
        <w:rPr>
          <w:rStyle w:val="8"/>
          <w:rFonts w:ascii="宋体" w:hAnsi="宋体"/>
          <w:color w:val="auto"/>
          <w:kern w:val="2"/>
          <w:sz w:val="24"/>
          <w:szCs w:val="24"/>
          <w:highlight w:val="none"/>
        </w:rPr>
        <w:t>.7异常恶劣的气候条件</w:t>
      </w:r>
    </w:p>
    <w:bookmarkEnd w:id="572"/>
    <w:bookmarkEnd w:id="573"/>
    <w:bookmarkEnd w:id="574"/>
    <w:bookmarkEnd w:id="575"/>
    <w:bookmarkEnd w:id="576"/>
    <w:bookmarkEnd w:id="577"/>
    <w:p w14:paraId="571DECF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发包人和承包人同意以下情形视为异常恶劣的气候条件：</w:t>
      </w:r>
    </w:p>
    <w:p w14:paraId="2F4FB58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14:paraId="477C8946">
      <w:pPr>
        <w:pStyle w:val="13"/>
        <w:spacing w:after="120" w:line="360" w:lineRule="auto"/>
        <w:ind w:firstLine="480" w:firstLineChars="200"/>
        <w:outlineLvl w:val="9"/>
        <w:rPr>
          <w:rStyle w:val="8"/>
          <w:rFonts w:ascii="宋体" w:hAnsi="宋体"/>
          <w:color w:val="auto"/>
          <w:kern w:val="2"/>
          <w:sz w:val="24"/>
          <w:szCs w:val="24"/>
          <w:highlight w:val="none"/>
        </w:rPr>
      </w:pPr>
      <w:bookmarkStart w:id="578" w:name="_Toc31209"/>
      <w:bookmarkStart w:id="579" w:name="_Toc31517"/>
      <w:bookmarkStart w:id="580" w:name="_Toc256000058"/>
      <w:bookmarkStart w:id="581" w:name="_Toc256001304"/>
      <w:bookmarkStart w:id="582" w:name="_Toc256000570"/>
      <w:bookmarkStart w:id="583" w:name="_Toc25575"/>
      <w:bookmarkStart w:id="584" w:name="_Toc69461161"/>
      <w:bookmarkStart w:id="585" w:name="_Toc256001074"/>
      <w:bookmarkStart w:id="586" w:name="_Toc256000837"/>
      <w:bookmarkStart w:id="587" w:name="_Toc256000341"/>
      <w:bookmarkStart w:id="588" w:name="_Toc3692"/>
      <w:bookmarkStart w:id="589" w:name="_Toc69461816"/>
      <w:r>
        <w:rPr>
          <w:rStyle w:val="8"/>
          <w:rFonts w:ascii="宋体" w:hAnsi="宋体"/>
          <w:color w:val="auto"/>
          <w:kern w:val="2"/>
          <w:sz w:val="24"/>
          <w:szCs w:val="24"/>
          <w:highlight w:val="none"/>
        </w:rPr>
        <w:t>7.9 提前竣工的奖励</w:t>
      </w:r>
      <w:bookmarkEnd w:id="578"/>
      <w:bookmarkEnd w:id="579"/>
      <w:bookmarkEnd w:id="580"/>
      <w:bookmarkEnd w:id="581"/>
      <w:bookmarkEnd w:id="582"/>
      <w:bookmarkEnd w:id="583"/>
      <w:bookmarkEnd w:id="584"/>
      <w:bookmarkEnd w:id="585"/>
      <w:bookmarkEnd w:id="586"/>
      <w:bookmarkEnd w:id="587"/>
      <w:bookmarkEnd w:id="588"/>
      <w:bookmarkEnd w:id="589"/>
    </w:p>
    <w:p w14:paraId="51EC352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7.9.2提前竣工的奖励：</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6F0422E">
      <w:pPr>
        <w:pStyle w:val="15"/>
        <w:spacing w:before="120" w:after="120" w:line="360" w:lineRule="auto"/>
        <w:outlineLvl w:val="9"/>
        <w:rPr>
          <w:rStyle w:val="8"/>
          <w:rFonts w:ascii="宋体" w:hAnsi="宋体" w:eastAsia="宋体"/>
          <w:b w:val="0"/>
          <w:color w:val="auto"/>
          <w:sz w:val="24"/>
          <w:szCs w:val="24"/>
          <w:highlight w:val="none"/>
        </w:rPr>
      </w:pPr>
      <w:bookmarkStart w:id="590" w:name="_Toc256001075"/>
      <w:bookmarkStart w:id="591" w:name="_Toc256000571"/>
      <w:bookmarkStart w:id="592" w:name="_Toc69461162"/>
      <w:bookmarkStart w:id="593" w:name="_Toc29641"/>
      <w:bookmarkStart w:id="594" w:name="_Toc256000838"/>
      <w:bookmarkStart w:id="595" w:name="_Toc24204"/>
      <w:bookmarkStart w:id="596" w:name="_Toc256000342"/>
      <w:bookmarkStart w:id="597" w:name="_Toc351203640"/>
      <w:bookmarkStart w:id="598" w:name="_Toc256001305"/>
      <w:bookmarkStart w:id="599" w:name="_Toc69461817"/>
      <w:r>
        <w:rPr>
          <w:rStyle w:val="8"/>
          <w:rFonts w:ascii="宋体" w:hAnsi="宋体" w:eastAsia="宋体"/>
          <w:b w:val="0"/>
          <w:color w:val="auto"/>
          <w:sz w:val="24"/>
          <w:szCs w:val="24"/>
          <w:highlight w:val="none"/>
        </w:rPr>
        <w:t>8. 材料与设备</w:t>
      </w:r>
      <w:bookmarkEnd w:id="590"/>
      <w:bookmarkEnd w:id="591"/>
      <w:bookmarkEnd w:id="592"/>
      <w:bookmarkEnd w:id="593"/>
      <w:bookmarkEnd w:id="594"/>
      <w:bookmarkEnd w:id="595"/>
      <w:bookmarkEnd w:id="596"/>
      <w:bookmarkEnd w:id="597"/>
      <w:bookmarkEnd w:id="598"/>
      <w:bookmarkEnd w:id="599"/>
    </w:p>
    <w:bookmarkEnd w:id="471"/>
    <w:bookmarkEnd w:id="472"/>
    <w:bookmarkEnd w:id="473"/>
    <w:bookmarkEnd w:id="474"/>
    <w:bookmarkEnd w:id="475"/>
    <w:bookmarkEnd w:id="476"/>
    <w:bookmarkEnd w:id="477"/>
    <w:bookmarkEnd w:id="478"/>
    <w:bookmarkEnd w:id="479"/>
    <w:bookmarkEnd w:id="480"/>
    <w:p w14:paraId="09F66EC6">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8</w:t>
      </w:r>
      <w:bookmarkStart w:id="600" w:name="_Toc280868654"/>
      <w:bookmarkStart w:id="601" w:name="_Toc296503167"/>
      <w:bookmarkStart w:id="602" w:name="_Toc300934979"/>
      <w:bookmarkStart w:id="603" w:name="_Toc296891207"/>
      <w:bookmarkStart w:id="604" w:name="_Toc296890995"/>
      <w:bookmarkStart w:id="605" w:name="_Toc297048353"/>
      <w:bookmarkStart w:id="606" w:name="_Toc296944506"/>
      <w:bookmarkStart w:id="607" w:name="_Toc297123527"/>
      <w:bookmarkStart w:id="608" w:name="_Toc304295556"/>
      <w:bookmarkStart w:id="609" w:name="_Toc292559372"/>
      <w:bookmarkStart w:id="610" w:name="_Toc297120467"/>
      <w:bookmarkStart w:id="611" w:name="_Toc312678019"/>
      <w:bookmarkStart w:id="612" w:name="_Toc303539136"/>
      <w:bookmarkStart w:id="613" w:name="_Toc296347166"/>
      <w:bookmarkStart w:id="614" w:name="_Toc292559877"/>
      <w:bookmarkStart w:id="615" w:name="_Toc296346668"/>
      <w:bookmarkStart w:id="616" w:name="_Toc297216186"/>
      <w:bookmarkStart w:id="617" w:name="_Toc312677493"/>
      <w:bookmarkStart w:id="618" w:name="_Toc280868656"/>
      <w:bookmarkStart w:id="619" w:name="_Toc267251424"/>
      <w:bookmarkStart w:id="620" w:name="_Toc280868655"/>
      <w:r>
        <w:rPr>
          <w:rStyle w:val="8"/>
          <w:rFonts w:ascii="宋体" w:hAnsi="宋体"/>
          <w:color w:val="auto"/>
          <w:kern w:val="2"/>
          <w:sz w:val="24"/>
          <w:szCs w:val="24"/>
          <w:highlight w:val="none"/>
        </w:rPr>
        <w:t>.4材料与工程设备的保管与使用</w:t>
      </w:r>
    </w:p>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14:paraId="7F9251EA">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8</w:t>
      </w:r>
      <w:bookmarkStart w:id="621" w:name="_Toc292559373"/>
      <w:bookmarkStart w:id="622" w:name="_Toc292559878"/>
      <w:bookmarkStart w:id="623" w:name="_Toc297048354"/>
      <w:bookmarkStart w:id="624" w:name="_Toc297123528"/>
      <w:bookmarkStart w:id="625" w:name="_Toc312677494"/>
      <w:bookmarkStart w:id="626" w:name="_Toc297120468"/>
      <w:bookmarkStart w:id="627" w:name="_Toc296944507"/>
      <w:bookmarkStart w:id="628" w:name="_Toc296347167"/>
      <w:bookmarkStart w:id="629" w:name="_Toc312678020"/>
      <w:bookmarkStart w:id="630" w:name="_Toc300934980"/>
      <w:bookmarkStart w:id="631" w:name="_Toc296891208"/>
      <w:bookmarkStart w:id="632" w:name="_Toc303539137"/>
      <w:bookmarkStart w:id="633" w:name="_Toc296346669"/>
      <w:bookmarkStart w:id="634" w:name="_Toc296890996"/>
      <w:bookmarkStart w:id="635" w:name="_Toc318581173"/>
      <w:bookmarkStart w:id="636" w:name="_Toc304295557"/>
      <w:bookmarkStart w:id="637" w:name="_Toc297216187"/>
      <w:bookmarkStart w:id="638" w:name="_Toc296503168"/>
      <w:r>
        <w:rPr>
          <w:rStyle w:val="8"/>
          <w:rFonts w:ascii="宋体" w:hAnsi="宋体"/>
          <w:color w:val="auto"/>
          <w:kern w:val="2"/>
          <w:sz w:val="24"/>
          <w:szCs w:val="24"/>
          <w:highlight w:val="none"/>
        </w:rPr>
        <w:t>.4.1发包人供应的材料设备的保管费用的承担：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bookmarkEnd w:id="621"/>
    <w:bookmarkEnd w:id="622"/>
    <w:p w14:paraId="1C6FEE4C">
      <w:pPr>
        <w:pStyle w:val="13"/>
        <w:spacing w:after="120" w:line="360" w:lineRule="auto"/>
        <w:ind w:firstLine="480" w:firstLineChars="200"/>
        <w:outlineLvl w:val="9"/>
        <w:rPr>
          <w:rStyle w:val="8"/>
          <w:rFonts w:ascii="宋体" w:hAnsi="宋体"/>
          <w:color w:val="auto"/>
          <w:kern w:val="2"/>
          <w:sz w:val="24"/>
          <w:szCs w:val="24"/>
          <w:highlight w:val="none"/>
        </w:rPr>
      </w:pPr>
      <w:bookmarkStart w:id="639" w:name="_Toc256000572"/>
      <w:bookmarkStart w:id="640" w:name="_Toc256000059"/>
      <w:bookmarkStart w:id="641" w:name="_Toc3891"/>
      <w:bookmarkStart w:id="642" w:name="_Toc256001306"/>
      <w:bookmarkStart w:id="643" w:name="_Toc256001076"/>
      <w:bookmarkStart w:id="644" w:name="_Toc69461818"/>
      <w:bookmarkStart w:id="645" w:name="_Toc6373"/>
      <w:bookmarkStart w:id="646" w:name="_Toc19160"/>
      <w:bookmarkStart w:id="647" w:name="_Toc20296"/>
      <w:bookmarkStart w:id="648" w:name="_Toc256000839"/>
      <w:bookmarkStart w:id="649" w:name="_Toc69461163"/>
      <w:bookmarkStart w:id="650" w:name="_Toc256000092"/>
      <w:bookmarkStart w:id="651" w:name="_Toc256000343"/>
      <w:r>
        <w:rPr>
          <w:rStyle w:val="8"/>
          <w:rFonts w:ascii="宋体" w:hAnsi="宋体"/>
          <w:color w:val="auto"/>
          <w:kern w:val="2"/>
          <w:sz w:val="24"/>
          <w:szCs w:val="24"/>
          <w:highlight w:val="none"/>
        </w:rPr>
        <w:t>8.6 样品</w:t>
      </w:r>
      <w:bookmarkEnd w:id="639"/>
      <w:bookmarkEnd w:id="640"/>
      <w:bookmarkEnd w:id="641"/>
      <w:bookmarkEnd w:id="642"/>
      <w:bookmarkEnd w:id="643"/>
      <w:bookmarkEnd w:id="644"/>
      <w:bookmarkEnd w:id="645"/>
      <w:bookmarkEnd w:id="646"/>
      <w:bookmarkEnd w:id="647"/>
      <w:bookmarkEnd w:id="648"/>
      <w:bookmarkEnd w:id="649"/>
      <w:bookmarkEnd w:id="650"/>
      <w:bookmarkEnd w:id="651"/>
    </w:p>
    <w:p w14:paraId="426DCE11">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8.6.1</w:t>
      </w:r>
      <w:r>
        <w:rPr>
          <w:rStyle w:val="8"/>
          <w:rFonts w:ascii="宋体" w:hAnsi="宋体"/>
          <w:color w:val="auto"/>
          <w:sz w:val="24"/>
          <w:szCs w:val="24"/>
          <w:highlight w:val="none"/>
        </w:rPr>
        <w:tab/>
      </w:r>
      <w:r>
        <w:rPr>
          <w:rStyle w:val="8"/>
          <w:rFonts w:ascii="宋体" w:hAnsi="宋体"/>
          <w:color w:val="auto"/>
          <w:sz w:val="24"/>
          <w:szCs w:val="24"/>
          <w:highlight w:val="none"/>
        </w:rPr>
        <w:t>样品的报送</w:t>
      </w:r>
      <w:r>
        <w:rPr>
          <w:rStyle w:val="8"/>
          <w:rFonts w:hint="eastAsia" w:ascii="宋体" w:hAnsi="宋体"/>
          <w:color w:val="auto"/>
          <w:sz w:val="24"/>
          <w:szCs w:val="24"/>
          <w:highlight w:val="none"/>
        </w:rPr>
        <w:t>与封存</w:t>
      </w:r>
    </w:p>
    <w:p w14:paraId="1A550FB6">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需要承包人报送样品的材料或工程设备，样品的种类、名称、规格、数量要求：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12AA509B">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按发包人要求</w:t>
      </w:r>
      <w:r>
        <w:rPr>
          <w:rStyle w:val="8"/>
          <w:rFonts w:ascii="宋体" w:hAnsi="宋体"/>
          <w:color w:val="auto"/>
          <w:kern w:val="2"/>
          <w:sz w:val="24"/>
          <w:szCs w:val="24"/>
          <w:highlight w:val="none"/>
          <w:u w:val="single"/>
        </w:rPr>
        <w:t>。</w:t>
      </w:r>
    </w:p>
    <w:p w14:paraId="6AAECCEF">
      <w:pPr>
        <w:pStyle w:val="13"/>
        <w:spacing w:after="120" w:line="360" w:lineRule="auto"/>
        <w:ind w:firstLine="480" w:firstLineChars="200"/>
        <w:outlineLvl w:val="9"/>
        <w:rPr>
          <w:rStyle w:val="8"/>
          <w:rFonts w:ascii="宋体" w:hAnsi="宋体"/>
          <w:color w:val="auto"/>
          <w:kern w:val="2"/>
          <w:sz w:val="24"/>
          <w:szCs w:val="24"/>
          <w:highlight w:val="none"/>
        </w:rPr>
      </w:pPr>
      <w:bookmarkStart w:id="652" w:name="_Toc69461164"/>
      <w:bookmarkStart w:id="653" w:name="_Toc256000060"/>
      <w:bookmarkStart w:id="654" w:name="_Toc24887"/>
      <w:bookmarkStart w:id="655" w:name="_Toc256001307"/>
      <w:bookmarkStart w:id="656" w:name="_Toc256001077"/>
      <w:bookmarkStart w:id="657" w:name="_Toc21091"/>
      <w:bookmarkStart w:id="658" w:name="_Toc256000573"/>
      <w:bookmarkStart w:id="659" w:name="_Toc256000840"/>
      <w:bookmarkStart w:id="660" w:name="_Toc256000344"/>
      <w:bookmarkStart w:id="661" w:name="_Toc69461819"/>
      <w:bookmarkStart w:id="662" w:name="_Toc22173"/>
      <w:bookmarkStart w:id="663" w:name="_Toc24239"/>
      <w:bookmarkStart w:id="664" w:name="_Toc256000093"/>
      <w:r>
        <w:rPr>
          <w:rStyle w:val="8"/>
          <w:rFonts w:ascii="宋体" w:hAnsi="宋体"/>
          <w:color w:val="auto"/>
          <w:kern w:val="2"/>
          <w:sz w:val="24"/>
          <w:szCs w:val="24"/>
          <w:highlight w:val="none"/>
        </w:rPr>
        <w:t>8.8 施工设备和临时设施</w:t>
      </w:r>
      <w:bookmarkEnd w:id="652"/>
      <w:bookmarkEnd w:id="653"/>
      <w:bookmarkEnd w:id="654"/>
      <w:bookmarkEnd w:id="655"/>
      <w:bookmarkEnd w:id="656"/>
      <w:bookmarkEnd w:id="657"/>
      <w:bookmarkEnd w:id="658"/>
      <w:bookmarkEnd w:id="659"/>
      <w:bookmarkEnd w:id="660"/>
      <w:bookmarkEnd w:id="661"/>
      <w:bookmarkEnd w:id="662"/>
      <w:bookmarkEnd w:id="663"/>
      <w:bookmarkEnd w:id="664"/>
    </w:p>
    <w:p w14:paraId="6A116B33">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8.8.1 承包人提供的施工设备和临时设施</w:t>
      </w:r>
    </w:p>
    <w:p w14:paraId="335D760B">
      <w:pPr>
        <w:pStyle w:val="14"/>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关于修建临时设施费用承担的约定：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由承包人自行承担，同时需服从发包人管理。</w:t>
      </w:r>
    </w:p>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14:paraId="27486B1E">
      <w:pPr>
        <w:pStyle w:val="15"/>
        <w:spacing w:before="120" w:after="120" w:line="360" w:lineRule="auto"/>
        <w:outlineLvl w:val="9"/>
        <w:rPr>
          <w:rStyle w:val="8"/>
          <w:rFonts w:ascii="宋体" w:hAnsi="宋体" w:eastAsia="宋体"/>
          <w:b w:val="0"/>
          <w:color w:val="auto"/>
          <w:sz w:val="24"/>
          <w:szCs w:val="24"/>
          <w:highlight w:val="none"/>
        </w:rPr>
      </w:pPr>
      <w:bookmarkStart w:id="665" w:name="_Toc351203641"/>
      <w:bookmarkStart w:id="666" w:name="_Toc69461820"/>
      <w:bookmarkStart w:id="667" w:name="_Toc256001078"/>
      <w:bookmarkStart w:id="668" w:name="_Toc256000345"/>
      <w:bookmarkStart w:id="669" w:name="_Toc15577"/>
      <w:bookmarkStart w:id="670" w:name="_Toc69461165"/>
      <w:bookmarkStart w:id="671" w:name="_Toc256000574"/>
      <w:bookmarkStart w:id="672" w:name="_Toc256000841"/>
      <w:bookmarkStart w:id="673" w:name="_Toc26062"/>
      <w:bookmarkStart w:id="674" w:name="_Toc256001308"/>
      <w:r>
        <w:rPr>
          <w:rStyle w:val="8"/>
          <w:rFonts w:ascii="宋体" w:hAnsi="宋体" w:eastAsia="宋体"/>
          <w:b w:val="0"/>
          <w:color w:val="auto"/>
          <w:sz w:val="24"/>
          <w:szCs w:val="24"/>
          <w:highlight w:val="none"/>
        </w:rPr>
        <w:t>9</w:t>
      </w:r>
      <w:bookmarkEnd w:id="618"/>
      <w:bookmarkEnd w:id="619"/>
      <w:bookmarkEnd w:id="620"/>
      <w:bookmarkStart w:id="675" w:name="_Toc303539139"/>
      <w:bookmarkStart w:id="676" w:name="_Toc304295559"/>
      <w:bookmarkStart w:id="677" w:name="_Toc312677495"/>
      <w:bookmarkStart w:id="678" w:name="_Toc297216192"/>
      <w:bookmarkStart w:id="679" w:name="_Toc297123533"/>
      <w:bookmarkStart w:id="680" w:name="_Toc312678021"/>
      <w:bookmarkStart w:id="681" w:name="_Toc300934982"/>
      <w:bookmarkStart w:id="682" w:name="_Toc296891001"/>
      <w:bookmarkStart w:id="683" w:name="_Toc296347172"/>
      <w:bookmarkStart w:id="684" w:name="_Toc267251428"/>
      <w:bookmarkStart w:id="685" w:name="_Toc296944512"/>
      <w:bookmarkStart w:id="686" w:name="_Toc267251427"/>
      <w:bookmarkStart w:id="687" w:name="_Toc296346674"/>
      <w:bookmarkStart w:id="688" w:name="_Toc292559883"/>
      <w:bookmarkStart w:id="689" w:name="_Toc297048359"/>
      <w:bookmarkStart w:id="690" w:name="_Toc297120473"/>
      <w:bookmarkStart w:id="691" w:name="_Toc296503173"/>
      <w:bookmarkStart w:id="692" w:name="_Toc296891213"/>
      <w:bookmarkStart w:id="693" w:name="_Toc292559378"/>
      <w:r>
        <w:rPr>
          <w:rStyle w:val="8"/>
          <w:rFonts w:ascii="宋体" w:hAnsi="宋体" w:eastAsia="宋体"/>
          <w:b w:val="0"/>
          <w:color w:val="auto"/>
          <w:sz w:val="24"/>
          <w:szCs w:val="24"/>
          <w:highlight w:val="none"/>
        </w:rPr>
        <w:t>. 试验与检验</w:t>
      </w:r>
      <w:bookmarkEnd w:id="665"/>
      <w:bookmarkEnd w:id="666"/>
      <w:bookmarkEnd w:id="667"/>
      <w:bookmarkEnd w:id="668"/>
      <w:bookmarkEnd w:id="669"/>
      <w:bookmarkEnd w:id="670"/>
      <w:bookmarkEnd w:id="671"/>
      <w:bookmarkEnd w:id="672"/>
      <w:bookmarkEnd w:id="673"/>
      <w:bookmarkEnd w:id="674"/>
    </w:p>
    <w:bookmarkEnd w:id="675"/>
    <w:bookmarkEnd w:id="676"/>
    <w:bookmarkEnd w:id="677"/>
    <w:bookmarkEnd w:id="678"/>
    <w:bookmarkEnd w:id="679"/>
    <w:bookmarkEnd w:id="680"/>
    <w:bookmarkEnd w:id="681"/>
    <w:p w14:paraId="1C87F709">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9</w:t>
      </w:r>
      <w:bookmarkStart w:id="694" w:name="_Toc304295560"/>
      <w:bookmarkStart w:id="695" w:name="_Toc312677496"/>
      <w:bookmarkStart w:id="696" w:name="_Toc297123534"/>
      <w:bookmarkStart w:id="697" w:name="_Toc312678022"/>
      <w:bookmarkStart w:id="698" w:name="_Toc303539140"/>
      <w:bookmarkStart w:id="699" w:name="_Toc300934983"/>
      <w:bookmarkStart w:id="700" w:name="_Toc297216193"/>
      <w:r>
        <w:rPr>
          <w:rStyle w:val="8"/>
          <w:rFonts w:ascii="宋体" w:hAnsi="宋体"/>
          <w:color w:val="auto"/>
          <w:kern w:val="2"/>
          <w:sz w:val="24"/>
          <w:szCs w:val="24"/>
          <w:highlight w:val="none"/>
        </w:rPr>
        <w:t>.1试验设备与试验人员</w:t>
      </w:r>
    </w:p>
    <w:bookmarkEnd w:id="694"/>
    <w:bookmarkEnd w:id="695"/>
    <w:bookmarkEnd w:id="696"/>
    <w:bookmarkEnd w:id="697"/>
    <w:bookmarkEnd w:id="698"/>
    <w:bookmarkEnd w:id="699"/>
    <w:bookmarkEnd w:id="700"/>
    <w:p w14:paraId="43A918D9">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9</w:t>
      </w:r>
      <w:bookmarkStart w:id="701" w:name="_Toc297216194"/>
      <w:bookmarkStart w:id="702" w:name="_Toc303539141"/>
      <w:bookmarkStart w:id="703" w:name="_Toc312678023"/>
      <w:bookmarkStart w:id="704" w:name="_Toc297123535"/>
      <w:bookmarkStart w:id="705" w:name="_Toc300934984"/>
      <w:bookmarkStart w:id="706" w:name="_Toc312677497"/>
      <w:bookmarkStart w:id="707" w:name="_Toc304295561"/>
      <w:bookmarkStart w:id="708" w:name="_Toc318581174"/>
      <w:r>
        <w:rPr>
          <w:rStyle w:val="8"/>
          <w:rFonts w:ascii="宋体" w:hAnsi="宋体"/>
          <w:color w:val="auto"/>
          <w:kern w:val="2"/>
          <w:sz w:val="24"/>
          <w:szCs w:val="24"/>
          <w:highlight w:val="none"/>
        </w:rPr>
        <w:t>.1.2 试验设备</w:t>
      </w:r>
    </w:p>
    <w:p w14:paraId="4AD151B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施工现场需要配置的试验场所：</w:t>
      </w:r>
      <w:bookmarkEnd w:id="701"/>
      <w:bookmarkEnd w:id="702"/>
      <w:bookmarkEnd w:id="703"/>
      <w:bookmarkEnd w:id="704"/>
      <w:bookmarkEnd w:id="705"/>
      <w:bookmarkEnd w:id="706"/>
      <w:bookmarkEnd w:id="707"/>
      <w:bookmarkStart w:id="709" w:name="_Toc303539142"/>
      <w:bookmarkStart w:id="710" w:name="_Toc297123536"/>
      <w:bookmarkStart w:id="711" w:name="_Toc304295562"/>
      <w:bookmarkStart w:id="712" w:name="_Toc312678024"/>
      <w:bookmarkStart w:id="713" w:name="_Toc312677498"/>
      <w:bookmarkStart w:id="714" w:name="_Toc300934985"/>
      <w:bookmarkStart w:id="715" w:name="_Toc297216195"/>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0B58EBF3">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施工现场需要配备的试验设备：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794EBCC6">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施工现场需要具备的其他试验条件：</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039C6415">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9.3 材料、工程设备和工程的试验和检验的有关约定：</w:t>
      </w:r>
      <w:r>
        <w:rPr>
          <w:rStyle w:val="8"/>
          <w:rFonts w:hint="eastAsia" w:ascii="宋体" w:hAnsi="宋体"/>
          <w:color w:val="auto"/>
          <w:kern w:val="2"/>
          <w:sz w:val="24"/>
          <w:szCs w:val="24"/>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14:paraId="087654C2">
      <w:pPr>
        <w:pStyle w:val="13"/>
        <w:spacing w:after="120" w:line="360" w:lineRule="auto"/>
        <w:ind w:firstLine="480" w:firstLineChars="200"/>
        <w:outlineLvl w:val="9"/>
        <w:rPr>
          <w:rStyle w:val="8"/>
          <w:rFonts w:ascii="宋体" w:hAnsi="宋体"/>
          <w:color w:val="auto"/>
          <w:kern w:val="2"/>
          <w:sz w:val="24"/>
          <w:szCs w:val="24"/>
          <w:highlight w:val="none"/>
        </w:rPr>
      </w:pPr>
      <w:bookmarkStart w:id="716" w:name="_Toc69461166"/>
      <w:bookmarkStart w:id="717" w:name="_Toc256000061"/>
      <w:bookmarkStart w:id="718" w:name="_Toc256001079"/>
      <w:bookmarkStart w:id="719" w:name="_Toc256001309"/>
      <w:bookmarkStart w:id="720" w:name="_Toc256000094"/>
      <w:bookmarkStart w:id="721" w:name="_Toc17776"/>
      <w:bookmarkStart w:id="722" w:name="_Toc256000575"/>
      <w:bookmarkStart w:id="723" w:name="_Toc10666"/>
      <w:bookmarkStart w:id="724" w:name="_Toc256000842"/>
      <w:bookmarkStart w:id="725" w:name="_Toc256000346"/>
      <w:bookmarkStart w:id="726" w:name="_Toc69461821"/>
      <w:bookmarkStart w:id="727" w:name="_Toc31959"/>
      <w:bookmarkStart w:id="728" w:name="_Toc29006"/>
      <w:r>
        <w:rPr>
          <w:rStyle w:val="8"/>
          <w:rFonts w:ascii="宋体" w:hAnsi="宋体"/>
          <w:color w:val="auto"/>
          <w:kern w:val="2"/>
          <w:sz w:val="24"/>
          <w:szCs w:val="24"/>
          <w:highlight w:val="none"/>
        </w:rPr>
        <w:t>9.4 现场工艺试验</w:t>
      </w:r>
      <w:bookmarkEnd w:id="716"/>
      <w:bookmarkEnd w:id="717"/>
      <w:bookmarkEnd w:id="718"/>
      <w:bookmarkEnd w:id="719"/>
      <w:bookmarkEnd w:id="720"/>
      <w:bookmarkEnd w:id="721"/>
      <w:bookmarkEnd w:id="722"/>
      <w:bookmarkEnd w:id="723"/>
      <w:bookmarkEnd w:id="724"/>
      <w:bookmarkEnd w:id="725"/>
      <w:bookmarkEnd w:id="726"/>
      <w:bookmarkEnd w:id="727"/>
      <w:bookmarkEnd w:id="728"/>
      <w:r>
        <w:rPr>
          <w:rStyle w:val="8"/>
          <w:rFonts w:hint="eastAsia" w:ascii="宋体" w:hAnsi="宋体"/>
          <w:color w:val="auto"/>
          <w:kern w:val="2"/>
          <w:sz w:val="24"/>
          <w:szCs w:val="24"/>
          <w:highlight w:val="none"/>
        </w:rPr>
        <w:t xml:space="preserve"> </w:t>
      </w:r>
    </w:p>
    <w:p w14:paraId="16644B2F">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现场工艺试验的有关约定：</w:t>
      </w:r>
      <w:r>
        <w:rPr>
          <w:rStyle w:val="8"/>
          <w:rFonts w:hint="eastAsia" w:ascii="宋体" w:hAnsi="宋体"/>
          <w:color w:val="auto"/>
          <w:kern w:val="2"/>
          <w:sz w:val="24"/>
          <w:szCs w:val="24"/>
          <w:highlight w:val="none"/>
          <w:u w:val="single"/>
        </w:rPr>
        <w:t>执行通用条款</w:t>
      </w:r>
    </w:p>
    <w:bookmarkEnd w:id="708"/>
    <w:bookmarkEnd w:id="709"/>
    <w:bookmarkEnd w:id="710"/>
    <w:bookmarkEnd w:id="711"/>
    <w:bookmarkEnd w:id="712"/>
    <w:bookmarkEnd w:id="713"/>
    <w:bookmarkEnd w:id="714"/>
    <w:bookmarkEnd w:id="715"/>
    <w:p w14:paraId="28F7EA79">
      <w:pPr>
        <w:pStyle w:val="15"/>
        <w:spacing w:before="120" w:after="120" w:line="360" w:lineRule="auto"/>
        <w:outlineLvl w:val="9"/>
        <w:rPr>
          <w:rStyle w:val="8"/>
          <w:rFonts w:ascii="宋体" w:hAnsi="宋体" w:eastAsia="宋体"/>
          <w:b w:val="0"/>
          <w:color w:val="auto"/>
          <w:sz w:val="24"/>
          <w:szCs w:val="24"/>
          <w:highlight w:val="none"/>
        </w:rPr>
      </w:pPr>
      <w:bookmarkStart w:id="729" w:name="_Toc351203642"/>
      <w:bookmarkStart w:id="730" w:name="_Toc69461822"/>
      <w:bookmarkStart w:id="731" w:name="_Toc256000843"/>
      <w:bookmarkStart w:id="732" w:name="_Toc256001080"/>
      <w:bookmarkStart w:id="733" w:name="_Toc256001310"/>
      <w:bookmarkStart w:id="734" w:name="_Toc256000347"/>
      <w:bookmarkStart w:id="735" w:name="_Toc5521"/>
      <w:bookmarkStart w:id="736" w:name="_Toc256000576"/>
      <w:bookmarkStart w:id="737" w:name="_Toc69461167"/>
      <w:bookmarkStart w:id="738" w:name="_Toc2041"/>
      <w:r>
        <w:rPr>
          <w:rStyle w:val="8"/>
          <w:rFonts w:ascii="宋体" w:hAnsi="宋体" w:eastAsia="宋体"/>
          <w:b w:val="0"/>
          <w:color w:val="auto"/>
          <w:sz w:val="24"/>
          <w:szCs w:val="24"/>
          <w:highlight w:val="none"/>
        </w:rPr>
        <w:t>1</w:t>
      </w:r>
      <w:bookmarkEnd w:id="682"/>
      <w:bookmarkEnd w:id="683"/>
      <w:bookmarkEnd w:id="684"/>
      <w:bookmarkEnd w:id="685"/>
      <w:bookmarkEnd w:id="686"/>
      <w:bookmarkEnd w:id="687"/>
      <w:bookmarkEnd w:id="688"/>
      <w:bookmarkEnd w:id="689"/>
      <w:bookmarkEnd w:id="690"/>
      <w:bookmarkEnd w:id="691"/>
      <w:bookmarkEnd w:id="692"/>
      <w:bookmarkEnd w:id="693"/>
      <w:bookmarkStart w:id="739" w:name="_Toc297048379"/>
      <w:bookmarkStart w:id="740" w:name="_Toc296346694"/>
      <w:bookmarkStart w:id="741" w:name="_Toc296944532"/>
      <w:bookmarkStart w:id="742" w:name="_Toc297123540"/>
      <w:bookmarkStart w:id="743" w:name="_Toc292559903"/>
      <w:bookmarkStart w:id="744" w:name="_Toc304295566"/>
      <w:bookmarkStart w:id="745" w:name="_Toc296891021"/>
      <w:bookmarkStart w:id="746" w:name="_Toc296347192"/>
      <w:bookmarkStart w:id="747" w:name="_Toc296891233"/>
      <w:bookmarkStart w:id="748" w:name="_Toc300934989"/>
      <w:bookmarkStart w:id="749" w:name="_Toc296503193"/>
      <w:bookmarkStart w:id="750" w:name="_Toc292559398"/>
      <w:bookmarkStart w:id="751" w:name="_Toc303539146"/>
      <w:bookmarkStart w:id="752" w:name="_Toc297120493"/>
      <w:bookmarkStart w:id="753" w:name="_Toc297216199"/>
      <w:bookmarkStart w:id="754" w:name="_Toc312677499"/>
      <w:bookmarkStart w:id="755" w:name="_Toc312678025"/>
      <w:bookmarkStart w:id="756" w:name="_Toc267251441"/>
      <w:bookmarkStart w:id="757" w:name="_Toc267251433"/>
      <w:bookmarkStart w:id="758" w:name="_Toc267251435"/>
      <w:bookmarkStart w:id="759" w:name="_Toc267251439"/>
      <w:bookmarkStart w:id="760" w:name="_Toc267251440"/>
      <w:bookmarkStart w:id="761" w:name="_Toc267251437"/>
      <w:bookmarkStart w:id="762" w:name="_Toc267251442"/>
      <w:r>
        <w:rPr>
          <w:rStyle w:val="8"/>
          <w:rFonts w:ascii="宋体" w:hAnsi="宋体" w:eastAsia="宋体"/>
          <w:b w:val="0"/>
          <w:color w:val="auto"/>
          <w:sz w:val="24"/>
          <w:szCs w:val="24"/>
          <w:highlight w:val="none"/>
        </w:rPr>
        <w:t>0. 变更</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bookmarkEnd w:id="754"/>
    <w:bookmarkEnd w:id="755"/>
    <w:p w14:paraId="0F9098A2">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Start w:id="763" w:name="_Toc296347193"/>
      <w:bookmarkStart w:id="764" w:name="_Toc297120494"/>
      <w:bookmarkStart w:id="765" w:name="_Toc300934990"/>
      <w:bookmarkStart w:id="766" w:name="_Toc303539147"/>
      <w:bookmarkStart w:id="767" w:name="_Toc297216200"/>
      <w:bookmarkStart w:id="768" w:name="_Toc292559399"/>
      <w:bookmarkStart w:id="769" w:name="_Toc297048380"/>
      <w:bookmarkStart w:id="770" w:name="_Toc304295567"/>
      <w:bookmarkStart w:id="771" w:name="_Toc296891022"/>
      <w:bookmarkStart w:id="772" w:name="_Toc296891234"/>
      <w:bookmarkStart w:id="773" w:name="_Toc296503194"/>
      <w:bookmarkStart w:id="774" w:name="_Toc312678026"/>
      <w:bookmarkStart w:id="775" w:name="_Toc297123541"/>
      <w:bookmarkStart w:id="776" w:name="_Toc296346695"/>
      <w:bookmarkStart w:id="777" w:name="_Toc292559904"/>
      <w:bookmarkStart w:id="778" w:name="_Toc296944533"/>
      <w:bookmarkStart w:id="779" w:name="_Toc312677500"/>
      <w:r>
        <w:rPr>
          <w:rStyle w:val="8"/>
          <w:rFonts w:ascii="宋体" w:hAnsi="宋体"/>
          <w:color w:val="auto"/>
          <w:kern w:val="2"/>
          <w:sz w:val="24"/>
          <w:szCs w:val="24"/>
          <w:highlight w:val="none"/>
        </w:rPr>
        <w:t>0.1变更的范围</w:t>
      </w:r>
    </w:p>
    <w:p w14:paraId="29BDF7C3">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关于变更的范围的约定：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p w14:paraId="084F8539">
      <w:pPr>
        <w:pStyle w:val="13"/>
        <w:spacing w:after="120" w:line="360" w:lineRule="auto"/>
        <w:ind w:firstLine="480" w:firstLineChars="200"/>
        <w:outlineLvl w:val="9"/>
        <w:rPr>
          <w:rStyle w:val="8"/>
          <w:rFonts w:ascii="宋体" w:hAnsi="宋体"/>
          <w:color w:val="auto"/>
          <w:kern w:val="2"/>
          <w:sz w:val="24"/>
          <w:szCs w:val="24"/>
          <w:highlight w:val="none"/>
        </w:rPr>
      </w:pPr>
      <w:bookmarkStart w:id="780" w:name="_Toc256000348"/>
      <w:bookmarkStart w:id="781" w:name="_Toc256000577"/>
      <w:bookmarkStart w:id="782" w:name="_Toc256000062"/>
      <w:bookmarkStart w:id="783" w:name="_Toc256001311"/>
      <w:bookmarkStart w:id="784" w:name="_Toc31952"/>
      <w:bookmarkStart w:id="785" w:name="_Toc6690"/>
      <w:bookmarkStart w:id="786" w:name="_Toc69461823"/>
      <w:bookmarkStart w:id="787" w:name="_Toc3763"/>
      <w:bookmarkStart w:id="788" w:name="_Toc10204"/>
      <w:bookmarkStart w:id="789" w:name="_Toc69461168"/>
      <w:bookmarkStart w:id="790" w:name="_Toc256000844"/>
      <w:bookmarkStart w:id="791" w:name="_Toc256000095"/>
      <w:bookmarkStart w:id="792" w:name="_Toc256001081"/>
      <w:r>
        <w:rPr>
          <w:rStyle w:val="8"/>
          <w:rFonts w:ascii="宋体" w:hAnsi="宋体"/>
          <w:color w:val="auto"/>
          <w:kern w:val="2"/>
          <w:sz w:val="24"/>
          <w:szCs w:val="24"/>
          <w:highlight w:val="none"/>
        </w:rPr>
        <w:t>10.4 变更估价</w:t>
      </w:r>
      <w:bookmarkEnd w:id="780"/>
      <w:bookmarkEnd w:id="781"/>
      <w:bookmarkEnd w:id="782"/>
      <w:bookmarkEnd w:id="783"/>
      <w:bookmarkEnd w:id="784"/>
      <w:bookmarkEnd w:id="785"/>
      <w:bookmarkEnd w:id="786"/>
      <w:bookmarkEnd w:id="787"/>
      <w:bookmarkEnd w:id="788"/>
      <w:bookmarkEnd w:id="789"/>
      <w:bookmarkEnd w:id="790"/>
      <w:bookmarkEnd w:id="791"/>
      <w:bookmarkEnd w:id="792"/>
    </w:p>
    <w:p w14:paraId="40828630">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10.4.1 变更估价原则</w:t>
      </w:r>
    </w:p>
    <w:p w14:paraId="582389C1">
      <w:pPr>
        <w:pStyle w:val="14"/>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关于变更估价的约定: </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Start w:id="793" w:name="_Toc297048389"/>
      <w:bookmarkStart w:id="794" w:name="_Toc300934994"/>
      <w:bookmarkStart w:id="795" w:name="_Toc312677503"/>
      <w:bookmarkStart w:id="796" w:name="_Toc297120503"/>
      <w:bookmarkStart w:id="797" w:name="_Toc296891243"/>
      <w:bookmarkStart w:id="798" w:name="_Toc297216204"/>
      <w:bookmarkStart w:id="799" w:name="_Toc292559408"/>
      <w:bookmarkStart w:id="800" w:name="_Toc292559913"/>
      <w:bookmarkStart w:id="801" w:name="_Toc297123545"/>
      <w:bookmarkStart w:id="802" w:name="_Toc296891031"/>
      <w:bookmarkStart w:id="803" w:name="_Toc296503203"/>
      <w:bookmarkStart w:id="804" w:name="_Toc312678029"/>
      <w:bookmarkStart w:id="805" w:name="_Toc296347202"/>
      <w:bookmarkStart w:id="806" w:name="_Toc296346704"/>
      <w:bookmarkStart w:id="807" w:name="_Toc303539151"/>
      <w:bookmarkStart w:id="808" w:name="_Toc296944542"/>
      <w:bookmarkStart w:id="809" w:name="_Toc304295570"/>
      <w:r>
        <w:rPr>
          <w:rStyle w:val="8"/>
          <w:rFonts w:hint="eastAsia" w:ascii="宋体" w:hAnsi="宋体"/>
          <w:color w:val="auto"/>
          <w:kern w:val="2"/>
          <w:sz w:val="24"/>
          <w:szCs w:val="24"/>
          <w:highlight w:val="none"/>
        </w:rPr>
        <w:t>⑴合同中已有适用的综合单价，按合同中已有的综合单价确定；</w:t>
      </w:r>
    </w:p>
    <w:p w14:paraId="72EA2B98">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⑵合同中有类似的综合单价，参照类似的综合单价确定；</w:t>
      </w:r>
    </w:p>
    <w:p w14:paraId="7970374A">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⑶合同中没有适用或类似的综合单价，由承包人提出新的综合单价，经发包人、审计确认后执行。</w:t>
      </w:r>
    </w:p>
    <w:p w14:paraId="02FEC445">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由承包人提出的新的综合单价，发包人按如下原则进行确认：</w:t>
      </w:r>
    </w:p>
    <w:p w14:paraId="6F4D9F7A">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①人工费、材料费、机械使用费按对应分部工程投标综合单价中相应单价执行；</w:t>
      </w:r>
    </w:p>
    <w:p w14:paraId="70A6DA04">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②管理费和利润，按对应分部工程投标报价中费率系数执行；</w:t>
      </w:r>
    </w:p>
    <w:p w14:paraId="393BA040">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 xml:space="preserve">③如同一分部工程投标人工单价、同一材料的材料单价、同一机械的机械台班单价及管理费率、利润率不同时，取最低者； </w:t>
      </w:r>
    </w:p>
    <w:p w14:paraId="2B4AAB18">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④投标报价中没有的材料，按材料进场当期的《辽宁工程造价信息》执行；</w:t>
      </w:r>
    </w:p>
    <w:p w14:paraId="4B113FD7">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⑤投标报价及《辽宁工程造价信息》均没有的材料，材料价格由承包人提出，经监理人核准报发包人、审计确认后作为结算依据。</w:t>
      </w:r>
    </w:p>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14:paraId="0DAA70F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监理人审查承包人合理化建议的期限：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76668AB">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发包人审批承包人合理化建议的期限：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p w14:paraId="2185AB5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w:t>
      </w:r>
      <w:bookmarkStart w:id="810" w:name="_Toc296944543"/>
      <w:bookmarkStart w:id="811" w:name="_Toc296891032"/>
      <w:bookmarkStart w:id="812" w:name="_Toc297120504"/>
      <w:bookmarkStart w:id="813" w:name="_Toc304295571"/>
      <w:bookmarkStart w:id="814" w:name="_Toc312677504"/>
      <w:bookmarkStart w:id="815" w:name="_Toc300934995"/>
      <w:bookmarkStart w:id="816" w:name="_Toc297123546"/>
      <w:bookmarkStart w:id="817" w:name="_Toc296347203"/>
      <w:bookmarkStart w:id="818" w:name="_Toc296346705"/>
      <w:bookmarkStart w:id="819" w:name="_Toc318581175"/>
      <w:bookmarkStart w:id="820" w:name="_Toc303539152"/>
      <w:bookmarkStart w:id="821" w:name="_Toc297216205"/>
      <w:bookmarkStart w:id="822" w:name="_Toc292559914"/>
      <w:bookmarkStart w:id="823" w:name="_Toc297048390"/>
      <w:bookmarkStart w:id="824" w:name="_Toc312678030"/>
      <w:bookmarkStart w:id="825" w:name="_Toc296503204"/>
      <w:bookmarkStart w:id="826" w:name="_Toc292559409"/>
      <w:bookmarkStart w:id="827" w:name="_Toc296891244"/>
      <w:r>
        <w:rPr>
          <w:rStyle w:val="8"/>
          <w:rFonts w:ascii="宋体" w:hAnsi="宋体"/>
          <w:color w:val="auto"/>
          <w:kern w:val="2"/>
          <w:sz w:val="24"/>
          <w:szCs w:val="24"/>
          <w:highlight w:val="none"/>
        </w:rPr>
        <w:t>包人提出的合理化建议降低了合同价格或者提高了工程经济效益的奖励的方法和金额为：</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14:paraId="065287C2">
      <w:pPr>
        <w:pStyle w:val="13"/>
        <w:spacing w:after="120" w:line="360" w:lineRule="auto"/>
        <w:ind w:firstLine="480" w:firstLineChars="200"/>
        <w:outlineLvl w:val="9"/>
        <w:rPr>
          <w:rStyle w:val="8"/>
          <w:rFonts w:ascii="宋体" w:hAnsi="宋体"/>
          <w:color w:val="auto"/>
          <w:kern w:val="2"/>
          <w:sz w:val="24"/>
          <w:szCs w:val="24"/>
          <w:highlight w:val="none"/>
        </w:rPr>
      </w:pPr>
      <w:bookmarkStart w:id="828" w:name="_Toc256000096"/>
      <w:bookmarkStart w:id="829" w:name="_Toc69461824"/>
      <w:bookmarkStart w:id="830" w:name="_Toc256001312"/>
      <w:bookmarkStart w:id="831" w:name="_Toc69461169"/>
      <w:bookmarkStart w:id="832" w:name="_Toc4603"/>
      <w:bookmarkStart w:id="833" w:name="_Toc256000578"/>
      <w:bookmarkStart w:id="834" w:name="_Toc10086"/>
      <w:bookmarkStart w:id="835" w:name="_Toc256000845"/>
      <w:bookmarkStart w:id="836" w:name="_Toc256000063"/>
      <w:bookmarkStart w:id="837" w:name="_Toc256000349"/>
      <w:bookmarkStart w:id="838" w:name="_Toc10691"/>
      <w:bookmarkStart w:id="839" w:name="_Toc256001082"/>
      <w:bookmarkStart w:id="840" w:name="_Toc9666"/>
      <w:r>
        <w:rPr>
          <w:rStyle w:val="8"/>
          <w:rFonts w:ascii="宋体" w:hAnsi="宋体"/>
          <w:color w:val="auto"/>
          <w:kern w:val="2"/>
          <w:sz w:val="24"/>
          <w:szCs w:val="24"/>
          <w:highlight w:val="none"/>
        </w:rPr>
        <w:t>1</w:t>
      </w:r>
      <w:bookmarkStart w:id="841" w:name="_Toc304295574"/>
      <w:bookmarkStart w:id="842" w:name="_Toc296346700"/>
      <w:bookmarkStart w:id="843" w:name="_Toc303539154"/>
      <w:bookmarkStart w:id="844" w:name="_Toc296347198"/>
      <w:bookmarkStart w:id="845" w:name="_Toc296944538"/>
      <w:bookmarkStart w:id="846" w:name="_Toc300934997"/>
      <w:bookmarkStart w:id="847" w:name="_Toc296891239"/>
      <w:bookmarkStart w:id="848" w:name="_Toc297048385"/>
      <w:bookmarkStart w:id="849" w:name="_Toc292559909"/>
      <w:bookmarkStart w:id="850" w:name="_Toc297216207"/>
      <w:bookmarkStart w:id="851" w:name="_Toc296503199"/>
      <w:bookmarkStart w:id="852" w:name="_Toc312678033"/>
      <w:bookmarkStart w:id="853" w:name="_Toc297120499"/>
      <w:bookmarkStart w:id="854" w:name="_Toc296891027"/>
      <w:bookmarkStart w:id="855" w:name="_Toc292559404"/>
      <w:bookmarkStart w:id="856" w:name="_Toc312677507"/>
      <w:bookmarkStart w:id="857" w:name="_Toc297123548"/>
      <w:r>
        <w:rPr>
          <w:rStyle w:val="8"/>
          <w:rFonts w:ascii="宋体" w:hAnsi="宋体"/>
          <w:color w:val="auto"/>
          <w:kern w:val="2"/>
          <w:sz w:val="24"/>
          <w:szCs w:val="24"/>
          <w:highlight w:val="none"/>
        </w:rPr>
        <w:t>0.7 暂估价</w:t>
      </w:r>
      <w:bookmarkEnd w:id="828"/>
      <w:bookmarkEnd w:id="829"/>
      <w:bookmarkEnd w:id="830"/>
      <w:bookmarkEnd w:id="831"/>
      <w:bookmarkEnd w:id="832"/>
      <w:bookmarkEnd w:id="833"/>
      <w:bookmarkEnd w:id="834"/>
      <w:bookmarkEnd w:id="835"/>
      <w:bookmarkEnd w:id="836"/>
      <w:bookmarkEnd w:id="837"/>
      <w:bookmarkEnd w:id="838"/>
      <w:bookmarkEnd w:id="839"/>
      <w:bookmarkEnd w:id="840"/>
    </w:p>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14:paraId="630373C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暂</w:t>
      </w:r>
      <w:bookmarkStart w:id="858" w:name="_Toc312677508"/>
      <w:bookmarkStart w:id="859" w:name="_Toc318581176"/>
      <w:bookmarkStart w:id="860" w:name="_Toc312678034"/>
      <w:r>
        <w:rPr>
          <w:rStyle w:val="8"/>
          <w:rFonts w:ascii="宋体" w:hAnsi="宋体"/>
          <w:color w:val="auto"/>
          <w:sz w:val="24"/>
          <w:szCs w:val="24"/>
          <w:highlight w:val="none"/>
        </w:rPr>
        <w:t>估价材料和工程设备的明细详见附件</w:t>
      </w:r>
      <w:r>
        <w:rPr>
          <w:rStyle w:val="8"/>
          <w:rFonts w:hint="eastAsia" w:ascii="宋体" w:hAnsi="宋体"/>
          <w:color w:val="auto"/>
          <w:sz w:val="24"/>
          <w:szCs w:val="24"/>
          <w:highlight w:val="none"/>
        </w:rPr>
        <w:t>11：《</w:t>
      </w:r>
      <w:r>
        <w:rPr>
          <w:rStyle w:val="8"/>
          <w:rFonts w:ascii="宋体" w:hAnsi="宋体"/>
          <w:color w:val="auto"/>
          <w:kern w:val="2"/>
          <w:sz w:val="24"/>
          <w:szCs w:val="24"/>
          <w:highlight w:val="none"/>
        </w:rPr>
        <w:t>暂估价一览表</w:t>
      </w:r>
      <w:r>
        <w:rPr>
          <w:rStyle w:val="8"/>
          <w:rFonts w:hint="eastAsia" w:ascii="宋体" w:hAnsi="宋体"/>
          <w:color w:val="auto"/>
          <w:kern w:val="2"/>
          <w:sz w:val="24"/>
          <w:szCs w:val="24"/>
          <w:highlight w:val="none"/>
        </w:rPr>
        <w:t>》</w:t>
      </w:r>
      <w:r>
        <w:rPr>
          <w:rStyle w:val="8"/>
          <w:rFonts w:hint="eastAsia" w:ascii="宋体" w:hAnsi="宋体"/>
          <w:color w:val="auto"/>
          <w:sz w:val="24"/>
          <w:szCs w:val="24"/>
          <w:highlight w:val="none"/>
        </w:rPr>
        <w:t>。</w:t>
      </w:r>
    </w:p>
    <w:bookmarkEnd w:id="858"/>
    <w:bookmarkEnd w:id="859"/>
    <w:bookmarkEnd w:id="860"/>
    <w:p w14:paraId="05B3D58B">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Start w:id="861" w:name="_Toc312678035"/>
      <w:bookmarkStart w:id="862" w:name="_Toc318581177"/>
      <w:bookmarkStart w:id="863" w:name="_Toc312677509"/>
      <w:r>
        <w:rPr>
          <w:rStyle w:val="8"/>
          <w:rFonts w:ascii="宋体" w:hAnsi="宋体"/>
          <w:color w:val="auto"/>
          <w:kern w:val="2"/>
          <w:sz w:val="24"/>
          <w:szCs w:val="24"/>
          <w:highlight w:val="none"/>
        </w:rPr>
        <w:t>0.7.1 依法必须招标的暂估价项目</w:t>
      </w:r>
    </w:p>
    <w:bookmarkEnd w:id="861"/>
    <w:bookmarkEnd w:id="862"/>
    <w:bookmarkEnd w:id="863"/>
    <w:p w14:paraId="34209C2A">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对于依法必须招标的暂估价项目的确认和批准采取第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种方式确定。</w:t>
      </w:r>
    </w:p>
    <w:p w14:paraId="71FEA98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10.7.2 不属于依法必须招标的暂估价项目</w:t>
      </w:r>
    </w:p>
    <w:p w14:paraId="352338E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对于不属于依法必须招标的暂估价项目的确认和批准采取第</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种方式确定。</w:t>
      </w:r>
    </w:p>
    <w:p w14:paraId="0BB86C47">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kern w:val="2"/>
          <w:sz w:val="24"/>
          <w:szCs w:val="24"/>
          <w:highlight w:val="none"/>
        </w:rPr>
        <w:t>第3种方式：</w:t>
      </w:r>
      <w:r>
        <w:rPr>
          <w:rStyle w:val="8"/>
          <w:rFonts w:ascii="宋体" w:hAnsi="宋体"/>
          <w:color w:val="auto"/>
          <w:sz w:val="24"/>
          <w:szCs w:val="24"/>
          <w:highlight w:val="none"/>
        </w:rPr>
        <w:t>承包人直接实施的暂估价项目</w:t>
      </w:r>
    </w:p>
    <w:p w14:paraId="572F75DF">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承包人直接实施的暂估价项目的约定：</w:t>
      </w:r>
      <w:r>
        <w:rPr>
          <w:rStyle w:val="8"/>
          <w:rFonts w:ascii="宋体" w:hAnsi="宋体"/>
          <w:color w:val="auto"/>
          <w:kern w:val="2"/>
          <w:sz w:val="24"/>
          <w:szCs w:val="24"/>
          <w:highlight w:val="none"/>
          <w:u w:val="single"/>
        </w:rPr>
        <w:t xml:space="preserve">                     </w:t>
      </w:r>
    </w:p>
    <w:p w14:paraId="316E0CCA">
      <w:pPr>
        <w:pStyle w:val="13"/>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6CEA082">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10.8 暂列金额</w:t>
      </w:r>
    </w:p>
    <w:p w14:paraId="4F31CD74">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合同当事人关于暂列金额使用的约定：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按照发包人要求使用，以发包人批准 </w:t>
      </w:r>
    </w:p>
    <w:p w14:paraId="512D59E3">
      <w:pPr>
        <w:pStyle w:val="13"/>
        <w:autoSpaceDE w:val="0"/>
        <w:autoSpaceDN w:val="0"/>
        <w:adjustRightInd w:val="0"/>
        <w:spacing w:line="360" w:lineRule="auto"/>
        <w:jc w:val="left"/>
        <w:rPr>
          <w:rStyle w:val="8"/>
          <w:rFonts w:ascii="宋体" w:hAnsi="宋体"/>
          <w:color w:val="auto"/>
          <w:sz w:val="24"/>
          <w:szCs w:val="24"/>
          <w:highlight w:val="none"/>
        </w:rPr>
      </w:pPr>
      <w:r>
        <w:rPr>
          <w:rStyle w:val="8"/>
          <w:rFonts w:hint="eastAsia" w:ascii="宋体" w:hAnsi="宋体"/>
          <w:color w:val="auto"/>
          <w:kern w:val="2"/>
          <w:sz w:val="24"/>
          <w:szCs w:val="24"/>
          <w:highlight w:val="none"/>
          <w:u w:val="single"/>
        </w:rPr>
        <w:t xml:space="preserve">    的实际发生的工程量结算    </w:t>
      </w:r>
      <w:r>
        <w:rPr>
          <w:rStyle w:val="8"/>
          <w:rFonts w:hint="eastAsia" w:ascii="宋体" w:hAnsi="宋体"/>
          <w:color w:val="auto"/>
          <w:sz w:val="24"/>
          <w:szCs w:val="24"/>
          <w:highlight w:val="none"/>
        </w:rPr>
        <w:t>。</w:t>
      </w:r>
    </w:p>
    <w:p w14:paraId="6AE6CDD4">
      <w:pPr>
        <w:pStyle w:val="15"/>
        <w:spacing w:before="120" w:after="120" w:line="360" w:lineRule="auto"/>
        <w:outlineLvl w:val="9"/>
        <w:rPr>
          <w:rStyle w:val="8"/>
          <w:rFonts w:ascii="宋体" w:hAnsi="宋体" w:eastAsia="宋体"/>
          <w:b w:val="0"/>
          <w:color w:val="auto"/>
          <w:sz w:val="24"/>
          <w:szCs w:val="24"/>
          <w:highlight w:val="none"/>
        </w:rPr>
      </w:pPr>
      <w:bookmarkStart w:id="864" w:name="_Toc351203643"/>
      <w:bookmarkStart w:id="865" w:name="_Toc256000579"/>
      <w:bookmarkStart w:id="866" w:name="_Toc28238"/>
      <w:bookmarkStart w:id="867" w:name="_Toc69461825"/>
      <w:bookmarkStart w:id="868" w:name="_Toc256001313"/>
      <w:bookmarkStart w:id="869" w:name="_Toc256000846"/>
      <w:bookmarkStart w:id="870" w:name="_Toc5177"/>
      <w:bookmarkStart w:id="871" w:name="_Toc256001083"/>
      <w:bookmarkStart w:id="872" w:name="_Toc69461170"/>
      <w:bookmarkStart w:id="873" w:name="_Toc256000350"/>
      <w:r>
        <w:rPr>
          <w:rStyle w:val="8"/>
          <w:rFonts w:ascii="宋体" w:hAnsi="宋体" w:eastAsia="宋体"/>
          <w:b w:val="0"/>
          <w:color w:val="auto"/>
          <w:sz w:val="24"/>
          <w:szCs w:val="24"/>
          <w:highlight w:val="none"/>
        </w:rPr>
        <w:t>11. 价格调整</w:t>
      </w:r>
      <w:bookmarkEnd w:id="864"/>
      <w:bookmarkEnd w:id="865"/>
      <w:bookmarkEnd w:id="866"/>
      <w:bookmarkEnd w:id="867"/>
      <w:bookmarkEnd w:id="868"/>
      <w:bookmarkEnd w:id="869"/>
      <w:bookmarkEnd w:id="870"/>
      <w:bookmarkEnd w:id="871"/>
      <w:bookmarkEnd w:id="872"/>
      <w:bookmarkEnd w:id="873"/>
    </w:p>
    <w:p w14:paraId="0D6F7221">
      <w:pPr>
        <w:pStyle w:val="13"/>
        <w:spacing w:after="120" w:line="360" w:lineRule="auto"/>
        <w:ind w:firstLine="480" w:firstLineChars="200"/>
        <w:rPr>
          <w:rStyle w:val="8"/>
          <w:rFonts w:ascii="宋体" w:hAnsi="宋体"/>
          <w:color w:val="auto"/>
          <w:kern w:val="2"/>
          <w:sz w:val="24"/>
          <w:szCs w:val="24"/>
          <w:highlight w:val="none"/>
        </w:rPr>
      </w:pPr>
      <w:bookmarkStart w:id="874" w:name="_Toc296347200"/>
      <w:bookmarkStart w:id="875" w:name="_Toc292559911"/>
      <w:bookmarkStart w:id="876" w:name="_Toc296944540"/>
      <w:bookmarkStart w:id="877" w:name="_Toc300935000"/>
      <w:bookmarkStart w:id="878" w:name="_Toc304295577"/>
      <w:bookmarkStart w:id="879" w:name="_Toc292559406"/>
      <w:bookmarkStart w:id="880" w:name="_Toc297216209"/>
      <w:bookmarkStart w:id="881" w:name="_Toc296891029"/>
      <w:bookmarkStart w:id="882" w:name="_Toc297048387"/>
      <w:bookmarkStart w:id="883" w:name="_Toc296346702"/>
      <w:bookmarkStart w:id="884" w:name="_Toc303539157"/>
      <w:bookmarkStart w:id="885" w:name="_Toc312678039"/>
      <w:bookmarkStart w:id="886" w:name="_Toc297120501"/>
      <w:bookmarkStart w:id="887" w:name="_Toc297123550"/>
      <w:bookmarkStart w:id="888" w:name="_Toc296503201"/>
      <w:bookmarkStart w:id="889" w:name="_Toc296891241"/>
      <w:r>
        <w:rPr>
          <w:rStyle w:val="8"/>
          <w:rFonts w:ascii="宋体" w:hAnsi="宋体"/>
          <w:color w:val="auto"/>
          <w:kern w:val="2"/>
          <w:sz w:val="24"/>
          <w:szCs w:val="24"/>
          <w:highlight w:val="none"/>
        </w:rPr>
        <w:t>11.1 市场价格波动引起的调整</w:t>
      </w:r>
    </w:p>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14:paraId="44B327D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市场价格波动是否调整合同价格的约定：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不</w:t>
      </w:r>
      <w:r>
        <w:rPr>
          <w:rStyle w:val="8"/>
          <w:rFonts w:ascii="宋体" w:hAnsi="宋体"/>
          <w:color w:val="auto"/>
          <w:kern w:val="2"/>
          <w:sz w:val="24"/>
          <w:szCs w:val="24"/>
          <w:highlight w:val="none"/>
          <w:u w:val="single"/>
        </w:rPr>
        <w:t xml:space="preserve">调整          </w:t>
      </w:r>
      <w:r>
        <w:rPr>
          <w:rStyle w:val="8"/>
          <w:rFonts w:ascii="宋体" w:hAnsi="宋体"/>
          <w:color w:val="auto"/>
          <w:kern w:val="2"/>
          <w:sz w:val="24"/>
          <w:szCs w:val="24"/>
          <w:highlight w:val="none"/>
        </w:rPr>
        <w:t>。</w:t>
      </w:r>
    </w:p>
    <w:p w14:paraId="10FC945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因市场价格波动调整合同价格，采用以下第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种方式对合同价格进行调整：</w:t>
      </w:r>
    </w:p>
    <w:p w14:paraId="4AF512D9">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第1种方式：采用价格指数</w:t>
      </w:r>
      <w:r>
        <w:rPr>
          <w:rStyle w:val="8"/>
          <w:rFonts w:hint="eastAsia" w:ascii="宋体" w:hAnsi="宋体"/>
          <w:color w:val="auto"/>
          <w:kern w:val="2"/>
          <w:sz w:val="24"/>
          <w:szCs w:val="24"/>
          <w:highlight w:val="none"/>
        </w:rPr>
        <w:t>进行价格</w:t>
      </w:r>
      <w:r>
        <w:rPr>
          <w:rStyle w:val="8"/>
          <w:rFonts w:ascii="宋体" w:hAnsi="宋体"/>
          <w:color w:val="auto"/>
          <w:kern w:val="2"/>
          <w:sz w:val="24"/>
          <w:szCs w:val="24"/>
          <w:highlight w:val="none"/>
        </w:rPr>
        <w:t>调整。</w:t>
      </w:r>
    </w:p>
    <w:p w14:paraId="66597BE8">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关于各可调因子、定值和变值权重，以及基本价格指数及其来源的约定：</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14:paraId="7DF1048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第2种方式：采用造价信息</w:t>
      </w:r>
      <w:r>
        <w:rPr>
          <w:rStyle w:val="8"/>
          <w:rFonts w:hint="eastAsia" w:ascii="宋体" w:hAnsi="宋体"/>
          <w:color w:val="auto"/>
          <w:kern w:val="2"/>
          <w:sz w:val="24"/>
          <w:szCs w:val="24"/>
          <w:highlight w:val="none"/>
        </w:rPr>
        <w:t>进行价格</w:t>
      </w:r>
      <w:r>
        <w:rPr>
          <w:rStyle w:val="8"/>
          <w:rFonts w:ascii="宋体" w:hAnsi="宋体"/>
          <w:color w:val="auto"/>
          <w:kern w:val="2"/>
          <w:sz w:val="24"/>
          <w:szCs w:val="24"/>
          <w:highlight w:val="none"/>
        </w:rPr>
        <w:t>调整。</w:t>
      </w:r>
    </w:p>
    <w:p w14:paraId="1AF5152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（2）关于基准价格的约定：</w:t>
      </w:r>
      <w:r>
        <w:rPr>
          <w:rStyle w:val="8"/>
          <w:rFonts w:ascii="宋体" w:hAnsi="宋体"/>
          <w:color w:val="auto"/>
          <w:kern w:val="2"/>
          <w:sz w:val="24"/>
          <w:szCs w:val="24"/>
          <w:highlight w:val="none"/>
          <w:u w:val="single"/>
        </w:rPr>
        <w:t>投标截止日期前</w:t>
      </w:r>
      <w:r>
        <w:rPr>
          <w:rStyle w:val="8"/>
          <w:rFonts w:hint="eastAsia" w:ascii="宋体" w:hAnsi="宋体"/>
          <w:color w:val="auto"/>
          <w:kern w:val="2"/>
          <w:sz w:val="24"/>
          <w:szCs w:val="24"/>
          <w:highlight w:val="none"/>
          <w:u w:val="single"/>
        </w:rPr>
        <w:t>28天的造价部门发布的工程所在地的造价信息价格</w:t>
      </w:r>
      <w:r>
        <w:rPr>
          <w:rStyle w:val="8"/>
          <w:rFonts w:ascii="宋体" w:hAnsi="宋体"/>
          <w:color w:val="auto"/>
          <w:kern w:val="2"/>
          <w:sz w:val="24"/>
          <w:szCs w:val="24"/>
          <w:highlight w:val="none"/>
        </w:rPr>
        <w:t>。</w:t>
      </w:r>
    </w:p>
    <w:p w14:paraId="1865B10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专用合同条款</w:t>
      </w:r>
      <w:r>
        <w:rPr>
          <w:rStyle w:val="8"/>
          <w:rFonts w:hint="eastAsia" w:ascii="宋体" w:hAnsi="宋体" w:cs="宋体"/>
          <w:color w:val="auto"/>
          <w:kern w:val="2"/>
          <w:sz w:val="24"/>
          <w:szCs w:val="24"/>
          <w:highlight w:val="none"/>
        </w:rPr>
        <w:t>①</w:t>
      </w:r>
      <w:r>
        <w:rPr>
          <w:rStyle w:val="8"/>
          <w:rFonts w:ascii="宋体" w:hAnsi="宋体"/>
          <w:color w:val="auto"/>
          <w:kern w:val="2"/>
          <w:sz w:val="24"/>
          <w:szCs w:val="24"/>
          <w:highlight w:val="none"/>
        </w:rPr>
        <w:t>承包人在已标价工程量清单或预算书中载明的材料单价低于基准价格的：专用合同条款合同履行期间材料单价涨幅以基准价格为基础超过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%时，或材料单价跌幅以已标价工程量清单或预算书中载明材料单价为基础超过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rPr>
        <w:t>%时，其超过部分据实调整。</w:t>
      </w:r>
    </w:p>
    <w:p w14:paraId="48581E1F">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rPr>
        <w:t>②</w:t>
      </w:r>
      <w:r>
        <w:rPr>
          <w:rStyle w:val="8"/>
          <w:rFonts w:ascii="宋体" w:hAnsi="宋体"/>
          <w:color w:val="auto"/>
          <w:kern w:val="2"/>
          <w:sz w:val="24"/>
          <w:szCs w:val="24"/>
          <w:highlight w:val="none"/>
        </w:rPr>
        <w:t>承包人在已标价工程量清单或预算书中载明的材料单价高于基准价格的：专用合同条款合同履行期间材料单价跌幅以基准价格为基础超过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%时，材料单价涨幅以已标价工程量清单或预算书中载明材料单价为基础超过</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%时，其超过部分据实调整。</w:t>
      </w:r>
    </w:p>
    <w:p w14:paraId="15661A57">
      <w:pPr>
        <w:pStyle w:val="13"/>
        <w:spacing w:line="360" w:lineRule="auto"/>
        <w:ind w:firstLine="645"/>
        <w:jc w:val="left"/>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rPr>
        <w:t>③</w:t>
      </w:r>
      <w:r>
        <w:rPr>
          <w:rStyle w:val="8"/>
          <w:rFonts w:ascii="宋体" w:hAnsi="宋体"/>
          <w:color w:val="auto"/>
          <w:kern w:val="2"/>
          <w:sz w:val="24"/>
          <w:szCs w:val="24"/>
          <w:highlight w:val="none"/>
        </w:rPr>
        <w:t>承包人在已标价工程量清单或预算书中载明的材料单价等于基准单价的：专用合同条款合同履行期间材料单价涨跌幅以基准单价为基础超过±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%时，其超过部分据实调整。</w:t>
      </w:r>
    </w:p>
    <w:p w14:paraId="69FCA2B6">
      <w:pPr>
        <w:pStyle w:val="13"/>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第3种方式：其他价格调整方式：</w:t>
      </w:r>
      <w:r>
        <w:rPr>
          <w:rStyle w:val="8"/>
          <w:rFonts w:ascii="宋体" w:hAnsi="宋体"/>
          <w:color w:val="auto"/>
          <w:kern w:val="2"/>
          <w:sz w:val="24"/>
          <w:szCs w:val="24"/>
          <w:highlight w:val="none"/>
          <w:u w:val="single"/>
        </w:rPr>
        <w:t xml:space="preserve">                        </w:t>
      </w:r>
    </w:p>
    <w:p w14:paraId="5B3846DC">
      <w:pPr>
        <w:pStyle w:val="13"/>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756"/>
    <w:bookmarkEnd w:id="757"/>
    <w:bookmarkEnd w:id="758"/>
    <w:bookmarkEnd w:id="759"/>
    <w:bookmarkEnd w:id="760"/>
    <w:bookmarkEnd w:id="761"/>
    <w:p w14:paraId="6F66C218">
      <w:pPr>
        <w:pStyle w:val="15"/>
        <w:spacing w:before="120" w:after="120" w:line="360" w:lineRule="auto"/>
        <w:outlineLvl w:val="9"/>
        <w:rPr>
          <w:rStyle w:val="8"/>
          <w:rFonts w:ascii="宋体" w:hAnsi="宋体" w:eastAsia="宋体"/>
          <w:b w:val="0"/>
          <w:color w:val="auto"/>
          <w:sz w:val="24"/>
          <w:szCs w:val="24"/>
          <w:highlight w:val="none"/>
        </w:rPr>
      </w:pPr>
      <w:bookmarkStart w:id="890" w:name="_Toc297048391"/>
      <w:bookmarkStart w:id="891" w:name="_Toc296891245"/>
      <w:bookmarkStart w:id="892" w:name="_Toc292559915"/>
      <w:bookmarkStart w:id="893" w:name="_Toc297120505"/>
      <w:bookmarkStart w:id="894" w:name="_Toc296347204"/>
      <w:bookmarkStart w:id="895" w:name="_Toc296346706"/>
      <w:bookmarkStart w:id="896" w:name="_Toc296503205"/>
      <w:bookmarkStart w:id="897" w:name="_Toc296944544"/>
      <w:bookmarkStart w:id="898" w:name="_Toc296891033"/>
      <w:bookmarkStart w:id="899" w:name="_Toc292559410"/>
      <w:bookmarkStart w:id="900" w:name="_Toc256001084"/>
      <w:bookmarkStart w:id="901" w:name="_Toc351203644"/>
      <w:bookmarkStart w:id="902" w:name="_Toc256000351"/>
      <w:bookmarkStart w:id="903" w:name="_Toc256000580"/>
      <w:bookmarkStart w:id="904" w:name="_Toc32048"/>
      <w:bookmarkStart w:id="905" w:name="_Toc69461171"/>
      <w:bookmarkStart w:id="906" w:name="_Toc8434"/>
      <w:bookmarkStart w:id="907" w:name="_Toc256000847"/>
      <w:bookmarkStart w:id="908" w:name="_Toc69461826"/>
      <w:bookmarkStart w:id="909" w:name="_Toc256001314"/>
      <w:bookmarkStart w:id="910" w:name="_Toc297123552"/>
      <w:bookmarkStart w:id="911" w:name="_Toc312678040"/>
      <w:bookmarkStart w:id="912" w:name="_Toc304295579"/>
      <w:bookmarkStart w:id="913" w:name="_Toc300935002"/>
      <w:bookmarkStart w:id="914" w:name="_Toc303539159"/>
      <w:bookmarkStart w:id="915" w:name="_Toc297216211"/>
      <w:r>
        <w:rPr>
          <w:rStyle w:val="8"/>
          <w:rFonts w:ascii="宋体" w:hAnsi="宋体" w:eastAsia="宋体"/>
          <w:b w:val="0"/>
          <w:color w:val="auto"/>
          <w:sz w:val="24"/>
          <w:szCs w:val="24"/>
          <w:highlight w:val="none"/>
        </w:rPr>
        <w:t xml:space="preserve">12. </w:t>
      </w:r>
      <w:bookmarkEnd w:id="890"/>
      <w:bookmarkEnd w:id="891"/>
      <w:bookmarkEnd w:id="892"/>
      <w:bookmarkEnd w:id="893"/>
      <w:bookmarkEnd w:id="894"/>
      <w:bookmarkEnd w:id="895"/>
      <w:bookmarkEnd w:id="896"/>
      <w:bookmarkEnd w:id="897"/>
      <w:bookmarkEnd w:id="898"/>
      <w:bookmarkEnd w:id="899"/>
      <w:r>
        <w:rPr>
          <w:rStyle w:val="8"/>
          <w:rFonts w:ascii="宋体" w:hAnsi="宋体" w:eastAsia="宋体"/>
          <w:b w:val="0"/>
          <w:color w:val="auto"/>
          <w:sz w:val="24"/>
          <w:szCs w:val="24"/>
          <w:highlight w:val="none"/>
        </w:rPr>
        <w:t>合同价格、计量与支付</w:t>
      </w:r>
      <w:bookmarkEnd w:id="900"/>
      <w:bookmarkEnd w:id="901"/>
      <w:bookmarkEnd w:id="902"/>
      <w:bookmarkEnd w:id="903"/>
      <w:bookmarkEnd w:id="904"/>
      <w:bookmarkEnd w:id="905"/>
      <w:bookmarkEnd w:id="906"/>
      <w:bookmarkEnd w:id="907"/>
      <w:bookmarkEnd w:id="908"/>
      <w:bookmarkEnd w:id="909"/>
    </w:p>
    <w:bookmarkEnd w:id="910"/>
    <w:bookmarkEnd w:id="911"/>
    <w:bookmarkEnd w:id="912"/>
    <w:bookmarkEnd w:id="913"/>
    <w:bookmarkEnd w:id="914"/>
    <w:bookmarkEnd w:id="915"/>
    <w:p w14:paraId="7B31E5C8">
      <w:pPr>
        <w:pStyle w:val="13"/>
        <w:spacing w:after="120" w:line="360" w:lineRule="auto"/>
        <w:ind w:firstLine="480" w:firstLineChars="200"/>
        <w:rPr>
          <w:rStyle w:val="8"/>
          <w:rFonts w:ascii="宋体" w:hAnsi="宋体"/>
          <w:color w:val="auto"/>
          <w:kern w:val="2"/>
          <w:sz w:val="24"/>
          <w:szCs w:val="24"/>
          <w:highlight w:val="none"/>
        </w:rPr>
      </w:pPr>
      <w:bookmarkStart w:id="916" w:name="_Toc292559411"/>
      <w:bookmarkStart w:id="917" w:name="_Toc292559916"/>
      <w:bookmarkStart w:id="918" w:name="_Toc267251461"/>
      <w:bookmarkStart w:id="919" w:name="_Toc296891246"/>
      <w:bookmarkStart w:id="920" w:name="_Toc296503206"/>
      <w:bookmarkStart w:id="921" w:name="_Toc297048392"/>
      <w:bookmarkStart w:id="922" w:name="_Toc296891034"/>
      <w:bookmarkStart w:id="923" w:name="_Toc297120506"/>
      <w:bookmarkStart w:id="924" w:name="_Toc296346707"/>
      <w:bookmarkStart w:id="925" w:name="_Toc296347205"/>
      <w:bookmarkStart w:id="926" w:name="_Toc296944545"/>
      <w:bookmarkStart w:id="927" w:name="_Toc297216212"/>
      <w:bookmarkStart w:id="928" w:name="_Toc300935003"/>
      <w:bookmarkStart w:id="929" w:name="_Toc304295580"/>
      <w:bookmarkStart w:id="930" w:name="_Toc303539160"/>
      <w:bookmarkStart w:id="931" w:name="_Toc297123553"/>
      <w:bookmarkStart w:id="932" w:name="_Toc312678041"/>
      <w:r>
        <w:rPr>
          <w:rStyle w:val="8"/>
          <w:rFonts w:ascii="宋体" w:hAnsi="宋体"/>
          <w:color w:val="auto"/>
          <w:kern w:val="2"/>
          <w:sz w:val="24"/>
          <w:szCs w:val="24"/>
          <w:highlight w:val="none"/>
        </w:rPr>
        <w:t>12.1 合</w:t>
      </w:r>
      <w:bookmarkEnd w:id="916"/>
      <w:bookmarkEnd w:id="917"/>
      <w:bookmarkEnd w:id="918"/>
      <w:r>
        <w:rPr>
          <w:rStyle w:val="8"/>
          <w:rFonts w:ascii="宋体" w:hAnsi="宋体"/>
          <w:color w:val="auto"/>
          <w:kern w:val="2"/>
          <w:sz w:val="24"/>
          <w:szCs w:val="24"/>
          <w:highlight w:val="none"/>
        </w:rPr>
        <w:t>同价</w:t>
      </w:r>
      <w:bookmarkEnd w:id="919"/>
      <w:bookmarkEnd w:id="920"/>
      <w:bookmarkEnd w:id="921"/>
      <w:bookmarkEnd w:id="922"/>
      <w:bookmarkEnd w:id="923"/>
      <w:bookmarkEnd w:id="924"/>
      <w:bookmarkEnd w:id="925"/>
      <w:bookmarkEnd w:id="926"/>
      <w:r>
        <w:rPr>
          <w:rStyle w:val="8"/>
          <w:rFonts w:ascii="宋体" w:hAnsi="宋体"/>
          <w:color w:val="auto"/>
          <w:kern w:val="2"/>
          <w:sz w:val="24"/>
          <w:szCs w:val="24"/>
          <w:highlight w:val="none"/>
        </w:rPr>
        <w:t>格形式</w:t>
      </w:r>
    </w:p>
    <w:bookmarkEnd w:id="927"/>
    <w:bookmarkEnd w:id="928"/>
    <w:bookmarkEnd w:id="929"/>
    <w:bookmarkEnd w:id="930"/>
    <w:bookmarkEnd w:id="931"/>
    <w:bookmarkEnd w:id="932"/>
    <w:p w14:paraId="3BC0BC6D">
      <w:pPr>
        <w:pStyle w:val="13"/>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综合单价包含的风险范围：</w:t>
      </w:r>
      <w:r>
        <w:rPr>
          <w:rStyle w:val="8"/>
          <w:rFonts w:hint="eastAsia" w:ascii="宋体" w:hAnsi="宋体"/>
          <w:color w:val="auto"/>
          <w:kern w:val="2"/>
          <w:sz w:val="24"/>
          <w:szCs w:val="24"/>
          <w:highlight w:val="none"/>
          <w:u w:val="single"/>
        </w:rPr>
        <w:t xml:space="preserve">(1)完成本项目招标及图纸范围内所有可能遇到的各种涉及报价的风险因素均应综合考虑到报价中,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14:paraId="365F892E">
      <w:pPr>
        <w:pStyle w:val="13"/>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（2）吊装、运输工具、照明器具和施工的脚手架等由承包人自行解决，费用在投标报价中考虑。 </w:t>
      </w:r>
    </w:p>
    <w:p w14:paraId="51F057A4">
      <w:pPr>
        <w:pStyle w:val="13"/>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（3）风险费用的计算方法：投标人已在投标报价中自行报价，中标后除工程量调整外不再调整。 </w:t>
      </w:r>
    </w:p>
    <w:p w14:paraId="4C67D913">
      <w:pPr>
        <w:pStyle w:val="13"/>
        <w:spacing w:line="360" w:lineRule="auto"/>
        <w:ind w:firstLine="645"/>
        <w:jc w:val="left"/>
        <w:rPr>
          <w:rStyle w:val="8"/>
          <w:rFonts w:hint="eastAsia"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w:t>
      </w:r>
      <w:r>
        <w:rPr>
          <w:rStyle w:val="8"/>
          <w:rFonts w:ascii="宋体" w:hAnsi="宋体"/>
          <w:color w:val="auto"/>
          <w:kern w:val="2"/>
          <w:sz w:val="24"/>
          <w:szCs w:val="24"/>
          <w:highlight w:val="none"/>
          <w:u w:val="single"/>
        </w:rPr>
        <w:t>风险范围以外的合同价格的调整方法</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因市场价格波动引起的调整按第11.1款</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市场价格波动引起的调整</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约定执行。</w:t>
      </w:r>
    </w:p>
    <w:p w14:paraId="6728DE7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2、总价合同。</w:t>
      </w:r>
    </w:p>
    <w:p w14:paraId="5B3E2BED">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总价包含的风险范围：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p w14:paraId="3DCE4C6B">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风险费用的计算方法：</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60BF592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风险范围以外合同价格的调整方法：</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14:paraId="435BBDF9">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F6440A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3、其他价格方式：</w:t>
      </w:r>
      <w:r>
        <w:rPr>
          <w:rStyle w:val="8"/>
          <w:rFonts w:ascii="宋体" w:hAnsi="宋体"/>
          <w:color w:val="auto"/>
          <w:kern w:val="2"/>
          <w:sz w:val="24"/>
          <w:szCs w:val="24"/>
          <w:highlight w:val="none"/>
          <w:u w:val="single"/>
        </w:rPr>
        <w:t xml:space="preserve">                                     </w:t>
      </w:r>
    </w:p>
    <w:p w14:paraId="48172C6A">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ABDF1EA">
      <w:pPr>
        <w:pStyle w:val="13"/>
        <w:spacing w:after="120" w:line="360" w:lineRule="auto"/>
        <w:ind w:firstLine="480" w:firstLineChars="200"/>
        <w:rPr>
          <w:rStyle w:val="8"/>
          <w:rFonts w:ascii="宋体" w:hAnsi="宋体"/>
          <w:color w:val="auto"/>
          <w:kern w:val="2"/>
          <w:sz w:val="24"/>
          <w:szCs w:val="24"/>
          <w:highlight w:val="none"/>
        </w:rPr>
      </w:pPr>
      <w:bookmarkStart w:id="933" w:name="_Toc312678042"/>
      <w:bookmarkStart w:id="934" w:name="_Toc303539161"/>
      <w:bookmarkStart w:id="935" w:name="_Toc300935004"/>
      <w:bookmarkStart w:id="936" w:name="_Toc297216213"/>
      <w:bookmarkStart w:id="937" w:name="_Toc304295581"/>
      <w:bookmarkStart w:id="938" w:name="_Toc297123554"/>
      <w:bookmarkStart w:id="939" w:name="_Toc297048393"/>
      <w:bookmarkStart w:id="940" w:name="_Toc296891035"/>
      <w:bookmarkStart w:id="941" w:name="_Toc296891247"/>
      <w:bookmarkStart w:id="942" w:name="_Toc297120507"/>
      <w:bookmarkStart w:id="943" w:name="_Toc292559412"/>
      <w:bookmarkStart w:id="944" w:name="_Toc296944546"/>
      <w:bookmarkStart w:id="945" w:name="_Toc296503207"/>
      <w:bookmarkStart w:id="946" w:name="_Toc292559917"/>
      <w:bookmarkStart w:id="947" w:name="_Toc296346708"/>
      <w:bookmarkStart w:id="948" w:name="_Toc296347206"/>
      <w:r>
        <w:rPr>
          <w:rStyle w:val="8"/>
          <w:rFonts w:ascii="宋体" w:hAnsi="宋体"/>
          <w:color w:val="auto"/>
          <w:kern w:val="2"/>
          <w:sz w:val="24"/>
          <w:szCs w:val="24"/>
          <w:highlight w:val="none"/>
        </w:rPr>
        <w:t>12.2 预付款</w:t>
      </w:r>
    </w:p>
    <w:bookmarkEnd w:id="933"/>
    <w:bookmarkEnd w:id="934"/>
    <w:bookmarkEnd w:id="935"/>
    <w:bookmarkEnd w:id="936"/>
    <w:bookmarkEnd w:id="937"/>
    <w:bookmarkEnd w:id="938"/>
    <w:p w14:paraId="3CDCBEB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12.2.1 预付款的支付</w:t>
      </w:r>
    </w:p>
    <w:p w14:paraId="19F59DA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预付款支付比例或金额：</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B10BFB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预付款支付期限：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8A4CA0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预付款扣回的方式：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BC95BD8">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12.2.2 预付款担保</w:t>
      </w:r>
    </w:p>
    <w:p w14:paraId="170822EF">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承包人提交预付款担保的期限：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9CBFAF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预付款担保的形式为：</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939"/>
    <w:bookmarkEnd w:id="940"/>
    <w:bookmarkEnd w:id="941"/>
    <w:bookmarkEnd w:id="942"/>
    <w:bookmarkEnd w:id="943"/>
    <w:bookmarkEnd w:id="944"/>
    <w:bookmarkEnd w:id="945"/>
    <w:bookmarkEnd w:id="946"/>
    <w:bookmarkEnd w:id="947"/>
    <w:bookmarkEnd w:id="948"/>
    <w:p w14:paraId="29F33BCE">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12.3 计量</w:t>
      </w:r>
    </w:p>
    <w:p w14:paraId="444F485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12.3.1 计量原则</w:t>
      </w:r>
    </w:p>
    <w:p w14:paraId="3BE3A163">
      <w:pPr>
        <w:pStyle w:val="13"/>
        <w:spacing w:line="420" w:lineRule="exact"/>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工程量计算规则：</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工程量计算规则执行国家标准《建设工程工程量清单计价规范》（GB</w:t>
      </w:r>
      <w:r>
        <w:rPr>
          <w:rStyle w:val="8"/>
          <w:rFonts w:hint="eastAsia" w:ascii="宋体" w:hAnsi="宋体"/>
          <w:color w:val="auto"/>
          <w:kern w:val="2"/>
          <w:sz w:val="24"/>
          <w:szCs w:val="24"/>
          <w:highlight w:val="none"/>
          <w:u w:val="single"/>
          <w:lang w:val="en-US" w:eastAsia="zh-CN"/>
        </w:rPr>
        <w:t>/T</w:t>
      </w:r>
      <w:r>
        <w:rPr>
          <w:rStyle w:val="8"/>
          <w:rFonts w:hint="eastAsia" w:ascii="宋体" w:hAnsi="宋体"/>
          <w:color w:val="auto"/>
          <w:kern w:val="2"/>
          <w:sz w:val="24"/>
          <w:szCs w:val="24"/>
          <w:highlight w:val="none"/>
          <w:u w:val="single"/>
        </w:rPr>
        <w:t>50500-20</w:t>
      </w:r>
      <w:r>
        <w:rPr>
          <w:rStyle w:val="8"/>
          <w:rFonts w:hint="eastAsia" w:ascii="宋体" w:hAnsi="宋体"/>
          <w:color w:val="auto"/>
          <w:kern w:val="2"/>
          <w:sz w:val="24"/>
          <w:szCs w:val="24"/>
          <w:highlight w:val="none"/>
          <w:u w:val="single"/>
          <w:lang w:val="en-US" w:eastAsia="zh-CN"/>
        </w:rPr>
        <w:t>24</w:t>
      </w:r>
      <w:r>
        <w:rPr>
          <w:rStyle w:val="8"/>
          <w:rFonts w:hint="eastAsia" w:ascii="宋体" w:hAnsi="宋体"/>
          <w:color w:val="auto"/>
          <w:kern w:val="2"/>
          <w:sz w:val="24"/>
          <w:szCs w:val="24"/>
          <w:highlight w:val="none"/>
          <w:u w:val="single"/>
        </w:rPr>
        <w:t>）及20</w:t>
      </w:r>
      <w:r>
        <w:rPr>
          <w:rStyle w:val="8"/>
          <w:rFonts w:hint="eastAsia" w:ascii="宋体" w:hAnsi="宋体"/>
          <w:color w:val="auto"/>
          <w:kern w:val="2"/>
          <w:sz w:val="24"/>
          <w:szCs w:val="24"/>
          <w:highlight w:val="none"/>
          <w:u w:val="single"/>
          <w:lang w:val="en-US" w:eastAsia="zh-CN"/>
        </w:rPr>
        <w:t>24</w:t>
      </w:r>
      <w:r>
        <w:rPr>
          <w:rStyle w:val="8"/>
          <w:rFonts w:hint="eastAsia" w:ascii="宋体" w:hAnsi="宋体"/>
          <w:color w:val="auto"/>
          <w:kern w:val="2"/>
          <w:sz w:val="24"/>
          <w:szCs w:val="24"/>
          <w:highlight w:val="none"/>
          <w:u w:val="single"/>
        </w:rPr>
        <w:t xml:space="preserve">年《辽宁省建设工程计价依据》或其适用的修订版本。 </w:t>
      </w:r>
    </w:p>
    <w:p w14:paraId="5244341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12.3.2 计量周期</w:t>
      </w:r>
    </w:p>
    <w:p w14:paraId="68885F69">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关于计量周期的约定：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1E48D4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12.3.3 单价合同的计量</w:t>
      </w:r>
    </w:p>
    <w:p w14:paraId="1D067F9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关于单价合同计量的约定：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按实计算工程量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CBE810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12.3.4 总价合同的计量</w:t>
      </w:r>
    </w:p>
    <w:p w14:paraId="571A7C4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关于总价合同计量的约定：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3B430DB8">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12.3.5总价合同采用支付分解表计量支付的，是否适用第</w:t>
      </w:r>
      <w:r>
        <w:rPr>
          <w:rStyle w:val="8"/>
          <w:rFonts w:ascii="宋体" w:hAnsi="宋体"/>
          <w:color w:val="auto"/>
          <w:sz w:val="24"/>
          <w:szCs w:val="24"/>
          <w:highlight w:val="none"/>
        </w:rPr>
        <w:t xml:space="preserve">12.3.4 </w:t>
      </w:r>
      <w:r>
        <w:rPr>
          <w:rStyle w:val="8"/>
          <w:rFonts w:ascii="宋体" w:hAnsi="宋体"/>
          <w:color w:val="auto"/>
          <w:kern w:val="2"/>
          <w:sz w:val="24"/>
          <w:szCs w:val="24"/>
          <w:highlight w:val="none"/>
        </w:rPr>
        <w:t>项</w:t>
      </w:r>
      <w:r>
        <w:rPr>
          <w:rStyle w:val="8"/>
          <w:rFonts w:hint="eastAsia" w:ascii="宋体" w:hAnsi="宋体"/>
          <w:color w:val="auto"/>
          <w:sz w:val="24"/>
          <w:szCs w:val="24"/>
          <w:highlight w:val="none"/>
        </w:rPr>
        <w:t>〔</w:t>
      </w:r>
      <w:r>
        <w:rPr>
          <w:rStyle w:val="8"/>
          <w:rFonts w:ascii="宋体" w:hAnsi="宋体"/>
          <w:color w:val="auto"/>
          <w:sz w:val="24"/>
          <w:szCs w:val="24"/>
          <w:highlight w:val="none"/>
        </w:rPr>
        <w:t>总价合同的计量</w:t>
      </w:r>
      <w:r>
        <w:rPr>
          <w:rStyle w:val="8"/>
          <w:rFonts w:hint="eastAsia" w:ascii="宋体" w:hAnsi="宋体"/>
          <w:color w:val="auto"/>
          <w:sz w:val="24"/>
          <w:szCs w:val="24"/>
          <w:highlight w:val="none"/>
        </w:rPr>
        <w:t>〕</w:t>
      </w:r>
      <w:r>
        <w:rPr>
          <w:rStyle w:val="8"/>
          <w:rFonts w:ascii="宋体" w:hAnsi="宋体"/>
          <w:color w:val="auto"/>
          <w:kern w:val="2"/>
          <w:sz w:val="24"/>
          <w:szCs w:val="24"/>
          <w:highlight w:val="none"/>
        </w:rPr>
        <w:t>约定</w:t>
      </w:r>
      <w:r>
        <w:rPr>
          <w:rStyle w:val="8"/>
          <w:rFonts w:hint="eastAsia" w:ascii="宋体" w:hAnsi="宋体"/>
          <w:color w:val="auto"/>
          <w:kern w:val="2"/>
          <w:sz w:val="24"/>
          <w:szCs w:val="24"/>
          <w:highlight w:val="none"/>
        </w:rPr>
        <w:t>进行计量：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569C0D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12.3.6 其他价格形式合同的计量</w:t>
      </w:r>
    </w:p>
    <w:p w14:paraId="6E2DD835">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其他价格形式的计量方式和程序：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23557A16">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0405B7D">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12.4 工程进度款支付</w:t>
      </w:r>
    </w:p>
    <w:p w14:paraId="23A817EE">
      <w:pPr>
        <w:pStyle w:val="13"/>
        <w:spacing w:line="360" w:lineRule="auto"/>
        <w:ind w:firstLine="480" w:firstLineChars="200"/>
        <w:jc w:val="left"/>
        <w:rPr>
          <w:rStyle w:val="8"/>
          <w:rFonts w:ascii="宋体" w:hAnsi="宋体"/>
          <w:color w:val="auto"/>
          <w:kern w:val="2"/>
          <w:sz w:val="24"/>
          <w:szCs w:val="24"/>
          <w:highlight w:val="none"/>
        </w:rPr>
      </w:pPr>
      <w:bookmarkStart w:id="949" w:name="_Toc297216215"/>
      <w:bookmarkStart w:id="950" w:name="_Toc296944550"/>
      <w:bookmarkStart w:id="951" w:name="_Toc296346712"/>
      <w:bookmarkStart w:id="952" w:name="_Toc300935006"/>
      <w:bookmarkStart w:id="953" w:name="_Toc303539163"/>
      <w:bookmarkStart w:id="954" w:name="_Toc292559921"/>
      <w:bookmarkStart w:id="955" w:name="_Toc297120511"/>
      <w:bookmarkStart w:id="956" w:name="_Toc296891251"/>
      <w:bookmarkStart w:id="957" w:name="_Toc292559416"/>
      <w:bookmarkStart w:id="958" w:name="_Toc296503211"/>
      <w:bookmarkStart w:id="959" w:name="_Toc296347210"/>
      <w:bookmarkStart w:id="960" w:name="_Toc297123556"/>
      <w:bookmarkStart w:id="961" w:name="_Toc296891039"/>
      <w:bookmarkStart w:id="962" w:name="_Toc297048397"/>
      <w:r>
        <w:rPr>
          <w:rStyle w:val="8"/>
          <w:rFonts w:ascii="宋体" w:hAnsi="宋体"/>
          <w:color w:val="auto"/>
          <w:kern w:val="2"/>
          <w:sz w:val="24"/>
          <w:szCs w:val="24"/>
          <w:highlight w:val="none"/>
        </w:rPr>
        <w:t>12.4.1 付款周期</w:t>
      </w:r>
    </w:p>
    <w:p w14:paraId="4F570880">
      <w:pPr>
        <w:pStyle w:val="13"/>
        <w:spacing w:line="360" w:lineRule="auto"/>
        <w:ind w:firstLine="360" w:firstLineChars="150"/>
        <w:jc w:val="left"/>
        <w:rPr>
          <w:rStyle w:val="8"/>
          <w:rFonts w:hint="eastAsia" w:ascii="宋体" w:hAnsi="宋体" w:eastAsia="宋体"/>
          <w:color w:val="auto"/>
          <w:kern w:val="2"/>
          <w:sz w:val="24"/>
          <w:szCs w:val="24"/>
          <w:highlight w:val="none"/>
          <w:lang w:eastAsia="zh-CN"/>
        </w:rPr>
      </w:pPr>
      <w:r>
        <w:rPr>
          <w:rStyle w:val="8"/>
          <w:rFonts w:hint="eastAsia" w:ascii="宋体" w:hAnsi="宋体"/>
          <w:color w:val="auto"/>
          <w:sz w:val="24"/>
          <w:szCs w:val="24"/>
          <w:highlight w:val="none"/>
        </w:rPr>
        <w:t>1)</w:t>
      </w:r>
      <w:r>
        <w:rPr>
          <w:rStyle w:val="8"/>
          <w:rFonts w:hint="eastAsia" w:ascii="宋体" w:hAnsi="宋体"/>
          <w:color w:val="auto"/>
          <w:sz w:val="24"/>
          <w:szCs w:val="24"/>
          <w:highlight w:val="none"/>
          <w:lang w:val="en-US" w:eastAsia="zh-CN"/>
        </w:rPr>
        <w:t>按照工程形象进度支付已完工程额的80%。项目结算后支付至合同金额的97%，3%为质量保证金</w:t>
      </w:r>
      <w:r>
        <w:rPr>
          <w:rStyle w:val="8"/>
          <w:rFonts w:hint="eastAsia" w:ascii="宋体" w:hAnsi="宋体"/>
          <w:color w:val="auto"/>
          <w:sz w:val="24"/>
          <w:szCs w:val="24"/>
          <w:highlight w:val="none"/>
        </w:rPr>
        <w:t>；</w:t>
      </w:r>
      <w:r>
        <w:rPr>
          <w:rStyle w:val="8"/>
          <w:rFonts w:hint="eastAsia" w:ascii="宋体" w:hAnsi="宋体"/>
          <w:color w:val="auto"/>
          <w:sz w:val="24"/>
          <w:szCs w:val="24"/>
          <w:highlight w:val="none"/>
        </w:rPr>
        <w:cr/>
      </w:r>
      <w:r>
        <w:rPr>
          <w:rStyle w:val="8"/>
          <w:rFonts w:hint="eastAsia" w:ascii="宋体" w:hAnsi="宋体"/>
          <w:color w:val="auto"/>
          <w:sz w:val="24"/>
          <w:szCs w:val="24"/>
          <w:highlight w:val="none"/>
        </w:rPr>
        <w:t xml:space="preserve">   2)承包人应于每月 25 日向监理人报送上月 20 日至当月 19 日已完成的工程量报告，并附具进度付款申请单、已完成工程量报表和有关资料。 </w:t>
      </w:r>
      <w:r>
        <w:rPr>
          <w:rStyle w:val="8"/>
          <w:rFonts w:hint="eastAsia" w:ascii="宋体" w:hAnsi="宋体"/>
          <w:color w:val="auto"/>
          <w:sz w:val="24"/>
          <w:szCs w:val="24"/>
          <w:highlight w:val="none"/>
        </w:rPr>
        <w:cr/>
      </w:r>
      <w:r>
        <w:rPr>
          <w:rStyle w:val="8"/>
          <w:rFonts w:hint="eastAsia" w:ascii="宋体" w:hAnsi="宋体"/>
          <w:color w:val="auto"/>
          <w:sz w:val="24"/>
          <w:szCs w:val="24"/>
          <w:highlight w:val="none"/>
        </w:rPr>
        <w:t xml:space="preserve">   3)监理人应在收到承包人提交的工程量报告后 7 天内完成对承包人提交的工程量报表的审核并报送发包人，以确定当月实际完成的工程量。</w:t>
      </w:r>
      <w:r>
        <w:rPr>
          <w:rStyle w:val="8"/>
          <w:rFonts w:hint="eastAsia" w:ascii="宋体" w:hAnsi="宋体"/>
          <w:color w:val="auto"/>
          <w:sz w:val="24"/>
          <w:szCs w:val="24"/>
          <w:highlight w:val="none"/>
        </w:rPr>
        <w:cr/>
      </w:r>
      <w:r>
        <w:rPr>
          <w:rStyle w:val="8"/>
          <w:rFonts w:hint="eastAsia" w:ascii="宋体" w:hAnsi="宋体"/>
          <w:color w:val="auto"/>
          <w:sz w:val="24"/>
          <w:szCs w:val="24"/>
          <w:highlight w:val="none"/>
        </w:rPr>
        <w:t xml:space="preserve">   4)</w:t>
      </w:r>
      <w:r>
        <w:rPr>
          <w:rStyle w:val="8"/>
          <w:rFonts w:hint="eastAsia" w:ascii="宋体" w:hAnsi="宋体"/>
          <w:color w:val="auto"/>
          <w:sz w:val="24"/>
          <w:szCs w:val="24"/>
          <w:highlight w:val="none"/>
          <w:lang w:eastAsia="zh-CN"/>
        </w:rPr>
        <w:t>竣工验收后，乙方负责向政府相关部门报验并通过审核验收合格，同时提交相关档案后，支付全部合同金额的 97%，合同金额的 3%作为质保金;</w:t>
      </w:r>
      <w:r>
        <w:rPr>
          <w:rStyle w:val="8"/>
          <w:rFonts w:hint="eastAsia" w:ascii="宋体" w:hAnsi="宋体"/>
          <w:color w:val="auto"/>
          <w:sz w:val="24"/>
          <w:szCs w:val="24"/>
          <w:highlight w:val="none"/>
        </w:rPr>
        <w:t xml:space="preserve"> </w:t>
      </w:r>
      <w:r>
        <w:rPr>
          <w:rStyle w:val="8"/>
          <w:rFonts w:hint="eastAsia" w:ascii="宋体" w:hAnsi="宋体"/>
          <w:color w:val="auto"/>
          <w:sz w:val="24"/>
          <w:szCs w:val="24"/>
          <w:highlight w:val="none"/>
        </w:rPr>
        <w:cr/>
      </w:r>
      <w:r>
        <w:rPr>
          <w:rStyle w:val="8"/>
          <w:rFonts w:hint="eastAsia" w:ascii="宋体" w:hAnsi="宋体"/>
          <w:color w:val="auto"/>
          <w:sz w:val="24"/>
          <w:szCs w:val="24"/>
          <w:highlight w:val="none"/>
        </w:rPr>
        <w:t xml:space="preserve">   </w:t>
      </w:r>
    </w:p>
    <w:p w14:paraId="61B249EF">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12.4.2 进度付款申请单的编制</w:t>
      </w:r>
    </w:p>
    <w:p w14:paraId="47F15F2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关于进度付款申请单编制的约定：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按发包人要求。</w:t>
      </w:r>
    </w:p>
    <w:p w14:paraId="57CB75B2">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rStyle w:val="8"/>
          <w:rFonts w:ascii="宋体" w:hAnsi="宋体"/>
          <w:color w:val="auto"/>
          <w:kern w:val="2"/>
          <w:sz w:val="24"/>
          <w:szCs w:val="24"/>
          <w:highlight w:val="none"/>
        </w:rPr>
        <w:t>2.4.3 进度付款申请单的提交</w:t>
      </w:r>
    </w:p>
    <w:p w14:paraId="0E0D00C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（1）单价合同进度付款申请单提交的约定</w:t>
      </w:r>
      <w:r>
        <w:rPr>
          <w:rStyle w:val="8"/>
          <w:rFonts w:hint="eastAsia"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AA74CA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（2）总价合同进度付款申请单提交的约定</w:t>
      </w:r>
      <w:r>
        <w:rPr>
          <w:rStyle w:val="8"/>
          <w:rFonts w:hint="eastAsia"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488C2A7">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（3）其他价格形式合同进度付款申请单提交的约定：</w:t>
      </w:r>
      <w:r>
        <w:rPr>
          <w:rStyle w:val="8"/>
          <w:rFonts w:ascii="宋体" w:hAnsi="宋体"/>
          <w:color w:val="auto"/>
          <w:kern w:val="2"/>
          <w:sz w:val="24"/>
          <w:szCs w:val="24"/>
          <w:highlight w:val="none"/>
          <w:u w:val="single"/>
        </w:rPr>
        <w:t xml:space="preserve">       </w:t>
      </w:r>
    </w:p>
    <w:p w14:paraId="113EA490">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31C27CB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12.4.4 进度款审核和支付</w:t>
      </w:r>
    </w:p>
    <w:p w14:paraId="248A423E">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（1）监理人审查并报送发包人的期限：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F727EE2">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发包人完成审批并签发进度款支付证书的期限：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7E68EFBD">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528545A">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（2）发包人支付进度款的期限：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双方商定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8E133DC">
      <w:pPr>
        <w:pStyle w:val="13"/>
        <w:spacing w:line="360" w:lineRule="auto"/>
        <w:ind w:firstLine="600" w:firstLineChars="25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发包人逾期支付进度款的违约金的计算方式：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p w14:paraId="6479FC7C">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42BD18E">
      <w:pPr>
        <w:pStyle w:val="13"/>
        <w:spacing w:line="360" w:lineRule="auto"/>
        <w:ind w:firstLine="600" w:firstLineChars="25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12.4.6 支付分解表的编制</w:t>
      </w:r>
    </w:p>
    <w:p w14:paraId="566B779D">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2、总价合同支付分解表的编制与审批：</w:t>
      </w:r>
      <w:r>
        <w:rPr>
          <w:rStyle w:val="8"/>
          <w:rFonts w:ascii="宋体" w:hAnsi="宋体"/>
          <w:color w:val="auto"/>
          <w:kern w:val="2"/>
          <w:sz w:val="24"/>
          <w:szCs w:val="24"/>
          <w:highlight w:val="none"/>
          <w:u w:val="single"/>
        </w:rPr>
        <w:t xml:space="preserve">                  </w:t>
      </w:r>
    </w:p>
    <w:p w14:paraId="66473065">
      <w:pPr>
        <w:pStyle w:val="13"/>
        <w:spacing w:line="360" w:lineRule="auto"/>
        <w:ind w:left="4800" w:hanging="4800" w:hangingChars="20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5CA3A958">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3、单价合同的总价项目支付分解表的编制与审批：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bookmarkEnd w:id="762"/>
    <w:p w14:paraId="7A47DE24">
      <w:pPr>
        <w:pStyle w:val="15"/>
        <w:spacing w:before="120" w:after="120" w:line="360" w:lineRule="auto"/>
        <w:outlineLvl w:val="9"/>
        <w:rPr>
          <w:rStyle w:val="8"/>
          <w:rFonts w:ascii="宋体" w:hAnsi="宋体" w:eastAsia="宋体"/>
          <w:b w:val="0"/>
          <w:color w:val="auto"/>
          <w:sz w:val="24"/>
          <w:szCs w:val="24"/>
          <w:highlight w:val="none"/>
        </w:rPr>
      </w:pPr>
      <w:bookmarkStart w:id="963" w:name="_Toc69461827"/>
      <w:bookmarkStart w:id="964" w:name="_Toc256000581"/>
      <w:bookmarkStart w:id="965" w:name="_Toc256000848"/>
      <w:bookmarkStart w:id="966" w:name="_Toc351203645"/>
      <w:bookmarkStart w:id="967" w:name="_Toc69461172"/>
      <w:bookmarkStart w:id="968" w:name="_Toc256000352"/>
      <w:bookmarkStart w:id="969" w:name="_Toc256001315"/>
      <w:bookmarkStart w:id="970" w:name="_Toc256001085"/>
      <w:bookmarkStart w:id="971" w:name="_Toc8681"/>
      <w:bookmarkStart w:id="972" w:name="_Toc30296"/>
      <w:bookmarkStart w:id="973" w:name="_Toc296891259"/>
      <w:bookmarkStart w:id="974" w:name="_Toc303539172"/>
      <w:bookmarkStart w:id="975" w:name="_Toc300935015"/>
      <w:bookmarkStart w:id="976" w:name="_Toc292559929"/>
      <w:bookmarkStart w:id="977" w:name="_Toc296347218"/>
      <w:bookmarkStart w:id="978" w:name="_Toc296503219"/>
      <w:bookmarkStart w:id="979" w:name="_Toc292559424"/>
      <w:bookmarkStart w:id="980" w:name="_Toc297216223"/>
      <w:bookmarkStart w:id="981" w:name="_Toc304295593"/>
      <w:bookmarkStart w:id="982" w:name="_Toc296346720"/>
      <w:bookmarkStart w:id="983" w:name="_Toc297123564"/>
      <w:bookmarkStart w:id="984" w:name="_Toc312678053"/>
      <w:bookmarkStart w:id="985" w:name="_Toc297048405"/>
      <w:bookmarkStart w:id="986" w:name="_Toc297120519"/>
      <w:bookmarkStart w:id="987" w:name="_Toc296891047"/>
      <w:bookmarkStart w:id="988" w:name="_Toc296944558"/>
      <w:r>
        <w:rPr>
          <w:rStyle w:val="8"/>
          <w:rFonts w:ascii="宋体" w:hAnsi="宋体" w:eastAsia="宋体"/>
          <w:b w:val="0"/>
          <w:color w:val="auto"/>
          <w:sz w:val="24"/>
          <w:szCs w:val="24"/>
          <w:highlight w:val="none"/>
        </w:rPr>
        <w:t>13.</w:t>
      </w:r>
      <w:r>
        <w:rPr>
          <w:rStyle w:val="8"/>
          <w:rFonts w:hint="eastAsia" w:ascii="宋体" w:hAnsi="宋体" w:eastAsia="宋体"/>
          <w:b w:val="0"/>
          <w:color w:val="auto"/>
          <w:sz w:val="24"/>
          <w:szCs w:val="24"/>
          <w:highlight w:val="none"/>
        </w:rPr>
        <w:t xml:space="preserve"> </w:t>
      </w:r>
      <w:r>
        <w:rPr>
          <w:rStyle w:val="8"/>
          <w:rFonts w:ascii="宋体" w:hAnsi="宋体" w:eastAsia="宋体"/>
          <w:b w:val="0"/>
          <w:color w:val="auto"/>
          <w:sz w:val="24"/>
          <w:szCs w:val="24"/>
          <w:highlight w:val="none"/>
        </w:rPr>
        <w:t>验收和工程试车</w:t>
      </w:r>
      <w:bookmarkEnd w:id="963"/>
      <w:bookmarkEnd w:id="964"/>
      <w:bookmarkEnd w:id="965"/>
      <w:bookmarkEnd w:id="966"/>
      <w:bookmarkEnd w:id="967"/>
      <w:bookmarkEnd w:id="968"/>
      <w:bookmarkEnd w:id="969"/>
      <w:bookmarkEnd w:id="970"/>
      <w:bookmarkEnd w:id="971"/>
      <w:bookmarkEnd w:id="972"/>
    </w:p>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14:paraId="2D56A861">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13.1 分部分项工程验收</w:t>
      </w:r>
    </w:p>
    <w:p w14:paraId="2BC4B75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13.1.2监理人不能按时进行验收时，应提前</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小时提交书面延期要求。</w:t>
      </w:r>
    </w:p>
    <w:p w14:paraId="5503BEE0">
      <w:pPr>
        <w:pStyle w:val="13"/>
        <w:spacing w:line="360" w:lineRule="auto"/>
        <w:ind w:firstLine="480" w:firstLineChars="200"/>
        <w:jc w:val="left"/>
        <w:rPr>
          <w:rStyle w:val="8"/>
          <w:rFonts w:ascii="宋体" w:hAnsi="宋体"/>
          <w:b/>
          <w:color w:val="auto"/>
          <w:kern w:val="2"/>
          <w:sz w:val="24"/>
          <w:szCs w:val="24"/>
          <w:highlight w:val="none"/>
        </w:rPr>
      </w:pPr>
      <w:r>
        <w:rPr>
          <w:rStyle w:val="8"/>
          <w:rFonts w:ascii="宋体" w:hAnsi="宋体"/>
          <w:color w:val="auto"/>
          <w:kern w:val="2"/>
          <w:sz w:val="24"/>
          <w:szCs w:val="24"/>
          <w:highlight w:val="none"/>
        </w:rPr>
        <w:t>关于延期最长不得超过：</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小时。</w:t>
      </w:r>
    </w:p>
    <w:p w14:paraId="4E3EB310">
      <w:pPr>
        <w:pStyle w:val="13"/>
        <w:spacing w:after="120" w:line="360" w:lineRule="auto"/>
        <w:ind w:firstLine="480" w:firstLineChars="200"/>
        <w:rPr>
          <w:rStyle w:val="8"/>
          <w:rFonts w:ascii="宋体" w:hAnsi="宋体"/>
          <w:color w:val="auto"/>
          <w:kern w:val="2"/>
          <w:sz w:val="24"/>
          <w:szCs w:val="24"/>
          <w:highlight w:val="none"/>
        </w:rPr>
      </w:pPr>
      <w:bookmarkStart w:id="989" w:name="_Toc300935016"/>
      <w:bookmarkStart w:id="990" w:name="_Toc296944562"/>
      <w:bookmarkStart w:id="991" w:name="_Toc296346724"/>
      <w:bookmarkStart w:id="992" w:name="_Toc296503223"/>
      <w:bookmarkStart w:id="993" w:name="_Toc303539173"/>
      <w:bookmarkStart w:id="994" w:name="_Toc292559933"/>
      <w:bookmarkStart w:id="995" w:name="_Toc296891051"/>
      <w:bookmarkStart w:id="996" w:name="_Toc296891263"/>
      <w:bookmarkStart w:id="997" w:name="_Toc296347222"/>
      <w:bookmarkStart w:id="998" w:name="_Toc312678056"/>
      <w:bookmarkStart w:id="999" w:name="_Toc297123565"/>
      <w:bookmarkStart w:id="1000" w:name="_Toc297048409"/>
      <w:bookmarkStart w:id="1001" w:name="_Toc297120523"/>
      <w:bookmarkStart w:id="1002" w:name="_Toc297216224"/>
      <w:bookmarkStart w:id="1003" w:name="_Toc304295596"/>
      <w:bookmarkStart w:id="1004" w:name="_Toc292559428"/>
      <w:bookmarkStart w:id="1005" w:name="_Toc267251476"/>
      <w:bookmarkStart w:id="1006" w:name="_Toc267251470"/>
      <w:bookmarkStart w:id="1007" w:name="_Toc267251472"/>
      <w:bookmarkStart w:id="1008" w:name="_Toc267251473"/>
      <w:bookmarkStart w:id="1009" w:name="_Toc267251475"/>
      <w:bookmarkStart w:id="1010" w:name="_Toc267251474"/>
      <w:bookmarkStart w:id="1011" w:name="_Toc267251471"/>
      <w:r>
        <w:rPr>
          <w:rStyle w:val="8"/>
          <w:rFonts w:ascii="宋体" w:hAnsi="宋体"/>
          <w:color w:val="auto"/>
          <w:kern w:val="2"/>
          <w:sz w:val="24"/>
          <w:szCs w:val="24"/>
          <w:highlight w:val="none"/>
        </w:rPr>
        <w:t>13.2 竣工验收</w:t>
      </w:r>
    </w:p>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14:paraId="5586D2C0">
      <w:pPr>
        <w:pStyle w:val="13"/>
        <w:spacing w:line="360" w:lineRule="auto"/>
        <w:ind w:firstLine="480" w:firstLineChars="200"/>
        <w:jc w:val="left"/>
        <w:rPr>
          <w:rStyle w:val="8"/>
          <w:rFonts w:ascii="宋体" w:hAnsi="宋体"/>
          <w:color w:val="auto"/>
          <w:kern w:val="2"/>
          <w:sz w:val="24"/>
          <w:szCs w:val="24"/>
          <w:highlight w:val="none"/>
        </w:rPr>
      </w:pPr>
      <w:bookmarkStart w:id="1012" w:name="_Toc280868704"/>
      <w:bookmarkStart w:id="1013" w:name="_Toc280868705"/>
      <w:bookmarkStart w:id="1014" w:name="_Toc280868706"/>
      <w:bookmarkStart w:id="1015" w:name="_Toc280868707"/>
      <w:bookmarkStart w:id="1016" w:name="_Toc280868708"/>
      <w:bookmarkStart w:id="1017" w:name="_Toc280868709"/>
      <w:r>
        <w:rPr>
          <w:rStyle w:val="8"/>
          <w:rFonts w:ascii="宋体" w:hAnsi="宋体"/>
          <w:color w:val="auto"/>
          <w:kern w:val="2"/>
          <w:sz w:val="24"/>
          <w:szCs w:val="24"/>
          <w:highlight w:val="none"/>
        </w:rPr>
        <w:t>13.2.2竣工验收程序</w:t>
      </w:r>
    </w:p>
    <w:bookmarkEnd w:id="1012"/>
    <w:p w14:paraId="0DA6E909">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关于竣工验收程序的约定：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p>
    <w:p w14:paraId="574FD6F8">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发包人不按照本项约定组织竣工验收、颁发工程接收证书的违约金的计算方法：</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4DDAFDC9">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1013"/>
    <w:p w14:paraId="088AF3F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13.2.5移交、接收全部与部分工程</w:t>
      </w:r>
    </w:p>
    <w:bookmarkEnd w:id="1014"/>
    <w:p w14:paraId="6DFA851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承包人向发包人移交工程的期限：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乙方向政府相关部门报验并通过审核验收合格后,整体工程验收后10天内，承包人须无条件向发包人移交全部工程   。</w:t>
      </w:r>
    </w:p>
    <w:p w14:paraId="33D19900">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发包人未按本合同约定接收全部或部分工程的，违约金的计算方法为：</w:t>
      </w:r>
      <w:r>
        <w:rPr>
          <w:rStyle w:val="8"/>
          <w:rFonts w:hint="eastAsia" w:ascii="宋体" w:hAnsi="宋体"/>
          <w:color w:val="auto"/>
          <w:kern w:val="2"/>
          <w:sz w:val="24"/>
          <w:szCs w:val="24"/>
          <w:highlight w:val="none"/>
          <w:u w:val="single"/>
        </w:rPr>
        <w:t xml:space="preserve">  /  </w:t>
      </w:r>
    </w:p>
    <w:bookmarkEnd w:id="1015"/>
    <w:p w14:paraId="20EE02B4">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承包人未按时移交工程的，违约金的计算方法为：</w:t>
      </w:r>
      <w:r>
        <w:rPr>
          <w:rStyle w:val="8"/>
          <w:rFonts w:hint="eastAsia" w:ascii="宋体" w:hAnsi="宋体"/>
          <w:color w:val="auto"/>
          <w:kern w:val="2"/>
          <w:sz w:val="24"/>
          <w:szCs w:val="24"/>
          <w:highlight w:val="none"/>
          <w:u w:val="single"/>
        </w:rPr>
        <w:t xml:space="preserve">  / </w:t>
      </w:r>
    </w:p>
    <w:p w14:paraId="5DACD2F7">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13.3 工程试车</w:t>
      </w:r>
    </w:p>
    <w:bookmarkEnd w:id="1016"/>
    <w:p w14:paraId="1104646D">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13.3.1 试车程序</w:t>
      </w:r>
    </w:p>
    <w:p w14:paraId="311E0AFF">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工程试车内容：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51970DEB">
      <w:pPr>
        <w:pStyle w:val="13"/>
        <w:spacing w:line="360" w:lineRule="auto"/>
        <w:jc w:val="left"/>
        <w:rPr>
          <w:rStyle w:val="8"/>
          <w:rFonts w:ascii="宋体" w:hAnsi="宋体"/>
          <w:color w:val="auto"/>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D008945">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（1）单机无负荷试车费用由</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承担；</w:t>
      </w:r>
    </w:p>
    <w:p w14:paraId="36265D07">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（2）无负荷联动试车费用由</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承担。</w:t>
      </w:r>
    </w:p>
    <w:p w14:paraId="2B189318">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13.3.3 投料试车</w:t>
      </w:r>
    </w:p>
    <w:p w14:paraId="6AEACBC8">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关于投料试车相关事项的约定：</w:t>
      </w:r>
      <w:r>
        <w:rPr>
          <w:rStyle w:val="8"/>
          <w:rFonts w:hint="eastAsia" w:ascii="宋体" w:hAnsi="宋体"/>
          <w:color w:val="auto"/>
          <w:kern w:val="2"/>
          <w:sz w:val="24"/>
          <w:szCs w:val="24"/>
          <w:highlight w:val="none"/>
          <w:u w:val="single"/>
        </w:rPr>
        <w:t xml:space="preserve">                           </w:t>
      </w:r>
    </w:p>
    <w:p w14:paraId="36314F8D">
      <w:pPr>
        <w:pStyle w:val="13"/>
        <w:spacing w:line="360" w:lineRule="auto"/>
        <w:jc w:val="left"/>
        <w:rPr>
          <w:rStyle w:val="8"/>
          <w:rFonts w:ascii="宋体" w:hAnsi="宋体"/>
          <w:color w:val="auto"/>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B9257C3">
      <w:pPr>
        <w:pStyle w:val="13"/>
        <w:spacing w:after="120" w:line="360" w:lineRule="auto"/>
        <w:ind w:firstLine="480" w:firstLineChars="200"/>
        <w:rPr>
          <w:rStyle w:val="8"/>
          <w:rFonts w:ascii="宋体" w:hAnsi="宋体"/>
          <w:color w:val="auto"/>
          <w:kern w:val="2"/>
          <w:sz w:val="24"/>
          <w:szCs w:val="24"/>
          <w:highlight w:val="none"/>
        </w:rPr>
      </w:pPr>
      <w:bookmarkStart w:id="1018" w:name="_Toc45291960"/>
      <w:bookmarkStart w:id="1019" w:name="_Toc256000113"/>
      <w:bookmarkStart w:id="1020" w:name="_Toc59198340"/>
      <w:bookmarkStart w:id="1021" w:name="_Toc351203646"/>
      <w:r>
        <w:rPr>
          <w:rStyle w:val="8"/>
          <w:rFonts w:hint="eastAsia" w:ascii="宋体" w:hAnsi="宋体"/>
          <w:color w:val="auto"/>
          <w:kern w:val="2"/>
          <w:sz w:val="24"/>
          <w:szCs w:val="24"/>
          <w:highlight w:val="none"/>
        </w:rPr>
        <w:t>13.6 竣工退场</w:t>
      </w:r>
      <w:bookmarkEnd w:id="1018"/>
      <w:bookmarkEnd w:id="1019"/>
      <w:bookmarkEnd w:id="1020"/>
    </w:p>
    <w:p w14:paraId="7E44FBA5">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13.6.1 竣工退场</w:t>
      </w:r>
    </w:p>
    <w:p w14:paraId="383D1D3A">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承包人完成竣工退场的期限：</w:t>
      </w:r>
      <w:r>
        <w:rPr>
          <w:rStyle w:val="8"/>
          <w:rFonts w:hint="eastAsia" w:ascii="宋体" w:hAnsi="宋体"/>
          <w:color w:val="auto"/>
          <w:kern w:val="2"/>
          <w:sz w:val="24"/>
          <w:szCs w:val="24"/>
          <w:highlight w:val="none"/>
          <w:u w:val="single"/>
        </w:rPr>
        <w:t xml:space="preserve"> 竣工验收合格，并提交完整的工程存档资料后退场  。</w:t>
      </w:r>
    </w:p>
    <w:p w14:paraId="0DEAABAC">
      <w:pPr>
        <w:pStyle w:val="15"/>
        <w:spacing w:before="120" w:after="120" w:line="360" w:lineRule="auto"/>
        <w:outlineLvl w:val="9"/>
        <w:rPr>
          <w:rStyle w:val="8"/>
          <w:rFonts w:ascii="宋体" w:hAnsi="宋体" w:eastAsia="宋体"/>
          <w:b w:val="0"/>
          <w:color w:val="auto"/>
          <w:sz w:val="24"/>
          <w:szCs w:val="24"/>
          <w:highlight w:val="none"/>
        </w:rPr>
      </w:pPr>
      <w:bookmarkStart w:id="1022" w:name="_Toc256000849"/>
      <w:bookmarkStart w:id="1023" w:name="_Toc69461828"/>
      <w:bookmarkStart w:id="1024" w:name="_Toc256000582"/>
      <w:bookmarkStart w:id="1025" w:name="_Toc256000353"/>
      <w:bookmarkStart w:id="1026" w:name="_Toc69461173"/>
      <w:bookmarkStart w:id="1027" w:name="_Toc24276"/>
      <w:bookmarkStart w:id="1028" w:name="_Toc8609"/>
      <w:bookmarkStart w:id="1029" w:name="_Toc256001086"/>
      <w:bookmarkStart w:id="1030" w:name="_Toc256001316"/>
      <w:r>
        <w:rPr>
          <w:rStyle w:val="8"/>
          <w:rFonts w:ascii="宋体" w:hAnsi="宋体" w:eastAsia="宋体"/>
          <w:b w:val="0"/>
          <w:color w:val="auto"/>
          <w:sz w:val="24"/>
          <w:szCs w:val="24"/>
          <w:highlight w:val="none"/>
        </w:rPr>
        <w:t>14. 竣工结算</w:t>
      </w:r>
      <w:bookmarkEnd w:id="1021"/>
      <w:bookmarkEnd w:id="1022"/>
      <w:bookmarkEnd w:id="1023"/>
      <w:bookmarkEnd w:id="1024"/>
      <w:bookmarkEnd w:id="1025"/>
      <w:bookmarkEnd w:id="1026"/>
      <w:bookmarkEnd w:id="1027"/>
      <w:bookmarkEnd w:id="1028"/>
      <w:bookmarkEnd w:id="1029"/>
      <w:bookmarkEnd w:id="1030"/>
    </w:p>
    <w:p w14:paraId="11D9F1E0">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14.1 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w:t>
      </w:r>
    </w:p>
    <w:p w14:paraId="7DB8F6C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0A2D1E6">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申请单应包括的内容：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1E140ACF">
      <w:pPr>
        <w:pStyle w:val="13"/>
        <w:spacing w:after="120" w:line="360" w:lineRule="auto"/>
        <w:ind w:firstLine="480" w:firstLineChars="200"/>
        <w:outlineLvl w:val="9"/>
        <w:rPr>
          <w:rStyle w:val="8"/>
          <w:rFonts w:ascii="宋体" w:hAnsi="宋体"/>
          <w:color w:val="auto"/>
          <w:kern w:val="2"/>
          <w:sz w:val="24"/>
          <w:szCs w:val="24"/>
          <w:highlight w:val="none"/>
        </w:rPr>
      </w:pPr>
      <w:bookmarkStart w:id="1031" w:name="_Toc711"/>
      <w:bookmarkStart w:id="1032" w:name="_Toc256001317"/>
      <w:bookmarkStart w:id="1033" w:name="_Toc256000850"/>
      <w:bookmarkStart w:id="1034" w:name="_Toc28482"/>
      <w:bookmarkStart w:id="1035" w:name="_Toc256000583"/>
      <w:bookmarkStart w:id="1036" w:name="_Toc18186"/>
      <w:bookmarkStart w:id="1037" w:name="_Toc256001087"/>
      <w:bookmarkStart w:id="1038" w:name="_Toc256000064"/>
      <w:bookmarkStart w:id="1039" w:name="_Toc2368"/>
      <w:bookmarkStart w:id="1040" w:name="_Toc256000097"/>
      <w:bookmarkStart w:id="1041" w:name="_Toc69461174"/>
      <w:bookmarkStart w:id="1042" w:name="_Toc256000354"/>
      <w:bookmarkStart w:id="1043" w:name="_Toc69461829"/>
      <w:r>
        <w:rPr>
          <w:rStyle w:val="8"/>
          <w:rFonts w:ascii="宋体" w:hAnsi="宋体"/>
          <w:color w:val="auto"/>
          <w:kern w:val="2"/>
          <w:sz w:val="24"/>
          <w:szCs w:val="24"/>
          <w:highlight w:val="none"/>
        </w:rPr>
        <w:t>14.2 竣工结算审核</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29E637D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竣工付款申请单的期限：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430CB7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发包人完成竣工付款的期限：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DC8350D">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关于竣工付款证书异议部分复核的方式和程序：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536F2062">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75BCA94">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14.4 最终结清</w:t>
      </w:r>
    </w:p>
    <w:p w14:paraId="1381CB63">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14.4.1 最终结清申请单</w:t>
      </w:r>
    </w:p>
    <w:p w14:paraId="795ED6D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承包人提交最终结清申请单的份数：</w:t>
      </w:r>
      <w:r>
        <w:rPr>
          <w:rStyle w:val="8"/>
          <w:rFonts w:hint="eastAsia" w:ascii="宋体" w:hAnsi="宋体"/>
          <w:color w:val="auto"/>
          <w:kern w:val="2"/>
          <w:sz w:val="24"/>
          <w:szCs w:val="24"/>
          <w:highlight w:val="none"/>
          <w:u w:val="single"/>
        </w:rPr>
        <w:t>承包人向发包人提交6套，同时相应备有全套PDF电子文件，以及计算价款的可编辑电子文档，一并递交发包人  。</w:t>
      </w:r>
    </w:p>
    <w:p w14:paraId="44DBA1E2">
      <w:pPr>
        <w:pStyle w:val="13"/>
        <w:spacing w:line="360" w:lineRule="auto"/>
        <w:ind w:firstLine="480" w:firstLineChars="200"/>
        <w:jc w:val="left"/>
        <w:rPr>
          <w:rStyle w:val="8"/>
          <w:rFonts w:ascii="宋体" w:hAnsi="宋体"/>
          <w:color w:val="auto"/>
          <w:sz w:val="24"/>
          <w:szCs w:val="24"/>
          <w:highlight w:val="none"/>
        </w:rPr>
      </w:pPr>
    </w:p>
    <w:p w14:paraId="4E53793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承包人提交最终结算申请单的期限：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14:paraId="37373F18">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14.4.2 最终结清证书和支付</w:t>
      </w:r>
    </w:p>
    <w:p w14:paraId="3AC6FBAF">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（1）发包人完成最终结清申请单的</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并颁发最终结清证书的期限：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由双方另行商定</w:t>
      </w:r>
      <w:r>
        <w:rPr>
          <w:rStyle w:val="8"/>
          <w:rFonts w:ascii="宋体" w:hAnsi="宋体"/>
          <w:color w:val="auto"/>
          <w:kern w:val="2"/>
          <w:sz w:val="24"/>
          <w:szCs w:val="24"/>
          <w:highlight w:val="none"/>
          <w:u w:val="single"/>
        </w:rPr>
        <w:t>。</w:t>
      </w:r>
    </w:p>
    <w:p w14:paraId="7045632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（2）发包人完成支付的期限：</w:t>
      </w:r>
      <w:r>
        <w:rPr>
          <w:rStyle w:val="8"/>
          <w:rFonts w:hint="eastAsia" w:ascii="宋体" w:hAnsi="宋体"/>
          <w:color w:val="auto"/>
          <w:kern w:val="2"/>
          <w:sz w:val="24"/>
          <w:szCs w:val="24"/>
          <w:highlight w:val="none"/>
          <w:u w:val="single"/>
        </w:rPr>
        <w:t xml:space="preserve">由双方另行商定 </w:t>
      </w:r>
    </w:p>
    <w:bookmarkEnd w:id="1005"/>
    <w:bookmarkEnd w:id="1006"/>
    <w:bookmarkEnd w:id="1007"/>
    <w:bookmarkEnd w:id="1008"/>
    <w:bookmarkEnd w:id="1009"/>
    <w:bookmarkEnd w:id="1010"/>
    <w:bookmarkEnd w:id="1011"/>
    <w:bookmarkEnd w:id="1017"/>
    <w:p w14:paraId="4C4C5717">
      <w:pPr>
        <w:pStyle w:val="15"/>
        <w:spacing w:before="120" w:after="120" w:line="360" w:lineRule="auto"/>
        <w:outlineLvl w:val="9"/>
        <w:rPr>
          <w:rStyle w:val="8"/>
          <w:rFonts w:ascii="宋体" w:hAnsi="宋体" w:eastAsia="宋体"/>
          <w:b w:val="0"/>
          <w:color w:val="auto"/>
          <w:sz w:val="24"/>
          <w:szCs w:val="24"/>
          <w:highlight w:val="none"/>
        </w:rPr>
      </w:pPr>
      <w:bookmarkStart w:id="1044" w:name="_Toc256000355"/>
      <w:bookmarkStart w:id="1045" w:name="_Toc256000851"/>
      <w:bookmarkStart w:id="1046" w:name="_Toc32547"/>
      <w:bookmarkStart w:id="1047" w:name="_Toc69461830"/>
      <w:bookmarkStart w:id="1048" w:name="_Toc256001088"/>
      <w:bookmarkStart w:id="1049" w:name="_Toc351203647"/>
      <w:bookmarkStart w:id="1050" w:name="_Toc256001318"/>
      <w:bookmarkStart w:id="1051" w:name="_Toc256000584"/>
      <w:bookmarkStart w:id="1052" w:name="_Toc17923"/>
      <w:bookmarkStart w:id="1053" w:name="_Toc69461175"/>
      <w:bookmarkStart w:id="1054" w:name="_Toc267251483"/>
      <w:bookmarkStart w:id="1055" w:name="_Toc267251484"/>
      <w:bookmarkStart w:id="1056" w:name="_Toc267251482"/>
      <w:bookmarkStart w:id="1057" w:name="_Toc267251485"/>
      <w:bookmarkStart w:id="1058" w:name="_Toc267251489"/>
      <w:bookmarkStart w:id="1059" w:name="_Toc267251490"/>
      <w:bookmarkStart w:id="1060" w:name="_Toc267251486"/>
      <w:bookmarkStart w:id="1061" w:name="_Toc267251488"/>
      <w:bookmarkStart w:id="1062" w:name="_Toc267251494"/>
      <w:bookmarkStart w:id="1063" w:name="_Toc267251503"/>
      <w:bookmarkStart w:id="1064" w:name="_Toc267251496"/>
      <w:bookmarkStart w:id="1065" w:name="_Toc267251498"/>
      <w:bookmarkStart w:id="1066" w:name="_Toc267251491"/>
      <w:bookmarkStart w:id="1067" w:name="_Toc267251495"/>
      <w:bookmarkStart w:id="1068" w:name="_Toc267251497"/>
      <w:bookmarkStart w:id="1069" w:name="_Toc267251499"/>
      <w:bookmarkStart w:id="1070" w:name="_Toc267251493"/>
      <w:bookmarkStart w:id="1071" w:name="_Toc267251502"/>
      <w:bookmarkStart w:id="1072" w:name="_Toc267251492"/>
      <w:bookmarkStart w:id="1073" w:name="_Toc267251501"/>
      <w:bookmarkStart w:id="1074" w:name="_Toc267251504"/>
      <w:bookmarkStart w:id="1075" w:name="_Toc267251506"/>
      <w:bookmarkStart w:id="1076" w:name="_Toc267251507"/>
      <w:bookmarkStart w:id="1077" w:name="_Toc267251508"/>
      <w:bookmarkStart w:id="1078" w:name="_Toc267251511"/>
      <w:bookmarkStart w:id="1079" w:name="_Toc267251513"/>
      <w:bookmarkStart w:id="1080" w:name="_Toc267251514"/>
      <w:bookmarkStart w:id="1081" w:name="_Toc267251509"/>
      <w:bookmarkStart w:id="1082" w:name="_Toc267251510"/>
      <w:bookmarkStart w:id="1083" w:name="_Toc267251515"/>
      <w:r>
        <w:rPr>
          <w:rStyle w:val="8"/>
          <w:rFonts w:ascii="宋体" w:hAnsi="宋体" w:eastAsia="宋体"/>
          <w:b w:val="0"/>
          <w:color w:val="auto"/>
          <w:sz w:val="24"/>
          <w:szCs w:val="24"/>
          <w:highlight w:val="none"/>
        </w:rPr>
        <w:t>15. 缺陷责任期与保修</w:t>
      </w:r>
      <w:bookmarkEnd w:id="1044"/>
      <w:bookmarkEnd w:id="1045"/>
      <w:bookmarkEnd w:id="1046"/>
      <w:bookmarkEnd w:id="1047"/>
      <w:bookmarkEnd w:id="1048"/>
      <w:bookmarkEnd w:id="1049"/>
      <w:bookmarkEnd w:id="1050"/>
      <w:bookmarkEnd w:id="1051"/>
      <w:bookmarkEnd w:id="1052"/>
      <w:bookmarkEnd w:id="1053"/>
    </w:p>
    <w:p w14:paraId="24C9F77E">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15.2缺陷责任期</w:t>
      </w:r>
      <w:bookmarkEnd w:id="1054"/>
    </w:p>
    <w:p w14:paraId="6BD6E152">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缺陷责任期的具体期限：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除国家规定的期限外其余为 24个月 </w:t>
      </w:r>
    </w:p>
    <w:p w14:paraId="71A41213">
      <w:pPr>
        <w:pStyle w:val="13"/>
        <w:spacing w:after="120" w:line="360" w:lineRule="auto"/>
        <w:ind w:firstLine="480" w:firstLineChars="200"/>
        <w:outlineLvl w:val="9"/>
        <w:rPr>
          <w:rStyle w:val="8"/>
          <w:rFonts w:ascii="宋体" w:hAnsi="宋体"/>
          <w:color w:val="auto"/>
          <w:kern w:val="2"/>
          <w:sz w:val="24"/>
          <w:szCs w:val="24"/>
          <w:highlight w:val="none"/>
        </w:rPr>
      </w:pPr>
      <w:bookmarkStart w:id="1084" w:name="_Toc22833"/>
      <w:bookmarkStart w:id="1085" w:name="_Toc256000098"/>
      <w:bookmarkStart w:id="1086" w:name="_Toc256000585"/>
      <w:bookmarkStart w:id="1087" w:name="_Toc256000356"/>
      <w:bookmarkStart w:id="1088" w:name="_Toc69461176"/>
      <w:bookmarkStart w:id="1089" w:name="_Toc21420"/>
      <w:bookmarkStart w:id="1090" w:name="_Toc2864"/>
      <w:bookmarkStart w:id="1091" w:name="_Toc256001089"/>
      <w:bookmarkStart w:id="1092" w:name="_Toc256000852"/>
      <w:bookmarkStart w:id="1093" w:name="_Toc256000065"/>
      <w:bookmarkStart w:id="1094" w:name="_Toc13307"/>
      <w:bookmarkStart w:id="1095" w:name="_Toc256001319"/>
      <w:bookmarkStart w:id="1096" w:name="_Toc69461831"/>
      <w:r>
        <w:rPr>
          <w:rStyle w:val="8"/>
          <w:rFonts w:ascii="宋体" w:hAnsi="宋体"/>
          <w:color w:val="auto"/>
          <w:kern w:val="2"/>
          <w:sz w:val="24"/>
          <w:szCs w:val="24"/>
          <w:highlight w:val="none"/>
        </w:rPr>
        <w:t>15.3 质量保证金</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3776A1C3">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关于是否扣留质量保证金的约定：</w:t>
      </w:r>
      <w:r>
        <w:rPr>
          <w:rStyle w:val="8"/>
          <w:rFonts w:hint="eastAsia" w:ascii="宋体" w:hAnsi="宋体"/>
          <w:color w:val="auto"/>
          <w:kern w:val="2"/>
          <w:sz w:val="24"/>
          <w:szCs w:val="24"/>
          <w:highlight w:val="none"/>
          <w:u w:val="single"/>
        </w:rPr>
        <w:t xml:space="preserve"> 扣留</w:t>
      </w:r>
      <w:r>
        <w:rPr>
          <w:rStyle w:val="8"/>
          <w:rFonts w:ascii="宋体" w:hAnsi="宋体"/>
          <w:color w:val="auto"/>
          <w:kern w:val="2"/>
          <w:sz w:val="24"/>
          <w:szCs w:val="24"/>
          <w:highlight w:val="none"/>
        </w:rPr>
        <w:t>。</w:t>
      </w:r>
      <w:r>
        <w:rPr>
          <w:rStyle w:val="8"/>
          <w:rFonts w:hint="eastAsia" w:ascii="宋体" w:hAnsi="宋体"/>
          <w:color w:val="auto"/>
          <w:kern w:val="2"/>
          <w:sz w:val="24"/>
          <w:szCs w:val="24"/>
          <w:highlight w:val="none"/>
        </w:rPr>
        <w:t>在工程项目竣工前，承包人按专用合同条款第3.7条提供履约担保的，发包人不得同时预留工程质量保证金。</w:t>
      </w:r>
    </w:p>
    <w:p w14:paraId="1C7EB559">
      <w:pPr>
        <w:pStyle w:val="13"/>
        <w:spacing w:line="360" w:lineRule="auto"/>
        <w:ind w:firstLine="480" w:firstLineChars="200"/>
        <w:jc w:val="left"/>
        <w:rPr>
          <w:rStyle w:val="8"/>
          <w:rFonts w:ascii="宋体" w:hAnsi="宋体"/>
          <w:color w:val="auto"/>
          <w:kern w:val="2"/>
          <w:sz w:val="24"/>
          <w:szCs w:val="24"/>
          <w:highlight w:val="none"/>
        </w:rPr>
      </w:pPr>
    </w:p>
    <w:p w14:paraId="653EE682">
      <w:pPr>
        <w:pStyle w:val="13"/>
        <w:spacing w:line="360" w:lineRule="auto"/>
        <w:ind w:firstLine="480" w:firstLineChars="200"/>
        <w:jc w:val="left"/>
        <w:outlineLvl w:val="9"/>
        <w:rPr>
          <w:rStyle w:val="8"/>
          <w:rFonts w:ascii="宋体" w:hAnsi="宋体"/>
          <w:color w:val="auto"/>
          <w:kern w:val="2"/>
          <w:sz w:val="24"/>
          <w:szCs w:val="24"/>
          <w:highlight w:val="none"/>
        </w:rPr>
      </w:pPr>
      <w:bookmarkStart w:id="1097" w:name="_Toc5682"/>
      <w:bookmarkStart w:id="1098" w:name="_Toc256000853"/>
      <w:bookmarkStart w:id="1099" w:name="_Toc69461177"/>
      <w:bookmarkStart w:id="1100" w:name="_Toc4515"/>
      <w:bookmarkStart w:id="1101" w:name="_Toc256001090"/>
      <w:bookmarkStart w:id="1102" w:name="_Toc7166"/>
      <w:bookmarkStart w:id="1103" w:name="_Toc256000586"/>
      <w:bookmarkStart w:id="1104" w:name="_Toc69461832"/>
      <w:bookmarkStart w:id="1105" w:name="_Toc256001320"/>
      <w:bookmarkStart w:id="1106" w:name="_Toc256000357"/>
      <w:bookmarkStart w:id="1107" w:name="_Toc256000099"/>
      <w:bookmarkStart w:id="1108" w:name="_Toc256000066"/>
      <w:bookmarkStart w:id="1109" w:name="_Toc12317"/>
      <w:r>
        <w:rPr>
          <w:rStyle w:val="8"/>
          <w:rFonts w:ascii="宋体" w:hAnsi="宋体"/>
          <w:color w:val="auto"/>
          <w:kern w:val="2"/>
          <w:sz w:val="24"/>
          <w:szCs w:val="24"/>
          <w:highlight w:val="none"/>
        </w:rPr>
        <w:t xml:space="preserve">15.3.1 </w:t>
      </w:r>
      <w:r>
        <w:rPr>
          <w:rStyle w:val="8"/>
          <w:rFonts w:hint="eastAsia" w:ascii="宋体" w:hAnsi="宋体"/>
          <w:color w:val="auto"/>
          <w:kern w:val="2"/>
          <w:sz w:val="24"/>
          <w:szCs w:val="24"/>
          <w:highlight w:val="none"/>
        </w:rPr>
        <w:t>承包人提供</w:t>
      </w:r>
      <w:r>
        <w:rPr>
          <w:rStyle w:val="8"/>
          <w:rFonts w:ascii="宋体" w:hAnsi="宋体"/>
          <w:color w:val="auto"/>
          <w:kern w:val="2"/>
          <w:sz w:val="24"/>
          <w:szCs w:val="24"/>
          <w:highlight w:val="none"/>
        </w:rPr>
        <w:t>质量保证金的</w:t>
      </w:r>
      <w:r>
        <w:rPr>
          <w:rStyle w:val="8"/>
          <w:rFonts w:hint="eastAsia" w:ascii="宋体" w:hAnsi="宋体"/>
          <w:color w:val="auto"/>
          <w:kern w:val="2"/>
          <w:sz w:val="24"/>
          <w:szCs w:val="24"/>
          <w:highlight w:val="none"/>
        </w:rPr>
        <w:t>方</w:t>
      </w:r>
      <w:r>
        <w:rPr>
          <w:rStyle w:val="8"/>
          <w:rFonts w:ascii="宋体" w:hAnsi="宋体"/>
          <w:color w:val="auto"/>
          <w:kern w:val="2"/>
          <w:sz w:val="24"/>
          <w:szCs w:val="24"/>
          <w:highlight w:val="none"/>
        </w:rPr>
        <w:t>式</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023F44F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质量保证金采用以下第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3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p>
    <w:p w14:paraId="68B01299">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（1）质量保证金保函，保证金额为：</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 xml:space="preserve">； </w:t>
      </w:r>
    </w:p>
    <w:p w14:paraId="6D429431">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%的工程款；</w:t>
      </w:r>
    </w:p>
    <w:p w14:paraId="5C000EB5">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（3）其他</w:t>
      </w:r>
      <w:r>
        <w:rPr>
          <w:rStyle w:val="8"/>
          <w:rFonts w:hint="eastAsia" w:ascii="宋体" w:hAnsi="宋体"/>
          <w:color w:val="auto"/>
          <w:sz w:val="24"/>
          <w:szCs w:val="24"/>
          <w:highlight w:val="none"/>
        </w:rPr>
        <w:t>方</w:t>
      </w:r>
      <w:r>
        <w:rPr>
          <w:rStyle w:val="8"/>
          <w:rFonts w:ascii="宋体" w:hAnsi="宋体"/>
          <w:color w:val="auto"/>
          <w:sz w:val="24"/>
          <w:szCs w:val="24"/>
          <w:highlight w:val="none"/>
        </w:rPr>
        <w:t>式:</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 xml:space="preserve">工程结算价款的3%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4758BF5B">
      <w:pPr>
        <w:pStyle w:val="13"/>
        <w:spacing w:line="360" w:lineRule="auto"/>
        <w:ind w:firstLine="480" w:firstLineChars="200"/>
        <w:jc w:val="left"/>
        <w:outlineLvl w:val="9"/>
        <w:rPr>
          <w:rStyle w:val="8"/>
          <w:rFonts w:ascii="宋体" w:hAnsi="宋体"/>
          <w:color w:val="auto"/>
          <w:kern w:val="2"/>
          <w:sz w:val="24"/>
          <w:szCs w:val="24"/>
          <w:highlight w:val="none"/>
        </w:rPr>
      </w:pPr>
      <w:bookmarkStart w:id="1110" w:name="_Toc256000067"/>
      <w:bookmarkStart w:id="1111" w:name="_Toc256000587"/>
      <w:bookmarkStart w:id="1112" w:name="_Toc256000854"/>
      <w:bookmarkStart w:id="1113" w:name="_Toc69461178"/>
      <w:bookmarkStart w:id="1114" w:name="_Toc69461833"/>
      <w:bookmarkStart w:id="1115" w:name="_Toc5117"/>
      <w:bookmarkStart w:id="1116" w:name="_Toc256001091"/>
      <w:bookmarkStart w:id="1117" w:name="_Toc30860"/>
      <w:bookmarkStart w:id="1118" w:name="_Toc4390"/>
      <w:bookmarkStart w:id="1119" w:name="_Toc32324"/>
      <w:bookmarkStart w:id="1120" w:name="_Toc256000100"/>
      <w:bookmarkStart w:id="1121" w:name="_Toc256001321"/>
      <w:bookmarkStart w:id="1122" w:name="_Toc256000358"/>
      <w:r>
        <w:rPr>
          <w:rStyle w:val="8"/>
          <w:rFonts w:ascii="宋体" w:hAnsi="宋体"/>
          <w:color w:val="auto"/>
          <w:kern w:val="2"/>
          <w:sz w:val="24"/>
          <w:szCs w:val="24"/>
          <w:highlight w:val="none"/>
        </w:rPr>
        <w:t>15.3.2 质量保证金的扣留</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r>
        <w:rPr>
          <w:rStyle w:val="8"/>
          <w:rFonts w:ascii="宋体" w:hAnsi="宋体"/>
          <w:color w:val="auto"/>
          <w:kern w:val="2"/>
          <w:sz w:val="24"/>
          <w:szCs w:val="24"/>
          <w:highlight w:val="none"/>
        </w:rPr>
        <w:t xml:space="preserve"> </w:t>
      </w:r>
    </w:p>
    <w:p w14:paraId="6ED7644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质量保证金的扣留采取以下第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(2)</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p>
    <w:p w14:paraId="5F9B1C82">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（1）在支付工程进度款时逐次扣留，在此情形下，质量保证金的计算基数不包括预付款的支付、扣回以及价格调整的金额；</w:t>
      </w:r>
    </w:p>
    <w:p w14:paraId="6E9D1DBA">
      <w:pPr>
        <w:pStyle w:val="13"/>
        <w:autoSpaceDE w:val="0"/>
        <w:autoSpaceDN w:val="0"/>
        <w:adjustRightInd w:val="0"/>
        <w:spacing w:line="360" w:lineRule="auto"/>
        <w:ind w:firstLine="480" w:firstLineChars="200"/>
        <w:jc w:val="left"/>
        <w:outlineLvl w:val="9"/>
        <w:rPr>
          <w:rStyle w:val="8"/>
          <w:rFonts w:ascii="宋体" w:hAnsi="宋体"/>
          <w:color w:val="auto"/>
          <w:sz w:val="24"/>
          <w:szCs w:val="24"/>
          <w:highlight w:val="none"/>
        </w:rPr>
      </w:pPr>
      <w:bookmarkStart w:id="1123" w:name="_Toc256000068"/>
      <w:bookmarkStart w:id="1124" w:name="_Toc256000101"/>
      <w:bookmarkStart w:id="1125" w:name="_Toc29412"/>
      <w:bookmarkStart w:id="1126" w:name="_Toc15723"/>
      <w:bookmarkStart w:id="1127" w:name="_Toc256000588"/>
      <w:bookmarkStart w:id="1128" w:name="_Toc256000359"/>
      <w:bookmarkStart w:id="1129" w:name="_Toc69461834"/>
      <w:bookmarkStart w:id="1130" w:name="_Toc21525"/>
      <w:bookmarkStart w:id="1131" w:name="_Toc69461179"/>
      <w:bookmarkStart w:id="1132" w:name="_Toc31254"/>
      <w:bookmarkStart w:id="1133" w:name="_Toc256001092"/>
      <w:bookmarkStart w:id="1134" w:name="_Toc256000855"/>
      <w:bookmarkStart w:id="1135" w:name="_Toc256001322"/>
      <w:r>
        <w:rPr>
          <w:rStyle w:val="8"/>
          <w:rFonts w:ascii="宋体" w:hAnsi="宋体"/>
          <w:color w:val="auto"/>
          <w:sz w:val="24"/>
          <w:szCs w:val="24"/>
          <w:highlight w:val="none"/>
        </w:rPr>
        <w:t>（2）工程竣工结算时一次性扣留质量保证金；</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7D4FED78">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（3）其他扣留方式:</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201658ED">
      <w:pPr>
        <w:pStyle w:val="13"/>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kern w:val="2"/>
          <w:sz w:val="24"/>
          <w:szCs w:val="24"/>
          <w:highlight w:val="none"/>
        </w:rPr>
        <w:t>关于质量保证金的补充约定：</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p>
    <w:p w14:paraId="4BA241C0">
      <w:pPr>
        <w:pStyle w:val="13"/>
        <w:spacing w:line="360" w:lineRule="auto"/>
        <w:jc w:val="left"/>
        <w:rPr>
          <w:rStyle w:val="8"/>
          <w:rFonts w:ascii="宋体" w:hAnsi="宋体"/>
          <w:color w:val="auto"/>
          <w:kern w:val="2"/>
          <w:sz w:val="24"/>
          <w:szCs w:val="24"/>
          <w:highlight w:val="none"/>
        </w:rPr>
      </w:pP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rPr>
        <w:t>。</w:t>
      </w:r>
    </w:p>
    <w:bookmarkEnd w:id="1055"/>
    <w:bookmarkEnd w:id="1056"/>
    <w:p w14:paraId="536E3AC7">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15.4保修</w:t>
      </w:r>
    </w:p>
    <w:bookmarkEnd w:id="1057"/>
    <w:p w14:paraId="298D3B61">
      <w:pPr>
        <w:pStyle w:val="13"/>
        <w:spacing w:line="360" w:lineRule="auto"/>
        <w:ind w:firstLine="468" w:firstLineChars="195"/>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15.4.1 保修责任</w:t>
      </w:r>
    </w:p>
    <w:p w14:paraId="2B238878">
      <w:pPr>
        <w:pStyle w:val="14"/>
        <w:spacing w:line="360" w:lineRule="auto"/>
        <w:ind w:firstLine="468" w:firstLineChars="19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工程保修期为：</w:t>
      </w:r>
      <w:r>
        <w:rPr>
          <w:rStyle w:val="8"/>
          <w:rFonts w:ascii="宋体" w:hAnsi="宋体"/>
          <w:color w:val="auto"/>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按照 《</w:t>
      </w:r>
      <w:r>
        <w:rPr>
          <w:rStyle w:val="8"/>
          <w:rFonts w:hint="eastAsia" w:ascii="宋体" w:hAnsi="宋体"/>
          <w:color w:val="auto"/>
          <w:kern w:val="2"/>
          <w:sz w:val="24"/>
          <w:szCs w:val="24"/>
          <w:highlight w:val="none"/>
          <w:u w:val="single"/>
          <w:lang w:eastAsia="zh-CN"/>
        </w:rPr>
        <w:t>建设工程质量管理条例</w:t>
      </w:r>
      <w:r>
        <w:rPr>
          <w:rStyle w:val="8"/>
          <w:rFonts w:hint="eastAsia" w:ascii="宋体" w:hAnsi="宋体"/>
          <w:color w:val="auto"/>
          <w:kern w:val="2"/>
          <w:sz w:val="24"/>
          <w:szCs w:val="24"/>
          <w:highlight w:val="none"/>
          <w:u w:val="single"/>
        </w:rPr>
        <w:t>》执行 。</w:t>
      </w:r>
    </w:p>
    <w:p w14:paraId="4161CAB5">
      <w:pPr>
        <w:pStyle w:val="13"/>
        <w:spacing w:line="360" w:lineRule="auto"/>
        <w:ind w:firstLine="468" w:firstLineChars="195"/>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15.4.3 修复通知</w:t>
      </w:r>
    </w:p>
    <w:p w14:paraId="6509087A">
      <w:pPr>
        <w:pStyle w:val="13"/>
        <w:spacing w:line="360" w:lineRule="auto"/>
        <w:ind w:firstLine="468" w:firstLineChars="195"/>
        <w:jc w:val="left"/>
        <w:rPr>
          <w:rStyle w:val="8"/>
          <w:rFonts w:ascii="宋体" w:hAnsi="宋体"/>
          <w:color w:val="auto"/>
          <w:sz w:val="24"/>
          <w:szCs w:val="24"/>
          <w:highlight w:val="none"/>
          <w:u w:val="single"/>
        </w:rPr>
      </w:pPr>
      <w:r>
        <w:rPr>
          <w:rStyle w:val="8"/>
          <w:rFonts w:ascii="宋体" w:hAnsi="宋体"/>
          <w:color w:val="auto"/>
          <w:sz w:val="24"/>
          <w:szCs w:val="24"/>
          <w:highlight w:val="none"/>
        </w:rPr>
        <w:t>承包人收到保修通知并到达工程现场的合理时间：</w:t>
      </w:r>
      <w:r>
        <w:rPr>
          <w:rStyle w:val="8"/>
          <w:rFonts w:ascii="宋体" w:hAnsi="宋体"/>
          <w:color w:val="auto"/>
          <w:sz w:val="24"/>
          <w:szCs w:val="24"/>
          <w:highlight w:val="none"/>
          <w:u w:val="single"/>
        </w:rPr>
        <w:t xml:space="preserve">          </w:t>
      </w:r>
    </w:p>
    <w:p w14:paraId="75ADDA47">
      <w:pPr>
        <w:pStyle w:val="13"/>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bookmarkEnd w:id="1058"/>
    <w:bookmarkEnd w:id="1059"/>
    <w:bookmarkEnd w:id="1060"/>
    <w:bookmarkEnd w:id="1061"/>
    <w:p w14:paraId="3239A4F3">
      <w:pPr>
        <w:pStyle w:val="15"/>
        <w:spacing w:before="120" w:after="120" w:line="360" w:lineRule="auto"/>
        <w:outlineLvl w:val="9"/>
        <w:rPr>
          <w:rStyle w:val="8"/>
          <w:rFonts w:ascii="宋体" w:hAnsi="宋体" w:eastAsia="宋体"/>
          <w:b w:val="0"/>
          <w:color w:val="auto"/>
          <w:sz w:val="24"/>
          <w:szCs w:val="24"/>
          <w:highlight w:val="none"/>
        </w:rPr>
      </w:pPr>
      <w:bookmarkStart w:id="1136" w:name="_Toc256000360"/>
      <w:bookmarkStart w:id="1137" w:name="_Toc256001323"/>
      <w:bookmarkStart w:id="1138" w:name="_Toc69461180"/>
      <w:bookmarkStart w:id="1139" w:name="_Toc69461835"/>
      <w:bookmarkStart w:id="1140" w:name="_Toc256000856"/>
      <w:bookmarkStart w:id="1141" w:name="_Toc7023"/>
      <w:bookmarkStart w:id="1142" w:name="_Toc256000589"/>
      <w:bookmarkStart w:id="1143" w:name="_Toc10573"/>
      <w:bookmarkStart w:id="1144" w:name="_Toc351203648"/>
      <w:bookmarkStart w:id="1145" w:name="_Toc256001093"/>
      <w:bookmarkStart w:id="1146" w:name="_Toc280868717"/>
      <w:bookmarkStart w:id="1147" w:name="_Toc280868718"/>
      <w:r>
        <w:rPr>
          <w:rStyle w:val="8"/>
          <w:rFonts w:ascii="宋体" w:hAnsi="宋体" w:eastAsia="宋体"/>
          <w:b w:val="0"/>
          <w:color w:val="auto"/>
          <w:sz w:val="24"/>
          <w:szCs w:val="24"/>
          <w:highlight w:val="none"/>
        </w:rPr>
        <w:t>16. 违约</w:t>
      </w:r>
      <w:bookmarkEnd w:id="1136"/>
      <w:bookmarkEnd w:id="1137"/>
      <w:bookmarkEnd w:id="1138"/>
      <w:bookmarkEnd w:id="1139"/>
      <w:bookmarkEnd w:id="1140"/>
      <w:bookmarkEnd w:id="1141"/>
      <w:bookmarkEnd w:id="1142"/>
      <w:bookmarkEnd w:id="1143"/>
      <w:bookmarkEnd w:id="1144"/>
      <w:bookmarkEnd w:id="1145"/>
    </w:p>
    <w:p w14:paraId="516AC883">
      <w:pPr>
        <w:pStyle w:val="13"/>
        <w:spacing w:after="120" w:line="360" w:lineRule="auto"/>
        <w:ind w:firstLine="480" w:firstLineChars="200"/>
        <w:outlineLvl w:val="9"/>
        <w:rPr>
          <w:rStyle w:val="8"/>
          <w:rFonts w:ascii="宋体" w:hAnsi="宋体"/>
          <w:color w:val="auto"/>
          <w:kern w:val="2"/>
          <w:sz w:val="24"/>
          <w:szCs w:val="24"/>
          <w:highlight w:val="none"/>
        </w:rPr>
      </w:pPr>
      <w:bookmarkStart w:id="1148" w:name="_Toc9758"/>
      <w:bookmarkStart w:id="1149" w:name="_Toc27815"/>
      <w:bookmarkStart w:id="1150" w:name="_Toc256000361"/>
      <w:bookmarkStart w:id="1151" w:name="_Toc14569"/>
      <w:bookmarkStart w:id="1152" w:name="_Toc256000857"/>
      <w:bookmarkStart w:id="1153" w:name="_Toc256000069"/>
      <w:bookmarkStart w:id="1154" w:name="_Toc256001094"/>
      <w:bookmarkStart w:id="1155" w:name="_Toc256000102"/>
      <w:bookmarkStart w:id="1156" w:name="_Toc69461181"/>
      <w:bookmarkStart w:id="1157" w:name="_Toc256000590"/>
      <w:bookmarkStart w:id="1158" w:name="_Toc69461836"/>
      <w:bookmarkStart w:id="1159" w:name="_Toc256001324"/>
      <w:bookmarkStart w:id="1160" w:name="_Toc18586"/>
      <w:r>
        <w:rPr>
          <w:rStyle w:val="8"/>
          <w:rFonts w:ascii="宋体" w:hAnsi="宋体"/>
          <w:color w:val="auto"/>
          <w:kern w:val="2"/>
          <w:sz w:val="24"/>
          <w:szCs w:val="24"/>
          <w:highlight w:val="none"/>
        </w:rPr>
        <w:t>16.1 发包人违约</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2C2EC9D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16.1.1发包人违约的情形</w:t>
      </w:r>
    </w:p>
    <w:p w14:paraId="5988954D">
      <w:pPr>
        <w:pStyle w:val="13"/>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发包人违约的其他情形：</w:t>
      </w:r>
      <w:r>
        <w:rPr>
          <w:rStyle w:val="8"/>
          <w:rFonts w:ascii="宋体" w:hAnsi="宋体"/>
          <w:color w:val="auto"/>
          <w:sz w:val="24"/>
          <w:szCs w:val="24"/>
          <w:highlight w:val="none"/>
          <w:u w:val="single"/>
        </w:rPr>
        <w:t xml:space="preserve">                                </w:t>
      </w:r>
    </w:p>
    <w:p w14:paraId="0326A1AD">
      <w:pPr>
        <w:pStyle w:val="13"/>
        <w:spacing w:line="360" w:lineRule="auto"/>
        <w:ind w:left="1200" w:hanging="1200" w:hangingChars="500"/>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0577C903">
      <w:pPr>
        <w:pStyle w:val="13"/>
        <w:spacing w:line="360" w:lineRule="auto"/>
        <w:ind w:left="1200" w:hanging="1200" w:hangingChars="500"/>
        <w:jc w:val="left"/>
        <w:rPr>
          <w:rStyle w:val="8"/>
          <w:rFonts w:ascii="宋体" w:hAnsi="宋体"/>
          <w:color w:val="auto"/>
          <w:sz w:val="24"/>
          <w:szCs w:val="24"/>
          <w:highlight w:val="none"/>
        </w:rPr>
      </w:pPr>
      <w:r>
        <w:rPr>
          <w:rStyle w:val="8"/>
          <w:rFonts w:ascii="宋体" w:hAnsi="宋体"/>
          <w:color w:val="auto"/>
          <w:sz w:val="24"/>
          <w:szCs w:val="24"/>
          <w:highlight w:val="none"/>
        </w:rPr>
        <w:t xml:space="preserve">    16.1.2 发包人违约的责任</w:t>
      </w:r>
    </w:p>
    <w:p w14:paraId="16CA44CC">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发包人违约责任的承担方式和计算方法：</w:t>
      </w:r>
    </w:p>
    <w:p w14:paraId="7C24263D">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（1）因发包人原因未能在计划开工日期前7天内下达开工通知的违约责任：</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延误的工期相应顺延，但发包人不承担任何形式的违约责任。</w:t>
      </w:r>
    </w:p>
    <w:p w14:paraId="19085608">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（2）因发包人原因未能按合同约定支付合同价款的违约责任：</w:t>
      </w:r>
      <w:r>
        <w:rPr>
          <w:rStyle w:val="8"/>
          <w:rFonts w:hint="eastAsia" w:ascii="宋体" w:hAnsi="宋体"/>
          <w:color w:val="auto"/>
          <w:kern w:val="2"/>
          <w:sz w:val="24"/>
          <w:szCs w:val="24"/>
          <w:highlight w:val="none"/>
          <w:u w:val="single"/>
        </w:rPr>
        <w:t>发包人不支付逾期付款期间的利息，不承担违约责任  。</w:t>
      </w:r>
    </w:p>
    <w:p w14:paraId="0DADC0DC">
      <w:pPr>
        <w:pStyle w:val="13"/>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（3）发包人违反第10.1款</w:t>
      </w:r>
      <w:r>
        <w:rPr>
          <w:rStyle w:val="8"/>
          <w:rFonts w:hint="eastAsia" w:ascii="宋体" w:hAnsi="宋体"/>
          <w:color w:val="auto"/>
          <w:sz w:val="24"/>
          <w:szCs w:val="24"/>
          <w:highlight w:val="none"/>
        </w:rPr>
        <w:t>〔</w:t>
      </w:r>
      <w:r>
        <w:rPr>
          <w:rStyle w:val="8"/>
          <w:rFonts w:ascii="宋体" w:hAnsi="宋体"/>
          <w:color w:val="auto"/>
          <w:sz w:val="24"/>
          <w:szCs w:val="24"/>
          <w:highlight w:val="none"/>
        </w:rPr>
        <w:t>变更的范围</w:t>
      </w:r>
      <w:r>
        <w:rPr>
          <w:rStyle w:val="8"/>
          <w:rFonts w:hint="eastAsia" w:ascii="宋体" w:hAnsi="宋体"/>
          <w:color w:val="auto"/>
          <w:sz w:val="24"/>
          <w:szCs w:val="24"/>
          <w:highlight w:val="none"/>
        </w:rPr>
        <w:t>〕</w:t>
      </w:r>
      <w:r>
        <w:rPr>
          <w:rStyle w:val="8"/>
          <w:rFonts w:ascii="宋体" w:hAnsi="宋体"/>
          <w:color w:val="auto"/>
          <w:sz w:val="24"/>
          <w:szCs w:val="24"/>
          <w:highlight w:val="none"/>
        </w:rPr>
        <w:t>第（2）项约定，自行实施被取消的工作或转由他人实施的违约责任：</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p>
    <w:p w14:paraId="641EB288">
      <w:pPr>
        <w:pStyle w:val="13"/>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0673D4A5">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（4）发包人提供的材料、工程设备的规格、数量或质量不符合合同约定，或因发包人原因导致交货日期延误或交货地点变更等情况的违约责任：</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38601705">
      <w:pPr>
        <w:pStyle w:val="13"/>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（5）因发包人违反合同约定造成暂停施工的违约责任：</w:t>
      </w:r>
      <w:r>
        <w:rPr>
          <w:rStyle w:val="8"/>
          <w:rFonts w:ascii="宋体" w:hAnsi="宋体"/>
          <w:color w:val="auto"/>
          <w:sz w:val="24"/>
          <w:szCs w:val="24"/>
          <w:highlight w:val="none"/>
          <w:u w:val="single"/>
        </w:rPr>
        <w:t xml:space="preserve">     </w:t>
      </w:r>
    </w:p>
    <w:p w14:paraId="19D9FFC7">
      <w:pPr>
        <w:pStyle w:val="13"/>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0FC773BD">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（6）发包人无正当理由没有在约定期限内发出复工指示，导致承包人无法复工的违约责任：</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工期可适当顺延，但发包人不承担任何形式的违约责任。</w:t>
      </w:r>
    </w:p>
    <w:p w14:paraId="51DD8766">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（7）</w:t>
      </w:r>
      <w:r>
        <w:rPr>
          <w:rStyle w:val="8"/>
          <w:rFonts w:hint="eastAsia" w:ascii="宋体" w:hAnsi="宋体"/>
          <w:color w:val="auto"/>
          <w:sz w:val="24"/>
          <w:szCs w:val="24"/>
          <w:highlight w:val="none"/>
        </w:rPr>
        <w:t>其他：</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rPr>
        <w:t>。</w:t>
      </w:r>
    </w:p>
    <w:p w14:paraId="39B0322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16.1.3 因发包人违约解除合同</w:t>
      </w:r>
    </w:p>
    <w:p w14:paraId="58774949">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承包人按16.1.1项</w:t>
      </w:r>
      <w:r>
        <w:rPr>
          <w:rStyle w:val="8"/>
          <w:rFonts w:hint="eastAsia" w:ascii="宋体" w:hAnsi="宋体"/>
          <w:color w:val="auto"/>
          <w:sz w:val="24"/>
          <w:szCs w:val="24"/>
          <w:highlight w:val="none"/>
        </w:rPr>
        <w:t>〔</w:t>
      </w:r>
      <w:r>
        <w:rPr>
          <w:rStyle w:val="8"/>
          <w:rFonts w:ascii="宋体" w:hAnsi="宋体"/>
          <w:color w:val="auto"/>
          <w:sz w:val="24"/>
          <w:szCs w:val="24"/>
          <w:highlight w:val="none"/>
        </w:rPr>
        <w:t>发包人违约的情形</w:t>
      </w:r>
      <w:r>
        <w:rPr>
          <w:rStyle w:val="8"/>
          <w:rFonts w:hint="eastAsia" w:ascii="宋体" w:hAnsi="宋体"/>
          <w:color w:val="auto"/>
          <w:sz w:val="24"/>
          <w:szCs w:val="24"/>
          <w:highlight w:val="none"/>
        </w:rPr>
        <w:t>〕</w:t>
      </w:r>
      <w:r>
        <w:rPr>
          <w:rStyle w:val="8"/>
          <w:rFonts w:ascii="宋体" w:hAnsi="宋体"/>
          <w:color w:val="auto"/>
          <w:sz w:val="24"/>
          <w:szCs w:val="24"/>
          <w:highlight w:val="none"/>
        </w:rPr>
        <w:t>约定暂停施工满</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天后发包人仍不纠正其违约行为并致使合同目的不能实现的，承包人有权解除合同。</w:t>
      </w:r>
    </w:p>
    <w:p w14:paraId="20CDFF89">
      <w:pPr>
        <w:pStyle w:val="13"/>
        <w:spacing w:after="120" w:line="360" w:lineRule="auto"/>
        <w:ind w:firstLine="480" w:firstLineChars="200"/>
        <w:outlineLvl w:val="9"/>
        <w:rPr>
          <w:rStyle w:val="8"/>
          <w:rFonts w:ascii="宋体" w:hAnsi="宋体"/>
          <w:color w:val="auto"/>
          <w:kern w:val="2"/>
          <w:sz w:val="24"/>
          <w:szCs w:val="24"/>
          <w:highlight w:val="none"/>
        </w:rPr>
      </w:pPr>
      <w:bookmarkStart w:id="1161" w:name="_Toc69461182"/>
      <w:bookmarkStart w:id="1162" w:name="_Toc256000103"/>
      <w:bookmarkStart w:id="1163" w:name="_Toc11516"/>
      <w:bookmarkStart w:id="1164" w:name="_Toc256000362"/>
      <w:bookmarkStart w:id="1165" w:name="_Toc16856"/>
      <w:bookmarkStart w:id="1166" w:name="_Toc256001325"/>
      <w:bookmarkStart w:id="1167" w:name="_Toc256000858"/>
      <w:bookmarkStart w:id="1168" w:name="_Toc69461837"/>
      <w:bookmarkStart w:id="1169" w:name="_Toc28749"/>
      <w:bookmarkStart w:id="1170" w:name="_Toc25870"/>
      <w:bookmarkStart w:id="1171" w:name="_Toc256001095"/>
      <w:bookmarkStart w:id="1172" w:name="_Toc256000591"/>
      <w:bookmarkStart w:id="1173" w:name="_Toc256000070"/>
      <w:r>
        <w:rPr>
          <w:rStyle w:val="8"/>
          <w:rFonts w:ascii="宋体" w:hAnsi="宋体"/>
          <w:color w:val="auto"/>
          <w:kern w:val="2"/>
          <w:sz w:val="24"/>
          <w:szCs w:val="24"/>
          <w:highlight w:val="none"/>
        </w:rPr>
        <w:t>16.2 承包人违约</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50F3B00C">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16.2.1 承包人违约的情形</w:t>
      </w:r>
    </w:p>
    <w:p w14:paraId="033C8016">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承包人违约的其他情形：</w:t>
      </w:r>
      <w:r>
        <w:rPr>
          <w:rStyle w:val="8"/>
          <w:rFonts w:hint="eastAsia" w:ascii="宋体" w:hAnsi="宋体"/>
          <w:color w:val="auto"/>
          <w:kern w:val="2"/>
          <w:sz w:val="24"/>
          <w:szCs w:val="24"/>
          <w:highlight w:val="none"/>
          <w:u w:val="single"/>
        </w:rPr>
        <w:t>(1）承包人私自将合同的全部或部分权利转让给其他人，或私自将合同的全部或部分义务转移给其他人；</w:t>
      </w:r>
    </w:p>
    <w:p w14:paraId="0C458055">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(2）承包人未经监理人批准，私自将己按合同约定进入施工场地的施工设备、临时设施或材料撤离施工场地；</w:t>
      </w:r>
    </w:p>
    <w:p w14:paraId="4CDFC89D">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(3）承包人使用了不合格材料或工程设备，工程质量达不到标准要求，又拒绝清除不合格工程；</w:t>
      </w:r>
    </w:p>
    <w:p w14:paraId="0B06FCAB">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(4）承包人未能按合同进度计划及时完成合同约定的工作，已造成或预期造成工期延误；</w:t>
      </w:r>
    </w:p>
    <w:p w14:paraId="794EAFD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(5）承包人在缺陷责任期内，未能对工程接收证书所列的缺陷清单的内容或缺陷责任期内发生的缺陷进行修复，而又拒绝按监理人指示再进行修补；</w:t>
      </w:r>
    </w:p>
    <w:p w14:paraId="6CDE7958">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(6）承包人无法继续履行或明确表示不履行或实质上己停止履行合同；</w:t>
      </w:r>
    </w:p>
    <w:p w14:paraId="2BDA7A63">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(7）承包人不按合同约定履行义务的其他情况。</w:t>
      </w:r>
    </w:p>
    <w:p w14:paraId="705897EC">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16.2.2承包人违约的责任</w:t>
      </w:r>
    </w:p>
    <w:p w14:paraId="0D072F28">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承包人违约责任的承担方式和计算方法：</w:t>
      </w:r>
      <w:r>
        <w:rPr>
          <w:rStyle w:val="8"/>
          <w:rFonts w:hint="eastAsia" w:ascii="宋体" w:hAnsi="宋体"/>
          <w:color w:val="auto"/>
          <w:kern w:val="2"/>
          <w:sz w:val="24"/>
          <w:szCs w:val="24"/>
          <w:highlight w:val="none"/>
          <w:u w:val="single"/>
        </w:rPr>
        <w:t>（1）承包人违反合同约定采购和使用不合格的材料和工程设备的，合同工期不予顺延，无偿更换、修复直至合格并赔偿因此给发包人造成的损失。</w:t>
      </w:r>
    </w:p>
    <w:p w14:paraId="0CEB19E0">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14:paraId="054A7A66">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14:paraId="13745C49">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（3）承包人违反第8.9 款〔材料与设备专用要求〕的约定，未经批准，私自将已按照合同约定进入施工现场的材料或设备撤离施工现场的：每发现一次罚款2000 元。 </w:t>
      </w:r>
    </w:p>
    <w:p w14:paraId="446FBF0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（4）承包人未能按施工进度计划及时完成合同约定的工作，造成工期延误的：</w:t>
      </w:r>
    </w:p>
    <w:p w14:paraId="27AFC57A">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工程施工节点逾期或竣工逾期的，按专用条款7.5.2条款收取违约金；</w:t>
      </w:r>
    </w:p>
    <w:p w14:paraId="6D462E1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5）承包人在缺陷责任期及保修期内，未能在合理期限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14:paraId="4E416A5E">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（6）承包人违反本合同约定所应支付的违约金，发包人均有权从应付的工程款中直接扣减，无需征得承包人同意。</w:t>
      </w:r>
    </w:p>
    <w:p w14:paraId="5D45C10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16.2.3 因承包人违约解除合同</w:t>
      </w:r>
    </w:p>
    <w:p w14:paraId="1CFEA5B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关于承包人违约解除合同的特别约定：</w:t>
      </w:r>
      <w:r>
        <w:rPr>
          <w:rStyle w:val="8"/>
          <w:rFonts w:ascii="宋体" w:hAnsi="宋体"/>
          <w:color w:val="auto"/>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赔偿因此给发包人造成的一切损失。 </w:t>
      </w:r>
    </w:p>
    <w:p w14:paraId="196E2500">
      <w:pPr>
        <w:pStyle w:val="13"/>
        <w:spacing w:before="120" w:after="120"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w:t>
      </w:r>
      <w:r>
        <w:rPr>
          <w:rStyle w:val="8"/>
          <w:rFonts w:hint="eastAsia" w:ascii="宋体" w:hAnsi="宋体"/>
          <w:color w:val="auto"/>
          <w:sz w:val="24"/>
          <w:szCs w:val="24"/>
          <w:highlight w:val="none"/>
        </w:rPr>
        <w:t>继续</w:t>
      </w:r>
      <w:r>
        <w:rPr>
          <w:rStyle w:val="8"/>
          <w:rFonts w:ascii="宋体" w:hAnsi="宋体"/>
          <w:color w:val="auto"/>
          <w:sz w:val="24"/>
          <w:szCs w:val="24"/>
          <w:highlight w:val="none"/>
        </w:rPr>
        <w:t>使用承包人在施工现场的材料、设备、临时工程、承包人文件和由承包人或以其名义编制的其他文件</w:t>
      </w:r>
      <w:r>
        <w:rPr>
          <w:rStyle w:val="8"/>
          <w:rFonts w:hint="eastAsia" w:ascii="宋体" w:hAnsi="宋体"/>
          <w:color w:val="auto"/>
          <w:sz w:val="24"/>
          <w:szCs w:val="24"/>
          <w:highlight w:val="none"/>
        </w:rPr>
        <w:t>的费用承担方式</w:t>
      </w:r>
      <w:r>
        <w:rPr>
          <w:rStyle w:val="8"/>
          <w:rFonts w:ascii="宋体" w:hAnsi="宋体"/>
          <w:color w:val="auto"/>
          <w:sz w:val="24"/>
          <w:szCs w:val="24"/>
          <w:highlight w:val="none"/>
        </w:rPr>
        <w:t>：</w:t>
      </w:r>
      <w:r>
        <w:rPr>
          <w:rStyle w:val="8"/>
          <w:rFonts w:hint="eastAsia" w:ascii="宋体" w:hAnsi="宋体"/>
          <w:color w:val="auto"/>
          <w:kern w:val="2"/>
          <w:sz w:val="24"/>
          <w:szCs w:val="24"/>
          <w:highlight w:val="none"/>
          <w:u w:val="single"/>
        </w:rPr>
        <w:t>承包人承担。</w:t>
      </w:r>
    </w:p>
    <w:p w14:paraId="49094431">
      <w:pPr>
        <w:pStyle w:val="15"/>
        <w:spacing w:before="120" w:after="120" w:line="360" w:lineRule="auto"/>
        <w:outlineLvl w:val="9"/>
        <w:rPr>
          <w:rStyle w:val="8"/>
          <w:rFonts w:ascii="宋体" w:hAnsi="宋体" w:eastAsia="宋体"/>
          <w:b w:val="0"/>
          <w:color w:val="auto"/>
          <w:sz w:val="24"/>
          <w:szCs w:val="24"/>
          <w:highlight w:val="none"/>
        </w:rPr>
      </w:pPr>
      <w:bookmarkStart w:id="1174" w:name="_Toc256000363"/>
      <w:bookmarkStart w:id="1175" w:name="_Toc351203649"/>
      <w:bookmarkStart w:id="1176" w:name="_Toc69461183"/>
      <w:bookmarkStart w:id="1177" w:name="_Toc256000859"/>
      <w:bookmarkStart w:id="1178" w:name="_Toc69461838"/>
      <w:bookmarkStart w:id="1179" w:name="_Toc2487"/>
      <w:bookmarkStart w:id="1180" w:name="_Toc256001096"/>
      <w:bookmarkStart w:id="1181" w:name="_Toc30141"/>
      <w:bookmarkStart w:id="1182" w:name="_Toc256001326"/>
      <w:bookmarkStart w:id="1183" w:name="_Toc256000592"/>
      <w:r>
        <w:rPr>
          <w:rStyle w:val="8"/>
          <w:rFonts w:ascii="宋体" w:hAnsi="宋体" w:eastAsia="宋体"/>
          <w:b w:val="0"/>
          <w:color w:val="auto"/>
          <w:sz w:val="24"/>
          <w:szCs w:val="24"/>
          <w:highlight w:val="none"/>
        </w:rPr>
        <w:t>17. 不可抗力</w:t>
      </w:r>
      <w:bookmarkEnd w:id="1174"/>
      <w:bookmarkEnd w:id="1175"/>
      <w:bookmarkEnd w:id="1176"/>
      <w:bookmarkEnd w:id="1177"/>
      <w:bookmarkEnd w:id="1178"/>
      <w:bookmarkEnd w:id="1179"/>
      <w:bookmarkEnd w:id="1180"/>
      <w:bookmarkEnd w:id="1181"/>
      <w:bookmarkEnd w:id="1182"/>
      <w:bookmarkEnd w:id="1183"/>
      <w:r>
        <w:rPr>
          <w:rStyle w:val="8"/>
          <w:rFonts w:ascii="宋体" w:hAnsi="宋体" w:eastAsia="宋体"/>
          <w:b w:val="0"/>
          <w:color w:val="auto"/>
          <w:sz w:val="24"/>
          <w:szCs w:val="24"/>
          <w:highlight w:val="none"/>
        </w:rPr>
        <w:t xml:space="preserve"> </w:t>
      </w:r>
      <w:bookmarkEnd w:id="1146"/>
    </w:p>
    <w:p w14:paraId="23B3501F">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17.1 不可抗力的确认</w:t>
      </w:r>
    </w:p>
    <w:p w14:paraId="04B5E869">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除通用合同条款约定的不可抗力事件之外，视为不可抗力的其他情形：</w:t>
      </w:r>
      <w:r>
        <w:rPr>
          <w:rStyle w:val="8"/>
          <w:rFonts w:hint="eastAsia" w:ascii="宋体" w:hAnsi="宋体"/>
          <w:color w:val="auto"/>
          <w:kern w:val="2"/>
          <w:sz w:val="24"/>
          <w:szCs w:val="24"/>
          <w:highlight w:val="none"/>
          <w:u w:val="single"/>
        </w:rPr>
        <w:t>烈度6级以上的地震、十级以上持续三天的大风、200㎜以上持续6小时的大雨、持续四天以上的大雪（以上需经市级气象单位确认）  。</w:t>
      </w:r>
    </w:p>
    <w:p w14:paraId="45E1C6CA">
      <w:pPr>
        <w:pStyle w:val="13"/>
        <w:spacing w:line="360" w:lineRule="auto"/>
        <w:ind w:firstLine="480" w:firstLineChars="200"/>
        <w:jc w:val="left"/>
        <w:rPr>
          <w:rStyle w:val="8"/>
          <w:rFonts w:ascii="宋体" w:hAnsi="宋体"/>
          <w:color w:val="auto"/>
          <w:sz w:val="24"/>
          <w:szCs w:val="24"/>
          <w:highlight w:val="none"/>
          <w:u w:val="single"/>
        </w:rPr>
      </w:pPr>
    </w:p>
    <w:p w14:paraId="669F5FDB">
      <w:pPr>
        <w:pStyle w:val="13"/>
        <w:spacing w:after="120" w:line="360" w:lineRule="auto"/>
        <w:ind w:firstLine="480" w:firstLineChars="200"/>
        <w:outlineLvl w:val="9"/>
        <w:rPr>
          <w:rStyle w:val="8"/>
          <w:rFonts w:ascii="宋体" w:hAnsi="宋体"/>
          <w:color w:val="auto"/>
          <w:kern w:val="2"/>
          <w:sz w:val="24"/>
          <w:szCs w:val="24"/>
          <w:highlight w:val="none"/>
        </w:rPr>
      </w:pPr>
      <w:bookmarkStart w:id="1184" w:name="_Toc19757"/>
      <w:bookmarkStart w:id="1185" w:name="_Toc17278"/>
      <w:bookmarkStart w:id="1186" w:name="_Toc256001327"/>
      <w:bookmarkStart w:id="1187" w:name="_Toc256000104"/>
      <w:bookmarkStart w:id="1188" w:name="_Toc256001097"/>
      <w:bookmarkStart w:id="1189" w:name="_Toc29062"/>
      <w:bookmarkStart w:id="1190" w:name="_Toc256000593"/>
      <w:bookmarkStart w:id="1191" w:name="_Toc256000071"/>
      <w:bookmarkStart w:id="1192" w:name="_Toc256000364"/>
      <w:bookmarkStart w:id="1193" w:name="_Toc69461184"/>
      <w:bookmarkStart w:id="1194" w:name="_Toc17652"/>
      <w:bookmarkStart w:id="1195" w:name="_Toc256000860"/>
      <w:bookmarkStart w:id="1196" w:name="_Toc69461839"/>
      <w:r>
        <w:rPr>
          <w:rStyle w:val="8"/>
          <w:rFonts w:ascii="宋体" w:hAnsi="宋体"/>
          <w:color w:val="auto"/>
          <w:kern w:val="2"/>
          <w:sz w:val="24"/>
          <w:szCs w:val="24"/>
          <w:highlight w:val="none"/>
        </w:rPr>
        <w:t>17.4 因不可抗力解除合同</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25C706B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合同解除后，发包人应在商定或确定发包人应支付款项后</w:t>
      </w:r>
      <w:r>
        <w:rPr>
          <w:rStyle w:val="8"/>
          <w:rFonts w:ascii="宋体" w:hAnsi="宋体"/>
          <w:color w:val="auto"/>
          <w:kern w:val="2"/>
          <w:sz w:val="24"/>
          <w:szCs w:val="24"/>
          <w:highlight w:val="none"/>
          <w:u w:val="single"/>
        </w:rPr>
        <w:t xml:space="preserve">  90  </w:t>
      </w:r>
      <w:r>
        <w:rPr>
          <w:rStyle w:val="8"/>
          <w:rFonts w:ascii="宋体" w:hAnsi="宋体"/>
          <w:color w:val="auto"/>
          <w:kern w:val="2"/>
          <w:sz w:val="24"/>
          <w:szCs w:val="24"/>
          <w:highlight w:val="none"/>
        </w:rPr>
        <w:t>天内完成款项的支付。</w:t>
      </w:r>
    </w:p>
    <w:p w14:paraId="7227B892">
      <w:pPr>
        <w:pStyle w:val="15"/>
        <w:spacing w:before="120" w:after="120" w:line="360" w:lineRule="auto"/>
        <w:outlineLvl w:val="9"/>
        <w:rPr>
          <w:rStyle w:val="8"/>
          <w:rFonts w:ascii="宋体" w:hAnsi="宋体" w:eastAsia="宋体"/>
          <w:b w:val="0"/>
          <w:color w:val="auto"/>
          <w:sz w:val="24"/>
          <w:szCs w:val="24"/>
          <w:highlight w:val="none"/>
        </w:rPr>
      </w:pPr>
      <w:bookmarkStart w:id="1197" w:name="_Toc69461185"/>
      <w:bookmarkStart w:id="1198" w:name="_Toc23899"/>
      <w:bookmarkStart w:id="1199" w:name="_Toc2594"/>
      <w:bookmarkStart w:id="1200" w:name="_Toc256000594"/>
      <w:bookmarkStart w:id="1201" w:name="_Toc256000365"/>
      <w:bookmarkStart w:id="1202" w:name="_Toc351203650"/>
      <w:bookmarkStart w:id="1203" w:name="_Toc256001328"/>
      <w:bookmarkStart w:id="1204" w:name="_Toc256000861"/>
      <w:bookmarkStart w:id="1205" w:name="_Toc69461840"/>
      <w:bookmarkStart w:id="1206" w:name="_Toc256001098"/>
      <w:r>
        <w:rPr>
          <w:rStyle w:val="8"/>
          <w:rFonts w:ascii="宋体" w:hAnsi="宋体" w:eastAsia="宋体"/>
          <w:b w:val="0"/>
          <w:color w:val="auto"/>
          <w:sz w:val="24"/>
          <w:szCs w:val="24"/>
          <w:highlight w:val="none"/>
        </w:rPr>
        <w:t>18. 保险</w:t>
      </w:r>
      <w:bookmarkEnd w:id="1197"/>
      <w:bookmarkEnd w:id="1198"/>
      <w:bookmarkEnd w:id="1199"/>
      <w:bookmarkEnd w:id="1200"/>
      <w:bookmarkEnd w:id="1201"/>
      <w:bookmarkEnd w:id="1202"/>
      <w:bookmarkEnd w:id="1203"/>
      <w:bookmarkEnd w:id="1204"/>
      <w:bookmarkEnd w:id="1205"/>
      <w:bookmarkEnd w:id="1206"/>
    </w:p>
    <w:bookmarkEnd w:id="1147"/>
    <w:p w14:paraId="5F4E1D25">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18.1 工程保险</w:t>
      </w:r>
    </w:p>
    <w:p w14:paraId="20D390C2">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关于工程保险的特别约定：</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按省、市有关文件执行</w:t>
      </w:r>
      <w:r>
        <w:rPr>
          <w:rStyle w:val="8"/>
          <w:rFonts w:ascii="宋体" w:hAnsi="宋体"/>
          <w:color w:val="auto"/>
          <w:kern w:val="2"/>
          <w:sz w:val="24"/>
          <w:szCs w:val="24"/>
          <w:highlight w:val="none"/>
          <w:u w:val="single"/>
        </w:rPr>
        <w:t>。</w:t>
      </w:r>
    </w:p>
    <w:p w14:paraId="32D18524">
      <w:pPr>
        <w:pStyle w:val="13"/>
        <w:spacing w:after="120" w:line="360" w:lineRule="auto"/>
        <w:ind w:firstLine="480" w:firstLineChars="200"/>
        <w:outlineLvl w:val="9"/>
        <w:rPr>
          <w:rStyle w:val="8"/>
          <w:rFonts w:ascii="宋体" w:hAnsi="宋体"/>
          <w:color w:val="auto"/>
          <w:kern w:val="2"/>
          <w:sz w:val="24"/>
          <w:szCs w:val="24"/>
          <w:highlight w:val="none"/>
        </w:rPr>
      </w:pPr>
      <w:bookmarkStart w:id="1207" w:name="_Toc69461841"/>
      <w:bookmarkStart w:id="1208" w:name="_Toc69461186"/>
      <w:bookmarkStart w:id="1209" w:name="_Toc19366"/>
      <w:bookmarkStart w:id="1210" w:name="_Toc256000595"/>
      <w:bookmarkStart w:id="1211" w:name="_Toc256001099"/>
      <w:bookmarkStart w:id="1212" w:name="_Toc256000366"/>
      <w:bookmarkStart w:id="1213" w:name="_Toc256000862"/>
      <w:bookmarkStart w:id="1214" w:name="_Toc256000105"/>
      <w:bookmarkStart w:id="1215" w:name="_Toc5549"/>
      <w:bookmarkStart w:id="1216" w:name="_Toc256001329"/>
      <w:bookmarkStart w:id="1217" w:name="_Toc23463"/>
      <w:bookmarkStart w:id="1218" w:name="_Toc256000072"/>
      <w:bookmarkStart w:id="1219" w:name="_Toc21713"/>
      <w:r>
        <w:rPr>
          <w:rStyle w:val="8"/>
          <w:rFonts w:ascii="宋体" w:hAnsi="宋体"/>
          <w:color w:val="auto"/>
          <w:kern w:val="2"/>
          <w:sz w:val="24"/>
          <w:szCs w:val="24"/>
          <w:highlight w:val="none"/>
        </w:rPr>
        <w:t>18.3 其他保险</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77273269">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关于其他保险的约定：</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(1)承包人员工伤事故的保险：承包人应依照有关法律规定参加工伤保险，要求其履行合同所雇佣的全部人员参加工伤保险，缴纳工伤保险费，并要求其分包人也进行此项保险，费用含在投标报价中。</w:t>
      </w:r>
    </w:p>
    <w:p w14:paraId="5563AC14">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(2)人身意外伤害险：承包人应在整个施工期间为其现场机构雇佣的全部人员，投保人身意外伤害险，缴纳保险费，并要求其分包人也进行此项保险，费用含在投标报价中 。</w:t>
      </w:r>
    </w:p>
    <w:p w14:paraId="1684E04D">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承包人是否应为其施工设备等办理财产保险：承包人应为其施工设备、进场的材料和工程设备等办理保险，费用含在投标报价中   。</w:t>
      </w:r>
    </w:p>
    <w:p w14:paraId="6A28EC9A">
      <w:pPr>
        <w:pStyle w:val="13"/>
        <w:spacing w:line="360" w:lineRule="auto"/>
        <w:ind w:firstLine="480" w:firstLineChars="200"/>
        <w:jc w:val="left"/>
        <w:rPr>
          <w:rStyle w:val="8"/>
          <w:rFonts w:ascii="宋体" w:hAnsi="宋体"/>
          <w:color w:val="auto"/>
          <w:kern w:val="2"/>
          <w:sz w:val="24"/>
          <w:szCs w:val="24"/>
          <w:highlight w:val="none"/>
          <w:u w:val="single"/>
        </w:rPr>
      </w:pPr>
    </w:p>
    <w:p w14:paraId="74ADC1BC">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18.7 通知义务</w:t>
      </w:r>
    </w:p>
    <w:p w14:paraId="720A1BC2">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关于变更保险合同时的通知义务的约定：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bookmarkEnd w:id="1062"/>
    <w:bookmarkEnd w:id="1063"/>
    <w:bookmarkEnd w:id="1064"/>
    <w:bookmarkEnd w:id="1065"/>
    <w:bookmarkEnd w:id="1066"/>
    <w:bookmarkEnd w:id="1067"/>
    <w:bookmarkEnd w:id="1068"/>
    <w:bookmarkEnd w:id="1069"/>
    <w:bookmarkEnd w:id="1070"/>
    <w:bookmarkEnd w:id="1071"/>
    <w:bookmarkEnd w:id="1072"/>
    <w:bookmarkEnd w:id="1073"/>
    <w:p w14:paraId="668BE77B">
      <w:pPr>
        <w:pStyle w:val="15"/>
        <w:spacing w:before="120" w:after="120" w:line="360" w:lineRule="auto"/>
        <w:outlineLvl w:val="9"/>
        <w:rPr>
          <w:rStyle w:val="8"/>
          <w:rFonts w:ascii="宋体" w:hAnsi="宋体" w:eastAsia="宋体"/>
          <w:b w:val="0"/>
          <w:color w:val="auto"/>
          <w:sz w:val="24"/>
          <w:szCs w:val="24"/>
          <w:highlight w:val="none"/>
        </w:rPr>
      </w:pPr>
      <w:bookmarkStart w:id="1220" w:name="_Toc69461187"/>
      <w:bookmarkStart w:id="1221" w:name="_Toc29687"/>
      <w:bookmarkStart w:id="1222" w:name="_Toc256000863"/>
      <w:bookmarkStart w:id="1223" w:name="_Toc256001100"/>
      <w:bookmarkStart w:id="1224" w:name="_Toc256000367"/>
      <w:bookmarkStart w:id="1225" w:name="_Toc256001330"/>
      <w:bookmarkStart w:id="1226" w:name="_Toc256000596"/>
      <w:bookmarkStart w:id="1227" w:name="_Toc351203651"/>
      <w:bookmarkStart w:id="1228" w:name="_Toc12994"/>
      <w:bookmarkStart w:id="1229" w:name="_Toc69461842"/>
      <w:r>
        <w:rPr>
          <w:rStyle w:val="8"/>
          <w:rFonts w:ascii="宋体" w:hAnsi="宋体" w:eastAsia="宋体"/>
          <w:b w:val="0"/>
          <w:color w:val="auto"/>
          <w:sz w:val="24"/>
          <w:szCs w:val="24"/>
          <w:highlight w:val="none"/>
        </w:rPr>
        <w:t>20. 争议解决</w:t>
      </w:r>
      <w:bookmarkEnd w:id="1220"/>
      <w:bookmarkEnd w:id="1221"/>
      <w:bookmarkEnd w:id="1222"/>
      <w:bookmarkEnd w:id="1223"/>
      <w:bookmarkEnd w:id="1224"/>
      <w:bookmarkEnd w:id="1225"/>
      <w:bookmarkEnd w:id="1226"/>
      <w:bookmarkEnd w:id="1227"/>
      <w:bookmarkEnd w:id="1228"/>
      <w:bookmarkEnd w:id="1229"/>
    </w:p>
    <w:bookmarkEnd w:id="1074"/>
    <w:bookmarkEnd w:id="1075"/>
    <w:p w14:paraId="777E0187">
      <w:pPr>
        <w:pStyle w:val="13"/>
        <w:spacing w:after="120" w:line="360" w:lineRule="auto"/>
        <w:ind w:firstLine="480" w:firstLineChars="200"/>
        <w:outlineLvl w:val="9"/>
        <w:rPr>
          <w:rStyle w:val="8"/>
          <w:rFonts w:ascii="宋体" w:hAnsi="宋体"/>
          <w:color w:val="auto"/>
          <w:kern w:val="2"/>
          <w:sz w:val="24"/>
          <w:szCs w:val="24"/>
          <w:highlight w:val="none"/>
        </w:rPr>
      </w:pPr>
      <w:bookmarkStart w:id="1230" w:name="_Toc69461843"/>
      <w:bookmarkStart w:id="1231" w:name="_Toc32586"/>
      <w:bookmarkStart w:id="1232" w:name="_Toc16036"/>
      <w:bookmarkStart w:id="1233" w:name="_Toc256000073"/>
      <w:bookmarkStart w:id="1234" w:name="_Toc256000597"/>
      <w:bookmarkStart w:id="1235" w:name="_Toc256001331"/>
      <w:bookmarkStart w:id="1236" w:name="_Toc69461188"/>
      <w:bookmarkStart w:id="1237" w:name="_Toc20836"/>
      <w:bookmarkStart w:id="1238" w:name="_Toc18398"/>
      <w:bookmarkStart w:id="1239" w:name="_Toc256000864"/>
      <w:bookmarkStart w:id="1240" w:name="_Toc256000368"/>
      <w:bookmarkStart w:id="1241" w:name="_Toc256000106"/>
      <w:bookmarkStart w:id="1242" w:name="_Toc256001101"/>
      <w:r>
        <w:rPr>
          <w:rStyle w:val="8"/>
          <w:rFonts w:ascii="宋体" w:hAnsi="宋体"/>
          <w:color w:val="auto"/>
          <w:kern w:val="2"/>
          <w:sz w:val="24"/>
          <w:szCs w:val="24"/>
          <w:highlight w:val="none"/>
        </w:rPr>
        <w:t>20.3 争</w:t>
      </w:r>
      <w:bookmarkEnd w:id="1076"/>
      <w:r>
        <w:rPr>
          <w:rStyle w:val="8"/>
          <w:rFonts w:ascii="宋体" w:hAnsi="宋体"/>
          <w:color w:val="auto"/>
          <w:kern w:val="2"/>
          <w:sz w:val="24"/>
          <w:szCs w:val="24"/>
          <w:highlight w:val="none"/>
        </w:rPr>
        <w:t>议评审</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2309974E">
      <w:pPr>
        <w:pStyle w:val="13"/>
        <w:spacing w:line="360" w:lineRule="auto"/>
        <w:ind w:left="149" w:leftChars="71" w:firstLine="360" w:firstLineChars="15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合同当事人是否同意将工程争议提交争议评审小组决</w:t>
      </w:r>
      <w:r>
        <w:rPr>
          <w:rStyle w:val="8"/>
          <w:rFonts w:hint="eastAsia" w:ascii="宋体" w:hAnsi="宋体"/>
          <w:color w:val="auto"/>
          <w:kern w:val="2"/>
          <w:sz w:val="24"/>
          <w:szCs w:val="24"/>
          <w:highlight w:val="none"/>
        </w:rPr>
        <w:t>定：</w:t>
      </w:r>
      <w:r>
        <w:rPr>
          <w:rStyle w:val="8"/>
          <w:rFonts w:hint="eastAsia" w:ascii="宋体" w:hAnsi="宋体"/>
          <w:color w:val="auto"/>
          <w:kern w:val="2"/>
          <w:sz w:val="24"/>
          <w:szCs w:val="24"/>
          <w:highlight w:val="none"/>
          <w:u w:val="single"/>
        </w:rPr>
        <w:t xml:space="preserve">    </w:t>
      </w:r>
    </w:p>
    <w:p w14:paraId="339CC2B8">
      <w:pPr>
        <w:pStyle w:val="13"/>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rPr>
        <w:t xml:space="preserve">。  </w:t>
      </w:r>
    </w:p>
    <w:p w14:paraId="08D78CCF">
      <w:pPr>
        <w:pStyle w:val="13"/>
        <w:spacing w:line="360" w:lineRule="auto"/>
        <w:ind w:firstLine="480" w:firstLineChars="200"/>
        <w:jc w:val="left"/>
        <w:outlineLvl w:val="9"/>
        <w:rPr>
          <w:rStyle w:val="8"/>
          <w:rFonts w:ascii="宋体" w:hAnsi="宋体"/>
          <w:color w:val="auto"/>
          <w:kern w:val="2"/>
          <w:sz w:val="24"/>
          <w:szCs w:val="24"/>
          <w:highlight w:val="none"/>
        </w:rPr>
      </w:pPr>
      <w:bookmarkStart w:id="1243" w:name="_Toc256001332"/>
      <w:bookmarkStart w:id="1244" w:name="_Toc256000598"/>
      <w:bookmarkStart w:id="1245" w:name="_Toc256000107"/>
      <w:bookmarkStart w:id="1246" w:name="_Toc13518"/>
      <w:bookmarkStart w:id="1247" w:name="_Toc31833"/>
      <w:bookmarkStart w:id="1248" w:name="_Toc31093"/>
      <w:bookmarkStart w:id="1249" w:name="_Toc256001102"/>
      <w:bookmarkStart w:id="1250" w:name="_Toc256000074"/>
      <w:bookmarkStart w:id="1251" w:name="_Toc256000865"/>
      <w:bookmarkStart w:id="1252" w:name="_Toc69461844"/>
      <w:bookmarkStart w:id="1253" w:name="_Toc256000369"/>
      <w:bookmarkStart w:id="1254" w:name="_Toc69461189"/>
      <w:bookmarkStart w:id="1255" w:name="_Toc12880"/>
      <w:r>
        <w:rPr>
          <w:rStyle w:val="8"/>
          <w:rFonts w:ascii="宋体" w:hAnsi="宋体"/>
          <w:color w:val="auto"/>
          <w:kern w:val="2"/>
          <w:sz w:val="24"/>
          <w:szCs w:val="24"/>
          <w:highlight w:val="none"/>
        </w:rPr>
        <w:t>20.3.1 争议评审小组的确定</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556EED79">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争议评审小组成员的确定：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5FD3E66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选定争议评审员的期限：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75BA832">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争议评审小组成员的报酬承担方式：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6053279">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其他事项的约定：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379E23A0">
      <w:pPr>
        <w:pStyle w:val="13"/>
        <w:autoSpaceDE w:val="0"/>
        <w:autoSpaceDN w:val="0"/>
        <w:adjustRightInd w:val="0"/>
        <w:spacing w:line="360" w:lineRule="auto"/>
        <w:ind w:firstLine="480" w:firstLineChars="200"/>
        <w:jc w:val="left"/>
        <w:outlineLvl w:val="9"/>
        <w:rPr>
          <w:rStyle w:val="8"/>
          <w:rFonts w:ascii="宋体" w:hAnsi="宋体"/>
          <w:color w:val="auto"/>
          <w:sz w:val="24"/>
          <w:szCs w:val="24"/>
          <w:highlight w:val="none"/>
        </w:rPr>
      </w:pPr>
      <w:bookmarkStart w:id="1256" w:name="_Toc256000075"/>
      <w:bookmarkStart w:id="1257" w:name="_Toc69461190"/>
      <w:bookmarkStart w:id="1258" w:name="_Toc256000599"/>
      <w:bookmarkStart w:id="1259" w:name="_Toc256000108"/>
      <w:bookmarkStart w:id="1260" w:name="_Toc256001333"/>
      <w:bookmarkStart w:id="1261" w:name="_Toc256001103"/>
      <w:bookmarkStart w:id="1262" w:name="_Toc69461845"/>
      <w:bookmarkStart w:id="1263" w:name="_Toc12219"/>
      <w:bookmarkStart w:id="1264" w:name="_Toc23311"/>
      <w:bookmarkStart w:id="1265" w:name="_Toc22039"/>
      <w:bookmarkStart w:id="1266" w:name="_Toc256000370"/>
      <w:bookmarkStart w:id="1267" w:name="_Toc4602"/>
      <w:bookmarkStart w:id="1268" w:name="_Toc256000866"/>
      <w:r>
        <w:rPr>
          <w:rStyle w:val="8"/>
          <w:rFonts w:ascii="宋体" w:hAnsi="宋体"/>
          <w:color w:val="auto"/>
          <w:sz w:val="24"/>
          <w:szCs w:val="24"/>
          <w:highlight w:val="none"/>
        </w:rPr>
        <w:t>20.3.2 争议评审小组的决定</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4672740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合同当事人关于本项的约定：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EBAEE09">
      <w:pPr>
        <w:pStyle w:val="13"/>
        <w:spacing w:after="120" w:line="360" w:lineRule="auto"/>
        <w:ind w:firstLine="480" w:firstLineChars="200"/>
        <w:outlineLvl w:val="9"/>
        <w:rPr>
          <w:rStyle w:val="8"/>
          <w:rFonts w:ascii="宋体" w:hAnsi="宋体"/>
          <w:color w:val="auto"/>
          <w:kern w:val="2"/>
          <w:sz w:val="24"/>
          <w:szCs w:val="24"/>
          <w:highlight w:val="none"/>
        </w:rPr>
      </w:pPr>
      <w:bookmarkStart w:id="1269" w:name="_Toc13535"/>
      <w:bookmarkStart w:id="1270" w:name="_Toc11928"/>
      <w:bookmarkStart w:id="1271" w:name="_Toc256000109"/>
      <w:bookmarkStart w:id="1272" w:name="_Toc69461191"/>
      <w:bookmarkStart w:id="1273" w:name="_Toc69461846"/>
      <w:bookmarkStart w:id="1274" w:name="_Toc256000867"/>
      <w:bookmarkStart w:id="1275" w:name="_Toc25005"/>
      <w:bookmarkStart w:id="1276" w:name="_Toc256001334"/>
      <w:bookmarkStart w:id="1277" w:name="_Toc256000600"/>
      <w:bookmarkStart w:id="1278" w:name="_Toc256000371"/>
      <w:bookmarkStart w:id="1279" w:name="_Toc256000076"/>
      <w:bookmarkStart w:id="1280" w:name="_Toc2946"/>
      <w:bookmarkStart w:id="1281" w:name="_Toc256001104"/>
      <w:r>
        <w:rPr>
          <w:rStyle w:val="8"/>
          <w:rFonts w:ascii="宋体" w:hAnsi="宋体"/>
          <w:color w:val="auto"/>
          <w:kern w:val="2"/>
          <w:sz w:val="24"/>
          <w:szCs w:val="24"/>
          <w:highlight w:val="none"/>
        </w:rPr>
        <w:t>20.4仲裁或诉讼</w:t>
      </w:r>
      <w:bookmarkEnd w:id="1077"/>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3805E1A4">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因合同及合同有关事项发生的争议，按下列第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（2）</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r>
        <w:rPr>
          <w:rStyle w:val="8"/>
          <w:rFonts w:hint="eastAsia" w:ascii="宋体" w:hAnsi="宋体"/>
          <w:color w:val="auto"/>
          <w:kern w:val="2"/>
          <w:sz w:val="24"/>
          <w:szCs w:val="24"/>
          <w:highlight w:val="none"/>
        </w:rPr>
        <w:t>解</w:t>
      </w:r>
      <w:r>
        <w:rPr>
          <w:rStyle w:val="8"/>
          <w:rFonts w:ascii="宋体" w:hAnsi="宋体"/>
          <w:color w:val="auto"/>
          <w:kern w:val="2"/>
          <w:sz w:val="24"/>
          <w:szCs w:val="24"/>
          <w:highlight w:val="none"/>
        </w:rPr>
        <w:t>决：</w:t>
      </w:r>
    </w:p>
    <w:p w14:paraId="739721B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（1）向</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仲裁委员会申请仲裁；</w:t>
      </w:r>
    </w:p>
    <w:p w14:paraId="5313E93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（2）向</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工程所在地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人民法院起诉。</w:t>
      </w:r>
      <w:bookmarkEnd w:id="1078"/>
      <w:bookmarkEnd w:id="1079"/>
      <w:bookmarkEnd w:id="1080"/>
      <w:bookmarkEnd w:id="1081"/>
      <w:bookmarkEnd w:id="1082"/>
      <w:bookmarkEnd w:id="1083"/>
    </w:p>
    <w:p w14:paraId="1C760915">
      <w:pPr>
        <w:spacing w:line="221" w:lineRule="auto"/>
        <w:rPr>
          <w:rFonts w:ascii="宋体" w:hAnsi="宋体" w:eastAsia="宋体" w:cs="宋体"/>
          <w:color w:val="auto"/>
          <w:sz w:val="21"/>
          <w:szCs w:val="21"/>
          <w:highlight w:val="none"/>
        </w:rPr>
        <w:sectPr>
          <w:headerReference r:id="rId153" w:type="default"/>
          <w:footerReference r:id="rId154" w:type="default"/>
          <w:pgSz w:w="11905" w:h="16839"/>
          <w:pgMar w:top="400" w:right="1785" w:bottom="1004" w:left="1785" w:header="0" w:footer="828" w:gutter="0"/>
          <w:pgNumType w:fmt="decimal"/>
          <w:cols w:space="720" w:num="1"/>
        </w:sectPr>
      </w:pPr>
    </w:p>
    <w:p w14:paraId="7FA5BF88">
      <w:pPr>
        <w:pStyle w:val="3"/>
        <w:spacing w:line="269" w:lineRule="auto"/>
        <w:rPr>
          <w:color w:val="auto"/>
          <w:highlight w:val="none"/>
        </w:rPr>
      </w:pPr>
    </w:p>
    <w:p w14:paraId="607762BD">
      <w:pPr>
        <w:pStyle w:val="3"/>
        <w:spacing w:line="270" w:lineRule="auto"/>
        <w:rPr>
          <w:color w:val="auto"/>
          <w:highlight w:val="none"/>
        </w:rPr>
      </w:pPr>
    </w:p>
    <w:p w14:paraId="60EB8406">
      <w:pPr>
        <w:pStyle w:val="3"/>
        <w:spacing w:line="270" w:lineRule="auto"/>
        <w:rPr>
          <w:color w:val="auto"/>
          <w:highlight w:val="none"/>
        </w:rPr>
      </w:pPr>
    </w:p>
    <w:p w14:paraId="61233711">
      <w:pPr>
        <w:pStyle w:val="3"/>
        <w:spacing w:line="270" w:lineRule="auto"/>
        <w:rPr>
          <w:color w:val="auto"/>
          <w:highlight w:val="none"/>
        </w:rPr>
      </w:pPr>
    </w:p>
    <w:p w14:paraId="5676A413">
      <w:pPr>
        <w:pStyle w:val="3"/>
        <w:spacing w:line="270" w:lineRule="auto"/>
        <w:rPr>
          <w:color w:val="auto"/>
          <w:highlight w:val="none"/>
        </w:rPr>
      </w:pPr>
    </w:p>
    <w:p w14:paraId="50603B7F">
      <w:pPr>
        <w:spacing w:before="87" w:line="227" w:lineRule="auto"/>
        <w:ind w:left="36"/>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14:textOutline w14:w="5050" w14:cap="flat" w14:cmpd="sng">
            <w14:solidFill>
              <w14:srgbClr w14:val="000000"/>
            </w14:solidFill>
            <w14:prstDash w14:val="solid"/>
            <w14:miter w14:val="0"/>
          </w14:textOutline>
        </w:rPr>
        <w:t>附件</w:t>
      </w:r>
    </w:p>
    <w:p w14:paraId="26E093A9">
      <w:pPr>
        <w:spacing w:before="12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协议书附件：</w:t>
      </w:r>
    </w:p>
    <w:p w14:paraId="6BEC1E49">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：承包人承揽工程项目一览表</w:t>
      </w:r>
    </w:p>
    <w:p w14:paraId="726950C4">
      <w:pPr>
        <w:pStyle w:val="3"/>
        <w:rPr>
          <w:color w:val="auto"/>
          <w:highlight w:val="none"/>
        </w:rPr>
      </w:pPr>
    </w:p>
    <w:p w14:paraId="691EE2F1">
      <w:pPr>
        <w:pStyle w:val="3"/>
        <w:rPr>
          <w:color w:val="auto"/>
          <w:highlight w:val="none"/>
        </w:rPr>
      </w:pPr>
    </w:p>
    <w:p w14:paraId="7C8CA335">
      <w:pPr>
        <w:spacing w:before="68" w:line="220"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专用合同条款附件：</w:t>
      </w:r>
    </w:p>
    <w:p w14:paraId="4FB50047">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附件</w:t>
      </w:r>
      <w:r>
        <w:rPr>
          <w:rFonts w:ascii="宋体" w:hAnsi="宋体"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：发包人供应材料设备一览表</w:t>
      </w:r>
    </w:p>
    <w:p w14:paraId="488AAA0C">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：工程质量保修书</w:t>
      </w:r>
    </w:p>
    <w:p w14:paraId="30DFDFC3">
      <w:pPr>
        <w:spacing w:before="149" w:line="220"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附件</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：主要建设工程文件目录</w:t>
      </w:r>
    </w:p>
    <w:p w14:paraId="01E8106D">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附件</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5</w:t>
      </w:r>
      <w:r>
        <w:rPr>
          <w:rFonts w:ascii="宋体" w:hAnsi="宋体" w:eastAsia="宋体" w:cs="宋体"/>
          <w:color w:val="auto"/>
          <w:spacing w:val="-2"/>
          <w:position w:val="14"/>
          <w:sz w:val="21"/>
          <w:szCs w:val="21"/>
          <w:highlight w:val="none"/>
        </w:rPr>
        <w:t>：承包人用于本工程施工的机械设备表</w:t>
      </w:r>
    </w:p>
    <w:p w14:paraId="660F0187">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：承包人主要施工管理人员表</w:t>
      </w:r>
    </w:p>
    <w:p w14:paraId="69E2E43F">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：分包人主要施工管理人员表</w:t>
      </w:r>
    </w:p>
    <w:p w14:paraId="0583B978">
      <w:pPr>
        <w:spacing w:before="149" w:line="220"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：履约担保格式</w:t>
      </w:r>
    </w:p>
    <w:p w14:paraId="68E1DC6E">
      <w:pPr>
        <w:spacing w:before="153" w:line="398" w:lineRule="exact"/>
        <w:ind w:left="45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附件</w:t>
      </w:r>
      <w:r>
        <w:rPr>
          <w:rFonts w:ascii="宋体" w:hAnsi="宋体" w:eastAsia="宋体" w:cs="宋体"/>
          <w:color w:val="auto"/>
          <w:spacing w:val="-34"/>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9</w:t>
      </w:r>
      <w:r>
        <w:rPr>
          <w:rFonts w:ascii="宋体" w:hAnsi="宋体" w:eastAsia="宋体" w:cs="宋体"/>
          <w:color w:val="auto"/>
          <w:spacing w:val="-4"/>
          <w:position w:val="14"/>
          <w:sz w:val="21"/>
          <w:szCs w:val="21"/>
          <w:highlight w:val="none"/>
        </w:rPr>
        <w:t>：预付款担保格式</w:t>
      </w:r>
    </w:p>
    <w:p w14:paraId="49385527">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10</w:t>
      </w:r>
      <w:r>
        <w:rPr>
          <w:rFonts w:ascii="宋体" w:hAnsi="宋体" w:eastAsia="宋体" w:cs="宋体"/>
          <w:color w:val="auto"/>
          <w:spacing w:val="-4"/>
          <w:sz w:val="21"/>
          <w:szCs w:val="21"/>
          <w:highlight w:val="none"/>
        </w:rPr>
        <w:t>：支付担保格式</w:t>
      </w:r>
    </w:p>
    <w:p w14:paraId="1A16CAFC">
      <w:pPr>
        <w:spacing w:before="149" w:line="219" w:lineRule="auto"/>
        <w:ind w:left="45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附件</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5"/>
          <w:sz w:val="21"/>
          <w:szCs w:val="21"/>
          <w:highlight w:val="none"/>
        </w:rPr>
        <w:t>11</w:t>
      </w:r>
      <w:r>
        <w:rPr>
          <w:rFonts w:ascii="宋体" w:hAnsi="宋体" w:eastAsia="宋体" w:cs="宋体"/>
          <w:color w:val="auto"/>
          <w:spacing w:val="-5"/>
          <w:sz w:val="21"/>
          <w:szCs w:val="21"/>
          <w:highlight w:val="none"/>
        </w:rPr>
        <w:t>：暂估价一览表</w:t>
      </w:r>
    </w:p>
    <w:p w14:paraId="3C79300B">
      <w:pPr>
        <w:spacing w:line="219" w:lineRule="auto"/>
        <w:rPr>
          <w:rFonts w:ascii="宋体" w:hAnsi="宋体" w:eastAsia="宋体" w:cs="宋体"/>
          <w:color w:val="auto"/>
          <w:sz w:val="21"/>
          <w:szCs w:val="21"/>
          <w:highlight w:val="none"/>
        </w:rPr>
        <w:sectPr>
          <w:footerReference r:id="rId155" w:type="default"/>
          <w:pgSz w:w="11905" w:h="16839"/>
          <w:pgMar w:top="400" w:right="1785" w:bottom="1004" w:left="1785" w:header="0" w:footer="828" w:gutter="0"/>
          <w:pgNumType w:fmt="decimal"/>
          <w:cols w:space="720" w:num="1"/>
        </w:sectPr>
      </w:pPr>
    </w:p>
    <w:p w14:paraId="05E1A9E6">
      <w:pPr>
        <w:pStyle w:val="3"/>
        <w:spacing w:line="276" w:lineRule="auto"/>
        <w:rPr>
          <w:color w:val="auto"/>
          <w:highlight w:val="none"/>
        </w:rPr>
      </w:pPr>
    </w:p>
    <w:p w14:paraId="071B3F27">
      <w:pPr>
        <w:pStyle w:val="3"/>
        <w:spacing w:line="276" w:lineRule="auto"/>
        <w:rPr>
          <w:color w:val="auto"/>
          <w:highlight w:val="none"/>
        </w:rPr>
      </w:pPr>
    </w:p>
    <w:p w14:paraId="1724BD40">
      <w:pPr>
        <w:pStyle w:val="3"/>
        <w:spacing w:line="276" w:lineRule="auto"/>
        <w:rPr>
          <w:color w:val="auto"/>
          <w:highlight w:val="none"/>
        </w:rPr>
      </w:pPr>
    </w:p>
    <w:p w14:paraId="0AA0BFE4">
      <w:pPr>
        <w:pStyle w:val="3"/>
        <w:spacing w:line="276" w:lineRule="auto"/>
        <w:rPr>
          <w:color w:val="auto"/>
          <w:highlight w:val="none"/>
        </w:rPr>
      </w:pPr>
    </w:p>
    <w:p w14:paraId="02472620">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附件</w:t>
      </w:r>
      <w:r>
        <w:rPr>
          <w:rFonts w:ascii="宋体" w:hAnsi="宋体" w:eastAsia="宋体" w:cs="宋体"/>
          <w:color w:val="auto"/>
          <w:spacing w:val="-31"/>
          <w:sz w:val="24"/>
          <w:szCs w:val="24"/>
          <w:highlight w:val="none"/>
        </w:rPr>
        <w:t xml:space="preserve"> </w:t>
      </w:r>
      <w:r>
        <w:rPr>
          <w:rFonts w:ascii="Times New Roman" w:hAnsi="Times New Roman" w:eastAsia="Times New Roman" w:cs="Times New Roman"/>
          <w:color w:val="auto"/>
          <w:spacing w:val="-15"/>
          <w:sz w:val="24"/>
          <w:szCs w:val="24"/>
          <w:highlight w:val="none"/>
        </w:rPr>
        <w:t>1</w:t>
      </w:r>
      <w:r>
        <w:rPr>
          <w:rFonts w:ascii="宋体" w:hAnsi="宋体" w:eastAsia="宋体" w:cs="宋体"/>
          <w:color w:val="auto"/>
          <w:spacing w:val="-15"/>
          <w:sz w:val="24"/>
          <w:szCs w:val="24"/>
          <w:highlight w:val="none"/>
        </w:rPr>
        <w:t>：</w:t>
      </w:r>
    </w:p>
    <w:p w14:paraId="33B55D54">
      <w:pPr>
        <w:spacing w:before="243" w:line="225" w:lineRule="auto"/>
        <w:ind w:left="2497"/>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承包人承揽工程项目一览表</w:t>
      </w:r>
    </w:p>
    <w:p w14:paraId="5DAFC17B">
      <w:pPr>
        <w:spacing w:line="112" w:lineRule="exact"/>
        <w:rPr>
          <w:color w:val="auto"/>
          <w:highlight w:val="none"/>
        </w:rPr>
      </w:pPr>
    </w:p>
    <w:tbl>
      <w:tblPr>
        <w:tblStyle w:val="10"/>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14:paraId="7C596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14:paraId="02C18DF2">
            <w:pPr>
              <w:spacing w:line="274" w:lineRule="auto"/>
              <w:rPr>
                <w:rFonts w:ascii="Arial"/>
                <w:color w:val="auto"/>
                <w:sz w:val="21"/>
                <w:highlight w:val="none"/>
              </w:rPr>
            </w:pPr>
          </w:p>
          <w:p w14:paraId="72FF1581">
            <w:pPr>
              <w:spacing w:line="274" w:lineRule="auto"/>
              <w:rPr>
                <w:rFonts w:ascii="Arial"/>
                <w:color w:val="auto"/>
                <w:sz w:val="21"/>
                <w:highlight w:val="none"/>
              </w:rPr>
            </w:pPr>
          </w:p>
          <w:p w14:paraId="63D88C5A">
            <w:pPr>
              <w:pStyle w:val="11"/>
              <w:spacing w:before="68" w:line="442" w:lineRule="exact"/>
              <w:ind w:left="359"/>
              <w:rPr>
                <w:color w:val="auto"/>
                <w:highlight w:val="none"/>
              </w:rPr>
            </w:pPr>
            <w:r>
              <w:rPr>
                <w:color w:val="auto"/>
                <w:spacing w:val="-1"/>
                <w:position w:val="17"/>
                <w:highlight w:val="none"/>
              </w:rPr>
              <w:t>单位工程</w:t>
            </w:r>
          </w:p>
          <w:p w14:paraId="3CDB8325">
            <w:pPr>
              <w:pStyle w:val="11"/>
              <w:spacing w:line="222" w:lineRule="auto"/>
              <w:ind w:left="571"/>
              <w:rPr>
                <w:color w:val="auto"/>
                <w:highlight w:val="none"/>
              </w:rPr>
            </w:pPr>
            <w:r>
              <w:rPr>
                <w:color w:val="auto"/>
                <w:spacing w:val="-3"/>
                <w:highlight w:val="none"/>
              </w:rPr>
              <w:t>名称</w:t>
            </w:r>
          </w:p>
        </w:tc>
        <w:tc>
          <w:tcPr>
            <w:tcW w:w="708" w:type="dxa"/>
            <w:tcBorders>
              <w:top w:val="single" w:color="000000" w:sz="10" w:space="0"/>
            </w:tcBorders>
            <w:vAlign w:val="top"/>
          </w:tcPr>
          <w:p w14:paraId="1A685819">
            <w:pPr>
              <w:spacing w:line="274" w:lineRule="auto"/>
              <w:rPr>
                <w:rFonts w:ascii="Arial"/>
                <w:color w:val="auto"/>
                <w:sz w:val="21"/>
                <w:highlight w:val="none"/>
              </w:rPr>
            </w:pPr>
          </w:p>
          <w:p w14:paraId="12A042A9">
            <w:pPr>
              <w:spacing w:line="274" w:lineRule="auto"/>
              <w:rPr>
                <w:rFonts w:ascii="Arial"/>
                <w:color w:val="auto"/>
                <w:sz w:val="21"/>
                <w:highlight w:val="none"/>
              </w:rPr>
            </w:pPr>
          </w:p>
          <w:p w14:paraId="7692039B">
            <w:pPr>
              <w:pStyle w:val="11"/>
              <w:spacing w:before="68" w:line="442" w:lineRule="exact"/>
              <w:ind w:left="144"/>
              <w:rPr>
                <w:color w:val="auto"/>
                <w:highlight w:val="none"/>
              </w:rPr>
            </w:pPr>
            <w:r>
              <w:rPr>
                <w:color w:val="auto"/>
                <w:spacing w:val="-3"/>
                <w:position w:val="17"/>
                <w:highlight w:val="none"/>
              </w:rPr>
              <w:t>建设</w:t>
            </w:r>
          </w:p>
          <w:p w14:paraId="7E86EECC">
            <w:pPr>
              <w:pStyle w:val="11"/>
              <w:spacing w:line="220" w:lineRule="auto"/>
              <w:ind w:left="142"/>
              <w:rPr>
                <w:color w:val="auto"/>
                <w:highlight w:val="none"/>
              </w:rPr>
            </w:pPr>
            <w:r>
              <w:rPr>
                <w:color w:val="auto"/>
                <w:spacing w:val="-2"/>
                <w:highlight w:val="none"/>
              </w:rPr>
              <w:t>规模</w:t>
            </w:r>
          </w:p>
        </w:tc>
        <w:tc>
          <w:tcPr>
            <w:tcW w:w="1106" w:type="dxa"/>
            <w:tcBorders>
              <w:top w:val="single" w:color="000000" w:sz="10" w:space="0"/>
            </w:tcBorders>
            <w:vAlign w:val="top"/>
          </w:tcPr>
          <w:p w14:paraId="04DCF581">
            <w:pPr>
              <w:spacing w:line="329" w:lineRule="auto"/>
              <w:rPr>
                <w:rFonts w:ascii="Arial"/>
                <w:color w:val="auto"/>
                <w:sz w:val="21"/>
                <w:highlight w:val="none"/>
              </w:rPr>
            </w:pPr>
          </w:p>
          <w:p w14:paraId="038C9C19">
            <w:pPr>
              <w:pStyle w:val="11"/>
              <w:spacing w:before="68" w:line="221" w:lineRule="auto"/>
              <w:ind w:left="137"/>
              <w:rPr>
                <w:color w:val="auto"/>
                <w:highlight w:val="none"/>
              </w:rPr>
            </w:pPr>
            <w:r>
              <w:rPr>
                <w:color w:val="auto"/>
                <w:spacing w:val="-2"/>
                <w:highlight w:val="none"/>
              </w:rPr>
              <w:t>建筑面积</w:t>
            </w:r>
          </w:p>
          <w:p w14:paraId="093BC9E6">
            <w:pPr>
              <w:pStyle w:val="11"/>
              <w:spacing w:before="189" w:line="437" w:lineRule="exact"/>
              <w:ind w:left="247"/>
              <w:rPr>
                <w:color w:val="auto"/>
                <w:highlight w:val="none"/>
              </w:rPr>
            </w:pPr>
            <w:r>
              <w:rPr>
                <w:color w:val="auto"/>
                <w:spacing w:val="-4"/>
                <w:position w:val="17"/>
                <w:highlight w:val="none"/>
              </w:rPr>
              <w:t>（平方</w:t>
            </w:r>
          </w:p>
          <w:p w14:paraId="60C1E6B7">
            <w:pPr>
              <w:pStyle w:val="11"/>
              <w:spacing w:line="220" w:lineRule="auto"/>
              <w:ind w:left="346"/>
              <w:rPr>
                <w:color w:val="auto"/>
                <w:highlight w:val="none"/>
              </w:rPr>
            </w:pPr>
            <w:r>
              <w:rPr>
                <w:color w:val="auto"/>
                <w:spacing w:val="-4"/>
                <w:highlight w:val="none"/>
              </w:rPr>
              <w:t>米）</w:t>
            </w:r>
          </w:p>
        </w:tc>
        <w:tc>
          <w:tcPr>
            <w:tcW w:w="732" w:type="dxa"/>
            <w:tcBorders>
              <w:top w:val="single" w:color="000000" w:sz="10" w:space="0"/>
            </w:tcBorders>
            <w:vAlign w:val="top"/>
          </w:tcPr>
          <w:p w14:paraId="5C73A897">
            <w:pPr>
              <w:spacing w:line="274" w:lineRule="auto"/>
              <w:rPr>
                <w:rFonts w:ascii="Arial"/>
                <w:color w:val="auto"/>
                <w:sz w:val="21"/>
                <w:highlight w:val="none"/>
              </w:rPr>
            </w:pPr>
          </w:p>
          <w:p w14:paraId="08C2F63F">
            <w:pPr>
              <w:spacing w:line="274" w:lineRule="auto"/>
              <w:rPr>
                <w:rFonts w:ascii="Arial"/>
                <w:color w:val="auto"/>
                <w:sz w:val="21"/>
                <w:highlight w:val="none"/>
              </w:rPr>
            </w:pPr>
          </w:p>
          <w:p w14:paraId="42152AA7">
            <w:pPr>
              <w:pStyle w:val="11"/>
              <w:spacing w:before="68" w:line="442" w:lineRule="exact"/>
              <w:ind w:left="167"/>
              <w:rPr>
                <w:color w:val="auto"/>
                <w:highlight w:val="none"/>
              </w:rPr>
            </w:pPr>
            <w:r>
              <w:rPr>
                <w:color w:val="auto"/>
                <w:spacing w:val="-3"/>
                <w:position w:val="17"/>
                <w:highlight w:val="none"/>
              </w:rPr>
              <w:t>结构</w:t>
            </w:r>
          </w:p>
          <w:p w14:paraId="2C7DABE9">
            <w:pPr>
              <w:pStyle w:val="11"/>
              <w:spacing w:line="222" w:lineRule="auto"/>
              <w:ind w:left="164"/>
              <w:rPr>
                <w:color w:val="auto"/>
                <w:highlight w:val="none"/>
              </w:rPr>
            </w:pPr>
            <w:r>
              <w:rPr>
                <w:color w:val="auto"/>
                <w:spacing w:val="-3"/>
                <w:highlight w:val="none"/>
              </w:rPr>
              <w:t>形式</w:t>
            </w:r>
          </w:p>
        </w:tc>
        <w:tc>
          <w:tcPr>
            <w:tcW w:w="565" w:type="dxa"/>
            <w:tcBorders>
              <w:top w:val="single" w:color="000000" w:sz="10" w:space="0"/>
            </w:tcBorders>
            <w:textDirection w:val="tbRlV"/>
            <w:vAlign w:val="top"/>
          </w:tcPr>
          <w:p w14:paraId="43A35C35">
            <w:pPr>
              <w:pStyle w:val="11"/>
              <w:spacing w:before="167" w:line="209" w:lineRule="auto"/>
              <w:ind w:left="619"/>
              <w:rPr>
                <w:color w:val="auto"/>
                <w:highlight w:val="none"/>
              </w:rPr>
            </w:pPr>
            <w:r>
              <w:rPr>
                <w:color w:val="auto"/>
                <w:spacing w:val="1"/>
                <w:highlight w:val="none"/>
              </w:rPr>
              <w:t>层</w:t>
            </w:r>
            <w:r>
              <w:rPr>
                <w:color w:val="auto"/>
                <w:spacing w:val="10"/>
                <w:highlight w:val="none"/>
              </w:rPr>
              <w:t xml:space="preserve">  </w:t>
            </w:r>
            <w:r>
              <w:rPr>
                <w:color w:val="auto"/>
                <w:spacing w:val="1"/>
                <w:highlight w:val="none"/>
              </w:rPr>
              <w:t>数</w:t>
            </w:r>
          </w:p>
        </w:tc>
        <w:tc>
          <w:tcPr>
            <w:tcW w:w="838" w:type="dxa"/>
            <w:tcBorders>
              <w:top w:val="single" w:color="000000" w:sz="10" w:space="0"/>
            </w:tcBorders>
            <w:vAlign w:val="top"/>
          </w:tcPr>
          <w:p w14:paraId="640BA9D7">
            <w:pPr>
              <w:spacing w:line="274" w:lineRule="auto"/>
              <w:rPr>
                <w:rFonts w:ascii="Arial"/>
                <w:color w:val="auto"/>
                <w:sz w:val="21"/>
                <w:highlight w:val="none"/>
              </w:rPr>
            </w:pPr>
          </w:p>
          <w:p w14:paraId="5CD42AA2">
            <w:pPr>
              <w:spacing w:line="274" w:lineRule="auto"/>
              <w:rPr>
                <w:rFonts w:ascii="Arial"/>
                <w:color w:val="auto"/>
                <w:sz w:val="21"/>
                <w:highlight w:val="none"/>
              </w:rPr>
            </w:pPr>
          </w:p>
          <w:p w14:paraId="038D7946">
            <w:pPr>
              <w:pStyle w:val="11"/>
              <w:spacing w:before="68" w:line="442" w:lineRule="exact"/>
              <w:ind w:left="220"/>
              <w:rPr>
                <w:color w:val="auto"/>
                <w:highlight w:val="none"/>
              </w:rPr>
            </w:pPr>
            <w:r>
              <w:rPr>
                <w:color w:val="auto"/>
                <w:spacing w:val="-2"/>
                <w:position w:val="17"/>
                <w:highlight w:val="none"/>
              </w:rPr>
              <w:t>生产</w:t>
            </w:r>
          </w:p>
          <w:p w14:paraId="033ED366">
            <w:pPr>
              <w:pStyle w:val="11"/>
              <w:spacing w:line="220" w:lineRule="auto"/>
              <w:ind w:left="227"/>
              <w:rPr>
                <w:color w:val="auto"/>
                <w:highlight w:val="none"/>
              </w:rPr>
            </w:pPr>
            <w:r>
              <w:rPr>
                <w:color w:val="auto"/>
                <w:spacing w:val="-4"/>
                <w:highlight w:val="none"/>
              </w:rPr>
              <w:t>能力</w:t>
            </w:r>
          </w:p>
        </w:tc>
        <w:tc>
          <w:tcPr>
            <w:tcW w:w="776" w:type="dxa"/>
            <w:tcBorders>
              <w:top w:val="single" w:color="000000" w:sz="10" w:space="0"/>
            </w:tcBorders>
            <w:vAlign w:val="top"/>
          </w:tcPr>
          <w:p w14:paraId="2A7AFAFD">
            <w:pPr>
              <w:spacing w:line="328" w:lineRule="auto"/>
              <w:rPr>
                <w:rFonts w:ascii="Arial"/>
                <w:color w:val="auto"/>
                <w:sz w:val="21"/>
                <w:highlight w:val="none"/>
              </w:rPr>
            </w:pPr>
          </w:p>
          <w:p w14:paraId="2031D6F8">
            <w:pPr>
              <w:pStyle w:val="11"/>
              <w:spacing w:before="68" w:line="442" w:lineRule="exact"/>
              <w:ind w:left="196"/>
              <w:rPr>
                <w:color w:val="auto"/>
                <w:highlight w:val="none"/>
              </w:rPr>
            </w:pPr>
            <w:r>
              <w:rPr>
                <w:color w:val="auto"/>
                <w:spacing w:val="-3"/>
                <w:position w:val="17"/>
                <w:highlight w:val="none"/>
              </w:rPr>
              <w:t>设备</w:t>
            </w:r>
          </w:p>
          <w:p w14:paraId="54329E22">
            <w:pPr>
              <w:pStyle w:val="11"/>
              <w:spacing w:line="221" w:lineRule="auto"/>
              <w:ind w:left="197"/>
              <w:rPr>
                <w:color w:val="auto"/>
                <w:highlight w:val="none"/>
              </w:rPr>
            </w:pPr>
            <w:r>
              <w:rPr>
                <w:color w:val="auto"/>
                <w:spacing w:val="-3"/>
                <w:highlight w:val="none"/>
              </w:rPr>
              <w:t>安装</w:t>
            </w:r>
          </w:p>
          <w:p w14:paraId="7750F20A">
            <w:pPr>
              <w:pStyle w:val="11"/>
              <w:spacing w:before="184" w:line="221" w:lineRule="auto"/>
              <w:ind w:left="218"/>
              <w:rPr>
                <w:color w:val="auto"/>
                <w:highlight w:val="none"/>
              </w:rPr>
            </w:pPr>
            <w:r>
              <w:rPr>
                <w:color w:val="auto"/>
                <w:spacing w:val="-8"/>
                <w:highlight w:val="none"/>
              </w:rPr>
              <w:t>内容</w:t>
            </w:r>
          </w:p>
        </w:tc>
        <w:tc>
          <w:tcPr>
            <w:tcW w:w="938" w:type="dxa"/>
            <w:tcBorders>
              <w:top w:val="single" w:color="000000" w:sz="10" w:space="0"/>
            </w:tcBorders>
            <w:vAlign w:val="top"/>
          </w:tcPr>
          <w:p w14:paraId="34186492">
            <w:pPr>
              <w:spacing w:line="328" w:lineRule="auto"/>
              <w:rPr>
                <w:rFonts w:ascii="Arial"/>
                <w:color w:val="auto"/>
                <w:sz w:val="21"/>
                <w:highlight w:val="none"/>
              </w:rPr>
            </w:pPr>
          </w:p>
          <w:p w14:paraId="5B8BE87D">
            <w:pPr>
              <w:pStyle w:val="11"/>
              <w:spacing w:before="68" w:line="442" w:lineRule="exact"/>
              <w:ind w:left="171"/>
              <w:rPr>
                <w:color w:val="auto"/>
                <w:highlight w:val="none"/>
              </w:rPr>
            </w:pPr>
            <w:r>
              <w:rPr>
                <w:color w:val="auto"/>
                <w:spacing w:val="-2"/>
                <w:position w:val="17"/>
                <w:highlight w:val="none"/>
              </w:rPr>
              <w:t>合同价</w:t>
            </w:r>
          </w:p>
          <w:p w14:paraId="49E873EE">
            <w:pPr>
              <w:pStyle w:val="11"/>
              <w:spacing w:line="220" w:lineRule="auto"/>
              <w:ind w:left="382"/>
              <w:rPr>
                <w:color w:val="auto"/>
                <w:highlight w:val="none"/>
              </w:rPr>
            </w:pPr>
            <w:r>
              <w:rPr>
                <w:color w:val="auto"/>
                <w:highlight w:val="none"/>
              </w:rPr>
              <w:t>格</w:t>
            </w:r>
          </w:p>
          <w:p w14:paraId="1D7E86F3">
            <w:pPr>
              <w:pStyle w:val="11"/>
              <w:spacing w:before="186" w:line="221" w:lineRule="auto"/>
              <w:ind w:left="177"/>
              <w:rPr>
                <w:color w:val="auto"/>
                <w:highlight w:val="none"/>
              </w:rPr>
            </w:pPr>
            <w:r>
              <w:rPr>
                <w:color w:val="auto"/>
                <w:spacing w:val="-6"/>
                <w:highlight w:val="none"/>
              </w:rPr>
              <w:t>（元）</w:t>
            </w:r>
          </w:p>
        </w:tc>
        <w:tc>
          <w:tcPr>
            <w:tcW w:w="522" w:type="dxa"/>
            <w:tcBorders>
              <w:top w:val="single" w:color="000000" w:sz="10" w:space="0"/>
            </w:tcBorders>
            <w:textDirection w:val="tbRlV"/>
            <w:vAlign w:val="top"/>
          </w:tcPr>
          <w:p w14:paraId="4EBF2713">
            <w:pPr>
              <w:pStyle w:val="11"/>
              <w:spacing w:before="135" w:line="200" w:lineRule="auto"/>
              <w:ind w:left="178"/>
              <w:rPr>
                <w:color w:val="auto"/>
                <w:highlight w:val="none"/>
              </w:rPr>
            </w:pPr>
            <w:r>
              <w:rPr>
                <w:color w:val="auto"/>
                <w:spacing w:val="1"/>
                <w:highlight w:val="none"/>
              </w:rPr>
              <w:t>开</w:t>
            </w:r>
            <w:r>
              <w:rPr>
                <w:color w:val="auto"/>
                <w:spacing w:val="10"/>
                <w:highlight w:val="none"/>
              </w:rPr>
              <w:t xml:space="preserve">  </w:t>
            </w:r>
            <w:r>
              <w:rPr>
                <w:color w:val="auto"/>
                <w:spacing w:val="1"/>
                <w:highlight w:val="none"/>
              </w:rPr>
              <w:t>工</w:t>
            </w:r>
            <w:r>
              <w:rPr>
                <w:color w:val="auto"/>
                <w:spacing w:val="10"/>
                <w:highlight w:val="none"/>
              </w:rPr>
              <w:t xml:space="preserve">  </w:t>
            </w:r>
            <w:r>
              <w:rPr>
                <w:color w:val="auto"/>
                <w:spacing w:val="1"/>
                <w:position w:val="1"/>
                <w:highlight w:val="none"/>
              </w:rPr>
              <w:t>日</w:t>
            </w:r>
            <w:r>
              <w:rPr>
                <w:color w:val="auto"/>
                <w:spacing w:val="8"/>
                <w:position w:val="1"/>
                <w:highlight w:val="none"/>
              </w:rPr>
              <w:t xml:space="preserve">  </w:t>
            </w:r>
            <w:r>
              <w:rPr>
                <w:color w:val="auto"/>
                <w:spacing w:val="1"/>
                <w:highlight w:val="none"/>
              </w:rPr>
              <w:t>期</w:t>
            </w:r>
          </w:p>
        </w:tc>
        <w:tc>
          <w:tcPr>
            <w:tcW w:w="538" w:type="dxa"/>
            <w:tcBorders>
              <w:top w:val="single" w:color="000000" w:sz="10" w:space="0"/>
              <w:right w:val="single" w:color="000000" w:sz="10" w:space="0"/>
            </w:tcBorders>
            <w:textDirection w:val="tbRlV"/>
            <w:vAlign w:val="top"/>
          </w:tcPr>
          <w:p w14:paraId="33135F19">
            <w:pPr>
              <w:pStyle w:val="11"/>
              <w:spacing w:before="146" w:line="200" w:lineRule="auto"/>
              <w:ind w:left="178"/>
              <w:rPr>
                <w:color w:val="auto"/>
                <w:highlight w:val="none"/>
              </w:rPr>
            </w:pPr>
            <w:r>
              <w:rPr>
                <w:color w:val="auto"/>
                <w:spacing w:val="1"/>
                <w:highlight w:val="none"/>
              </w:rPr>
              <w:t>竣</w:t>
            </w:r>
            <w:r>
              <w:rPr>
                <w:color w:val="auto"/>
                <w:spacing w:val="10"/>
                <w:highlight w:val="none"/>
              </w:rPr>
              <w:t xml:space="preserve">  </w:t>
            </w:r>
            <w:r>
              <w:rPr>
                <w:color w:val="auto"/>
                <w:spacing w:val="1"/>
                <w:highlight w:val="none"/>
              </w:rPr>
              <w:t>工</w:t>
            </w:r>
            <w:r>
              <w:rPr>
                <w:color w:val="auto"/>
                <w:spacing w:val="10"/>
                <w:highlight w:val="none"/>
              </w:rPr>
              <w:t xml:space="preserve">  </w:t>
            </w:r>
            <w:r>
              <w:rPr>
                <w:color w:val="auto"/>
                <w:spacing w:val="1"/>
                <w:position w:val="1"/>
                <w:highlight w:val="none"/>
              </w:rPr>
              <w:t>日</w:t>
            </w:r>
            <w:r>
              <w:rPr>
                <w:color w:val="auto"/>
                <w:spacing w:val="8"/>
                <w:position w:val="1"/>
                <w:highlight w:val="none"/>
              </w:rPr>
              <w:t xml:space="preserve">  </w:t>
            </w:r>
            <w:r>
              <w:rPr>
                <w:color w:val="auto"/>
                <w:spacing w:val="1"/>
                <w:highlight w:val="none"/>
              </w:rPr>
              <w:t>期</w:t>
            </w:r>
          </w:p>
        </w:tc>
      </w:tr>
      <w:tr w14:paraId="4062B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14:paraId="0FA934F2">
            <w:pPr>
              <w:rPr>
                <w:rFonts w:ascii="Arial"/>
                <w:color w:val="auto"/>
                <w:sz w:val="21"/>
                <w:highlight w:val="none"/>
              </w:rPr>
            </w:pPr>
            <w:r>
              <w:rPr>
                <w:color w:val="auto"/>
                <w:highlight w:val="none"/>
              </w:rPr>
              <w:pict>
                <v:rect id="_x0000_s2052" o:spid="_x0000_s2052" o:spt="1" style="position:absolute;left:0pt;margin-left:0.85pt;margin-top:1.3pt;height:0.75pt;width:76.8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708" w:type="dxa"/>
            <w:vAlign w:val="top"/>
          </w:tcPr>
          <w:p w14:paraId="42920A76">
            <w:pPr>
              <w:rPr>
                <w:rFonts w:ascii="Arial"/>
                <w:color w:val="auto"/>
                <w:sz w:val="21"/>
                <w:highlight w:val="none"/>
              </w:rPr>
            </w:pPr>
            <w:r>
              <w:rPr>
                <w:color w:val="auto"/>
                <w:highlight w:val="none"/>
              </w:rPr>
              <w:pict>
                <v:shape id="_x0000_s2053" o:spid="_x0000_s2053" style="position:absolute;left:0pt;margin-left:-0.7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rPr>
                <w:color w:val="auto"/>
                <w:highlight w:val="none"/>
              </w:rPr>
              <w:pict>
                <v:shape id="_x0000_s2054" o:spid="_x0000_s2054" style="position:absolute;left:0pt;margin-left:1.45pt;margin-top:1.3pt;height:0.75pt;width:33.4pt;mso-position-horizontal-relative:page;mso-position-vertical-relative:page;z-index:251668480;mso-width-relative:page;mso-height-relative:page;" fillcolor="#000000" filled="t" stroked="f" coordsize="668,15" path="m0,14l667,14,667,0,0,0,0,14xe">
                  <v:path/>
                  <v:fill on="t" focussize="0,0"/>
                  <v:stroke on="f"/>
                  <v:imagedata o:title=""/>
                  <o:lock v:ext="edit"/>
                </v:shape>
              </w:pict>
            </w:r>
          </w:p>
        </w:tc>
        <w:tc>
          <w:tcPr>
            <w:tcW w:w="1106" w:type="dxa"/>
            <w:vAlign w:val="top"/>
          </w:tcPr>
          <w:p w14:paraId="01BE3A8E">
            <w:pPr>
              <w:rPr>
                <w:rFonts w:ascii="Arial"/>
                <w:color w:val="auto"/>
                <w:sz w:val="21"/>
                <w:highlight w:val="none"/>
              </w:rPr>
            </w:pPr>
            <w:r>
              <w:rPr>
                <w:color w:val="auto"/>
                <w:highlight w:val="none"/>
              </w:rPr>
              <w:pict>
                <v:shape id="_x0000_s2055" o:spid="_x0000_s2055" style="position:absolute;left:0pt;margin-left:-0.6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rPr>
                <w:color w:val="auto"/>
                <w:highlight w:val="none"/>
              </w:rPr>
              <w:pict>
                <v:shape id="_x0000_s2056" o:spid="_x0000_s2056" style="position:absolute;left:0pt;margin-left:1.55pt;margin-top:1.3pt;height:0.75pt;width:53.35pt;mso-position-horizontal-relative:page;mso-position-vertical-relative:page;z-index:251663360;mso-width-relative:page;mso-height-relative:page;" fillcolor="#000000" filled="t" stroked="f" coordsize="1066,15" path="m0,14l1066,14,1066,0,0,0,0,14xe">
                  <v:path/>
                  <v:fill on="t" focussize="0,0"/>
                  <v:stroke on="f"/>
                  <v:imagedata o:title=""/>
                  <o:lock v:ext="edit"/>
                </v:shape>
              </w:pict>
            </w:r>
          </w:p>
        </w:tc>
        <w:tc>
          <w:tcPr>
            <w:tcW w:w="732" w:type="dxa"/>
            <w:vAlign w:val="top"/>
          </w:tcPr>
          <w:p w14:paraId="09849DAC">
            <w:pPr>
              <w:rPr>
                <w:rFonts w:ascii="Arial"/>
                <w:color w:val="auto"/>
                <w:sz w:val="21"/>
                <w:highlight w:val="none"/>
              </w:rPr>
            </w:pPr>
            <w:r>
              <w:rPr>
                <w:color w:val="auto"/>
                <w:highlight w:val="none"/>
              </w:rPr>
              <w:pict>
                <v:shape id="_x0000_s2057" o:spid="_x0000_s2057" style="position:absolute;left:0pt;margin-left:-0.4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rPr>
                <w:color w:val="auto"/>
                <w:highlight w:val="none"/>
              </w:rPr>
              <w:pict>
                <v:shape id="_x0000_s2058" o:spid="_x0000_s2058" style="position:absolute;left:0pt;margin-left:1.75pt;margin-top:1.3pt;height:0.75pt;width:34.6pt;mso-position-horizontal-relative:page;mso-position-vertical-relative:page;z-index:251667456;mso-width-relative:page;mso-height-relative:page;" fillcolor="#000000" filled="t" stroked="f" coordsize="691,15" path="m0,14l691,14,691,0,0,0,0,14xe">
                  <v:path/>
                  <v:fill on="t" focussize="0,0"/>
                  <v:stroke on="f"/>
                  <v:imagedata o:title=""/>
                  <o:lock v:ext="edit"/>
                </v:shape>
              </w:pict>
            </w:r>
          </w:p>
        </w:tc>
        <w:tc>
          <w:tcPr>
            <w:tcW w:w="565" w:type="dxa"/>
            <w:vAlign w:val="top"/>
          </w:tcPr>
          <w:p w14:paraId="3949AB32">
            <w:pPr>
              <w:rPr>
                <w:rFonts w:ascii="Arial"/>
                <w:color w:val="auto"/>
                <w:sz w:val="21"/>
                <w:highlight w:val="none"/>
              </w:rPr>
            </w:pPr>
            <w:r>
              <w:rPr>
                <w:color w:val="auto"/>
                <w:highlight w:val="none"/>
              </w:rPr>
              <w:pict>
                <v:shape id="_x0000_s2059" o:spid="_x0000_s2059" style="position:absolute;left:0pt;margin-left:-0.3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rPr>
                <w:color w:val="auto"/>
                <w:highlight w:val="none"/>
              </w:rPr>
              <w:pict>
                <v:shape id="_x0000_s2060" o:spid="_x0000_s2060" style="position:absolute;left:0pt;margin-left:1.9pt;margin-top:1.3pt;height:0.75pt;width:26.2pt;mso-position-horizontal-relative:page;mso-position-vertical-relative:page;z-index:251669504;mso-width-relative:page;mso-height-relative:page;" fillcolor="#000000" filled="t" stroked="f" coordsize="524,15" path="m0,14l523,14,523,0,0,0,0,14xe">
                  <v:path/>
                  <v:fill on="t" focussize="0,0"/>
                  <v:stroke on="f"/>
                  <v:imagedata o:title=""/>
                  <o:lock v:ext="edit"/>
                </v:shape>
              </w:pict>
            </w:r>
          </w:p>
        </w:tc>
        <w:tc>
          <w:tcPr>
            <w:tcW w:w="838" w:type="dxa"/>
            <w:vAlign w:val="top"/>
          </w:tcPr>
          <w:p w14:paraId="65777CC7">
            <w:pPr>
              <w:rPr>
                <w:rFonts w:ascii="Arial"/>
                <w:color w:val="auto"/>
                <w:sz w:val="21"/>
                <w:highlight w:val="none"/>
              </w:rPr>
            </w:pPr>
            <w:r>
              <w:rPr>
                <w:color w:val="auto"/>
                <w:highlight w:val="none"/>
              </w:rPr>
              <w:pict>
                <v:shape id="_x0000_s2061" o:spid="_x0000_s2061" style="position:absolute;left:0pt;margin-left:-0.2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rPr>
                <w:color w:val="auto"/>
                <w:highlight w:val="none"/>
              </w:rPr>
              <w:pict>
                <v:shape id="_x0000_s2062" o:spid="_x0000_s2062" style="position:absolute;left:0pt;margin-left:1.95pt;margin-top:1.3pt;height:0.75pt;width:39.9pt;mso-position-horizontal-relative:page;mso-position-vertical-relative:page;z-index:251665408;mso-width-relative:page;mso-height-relative:page;" fillcolor="#000000" filled="t" stroked="f" coordsize="798,15" path="m0,14l797,14,797,0,0,0,0,14xe">
                  <v:path/>
                  <v:fill on="t" focussize="0,0"/>
                  <v:stroke on="f"/>
                  <v:imagedata o:title=""/>
                  <o:lock v:ext="edit"/>
                </v:shape>
              </w:pict>
            </w:r>
          </w:p>
        </w:tc>
        <w:tc>
          <w:tcPr>
            <w:tcW w:w="776" w:type="dxa"/>
            <w:vAlign w:val="top"/>
          </w:tcPr>
          <w:p w14:paraId="7CD37EE7">
            <w:pPr>
              <w:rPr>
                <w:rFonts w:ascii="Arial"/>
                <w:color w:val="auto"/>
                <w:sz w:val="21"/>
                <w:highlight w:val="none"/>
              </w:rPr>
            </w:pPr>
            <w:r>
              <w:rPr>
                <w:color w:val="auto"/>
                <w:highlight w:val="none"/>
              </w:rPr>
              <w:pict>
                <v:shape id="_x0000_s2063" o:spid="_x0000_s2063" style="position:absolute;left:0pt;margin-left:-0.1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rPr>
                <w:color w:val="auto"/>
                <w:highlight w:val="none"/>
              </w:rPr>
              <w:pict>
                <v:shape id="_x0000_s2064" o:spid="_x0000_s2064" style="position:absolute;left:0pt;margin-left:2.05pt;margin-top:1.3pt;height:0.75pt;width:36.75pt;mso-position-horizontal-relative:page;mso-position-vertical-relative:page;z-index:251666432;mso-width-relative:page;mso-height-relative:page;" fillcolor="#000000" filled="t" stroked="f" coordsize="735,15" path="m0,14l734,14,734,0,0,0,0,14xe">
                  <v:path/>
                  <v:fill on="t" focussize="0,0"/>
                  <v:stroke on="f"/>
                  <v:imagedata o:title=""/>
                  <o:lock v:ext="edit"/>
                </v:shape>
              </w:pict>
            </w:r>
          </w:p>
        </w:tc>
        <w:tc>
          <w:tcPr>
            <w:tcW w:w="938" w:type="dxa"/>
            <w:vAlign w:val="top"/>
          </w:tcPr>
          <w:p w14:paraId="50E98056">
            <w:pPr>
              <w:rPr>
                <w:rFonts w:ascii="Arial"/>
                <w:color w:val="auto"/>
                <w:sz w:val="21"/>
                <w:highlight w:val="none"/>
              </w:rPr>
            </w:pPr>
            <w:r>
              <w:rPr>
                <w:color w:val="auto"/>
                <w:highlight w:val="none"/>
              </w:rPr>
              <w:pict>
                <v:shape id="_x0000_s2065" o:spid="_x0000_s2065" style="position:absolute;left:0pt;margin-left:0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rPr>
                <w:color w:val="auto"/>
                <w:highlight w:val="none"/>
              </w:rPr>
              <w:pict>
                <v:shape id="_x0000_s2066" o:spid="_x0000_s2066" style="position:absolute;left:0pt;margin-left:2.2pt;margin-top:1.3pt;height:0.75pt;width:44.9pt;mso-position-horizontal-relative:page;mso-position-vertical-relative:page;z-index:251664384;mso-width-relative:page;mso-height-relative:page;" fillcolor="#000000" filled="t" stroked="f" coordsize="898,15" path="m0,14l897,14,897,0,0,0,0,14xe">
                  <v:path/>
                  <v:fill on="t" focussize="0,0"/>
                  <v:stroke on="f"/>
                  <v:imagedata o:title=""/>
                  <o:lock v:ext="edit"/>
                </v:shape>
              </w:pict>
            </w:r>
          </w:p>
        </w:tc>
        <w:tc>
          <w:tcPr>
            <w:tcW w:w="522" w:type="dxa"/>
            <w:vAlign w:val="top"/>
          </w:tcPr>
          <w:p w14:paraId="78D3E5EE">
            <w:pPr>
              <w:rPr>
                <w:rFonts w:ascii="Arial"/>
                <w:color w:val="auto"/>
                <w:sz w:val="21"/>
                <w:highlight w:val="none"/>
              </w:rPr>
            </w:pPr>
            <w:r>
              <w:rPr>
                <w:color w:val="auto"/>
                <w:highlight w:val="none"/>
              </w:rPr>
              <w:pict>
                <v:shape id="_x0000_s2067" o:spid="_x0000_s2067" style="position:absolute;left:0pt;margin-left:0.15pt;margin-top:1.3pt;height:0.75pt;width:2.2pt;mso-position-horizontal-relative:page;mso-position-vertical-relative:page;z-index:251680768;mso-width-relative:page;mso-height-relative:page;" fillcolor="#000000" filled="t" stroked="f" coordsize="44,15" path="m0,14l43,14,43,0,0,0,0,14xe">
                  <v:path/>
                  <v:fill on="t" focussize="0,0"/>
                  <v:stroke on="f"/>
                  <v:imagedata o:title=""/>
                  <o:lock v:ext="edit"/>
                </v:shape>
              </w:pict>
            </w:r>
            <w:r>
              <w:rPr>
                <w:color w:val="auto"/>
                <w:highlight w:val="none"/>
              </w:rPr>
              <w:pict>
                <v:shape id="_x0000_s2068" o:spid="_x0000_s2068" style="position:absolute;left:0pt;margin-left:2.3pt;margin-top:1.3pt;height:0.75pt;width:24.05pt;mso-position-horizontal-relative:page;mso-position-vertical-relative:page;z-index:251670528;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14:paraId="0565A6F3">
            <w:pPr>
              <w:rPr>
                <w:rFonts w:ascii="Arial"/>
                <w:color w:val="auto"/>
                <w:sz w:val="21"/>
                <w:highlight w:val="none"/>
              </w:rPr>
            </w:pPr>
            <w:r>
              <w:rPr>
                <w:color w:val="auto"/>
                <w:highlight w:val="none"/>
              </w:rPr>
              <w:pict>
                <v:shape id="_x0000_s2069" o:spid="_x0000_s2069" style="position:absolute;left:0pt;margin-left:0.2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rPr>
                <w:color w:val="auto"/>
                <w:highlight w:val="none"/>
              </w:rPr>
              <w:pict>
                <v:shape id="_x0000_s2070" o:spid="_x0000_s2070" style="position:absolute;left:0pt;margin-left:2.4pt;margin-top:1.3pt;height:0.75pt;width:23.8pt;mso-position-horizontal-relative:page;mso-position-vertical-relative:page;z-index:251671552;mso-width-relative:page;mso-height-relative:page;" fillcolor="#000000" filled="t" stroked="f" coordsize="475,15" path="m0,14l475,14,475,0,0,0,0,14xe">
                  <v:path/>
                  <v:fill on="t" focussize="0,0"/>
                  <v:stroke on="f"/>
                  <v:imagedata o:title=""/>
                  <o:lock v:ext="edit"/>
                </v:shape>
              </w:pict>
            </w:r>
          </w:p>
        </w:tc>
      </w:tr>
      <w:tr w14:paraId="1DE4F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98A9B16">
            <w:pPr>
              <w:rPr>
                <w:rFonts w:ascii="Arial"/>
                <w:color w:val="auto"/>
                <w:sz w:val="21"/>
                <w:highlight w:val="none"/>
              </w:rPr>
            </w:pPr>
          </w:p>
        </w:tc>
        <w:tc>
          <w:tcPr>
            <w:tcW w:w="708" w:type="dxa"/>
            <w:vAlign w:val="top"/>
          </w:tcPr>
          <w:p w14:paraId="37206464">
            <w:pPr>
              <w:rPr>
                <w:rFonts w:ascii="Arial"/>
                <w:color w:val="auto"/>
                <w:sz w:val="21"/>
                <w:highlight w:val="none"/>
              </w:rPr>
            </w:pPr>
          </w:p>
        </w:tc>
        <w:tc>
          <w:tcPr>
            <w:tcW w:w="1106" w:type="dxa"/>
            <w:vAlign w:val="top"/>
          </w:tcPr>
          <w:p w14:paraId="5F065682">
            <w:pPr>
              <w:rPr>
                <w:rFonts w:ascii="Arial"/>
                <w:color w:val="auto"/>
                <w:sz w:val="21"/>
                <w:highlight w:val="none"/>
              </w:rPr>
            </w:pPr>
          </w:p>
        </w:tc>
        <w:tc>
          <w:tcPr>
            <w:tcW w:w="732" w:type="dxa"/>
            <w:vAlign w:val="top"/>
          </w:tcPr>
          <w:p w14:paraId="01B28E25">
            <w:pPr>
              <w:rPr>
                <w:rFonts w:ascii="Arial"/>
                <w:color w:val="auto"/>
                <w:sz w:val="21"/>
                <w:highlight w:val="none"/>
              </w:rPr>
            </w:pPr>
          </w:p>
        </w:tc>
        <w:tc>
          <w:tcPr>
            <w:tcW w:w="565" w:type="dxa"/>
            <w:vAlign w:val="top"/>
          </w:tcPr>
          <w:p w14:paraId="612C3FE5">
            <w:pPr>
              <w:rPr>
                <w:rFonts w:ascii="Arial"/>
                <w:color w:val="auto"/>
                <w:sz w:val="21"/>
                <w:highlight w:val="none"/>
              </w:rPr>
            </w:pPr>
          </w:p>
        </w:tc>
        <w:tc>
          <w:tcPr>
            <w:tcW w:w="838" w:type="dxa"/>
            <w:vAlign w:val="top"/>
          </w:tcPr>
          <w:p w14:paraId="40E92CC5">
            <w:pPr>
              <w:rPr>
                <w:rFonts w:ascii="Arial"/>
                <w:color w:val="auto"/>
                <w:sz w:val="21"/>
                <w:highlight w:val="none"/>
              </w:rPr>
            </w:pPr>
          </w:p>
        </w:tc>
        <w:tc>
          <w:tcPr>
            <w:tcW w:w="776" w:type="dxa"/>
            <w:vAlign w:val="top"/>
          </w:tcPr>
          <w:p w14:paraId="5A54C672">
            <w:pPr>
              <w:rPr>
                <w:rFonts w:ascii="Arial"/>
                <w:color w:val="auto"/>
                <w:sz w:val="21"/>
                <w:highlight w:val="none"/>
              </w:rPr>
            </w:pPr>
          </w:p>
        </w:tc>
        <w:tc>
          <w:tcPr>
            <w:tcW w:w="938" w:type="dxa"/>
            <w:vAlign w:val="top"/>
          </w:tcPr>
          <w:p w14:paraId="5D218691">
            <w:pPr>
              <w:rPr>
                <w:rFonts w:ascii="Arial"/>
                <w:color w:val="auto"/>
                <w:sz w:val="21"/>
                <w:highlight w:val="none"/>
              </w:rPr>
            </w:pPr>
          </w:p>
        </w:tc>
        <w:tc>
          <w:tcPr>
            <w:tcW w:w="522" w:type="dxa"/>
            <w:vAlign w:val="top"/>
          </w:tcPr>
          <w:p w14:paraId="31C6549C">
            <w:pPr>
              <w:rPr>
                <w:rFonts w:ascii="Arial"/>
                <w:color w:val="auto"/>
                <w:sz w:val="21"/>
                <w:highlight w:val="none"/>
              </w:rPr>
            </w:pPr>
          </w:p>
        </w:tc>
        <w:tc>
          <w:tcPr>
            <w:tcW w:w="538" w:type="dxa"/>
            <w:tcBorders>
              <w:right w:val="single" w:color="000000" w:sz="10" w:space="0"/>
            </w:tcBorders>
            <w:vAlign w:val="top"/>
          </w:tcPr>
          <w:p w14:paraId="7CFF47D2">
            <w:pPr>
              <w:rPr>
                <w:rFonts w:ascii="Arial"/>
                <w:color w:val="auto"/>
                <w:sz w:val="21"/>
                <w:highlight w:val="none"/>
              </w:rPr>
            </w:pPr>
          </w:p>
        </w:tc>
      </w:tr>
      <w:tr w14:paraId="6827B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C2893FC">
            <w:pPr>
              <w:rPr>
                <w:rFonts w:ascii="Arial"/>
                <w:color w:val="auto"/>
                <w:sz w:val="21"/>
                <w:highlight w:val="none"/>
              </w:rPr>
            </w:pPr>
          </w:p>
        </w:tc>
        <w:tc>
          <w:tcPr>
            <w:tcW w:w="708" w:type="dxa"/>
            <w:vAlign w:val="top"/>
          </w:tcPr>
          <w:p w14:paraId="4910DB10">
            <w:pPr>
              <w:rPr>
                <w:rFonts w:ascii="Arial"/>
                <w:color w:val="auto"/>
                <w:sz w:val="21"/>
                <w:highlight w:val="none"/>
              </w:rPr>
            </w:pPr>
          </w:p>
        </w:tc>
        <w:tc>
          <w:tcPr>
            <w:tcW w:w="1106" w:type="dxa"/>
            <w:vAlign w:val="top"/>
          </w:tcPr>
          <w:p w14:paraId="1D558027">
            <w:pPr>
              <w:rPr>
                <w:rFonts w:ascii="Arial"/>
                <w:color w:val="auto"/>
                <w:sz w:val="21"/>
                <w:highlight w:val="none"/>
              </w:rPr>
            </w:pPr>
          </w:p>
        </w:tc>
        <w:tc>
          <w:tcPr>
            <w:tcW w:w="732" w:type="dxa"/>
            <w:vAlign w:val="top"/>
          </w:tcPr>
          <w:p w14:paraId="30AF660D">
            <w:pPr>
              <w:rPr>
                <w:rFonts w:ascii="Arial"/>
                <w:color w:val="auto"/>
                <w:sz w:val="21"/>
                <w:highlight w:val="none"/>
              </w:rPr>
            </w:pPr>
          </w:p>
        </w:tc>
        <w:tc>
          <w:tcPr>
            <w:tcW w:w="565" w:type="dxa"/>
            <w:vAlign w:val="top"/>
          </w:tcPr>
          <w:p w14:paraId="037B4920">
            <w:pPr>
              <w:rPr>
                <w:rFonts w:ascii="Arial"/>
                <w:color w:val="auto"/>
                <w:sz w:val="21"/>
                <w:highlight w:val="none"/>
              </w:rPr>
            </w:pPr>
          </w:p>
        </w:tc>
        <w:tc>
          <w:tcPr>
            <w:tcW w:w="838" w:type="dxa"/>
            <w:vAlign w:val="top"/>
          </w:tcPr>
          <w:p w14:paraId="46FF97CA">
            <w:pPr>
              <w:rPr>
                <w:rFonts w:ascii="Arial"/>
                <w:color w:val="auto"/>
                <w:sz w:val="21"/>
                <w:highlight w:val="none"/>
              </w:rPr>
            </w:pPr>
          </w:p>
        </w:tc>
        <w:tc>
          <w:tcPr>
            <w:tcW w:w="776" w:type="dxa"/>
            <w:vAlign w:val="top"/>
          </w:tcPr>
          <w:p w14:paraId="58732246">
            <w:pPr>
              <w:rPr>
                <w:rFonts w:ascii="Arial"/>
                <w:color w:val="auto"/>
                <w:sz w:val="21"/>
                <w:highlight w:val="none"/>
              </w:rPr>
            </w:pPr>
          </w:p>
        </w:tc>
        <w:tc>
          <w:tcPr>
            <w:tcW w:w="938" w:type="dxa"/>
            <w:vAlign w:val="top"/>
          </w:tcPr>
          <w:p w14:paraId="49E801A0">
            <w:pPr>
              <w:rPr>
                <w:rFonts w:ascii="Arial"/>
                <w:color w:val="auto"/>
                <w:sz w:val="21"/>
                <w:highlight w:val="none"/>
              </w:rPr>
            </w:pPr>
          </w:p>
        </w:tc>
        <w:tc>
          <w:tcPr>
            <w:tcW w:w="522" w:type="dxa"/>
            <w:vAlign w:val="top"/>
          </w:tcPr>
          <w:p w14:paraId="530604B0">
            <w:pPr>
              <w:rPr>
                <w:rFonts w:ascii="Arial"/>
                <w:color w:val="auto"/>
                <w:sz w:val="21"/>
                <w:highlight w:val="none"/>
              </w:rPr>
            </w:pPr>
          </w:p>
        </w:tc>
        <w:tc>
          <w:tcPr>
            <w:tcW w:w="538" w:type="dxa"/>
            <w:tcBorders>
              <w:right w:val="single" w:color="000000" w:sz="10" w:space="0"/>
            </w:tcBorders>
            <w:vAlign w:val="top"/>
          </w:tcPr>
          <w:p w14:paraId="12BEF012">
            <w:pPr>
              <w:rPr>
                <w:rFonts w:ascii="Arial"/>
                <w:color w:val="auto"/>
                <w:sz w:val="21"/>
                <w:highlight w:val="none"/>
              </w:rPr>
            </w:pPr>
          </w:p>
        </w:tc>
      </w:tr>
      <w:tr w14:paraId="53CEA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410CECBB">
            <w:pPr>
              <w:rPr>
                <w:rFonts w:ascii="Arial"/>
                <w:color w:val="auto"/>
                <w:sz w:val="21"/>
                <w:highlight w:val="none"/>
              </w:rPr>
            </w:pPr>
          </w:p>
        </w:tc>
        <w:tc>
          <w:tcPr>
            <w:tcW w:w="708" w:type="dxa"/>
            <w:vAlign w:val="top"/>
          </w:tcPr>
          <w:p w14:paraId="63E559BF">
            <w:pPr>
              <w:rPr>
                <w:rFonts w:ascii="Arial"/>
                <w:color w:val="auto"/>
                <w:sz w:val="21"/>
                <w:highlight w:val="none"/>
              </w:rPr>
            </w:pPr>
          </w:p>
        </w:tc>
        <w:tc>
          <w:tcPr>
            <w:tcW w:w="1106" w:type="dxa"/>
            <w:vAlign w:val="top"/>
          </w:tcPr>
          <w:p w14:paraId="58D8768A">
            <w:pPr>
              <w:rPr>
                <w:rFonts w:ascii="Arial"/>
                <w:color w:val="auto"/>
                <w:sz w:val="21"/>
                <w:highlight w:val="none"/>
              </w:rPr>
            </w:pPr>
          </w:p>
        </w:tc>
        <w:tc>
          <w:tcPr>
            <w:tcW w:w="732" w:type="dxa"/>
            <w:vAlign w:val="top"/>
          </w:tcPr>
          <w:p w14:paraId="28301A7F">
            <w:pPr>
              <w:rPr>
                <w:rFonts w:ascii="Arial"/>
                <w:color w:val="auto"/>
                <w:sz w:val="21"/>
                <w:highlight w:val="none"/>
              </w:rPr>
            </w:pPr>
          </w:p>
        </w:tc>
        <w:tc>
          <w:tcPr>
            <w:tcW w:w="565" w:type="dxa"/>
            <w:vAlign w:val="top"/>
          </w:tcPr>
          <w:p w14:paraId="2AEB2C46">
            <w:pPr>
              <w:rPr>
                <w:rFonts w:ascii="Arial"/>
                <w:color w:val="auto"/>
                <w:sz w:val="21"/>
                <w:highlight w:val="none"/>
              </w:rPr>
            </w:pPr>
          </w:p>
        </w:tc>
        <w:tc>
          <w:tcPr>
            <w:tcW w:w="838" w:type="dxa"/>
            <w:vAlign w:val="top"/>
          </w:tcPr>
          <w:p w14:paraId="04BF44B6">
            <w:pPr>
              <w:rPr>
                <w:rFonts w:ascii="Arial"/>
                <w:color w:val="auto"/>
                <w:sz w:val="21"/>
                <w:highlight w:val="none"/>
              </w:rPr>
            </w:pPr>
          </w:p>
        </w:tc>
        <w:tc>
          <w:tcPr>
            <w:tcW w:w="776" w:type="dxa"/>
            <w:vAlign w:val="top"/>
          </w:tcPr>
          <w:p w14:paraId="6570037D">
            <w:pPr>
              <w:rPr>
                <w:rFonts w:ascii="Arial"/>
                <w:color w:val="auto"/>
                <w:sz w:val="21"/>
                <w:highlight w:val="none"/>
              </w:rPr>
            </w:pPr>
          </w:p>
        </w:tc>
        <w:tc>
          <w:tcPr>
            <w:tcW w:w="938" w:type="dxa"/>
            <w:vAlign w:val="top"/>
          </w:tcPr>
          <w:p w14:paraId="3B837597">
            <w:pPr>
              <w:rPr>
                <w:rFonts w:ascii="Arial"/>
                <w:color w:val="auto"/>
                <w:sz w:val="21"/>
                <w:highlight w:val="none"/>
              </w:rPr>
            </w:pPr>
          </w:p>
        </w:tc>
        <w:tc>
          <w:tcPr>
            <w:tcW w:w="522" w:type="dxa"/>
            <w:vAlign w:val="top"/>
          </w:tcPr>
          <w:p w14:paraId="3E42E90B">
            <w:pPr>
              <w:rPr>
                <w:rFonts w:ascii="Arial"/>
                <w:color w:val="auto"/>
                <w:sz w:val="21"/>
                <w:highlight w:val="none"/>
              </w:rPr>
            </w:pPr>
          </w:p>
        </w:tc>
        <w:tc>
          <w:tcPr>
            <w:tcW w:w="538" w:type="dxa"/>
            <w:tcBorders>
              <w:right w:val="single" w:color="000000" w:sz="10" w:space="0"/>
            </w:tcBorders>
            <w:vAlign w:val="top"/>
          </w:tcPr>
          <w:p w14:paraId="01E026BF">
            <w:pPr>
              <w:rPr>
                <w:rFonts w:ascii="Arial"/>
                <w:color w:val="auto"/>
                <w:sz w:val="21"/>
                <w:highlight w:val="none"/>
              </w:rPr>
            </w:pPr>
          </w:p>
        </w:tc>
      </w:tr>
      <w:tr w14:paraId="0F6DB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D044C01">
            <w:pPr>
              <w:rPr>
                <w:rFonts w:ascii="Arial"/>
                <w:color w:val="auto"/>
                <w:sz w:val="21"/>
                <w:highlight w:val="none"/>
              </w:rPr>
            </w:pPr>
          </w:p>
        </w:tc>
        <w:tc>
          <w:tcPr>
            <w:tcW w:w="708" w:type="dxa"/>
            <w:vAlign w:val="top"/>
          </w:tcPr>
          <w:p w14:paraId="4EA7C819">
            <w:pPr>
              <w:rPr>
                <w:rFonts w:ascii="Arial"/>
                <w:color w:val="auto"/>
                <w:sz w:val="21"/>
                <w:highlight w:val="none"/>
              </w:rPr>
            </w:pPr>
          </w:p>
        </w:tc>
        <w:tc>
          <w:tcPr>
            <w:tcW w:w="1106" w:type="dxa"/>
            <w:vAlign w:val="top"/>
          </w:tcPr>
          <w:p w14:paraId="2C2F1D79">
            <w:pPr>
              <w:rPr>
                <w:rFonts w:ascii="Arial"/>
                <w:color w:val="auto"/>
                <w:sz w:val="21"/>
                <w:highlight w:val="none"/>
              </w:rPr>
            </w:pPr>
          </w:p>
        </w:tc>
        <w:tc>
          <w:tcPr>
            <w:tcW w:w="732" w:type="dxa"/>
            <w:vAlign w:val="top"/>
          </w:tcPr>
          <w:p w14:paraId="74C27662">
            <w:pPr>
              <w:rPr>
                <w:rFonts w:ascii="Arial"/>
                <w:color w:val="auto"/>
                <w:sz w:val="21"/>
                <w:highlight w:val="none"/>
              </w:rPr>
            </w:pPr>
          </w:p>
        </w:tc>
        <w:tc>
          <w:tcPr>
            <w:tcW w:w="565" w:type="dxa"/>
            <w:vAlign w:val="top"/>
          </w:tcPr>
          <w:p w14:paraId="7A021D34">
            <w:pPr>
              <w:rPr>
                <w:rFonts w:ascii="Arial"/>
                <w:color w:val="auto"/>
                <w:sz w:val="21"/>
                <w:highlight w:val="none"/>
              </w:rPr>
            </w:pPr>
          </w:p>
        </w:tc>
        <w:tc>
          <w:tcPr>
            <w:tcW w:w="838" w:type="dxa"/>
            <w:vAlign w:val="top"/>
          </w:tcPr>
          <w:p w14:paraId="06014372">
            <w:pPr>
              <w:rPr>
                <w:rFonts w:ascii="Arial"/>
                <w:color w:val="auto"/>
                <w:sz w:val="21"/>
                <w:highlight w:val="none"/>
              </w:rPr>
            </w:pPr>
          </w:p>
        </w:tc>
        <w:tc>
          <w:tcPr>
            <w:tcW w:w="776" w:type="dxa"/>
            <w:vAlign w:val="top"/>
          </w:tcPr>
          <w:p w14:paraId="6BC6C4FE">
            <w:pPr>
              <w:rPr>
                <w:rFonts w:ascii="Arial"/>
                <w:color w:val="auto"/>
                <w:sz w:val="21"/>
                <w:highlight w:val="none"/>
              </w:rPr>
            </w:pPr>
          </w:p>
        </w:tc>
        <w:tc>
          <w:tcPr>
            <w:tcW w:w="938" w:type="dxa"/>
            <w:vAlign w:val="top"/>
          </w:tcPr>
          <w:p w14:paraId="708B2B2B">
            <w:pPr>
              <w:rPr>
                <w:rFonts w:ascii="Arial"/>
                <w:color w:val="auto"/>
                <w:sz w:val="21"/>
                <w:highlight w:val="none"/>
              </w:rPr>
            </w:pPr>
          </w:p>
        </w:tc>
        <w:tc>
          <w:tcPr>
            <w:tcW w:w="522" w:type="dxa"/>
            <w:vAlign w:val="top"/>
          </w:tcPr>
          <w:p w14:paraId="30C8DD4A">
            <w:pPr>
              <w:rPr>
                <w:rFonts w:ascii="Arial"/>
                <w:color w:val="auto"/>
                <w:sz w:val="21"/>
                <w:highlight w:val="none"/>
              </w:rPr>
            </w:pPr>
          </w:p>
        </w:tc>
        <w:tc>
          <w:tcPr>
            <w:tcW w:w="538" w:type="dxa"/>
            <w:tcBorders>
              <w:right w:val="single" w:color="000000" w:sz="10" w:space="0"/>
            </w:tcBorders>
            <w:vAlign w:val="top"/>
          </w:tcPr>
          <w:p w14:paraId="77FCB49B">
            <w:pPr>
              <w:rPr>
                <w:rFonts w:ascii="Arial"/>
                <w:color w:val="auto"/>
                <w:sz w:val="21"/>
                <w:highlight w:val="none"/>
              </w:rPr>
            </w:pPr>
          </w:p>
        </w:tc>
      </w:tr>
      <w:tr w14:paraId="6ADD4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0255F426">
            <w:pPr>
              <w:rPr>
                <w:rFonts w:ascii="Arial"/>
                <w:color w:val="auto"/>
                <w:sz w:val="21"/>
                <w:highlight w:val="none"/>
              </w:rPr>
            </w:pPr>
          </w:p>
        </w:tc>
        <w:tc>
          <w:tcPr>
            <w:tcW w:w="708" w:type="dxa"/>
            <w:vAlign w:val="top"/>
          </w:tcPr>
          <w:p w14:paraId="0836BA32">
            <w:pPr>
              <w:rPr>
                <w:rFonts w:ascii="Arial"/>
                <w:color w:val="auto"/>
                <w:sz w:val="21"/>
                <w:highlight w:val="none"/>
              </w:rPr>
            </w:pPr>
          </w:p>
        </w:tc>
        <w:tc>
          <w:tcPr>
            <w:tcW w:w="1106" w:type="dxa"/>
            <w:vAlign w:val="top"/>
          </w:tcPr>
          <w:p w14:paraId="429D5E10">
            <w:pPr>
              <w:rPr>
                <w:rFonts w:ascii="Arial"/>
                <w:color w:val="auto"/>
                <w:sz w:val="21"/>
                <w:highlight w:val="none"/>
              </w:rPr>
            </w:pPr>
          </w:p>
        </w:tc>
        <w:tc>
          <w:tcPr>
            <w:tcW w:w="732" w:type="dxa"/>
            <w:vAlign w:val="top"/>
          </w:tcPr>
          <w:p w14:paraId="48863884">
            <w:pPr>
              <w:rPr>
                <w:rFonts w:ascii="Arial"/>
                <w:color w:val="auto"/>
                <w:sz w:val="21"/>
                <w:highlight w:val="none"/>
              </w:rPr>
            </w:pPr>
          </w:p>
        </w:tc>
        <w:tc>
          <w:tcPr>
            <w:tcW w:w="565" w:type="dxa"/>
            <w:vAlign w:val="top"/>
          </w:tcPr>
          <w:p w14:paraId="753A523D">
            <w:pPr>
              <w:rPr>
                <w:rFonts w:ascii="Arial"/>
                <w:color w:val="auto"/>
                <w:sz w:val="21"/>
                <w:highlight w:val="none"/>
              </w:rPr>
            </w:pPr>
          </w:p>
        </w:tc>
        <w:tc>
          <w:tcPr>
            <w:tcW w:w="838" w:type="dxa"/>
            <w:vAlign w:val="top"/>
          </w:tcPr>
          <w:p w14:paraId="32C3375E">
            <w:pPr>
              <w:rPr>
                <w:rFonts w:ascii="Arial"/>
                <w:color w:val="auto"/>
                <w:sz w:val="21"/>
                <w:highlight w:val="none"/>
              </w:rPr>
            </w:pPr>
          </w:p>
        </w:tc>
        <w:tc>
          <w:tcPr>
            <w:tcW w:w="776" w:type="dxa"/>
            <w:vAlign w:val="top"/>
          </w:tcPr>
          <w:p w14:paraId="3978942E">
            <w:pPr>
              <w:rPr>
                <w:rFonts w:ascii="Arial"/>
                <w:color w:val="auto"/>
                <w:sz w:val="21"/>
                <w:highlight w:val="none"/>
              </w:rPr>
            </w:pPr>
          </w:p>
        </w:tc>
        <w:tc>
          <w:tcPr>
            <w:tcW w:w="938" w:type="dxa"/>
            <w:vAlign w:val="top"/>
          </w:tcPr>
          <w:p w14:paraId="4874EDE5">
            <w:pPr>
              <w:rPr>
                <w:rFonts w:ascii="Arial"/>
                <w:color w:val="auto"/>
                <w:sz w:val="21"/>
                <w:highlight w:val="none"/>
              </w:rPr>
            </w:pPr>
          </w:p>
        </w:tc>
        <w:tc>
          <w:tcPr>
            <w:tcW w:w="522" w:type="dxa"/>
            <w:vAlign w:val="top"/>
          </w:tcPr>
          <w:p w14:paraId="1DAC61E2">
            <w:pPr>
              <w:rPr>
                <w:rFonts w:ascii="Arial"/>
                <w:color w:val="auto"/>
                <w:sz w:val="21"/>
                <w:highlight w:val="none"/>
              </w:rPr>
            </w:pPr>
          </w:p>
        </w:tc>
        <w:tc>
          <w:tcPr>
            <w:tcW w:w="538" w:type="dxa"/>
            <w:tcBorders>
              <w:right w:val="single" w:color="000000" w:sz="10" w:space="0"/>
            </w:tcBorders>
            <w:vAlign w:val="top"/>
          </w:tcPr>
          <w:p w14:paraId="741812FC">
            <w:pPr>
              <w:rPr>
                <w:rFonts w:ascii="Arial"/>
                <w:color w:val="auto"/>
                <w:sz w:val="21"/>
                <w:highlight w:val="none"/>
              </w:rPr>
            </w:pPr>
          </w:p>
        </w:tc>
      </w:tr>
      <w:tr w14:paraId="5D5B0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2DEDBD2B">
            <w:pPr>
              <w:rPr>
                <w:rFonts w:ascii="Arial"/>
                <w:color w:val="auto"/>
                <w:sz w:val="21"/>
                <w:highlight w:val="none"/>
              </w:rPr>
            </w:pPr>
          </w:p>
        </w:tc>
        <w:tc>
          <w:tcPr>
            <w:tcW w:w="708" w:type="dxa"/>
            <w:vAlign w:val="top"/>
          </w:tcPr>
          <w:p w14:paraId="5A434E26">
            <w:pPr>
              <w:rPr>
                <w:rFonts w:ascii="Arial"/>
                <w:color w:val="auto"/>
                <w:sz w:val="21"/>
                <w:highlight w:val="none"/>
              </w:rPr>
            </w:pPr>
          </w:p>
        </w:tc>
        <w:tc>
          <w:tcPr>
            <w:tcW w:w="1106" w:type="dxa"/>
            <w:vAlign w:val="top"/>
          </w:tcPr>
          <w:p w14:paraId="307B3E5D">
            <w:pPr>
              <w:rPr>
                <w:rFonts w:ascii="Arial"/>
                <w:color w:val="auto"/>
                <w:sz w:val="21"/>
                <w:highlight w:val="none"/>
              </w:rPr>
            </w:pPr>
          </w:p>
        </w:tc>
        <w:tc>
          <w:tcPr>
            <w:tcW w:w="732" w:type="dxa"/>
            <w:vAlign w:val="top"/>
          </w:tcPr>
          <w:p w14:paraId="6536B56D">
            <w:pPr>
              <w:rPr>
                <w:rFonts w:ascii="Arial"/>
                <w:color w:val="auto"/>
                <w:sz w:val="21"/>
                <w:highlight w:val="none"/>
              </w:rPr>
            </w:pPr>
          </w:p>
        </w:tc>
        <w:tc>
          <w:tcPr>
            <w:tcW w:w="565" w:type="dxa"/>
            <w:vAlign w:val="top"/>
          </w:tcPr>
          <w:p w14:paraId="07D51FFE">
            <w:pPr>
              <w:rPr>
                <w:rFonts w:ascii="Arial"/>
                <w:color w:val="auto"/>
                <w:sz w:val="21"/>
                <w:highlight w:val="none"/>
              </w:rPr>
            </w:pPr>
          </w:p>
        </w:tc>
        <w:tc>
          <w:tcPr>
            <w:tcW w:w="838" w:type="dxa"/>
            <w:vAlign w:val="top"/>
          </w:tcPr>
          <w:p w14:paraId="24FBF492">
            <w:pPr>
              <w:rPr>
                <w:rFonts w:ascii="Arial"/>
                <w:color w:val="auto"/>
                <w:sz w:val="21"/>
                <w:highlight w:val="none"/>
              </w:rPr>
            </w:pPr>
          </w:p>
        </w:tc>
        <w:tc>
          <w:tcPr>
            <w:tcW w:w="776" w:type="dxa"/>
            <w:vAlign w:val="top"/>
          </w:tcPr>
          <w:p w14:paraId="33FF8084">
            <w:pPr>
              <w:rPr>
                <w:rFonts w:ascii="Arial"/>
                <w:color w:val="auto"/>
                <w:sz w:val="21"/>
                <w:highlight w:val="none"/>
              </w:rPr>
            </w:pPr>
          </w:p>
        </w:tc>
        <w:tc>
          <w:tcPr>
            <w:tcW w:w="938" w:type="dxa"/>
            <w:vAlign w:val="top"/>
          </w:tcPr>
          <w:p w14:paraId="72036330">
            <w:pPr>
              <w:rPr>
                <w:rFonts w:ascii="Arial"/>
                <w:color w:val="auto"/>
                <w:sz w:val="21"/>
                <w:highlight w:val="none"/>
              </w:rPr>
            </w:pPr>
          </w:p>
        </w:tc>
        <w:tc>
          <w:tcPr>
            <w:tcW w:w="522" w:type="dxa"/>
            <w:vAlign w:val="top"/>
          </w:tcPr>
          <w:p w14:paraId="1238F57E">
            <w:pPr>
              <w:rPr>
                <w:rFonts w:ascii="Arial"/>
                <w:color w:val="auto"/>
                <w:sz w:val="21"/>
                <w:highlight w:val="none"/>
              </w:rPr>
            </w:pPr>
          </w:p>
        </w:tc>
        <w:tc>
          <w:tcPr>
            <w:tcW w:w="538" w:type="dxa"/>
            <w:tcBorders>
              <w:right w:val="single" w:color="000000" w:sz="10" w:space="0"/>
            </w:tcBorders>
            <w:vAlign w:val="top"/>
          </w:tcPr>
          <w:p w14:paraId="4ACAA4DE">
            <w:pPr>
              <w:rPr>
                <w:rFonts w:ascii="Arial"/>
                <w:color w:val="auto"/>
                <w:sz w:val="21"/>
                <w:highlight w:val="none"/>
              </w:rPr>
            </w:pPr>
          </w:p>
        </w:tc>
      </w:tr>
      <w:tr w14:paraId="55687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49145EAE">
            <w:pPr>
              <w:rPr>
                <w:rFonts w:ascii="Arial"/>
                <w:color w:val="auto"/>
                <w:sz w:val="21"/>
                <w:highlight w:val="none"/>
              </w:rPr>
            </w:pPr>
          </w:p>
        </w:tc>
        <w:tc>
          <w:tcPr>
            <w:tcW w:w="708" w:type="dxa"/>
            <w:vAlign w:val="top"/>
          </w:tcPr>
          <w:p w14:paraId="5C5594E4">
            <w:pPr>
              <w:rPr>
                <w:rFonts w:ascii="Arial"/>
                <w:color w:val="auto"/>
                <w:sz w:val="21"/>
                <w:highlight w:val="none"/>
              </w:rPr>
            </w:pPr>
          </w:p>
        </w:tc>
        <w:tc>
          <w:tcPr>
            <w:tcW w:w="1106" w:type="dxa"/>
            <w:vAlign w:val="top"/>
          </w:tcPr>
          <w:p w14:paraId="41A72CCD">
            <w:pPr>
              <w:rPr>
                <w:rFonts w:ascii="Arial"/>
                <w:color w:val="auto"/>
                <w:sz w:val="21"/>
                <w:highlight w:val="none"/>
              </w:rPr>
            </w:pPr>
          </w:p>
        </w:tc>
        <w:tc>
          <w:tcPr>
            <w:tcW w:w="732" w:type="dxa"/>
            <w:vAlign w:val="top"/>
          </w:tcPr>
          <w:p w14:paraId="55C26258">
            <w:pPr>
              <w:rPr>
                <w:rFonts w:ascii="Arial"/>
                <w:color w:val="auto"/>
                <w:sz w:val="21"/>
                <w:highlight w:val="none"/>
              </w:rPr>
            </w:pPr>
          </w:p>
        </w:tc>
        <w:tc>
          <w:tcPr>
            <w:tcW w:w="565" w:type="dxa"/>
            <w:vAlign w:val="top"/>
          </w:tcPr>
          <w:p w14:paraId="63AEF080">
            <w:pPr>
              <w:rPr>
                <w:rFonts w:ascii="Arial"/>
                <w:color w:val="auto"/>
                <w:sz w:val="21"/>
                <w:highlight w:val="none"/>
              </w:rPr>
            </w:pPr>
          </w:p>
        </w:tc>
        <w:tc>
          <w:tcPr>
            <w:tcW w:w="838" w:type="dxa"/>
            <w:vAlign w:val="top"/>
          </w:tcPr>
          <w:p w14:paraId="4A8CA411">
            <w:pPr>
              <w:rPr>
                <w:rFonts w:ascii="Arial"/>
                <w:color w:val="auto"/>
                <w:sz w:val="21"/>
                <w:highlight w:val="none"/>
              </w:rPr>
            </w:pPr>
          </w:p>
        </w:tc>
        <w:tc>
          <w:tcPr>
            <w:tcW w:w="776" w:type="dxa"/>
            <w:vAlign w:val="top"/>
          </w:tcPr>
          <w:p w14:paraId="11C24CD7">
            <w:pPr>
              <w:rPr>
                <w:rFonts w:ascii="Arial"/>
                <w:color w:val="auto"/>
                <w:sz w:val="21"/>
                <w:highlight w:val="none"/>
              </w:rPr>
            </w:pPr>
          </w:p>
        </w:tc>
        <w:tc>
          <w:tcPr>
            <w:tcW w:w="938" w:type="dxa"/>
            <w:vAlign w:val="top"/>
          </w:tcPr>
          <w:p w14:paraId="26F9C21A">
            <w:pPr>
              <w:rPr>
                <w:rFonts w:ascii="Arial"/>
                <w:color w:val="auto"/>
                <w:sz w:val="21"/>
                <w:highlight w:val="none"/>
              </w:rPr>
            </w:pPr>
          </w:p>
        </w:tc>
        <w:tc>
          <w:tcPr>
            <w:tcW w:w="522" w:type="dxa"/>
            <w:vAlign w:val="top"/>
          </w:tcPr>
          <w:p w14:paraId="085E48D2">
            <w:pPr>
              <w:rPr>
                <w:rFonts w:ascii="Arial"/>
                <w:color w:val="auto"/>
                <w:sz w:val="21"/>
                <w:highlight w:val="none"/>
              </w:rPr>
            </w:pPr>
          </w:p>
        </w:tc>
        <w:tc>
          <w:tcPr>
            <w:tcW w:w="538" w:type="dxa"/>
            <w:tcBorders>
              <w:right w:val="single" w:color="000000" w:sz="10" w:space="0"/>
            </w:tcBorders>
            <w:vAlign w:val="top"/>
          </w:tcPr>
          <w:p w14:paraId="5E2F003B">
            <w:pPr>
              <w:rPr>
                <w:rFonts w:ascii="Arial"/>
                <w:color w:val="auto"/>
                <w:sz w:val="21"/>
                <w:highlight w:val="none"/>
              </w:rPr>
            </w:pPr>
          </w:p>
        </w:tc>
      </w:tr>
      <w:tr w14:paraId="07AA8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5983FD9">
            <w:pPr>
              <w:rPr>
                <w:rFonts w:ascii="Arial"/>
                <w:color w:val="auto"/>
                <w:sz w:val="21"/>
                <w:highlight w:val="none"/>
              </w:rPr>
            </w:pPr>
          </w:p>
        </w:tc>
        <w:tc>
          <w:tcPr>
            <w:tcW w:w="708" w:type="dxa"/>
            <w:vAlign w:val="top"/>
          </w:tcPr>
          <w:p w14:paraId="321E0D87">
            <w:pPr>
              <w:rPr>
                <w:rFonts w:ascii="Arial"/>
                <w:color w:val="auto"/>
                <w:sz w:val="21"/>
                <w:highlight w:val="none"/>
              </w:rPr>
            </w:pPr>
          </w:p>
        </w:tc>
        <w:tc>
          <w:tcPr>
            <w:tcW w:w="1106" w:type="dxa"/>
            <w:vAlign w:val="top"/>
          </w:tcPr>
          <w:p w14:paraId="22DDBF6F">
            <w:pPr>
              <w:rPr>
                <w:rFonts w:ascii="Arial"/>
                <w:color w:val="auto"/>
                <w:sz w:val="21"/>
                <w:highlight w:val="none"/>
              </w:rPr>
            </w:pPr>
          </w:p>
        </w:tc>
        <w:tc>
          <w:tcPr>
            <w:tcW w:w="732" w:type="dxa"/>
            <w:vAlign w:val="top"/>
          </w:tcPr>
          <w:p w14:paraId="7DB6B456">
            <w:pPr>
              <w:rPr>
                <w:rFonts w:ascii="Arial"/>
                <w:color w:val="auto"/>
                <w:sz w:val="21"/>
                <w:highlight w:val="none"/>
              </w:rPr>
            </w:pPr>
          </w:p>
        </w:tc>
        <w:tc>
          <w:tcPr>
            <w:tcW w:w="565" w:type="dxa"/>
            <w:vAlign w:val="top"/>
          </w:tcPr>
          <w:p w14:paraId="52397EA0">
            <w:pPr>
              <w:rPr>
                <w:rFonts w:ascii="Arial"/>
                <w:color w:val="auto"/>
                <w:sz w:val="21"/>
                <w:highlight w:val="none"/>
              </w:rPr>
            </w:pPr>
          </w:p>
        </w:tc>
        <w:tc>
          <w:tcPr>
            <w:tcW w:w="838" w:type="dxa"/>
            <w:vAlign w:val="top"/>
          </w:tcPr>
          <w:p w14:paraId="518F329D">
            <w:pPr>
              <w:rPr>
                <w:rFonts w:ascii="Arial"/>
                <w:color w:val="auto"/>
                <w:sz w:val="21"/>
                <w:highlight w:val="none"/>
              </w:rPr>
            </w:pPr>
          </w:p>
        </w:tc>
        <w:tc>
          <w:tcPr>
            <w:tcW w:w="776" w:type="dxa"/>
            <w:vAlign w:val="top"/>
          </w:tcPr>
          <w:p w14:paraId="085438BE">
            <w:pPr>
              <w:rPr>
                <w:rFonts w:ascii="Arial"/>
                <w:color w:val="auto"/>
                <w:sz w:val="21"/>
                <w:highlight w:val="none"/>
              </w:rPr>
            </w:pPr>
          </w:p>
        </w:tc>
        <w:tc>
          <w:tcPr>
            <w:tcW w:w="938" w:type="dxa"/>
            <w:vAlign w:val="top"/>
          </w:tcPr>
          <w:p w14:paraId="309175E6">
            <w:pPr>
              <w:rPr>
                <w:rFonts w:ascii="Arial"/>
                <w:color w:val="auto"/>
                <w:sz w:val="21"/>
                <w:highlight w:val="none"/>
              </w:rPr>
            </w:pPr>
          </w:p>
        </w:tc>
        <w:tc>
          <w:tcPr>
            <w:tcW w:w="522" w:type="dxa"/>
            <w:vAlign w:val="top"/>
          </w:tcPr>
          <w:p w14:paraId="5EB927E1">
            <w:pPr>
              <w:rPr>
                <w:rFonts w:ascii="Arial"/>
                <w:color w:val="auto"/>
                <w:sz w:val="21"/>
                <w:highlight w:val="none"/>
              </w:rPr>
            </w:pPr>
          </w:p>
        </w:tc>
        <w:tc>
          <w:tcPr>
            <w:tcW w:w="538" w:type="dxa"/>
            <w:tcBorders>
              <w:right w:val="single" w:color="000000" w:sz="10" w:space="0"/>
            </w:tcBorders>
            <w:vAlign w:val="top"/>
          </w:tcPr>
          <w:p w14:paraId="182714A9">
            <w:pPr>
              <w:rPr>
                <w:rFonts w:ascii="Arial"/>
                <w:color w:val="auto"/>
                <w:sz w:val="21"/>
                <w:highlight w:val="none"/>
              </w:rPr>
            </w:pPr>
          </w:p>
        </w:tc>
      </w:tr>
      <w:tr w14:paraId="121F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14:paraId="221EDFBF">
            <w:pPr>
              <w:rPr>
                <w:rFonts w:ascii="Arial"/>
                <w:color w:val="auto"/>
                <w:sz w:val="21"/>
                <w:highlight w:val="none"/>
              </w:rPr>
            </w:pPr>
          </w:p>
        </w:tc>
        <w:tc>
          <w:tcPr>
            <w:tcW w:w="708" w:type="dxa"/>
            <w:vAlign w:val="top"/>
          </w:tcPr>
          <w:p w14:paraId="600A7A7C">
            <w:pPr>
              <w:rPr>
                <w:rFonts w:ascii="Arial"/>
                <w:color w:val="auto"/>
                <w:sz w:val="21"/>
                <w:highlight w:val="none"/>
              </w:rPr>
            </w:pPr>
          </w:p>
        </w:tc>
        <w:tc>
          <w:tcPr>
            <w:tcW w:w="1106" w:type="dxa"/>
            <w:vAlign w:val="top"/>
          </w:tcPr>
          <w:p w14:paraId="14751180">
            <w:pPr>
              <w:rPr>
                <w:rFonts w:ascii="Arial"/>
                <w:color w:val="auto"/>
                <w:sz w:val="21"/>
                <w:highlight w:val="none"/>
              </w:rPr>
            </w:pPr>
          </w:p>
        </w:tc>
        <w:tc>
          <w:tcPr>
            <w:tcW w:w="732" w:type="dxa"/>
            <w:vAlign w:val="top"/>
          </w:tcPr>
          <w:p w14:paraId="49A38F1E">
            <w:pPr>
              <w:rPr>
                <w:rFonts w:ascii="Arial"/>
                <w:color w:val="auto"/>
                <w:sz w:val="21"/>
                <w:highlight w:val="none"/>
              </w:rPr>
            </w:pPr>
          </w:p>
        </w:tc>
        <w:tc>
          <w:tcPr>
            <w:tcW w:w="565" w:type="dxa"/>
            <w:vAlign w:val="top"/>
          </w:tcPr>
          <w:p w14:paraId="23684135">
            <w:pPr>
              <w:rPr>
                <w:rFonts w:ascii="Arial"/>
                <w:color w:val="auto"/>
                <w:sz w:val="21"/>
                <w:highlight w:val="none"/>
              </w:rPr>
            </w:pPr>
          </w:p>
        </w:tc>
        <w:tc>
          <w:tcPr>
            <w:tcW w:w="838" w:type="dxa"/>
            <w:vAlign w:val="top"/>
          </w:tcPr>
          <w:p w14:paraId="15C743AD">
            <w:pPr>
              <w:rPr>
                <w:rFonts w:ascii="Arial"/>
                <w:color w:val="auto"/>
                <w:sz w:val="21"/>
                <w:highlight w:val="none"/>
              </w:rPr>
            </w:pPr>
          </w:p>
        </w:tc>
        <w:tc>
          <w:tcPr>
            <w:tcW w:w="776" w:type="dxa"/>
            <w:vAlign w:val="top"/>
          </w:tcPr>
          <w:p w14:paraId="7DA681C5">
            <w:pPr>
              <w:rPr>
                <w:rFonts w:ascii="Arial"/>
                <w:color w:val="auto"/>
                <w:sz w:val="21"/>
                <w:highlight w:val="none"/>
              </w:rPr>
            </w:pPr>
          </w:p>
        </w:tc>
        <w:tc>
          <w:tcPr>
            <w:tcW w:w="938" w:type="dxa"/>
            <w:vAlign w:val="top"/>
          </w:tcPr>
          <w:p w14:paraId="00D43D27">
            <w:pPr>
              <w:rPr>
                <w:rFonts w:ascii="Arial"/>
                <w:color w:val="auto"/>
                <w:sz w:val="21"/>
                <w:highlight w:val="none"/>
              </w:rPr>
            </w:pPr>
          </w:p>
        </w:tc>
        <w:tc>
          <w:tcPr>
            <w:tcW w:w="522" w:type="dxa"/>
            <w:vAlign w:val="top"/>
          </w:tcPr>
          <w:p w14:paraId="49C749B9">
            <w:pPr>
              <w:rPr>
                <w:rFonts w:ascii="Arial"/>
                <w:color w:val="auto"/>
                <w:sz w:val="21"/>
                <w:highlight w:val="none"/>
              </w:rPr>
            </w:pPr>
          </w:p>
        </w:tc>
        <w:tc>
          <w:tcPr>
            <w:tcW w:w="538" w:type="dxa"/>
            <w:tcBorders>
              <w:right w:val="single" w:color="000000" w:sz="10" w:space="0"/>
            </w:tcBorders>
            <w:vAlign w:val="top"/>
          </w:tcPr>
          <w:p w14:paraId="7691E33E">
            <w:pPr>
              <w:rPr>
                <w:rFonts w:ascii="Arial"/>
                <w:color w:val="auto"/>
                <w:sz w:val="21"/>
                <w:highlight w:val="none"/>
              </w:rPr>
            </w:pPr>
          </w:p>
        </w:tc>
      </w:tr>
      <w:tr w14:paraId="0EEE8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14:paraId="5A8D4C0A">
            <w:pPr>
              <w:rPr>
                <w:rFonts w:ascii="Arial"/>
                <w:color w:val="auto"/>
                <w:sz w:val="21"/>
                <w:highlight w:val="none"/>
              </w:rPr>
            </w:pPr>
          </w:p>
        </w:tc>
        <w:tc>
          <w:tcPr>
            <w:tcW w:w="708" w:type="dxa"/>
            <w:tcBorders>
              <w:bottom w:val="single" w:color="000000" w:sz="10" w:space="0"/>
            </w:tcBorders>
            <w:vAlign w:val="top"/>
          </w:tcPr>
          <w:p w14:paraId="68C4C4BD">
            <w:pPr>
              <w:rPr>
                <w:rFonts w:ascii="Arial"/>
                <w:color w:val="auto"/>
                <w:sz w:val="21"/>
                <w:highlight w:val="none"/>
              </w:rPr>
            </w:pPr>
          </w:p>
        </w:tc>
        <w:tc>
          <w:tcPr>
            <w:tcW w:w="1106" w:type="dxa"/>
            <w:tcBorders>
              <w:bottom w:val="single" w:color="000000" w:sz="10" w:space="0"/>
            </w:tcBorders>
            <w:vAlign w:val="top"/>
          </w:tcPr>
          <w:p w14:paraId="42098674">
            <w:pPr>
              <w:rPr>
                <w:rFonts w:ascii="Arial"/>
                <w:color w:val="auto"/>
                <w:sz w:val="21"/>
                <w:highlight w:val="none"/>
              </w:rPr>
            </w:pPr>
          </w:p>
        </w:tc>
        <w:tc>
          <w:tcPr>
            <w:tcW w:w="732" w:type="dxa"/>
            <w:tcBorders>
              <w:bottom w:val="single" w:color="000000" w:sz="10" w:space="0"/>
            </w:tcBorders>
            <w:vAlign w:val="top"/>
          </w:tcPr>
          <w:p w14:paraId="08620893">
            <w:pPr>
              <w:rPr>
                <w:rFonts w:ascii="Arial"/>
                <w:color w:val="auto"/>
                <w:sz w:val="21"/>
                <w:highlight w:val="none"/>
              </w:rPr>
            </w:pPr>
          </w:p>
        </w:tc>
        <w:tc>
          <w:tcPr>
            <w:tcW w:w="565" w:type="dxa"/>
            <w:tcBorders>
              <w:bottom w:val="single" w:color="000000" w:sz="10" w:space="0"/>
            </w:tcBorders>
            <w:vAlign w:val="top"/>
          </w:tcPr>
          <w:p w14:paraId="6C6E2042">
            <w:pPr>
              <w:rPr>
                <w:rFonts w:ascii="Arial"/>
                <w:color w:val="auto"/>
                <w:sz w:val="21"/>
                <w:highlight w:val="none"/>
              </w:rPr>
            </w:pPr>
          </w:p>
        </w:tc>
        <w:tc>
          <w:tcPr>
            <w:tcW w:w="838" w:type="dxa"/>
            <w:tcBorders>
              <w:bottom w:val="single" w:color="000000" w:sz="10" w:space="0"/>
            </w:tcBorders>
            <w:vAlign w:val="top"/>
          </w:tcPr>
          <w:p w14:paraId="1DD7EEC6">
            <w:pPr>
              <w:rPr>
                <w:rFonts w:ascii="Arial"/>
                <w:color w:val="auto"/>
                <w:sz w:val="21"/>
                <w:highlight w:val="none"/>
              </w:rPr>
            </w:pPr>
          </w:p>
        </w:tc>
        <w:tc>
          <w:tcPr>
            <w:tcW w:w="776" w:type="dxa"/>
            <w:tcBorders>
              <w:bottom w:val="single" w:color="000000" w:sz="10" w:space="0"/>
            </w:tcBorders>
            <w:vAlign w:val="top"/>
          </w:tcPr>
          <w:p w14:paraId="6E1C22A6">
            <w:pPr>
              <w:rPr>
                <w:rFonts w:ascii="Arial"/>
                <w:color w:val="auto"/>
                <w:sz w:val="21"/>
                <w:highlight w:val="none"/>
              </w:rPr>
            </w:pPr>
          </w:p>
        </w:tc>
        <w:tc>
          <w:tcPr>
            <w:tcW w:w="938" w:type="dxa"/>
            <w:tcBorders>
              <w:bottom w:val="single" w:color="000000" w:sz="10" w:space="0"/>
            </w:tcBorders>
            <w:vAlign w:val="top"/>
          </w:tcPr>
          <w:p w14:paraId="754D0762">
            <w:pPr>
              <w:rPr>
                <w:rFonts w:ascii="Arial"/>
                <w:color w:val="auto"/>
                <w:sz w:val="21"/>
                <w:highlight w:val="none"/>
              </w:rPr>
            </w:pPr>
          </w:p>
        </w:tc>
        <w:tc>
          <w:tcPr>
            <w:tcW w:w="522" w:type="dxa"/>
            <w:tcBorders>
              <w:bottom w:val="single" w:color="000000" w:sz="10" w:space="0"/>
            </w:tcBorders>
            <w:vAlign w:val="top"/>
          </w:tcPr>
          <w:p w14:paraId="226336F0">
            <w:pPr>
              <w:rPr>
                <w:rFonts w:ascii="Arial"/>
                <w:color w:val="auto"/>
                <w:sz w:val="21"/>
                <w:highlight w:val="none"/>
              </w:rPr>
            </w:pPr>
          </w:p>
        </w:tc>
        <w:tc>
          <w:tcPr>
            <w:tcW w:w="538" w:type="dxa"/>
            <w:tcBorders>
              <w:bottom w:val="single" w:color="000000" w:sz="10" w:space="0"/>
              <w:right w:val="single" w:color="000000" w:sz="10" w:space="0"/>
            </w:tcBorders>
            <w:vAlign w:val="top"/>
          </w:tcPr>
          <w:p w14:paraId="6AC992E5">
            <w:pPr>
              <w:rPr>
                <w:rFonts w:ascii="Arial"/>
                <w:color w:val="auto"/>
                <w:sz w:val="21"/>
                <w:highlight w:val="none"/>
              </w:rPr>
            </w:pPr>
          </w:p>
        </w:tc>
      </w:tr>
    </w:tbl>
    <w:p w14:paraId="4A9B19CB">
      <w:pPr>
        <w:pStyle w:val="3"/>
        <w:rPr>
          <w:color w:val="auto"/>
          <w:highlight w:val="none"/>
        </w:rPr>
      </w:pPr>
    </w:p>
    <w:p w14:paraId="181009A1">
      <w:pPr>
        <w:rPr>
          <w:color w:val="auto"/>
          <w:highlight w:val="none"/>
        </w:rPr>
        <w:sectPr>
          <w:footerReference r:id="rId156" w:type="default"/>
          <w:pgSz w:w="11905" w:h="16839"/>
          <w:pgMar w:top="400" w:right="1785" w:bottom="400" w:left="1785" w:header="0" w:footer="0" w:gutter="0"/>
          <w:pgNumType w:fmt="decimal"/>
          <w:cols w:space="720" w:num="1"/>
        </w:sectPr>
      </w:pPr>
    </w:p>
    <w:p w14:paraId="3FCD17C4">
      <w:pPr>
        <w:pStyle w:val="3"/>
        <w:spacing w:line="276" w:lineRule="auto"/>
        <w:rPr>
          <w:color w:val="auto"/>
          <w:highlight w:val="none"/>
        </w:rPr>
      </w:pPr>
    </w:p>
    <w:p w14:paraId="428BC807">
      <w:pPr>
        <w:pStyle w:val="3"/>
        <w:spacing w:line="276" w:lineRule="auto"/>
        <w:rPr>
          <w:color w:val="auto"/>
          <w:highlight w:val="none"/>
        </w:rPr>
      </w:pPr>
    </w:p>
    <w:p w14:paraId="5D17FBD5">
      <w:pPr>
        <w:pStyle w:val="3"/>
        <w:spacing w:line="276" w:lineRule="auto"/>
        <w:rPr>
          <w:color w:val="auto"/>
          <w:highlight w:val="none"/>
        </w:rPr>
      </w:pPr>
    </w:p>
    <w:p w14:paraId="7DE52EC5">
      <w:pPr>
        <w:pStyle w:val="3"/>
        <w:spacing w:line="276" w:lineRule="auto"/>
        <w:rPr>
          <w:color w:val="auto"/>
          <w:highlight w:val="none"/>
        </w:rPr>
      </w:pPr>
    </w:p>
    <w:p w14:paraId="3AF89538">
      <w:pPr>
        <w:spacing w:before="78" w:line="219" w:lineRule="auto"/>
        <w:ind w:left="253"/>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附件</w:t>
      </w:r>
      <w:r>
        <w:rPr>
          <w:rFonts w:ascii="宋体" w:hAnsi="宋体" w:eastAsia="宋体" w:cs="宋体"/>
          <w:color w:val="auto"/>
          <w:spacing w:val="-55"/>
          <w:sz w:val="24"/>
          <w:szCs w:val="24"/>
          <w:highlight w:val="none"/>
        </w:rPr>
        <w:t xml:space="preserve"> </w:t>
      </w:r>
      <w:r>
        <w:rPr>
          <w:rFonts w:ascii="Times New Roman" w:hAnsi="Times New Roman" w:eastAsia="Times New Roman" w:cs="Times New Roman"/>
          <w:color w:val="auto"/>
          <w:spacing w:val="-9"/>
          <w:sz w:val="24"/>
          <w:szCs w:val="24"/>
          <w:highlight w:val="none"/>
        </w:rPr>
        <w:t>2</w:t>
      </w:r>
      <w:r>
        <w:rPr>
          <w:rFonts w:ascii="宋体" w:hAnsi="宋体" w:eastAsia="宋体" w:cs="宋体"/>
          <w:color w:val="auto"/>
          <w:spacing w:val="-9"/>
          <w:sz w:val="24"/>
          <w:szCs w:val="24"/>
          <w:highlight w:val="none"/>
        </w:rPr>
        <w:t>：</w:t>
      </w:r>
    </w:p>
    <w:p w14:paraId="40A046C7">
      <w:pPr>
        <w:spacing w:before="243" w:line="224" w:lineRule="auto"/>
        <w:ind w:left="2716"/>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发包人供应材料设备一览表</w:t>
      </w:r>
    </w:p>
    <w:p w14:paraId="49F61C2E">
      <w:pPr>
        <w:spacing w:line="113" w:lineRule="exact"/>
        <w:rPr>
          <w:color w:val="auto"/>
          <w:highlight w:val="none"/>
        </w:rPr>
      </w:pPr>
    </w:p>
    <w:tbl>
      <w:tblPr>
        <w:tblStyle w:val="10"/>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14:paraId="241D3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14:paraId="4A8A431F">
            <w:pPr>
              <w:pStyle w:val="11"/>
              <w:spacing w:before="181" w:line="211" w:lineRule="auto"/>
              <w:ind w:left="178"/>
              <w:rPr>
                <w:color w:val="auto"/>
                <w:highlight w:val="none"/>
              </w:rPr>
            </w:pPr>
            <w:r>
              <w:rPr>
                <w:color w:val="auto"/>
                <w:spacing w:val="1"/>
                <w:highlight w:val="none"/>
              </w:rPr>
              <w:t>序</w:t>
            </w:r>
            <w:r>
              <w:rPr>
                <w:color w:val="auto"/>
                <w:spacing w:val="10"/>
                <w:highlight w:val="none"/>
              </w:rPr>
              <w:t xml:space="preserve">  </w:t>
            </w:r>
            <w:r>
              <w:rPr>
                <w:color w:val="auto"/>
                <w:spacing w:val="1"/>
                <w:highlight w:val="none"/>
              </w:rPr>
              <w:t>号</w:t>
            </w:r>
          </w:p>
        </w:tc>
        <w:tc>
          <w:tcPr>
            <w:tcW w:w="1130" w:type="dxa"/>
            <w:tcBorders>
              <w:top w:val="single" w:color="000000" w:sz="10" w:space="0"/>
            </w:tcBorders>
            <w:vAlign w:val="top"/>
          </w:tcPr>
          <w:p w14:paraId="7A5DB3A2">
            <w:pPr>
              <w:pStyle w:val="11"/>
              <w:spacing w:before="178" w:line="441" w:lineRule="exact"/>
              <w:ind w:left="350"/>
              <w:rPr>
                <w:color w:val="auto"/>
                <w:highlight w:val="none"/>
              </w:rPr>
            </w:pPr>
            <w:r>
              <w:rPr>
                <w:color w:val="auto"/>
                <w:spacing w:val="-8"/>
                <w:position w:val="17"/>
                <w:highlight w:val="none"/>
              </w:rPr>
              <w:t>材料、</w:t>
            </w:r>
          </w:p>
          <w:p w14:paraId="48A8FD28">
            <w:pPr>
              <w:pStyle w:val="11"/>
              <w:spacing w:line="221" w:lineRule="auto"/>
              <w:ind w:left="113"/>
              <w:rPr>
                <w:color w:val="auto"/>
                <w:highlight w:val="none"/>
              </w:rPr>
            </w:pPr>
            <w:r>
              <w:rPr>
                <w:color w:val="auto"/>
                <w:spacing w:val="-2"/>
                <w:highlight w:val="none"/>
              </w:rPr>
              <w:t>设备品种</w:t>
            </w:r>
          </w:p>
        </w:tc>
        <w:tc>
          <w:tcPr>
            <w:tcW w:w="852" w:type="dxa"/>
            <w:tcBorders>
              <w:top w:val="single" w:color="000000" w:sz="10" w:space="0"/>
            </w:tcBorders>
            <w:vAlign w:val="top"/>
          </w:tcPr>
          <w:p w14:paraId="0DB24EBD">
            <w:pPr>
              <w:pStyle w:val="11"/>
              <w:spacing w:before="178" w:line="441" w:lineRule="exact"/>
              <w:ind w:left="215"/>
              <w:rPr>
                <w:color w:val="auto"/>
                <w:highlight w:val="none"/>
              </w:rPr>
            </w:pPr>
            <w:r>
              <w:rPr>
                <w:color w:val="auto"/>
                <w:spacing w:val="-2"/>
                <w:position w:val="17"/>
                <w:highlight w:val="none"/>
              </w:rPr>
              <w:t>规格</w:t>
            </w:r>
          </w:p>
          <w:p w14:paraId="68D082B6">
            <w:pPr>
              <w:pStyle w:val="11"/>
              <w:spacing w:line="222" w:lineRule="auto"/>
              <w:ind w:left="220"/>
              <w:rPr>
                <w:color w:val="auto"/>
                <w:highlight w:val="none"/>
              </w:rPr>
            </w:pPr>
            <w:r>
              <w:rPr>
                <w:color w:val="auto"/>
                <w:spacing w:val="-4"/>
                <w:highlight w:val="none"/>
              </w:rPr>
              <w:t>型号</w:t>
            </w:r>
          </w:p>
        </w:tc>
        <w:tc>
          <w:tcPr>
            <w:tcW w:w="704" w:type="dxa"/>
            <w:tcBorders>
              <w:top w:val="single" w:color="000000" w:sz="10" w:space="0"/>
            </w:tcBorders>
            <w:vAlign w:val="top"/>
          </w:tcPr>
          <w:p w14:paraId="2C0E2979">
            <w:pPr>
              <w:spacing w:line="329" w:lineRule="auto"/>
              <w:rPr>
                <w:rFonts w:ascii="Arial"/>
                <w:color w:val="auto"/>
                <w:sz w:val="21"/>
                <w:highlight w:val="none"/>
              </w:rPr>
            </w:pPr>
          </w:p>
          <w:p w14:paraId="70FC4A0B">
            <w:pPr>
              <w:pStyle w:val="11"/>
              <w:spacing w:before="68" w:line="221" w:lineRule="auto"/>
              <w:ind w:left="141"/>
              <w:rPr>
                <w:color w:val="auto"/>
                <w:highlight w:val="none"/>
              </w:rPr>
            </w:pPr>
            <w:r>
              <w:rPr>
                <w:color w:val="auto"/>
                <w:spacing w:val="-2"/>
                <w:highlight w:val="none"/>
              </w:rPr>
              <w:t>单位</w:t>
            </w:r>
          </w:p>
        </w:tc>
        <w:tc>
          <w:tcPr>
            <w:tcW w:w="709" w:type="dxa"/>
            <w:tcBorders>
              <w:top w:val="single" w:color="000000" w:sz="10" w:space="0"/>
            </w:tcBorders>
            <w:vAlign w:val="top"/>
          </w:tcPr>
          <w:p w14:paraId="00A82E3F">
            <w:pPr>
              <w:spacing w:line="328" w:lineRule="auto"/>
              <w:rPr>
                <w:rFonts w:ascii="Arial"/>
                <w:color w:val="auto"/>
                <w:sz w:val="21"/>
                <w:highlight w:val="none"/>
              </w:rPr>
            </w:pPr>
          </w:p>
          <w:p w14:paraId="3D7BA81F">
            <w:pPr>
              <w:pStyle w:val="11"/>
              <w:spacing w:before="68" w:line="221" w:lineRule="auto"/>
              <w:ind w:left="148"/>
              <w:rPr>
                <w:color w:val="auto"/>
                <w:highlight w:val="none"/>
              </w:rPr>
            </w:pPr>
            <w:r>
              <w:rPr>
                <w:color w:val="auto"/>
                <w:spacing w:val="-2"/>
                <w:highlight w:val="none"/>
              </w:rPr>
              <w:t>数量</w:t>
            </w:r>
          </w:p>
        </w:tc>
        <w:tc>
          <w:tcPr>
            <w:tcW w:w="847" w:type="dxa"/>
            <w:tcBorders>
              <w:top w:val="single" w:color="000000" w:sz="10" w:space="0"/>
            </w:tcBorders>
            <w:vAlign w:val="top"/>
          </w:tcPr>
          <w:p w14:paraId="3085978B">
            <w:pPr>
              <w:pStyle w:val="11"/>
              <w:spacing w:before="178" w:line="441" w:lineRule="exact"/>
              <w:ind w:left="217"/>
              <w:rPr>
                <w:color w:val="auto"/>
                <w:highlight w:val="none"/>
              </w:rPr>
            </w:pPr>
            <w:r>
              <w:rPr>
                <w:color w:val="auto"/>
                <w:spacing w:val="-2"/>
                <w:position w:val="17"/>
                <w:highlight w:val="none"/>
              </w:rPr>
              <w:t>单价</w:t>
            </w:r>
          </w:p>
          <w:p w14:paraId="507257AE">
            <w:pPr>
              <w:pStyle w:val="11"/>
              <w:spacing w:line="221" w:lineRule="auto"/>
              <w:ind w:left="116"/>
              <w:rPr>
                <w:color w:val="auto"/>
                <w:highlight w:val="none"/>
              </w:rPr>
            </w:pPr>
            <w:r>
              <w:rPr>
                <w:color w:val="auto"/>
                <w:spacing w:val="-6"/>
                <w:highlight w:val="none"/>
              </w:rPr>
              <w:t>（元）</w:t>
            </w:r>
          </w:p>
        </w:tc>
        <w:tc>
          <w:tcPr>
            <w:tcW w:w="847" w:type="dxa"/>
            <w:tcBorders>
              <w:top w:val="single" w:color="000000" w:sz="10" w:space="0"/>
            </w:tcBorders>
            <w:vAlign w:val="top"/>
          </w:tcPr>
          <w:p w14:paraId="181CD379">
            <w:pPr>
              <w:pStyle w:val="11"/>
              <w:spacing w:before="178" w:line="441" w:lineRule="exact"/>
              <w:ind w:left="224"/>
              <w:rPr>
                <w:color w:val="auto"/>
                <w:highlight w:val="none"/>
              </w:rPr>
            </w:pPr>
            <w:r>
              <w:rPr>
                <w:color w:val="auto"/>
                <w:spacing w:val="-2"/>
                <w:position w:val="17"/>
                <w:highlight w:val="none"/>
              </w:rPr>
              <w:t>质量</w:t>
            </w:r>
          </w:p>
          <w:p w14:paraId="44F22B3B">
            <w:pPr>
              <w:pStyle w:val="11"/>
              <w:spacing w:line="220" w:lineRule="auto"/>
              <w:ind w:left="224"/>
              <w:rPr>
                <w:color w:val="auto"/>
                <w:highlight w:val="none"/>
              </w:rPr>
            </w:pPr>
            <w:r>
              <w:rPr>
                <w:color w:val="auto"/>
                <w:spacing w:val="-2"/>
                <w:highlight w:val="none"/>
              </w:rPr>
              <w:t>等级</w:t>
            </w:r>
          </w:p>
        </w:tc>
        <w:tc>
          <w:tcPr>
            <w:tcW w:w="800" w:type="dxa"/>
            <w:tcBorders>
              <w:top w:val="single" w:color="000000" w:sz="10" w:space="0"/>
            </w:tcBorders>
            <w:vAlign w:val="top"/>
          </w:tcPr>
          <w:p w14:paraId="3E8C5F62">
            <w:pPr>
              <w:pStyle w:val="11"/>
              <w:spacing w:before="178" w:line="441" w:lineRule="exact"/>
              <w:ind w:left="202"/>
              <w:rPr>
                <w:color w:val="auto"/>
                <w:highlight w:val="none"/>
              </w:rPr>
            </w:pPr>
            <w:r>
              <w:rPr>
                <w:color w:val="auto"/>
                <w:spacing w:val="-2"/>
                <w:position w:val="17"/>
                <w:highlight w:val="none"/>
              </w:rPr>
              <w:t>供应</w:t>
            </w:r>
          </w:p>
          <w:p w14:paraId="6D6E27B9">
            <w:pPr>
              <w:pStyle w:val="11"/>
              <w:spacing w:line="222" w:lineRule="auto"/>
              <w:ind w:left="212"/>
              <w:rPr>
                <w:color w:val="auto"/>
                <w:highlight w:val="none"/>
              </w:rPr>
            </w:pPr>
            <w:r>
              <w:rPr>
                <w:color w:val="auto"/>
                <w:spacing w:val="-4"/>
                <w:highlight w:val="none"/>
              </w:rPr>
              <w:t>时间</w:t>
            </w:r>
          </w:p>
        </w:tc>
        <w:tc>
          <w:tcPr>
            <w:tcW w:w="1465" w:type="dxa"/>
            <w:tcBorders>
              <w:top w:val="single" w:color="000000" w:sz="10" w:space="0"/>
            </w:tcBorders>
            <w:vAlign w:val="top"/>
          </w:tcPr>
          <w:p w14:paraId="69C7258B">
            <w:pPr>
              <w:spacing w:line="328" w:lineRule="auto"/>
              <w:rPr>
                <w:rFonts w:ascii="Arial"/>
                <w:color w:val="auto"/>
                <w:sz w:val="21"/>
                <w:highlight w:val="none"/>
              </w:rPr>
            </w:pPr>
          </w:p>
          <w:p w14:paraId="739DE833">
            <w:pPr>
              <w:pStyle w:val="11"/>
              <w:spacing w:before="68" w:line="225" w:lineRule="auto"/>
              <w:ind w:left="322"/>
              <w:rPr>
                <w:color w:val="auto"/>
                <w:highlight w:val="none"/>
              </w:rPr>
            </w:pPr>
            <w:r>
              <w:rPr>
                <w:color w:val="auto"/>
                <w:spacing w:val="-1"/>
                <w:highlight w:val="none"/>
              </w:rPr>
              <w:t>送达地点</w:t>
            </w:r>
          </w:p>
        </w:tc>
        <w:tc>
          <w:tcPr>
            <w:tcW w:w="816" w:type="dxa"/>
            <w:tcBorders>
              <w:top w:val="single" w:color="000000" w:sz="10" w:space="0"/>
              <w:right w:val="single" w:color="000000" w:sz="10" w:space="0"/>
            </w:tcBorders>
            <w:vAlign w:val="top"/>
          </w:tcPr>
          <w:p w14:paraId="5D5A1B5C">
            <w:pPr>
              <w:spacing w:line="328" w:lineRule="auto"/>
              <w:rPr>
                <w:rFonts w:ascii="Arial"/>
                <w:color w:val="auto"/>
                <w:sz w:val="21"/>
                <w:highlight w:val="none"/>
              </w:rPr>
            </w:pPr>
          </w:p>
          <w:p w14:paraId="6E991574">
            <w:pPr>
              <w:pStyle w:val="11"/>
              <w:spacing w:before="68" w:line="222" w:lineRule="auto"/>
              <w:ind w:left="206"/>
              <w:rPr>
                <w:color w:val="auto"/>
                <w:highlight w:val="none"/>
              </w:rPr>
            </w:pPr>
            <w:r>
              <w:rPr>
                <w:color w:val="auto"/>
                <w:spacing w:val="-3"/>
                <w:highlight w:val="none"/>
              </w:rPr>
              <w:t>备注</w:t>
            </w:r>
          </w:p>
        </w:tc>
      </w:tr>
      <w:tr w14:paraId="44B07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14:paraId="461F7989">
            <w:pPr>
              <w:rPr>
                <w:rFonts w:ascii="Arial"/>
                <w:color w:val="auto"/>
                <w:sz w:val="21"/>
                <w:highlight w:val="none"/>
              </w:rPr>
            </w:pPr>
          </w:p>
        </w:tc>
        <w:tc>
          <w:tcPr>
            <w:tcW w:w="1130" w:type="dxa"/>
            <w:vAlign w:val="top"/>
          </w:tcPr>
          <w:p w14:paraId="7947F369">
            <w:pPr>
              <w:rPr>
                <w:rFonts w:ascii="Arial"/>
                <w:color w:val="auto"/>
                <w:sz w:val="21"/>
                <w:highlight w:val="none"/>
              </w:rPr>
            </w:pPr>
          </w:p>
        </w:tc>
        <w:tc>
          <w:tcPr>
            <w:tcW w:w="852" w:type="dxa"/>
            <w:vAlign w:val="top"/>
          </w:tcPr>
          <w:p w14:paraId="2B17E2BE">
            <w:pPr>
              <w:rPr>
                <w:rFonts w:ascii="Arial"/>
                <w:color w:val="auto"/>
                <w:sz w:val="21"/>
                <w:highlight w:val="none"/>
              </w:rPr>
            </w:pPr>
          </w:p>
        </w:tc>
        <w:tc>
          <w:tcPr>
            <w:tcW w:w="704" w:type="dxa"/>
            <w:vAlign w:val="top"/>
          </w:tcPr>
          <w:p w14:paraId="2113E0C4">
            <w:pPr>
              <w:rPr>
                <w:rFonts w:ascii="Arial"/>
                <w:color w:val="auto"/>
                <w:sz w:val="21"/>
                <w:highlight w:val="none"/>
              </w:rPr>
            </w:pPr>
          </w:p>
        </w:tc>
        <w:tc>
          <w:tcPr>
            <w:tcW w:w="709" w:type="dxa"/>
            <w:vAlign w:val="top"/>
          </w:tcPr>
          <w:p w14:paraId="668602BD">
            <w:pPr>
              <w:rPr>
                <w:rFonts w:ascii="Arial"/>
                <w:color w:val="auto"/>
                <w:sz w:val="21"/>
                <w:highlight w:val="none"/>
              </w:rPr>
            </w:pPr>
          </w:p>
        </w:tc>
        <w:tc>
          <w:tcPr>
            <w:tcW w:w="847" w:type="dxa"/>
            <w:vAlign w:val="top"/>
          </w:tcPr>
          <w:p w14:paraId="7C49E453">
            <w:pPr>
              <w:rPr>
                <w:rFonts w:ascii="Arial"/>
                <w:color w:val="auto"/>
                <w:sz w:val="21"/>
                <w:highlight w:val="none"/>
              </w:rPr>
            </w:pPr>
          </w:p>
        </w:tc>
        <w:tc>
          <w:tcPr>
            <w:tcW w:w="847" w:type="dxa"/>
            <w:vAlign w:val="top"/>
          </w:tcPr>
          <w:p w14:paraId="59B1711D">
            <w:pPr>
              <w:rPr>
                <w:rFonts w:ascii="Arial"/>
                <w:color w:val="auto"/>
                <w:sz w:val="21"/>
                <w:highlight w:val="none"/>
              </w:rPr>
            </w:pPr>
          </w:p>
        </w:tc>
        <w:tc>
          <w:tcPr>
            <w:tcW w:w="800" w:type="dxa"/>
            <w:vAlign w:val="top"/>
          </w:tcPr>
          <w:p w14:paraId="382BC936">
            <w:pPr>
              <w:rPr>
                <w:rFonts w:ascii="Arial"/>
                <w:color w:val="auto"/>
                <w:sz w:val="21"/>
                <w:highlight w:val="none"/>
              </w:rPr>
            </w:pPr>
          </w:p>
        </w:tc>
        <w:tc>
          <w:tcPr>
            <w:tcW w:w="1465" w:type="dxa"/>
            <w:vAlign w:val="top"/>
          </w:tcPr>
          <w:p w14:paraId="7AC031CA">
            <w:pPr>
              <w:rPr>
                <w:rFonts w:ascii="Arial"/>
                <w:color w:val="auto"/>
                <w:sz w:val="21"/>
                <w:highlight w:val="none"/>
              </w:rPr>
            </w:pPr>
          </w:p>
        </w:tc>
        <w:tc>
          <w:tcPr>
            <w:tcW w:w="816" w:type="dxa"/>
            <w:tcBorders>
              <w:right w:val="single" w:color="000000" w:sz="10" w:space="0"/>
            </w:tcBorders>
            <w:vAlign w:val="top"/>
          </w:tcPr>
          <w:p w14:paraId="6E4C3D07">
            <w:pPr>
              <w:rPr>
                <w:rFonts w:ascii="Arial"/>
                <w:color w:val="auto"/>
                <w:sz w:val="21"/>
                <w:highlight w:val="none"/>
              </w:rPr>
            </w:pPr>
          </w:p>
        </w:tc>
      </w:tr>
      <w:tr w14:paraId="3BB8A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17A1D9F8">
            <w:pPr>
              <w:rPr>
                <w:rFonts w:ascii="Arial"/>
                <w:color w:val="auto"/>
                <w:sz w:val="21"/>
                <w:highlight w:val="none"/>
              </w:rPr>
            </w:pPr>
          </w:p>
        </w:tc>
        <w:tc>
          <w:tcPr>
            <w:tcW w:w="1130" w:type="dxa"/>
            <w:vAlign w:val="top"/>
          </w:tcPr>
          <w:p w14:paraId="149A8B58">
            <w:pPr>
              <w:rPr>
                <w:rFonts w:ascii="Arial"/>
                <w:color w:val="auto"/>
                <w:sz w:val="21"/>
                <w:highlight w:val="none"/>
              </w:rPr>
            </w:pPr>
          </w:p>
        </w:tc>
        <w:tc>
          <w:tcPr>
            <w:tcW w:w="852" w:type="dxa"/>
            <w:vAlign w:val="top"/>
          </w:tcPr>
          <w:p w14:paraId="223DFB5C">
            <w:pPr>
              <w:rPr>
                <w:rFonts w:ascii="Arial"/>
                <w:color w:val="auto"/>
                <w:sz w:val="21"/>
                <w:highlight w:val="none"/>
              </w:rPr>
            </w:pPr>
          </w:p>
        </w:tc>
        <w:tc>
          <w:tcPr>
            <w:tcW w:w="704" w:type="dxa"/>
            <w:vAlign w:val="top"/>
          </w:tcPr>
          <w:p w14:paraId="6A6F922C">
            <w:pPr>
              <w:rPr>
                <w:rFonts w:ascii="Arial"/>
                <w:color w:val="auto"/>
                <w:sz w:val="21"/>
                <w:highlight w:val="none"/>
              </w:rPr>
            </w:pPr>
          </w:p>
        </w:tc>
        <w:tc>
          <w:tcPr>
            <w:tcW w:w="709" w:type="dxa"/>
            <w:vAlign w:val="top"/>
          </w:tcPr>
          <w:p w14:paraId="56F00F17">
            <w:pPr>
              <w:rPr>
                <w:rFonts w:ascii="Arial"/>
                <w:color w:val="auto"/>
                <w:sz w:val="21"/>
                <w:highlight w:val="none"/>
              </w:rPr>
            </w:pPr>
          </w:p>
        </w:tc>
        <w:tc>
          <w:tcPr>
            <w:tcW w:w="847" w:type="dxa"/>
            <w:vAlign w:val="top"/>
          </w:tcPr>
          <w:p w14:paraId="18D6B9DE">
            <w:pPr>
              <w:rPr>
                <w:rFonts w:ascii="Arial"/>
                <w:color w:val="auto"/>
                <w:sz w:val="21"/>
                <w:highlight w:val="none"/>
              </w:rPr>
            </w:pPr>
          </w:p>
        </w:tc>
        <w:tc>
          <w:tcPr>
            <w:tcW w:w="847" w:type="dxa"/>
            <w:vAlign w:val="top"/>
          </w:tcPr>
          <w:p w14:paraId="3F8D826F">
            <w:pPr>
              <w:rPr>
                <w:rFonts w:ascii="Arial"/>
                <w:color w:val="auto"/>
                <w:sz w:val="21"/>
                <w:highlight w:val="none"/>
              </w:rPr>
            </w:pPr>
          </w:p>
        </w:tc>
        <w:tc>
          <w:tcPr>
            <w:tcW w:w="800" w:type="dxa"/>
            <w:vAlign w:val="top"/>
          </w:tcPr>
          <w:p w14:paraId="33D0983E">
            <w:pPr>
              <w:rPr>
                <w:rFonts w:ascii="Arial"/>
                <w:color w:val="auto"/>
                <w:sz w:val="21"/>
                <w:highlight w:val="none"/>
              </w:rPr>
            </w:pPr>
          </w:p>
        </w:tc>
        <w:tc>
          <w:tcPr>
            <w:tcW w:w="1465" w:type="dxa"/>
            <w:vAlign w:val="top"/>
          </w:tcPr>
          <w:p w14:paraId="4678ECA1">
            <w:pPr>
              <w:rPr>
                <w:rFonts w:ascii="Arial"/>
                <w:color w:val="auto"/>
                <w:sz w:val="21"/>
                <w:highlight w:val="none"/>
              </w:rPr>
            </w:pPr>
          </w:p>
        </w:tc>
        <w:tc>
          <w:tcPr>
            <w:tcW w:w="816" w:type="dxa"/>
            <w:tcBorders>
              <w:right w:val="single" w:color="000000" w:sz="10" w:space="0"/>
            </w:tcBorders>
            <w:vAlign w:val="top"/>
          </w:tcPr>
          <w:p w14:paraId="1600DB7A">
            <w:pPr>
              <w:rPr>
                <w:rFonts w:ascii="Arial"/>
                <w:color w:val="auto"/>
                <w:sz w:val="21"/>
                <w:highlight w:val="none"/>
              </w:rPr>
            </w:pPr>
          </w:p>
        </w:tc>
      </w:tr>
      <w:tr w14:paraId="62D1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0D84228F">
            <w:pPr>
              <w:rPr>
                <w:rFonts w:ascii="Arial"/>
                <w:color w:val="auto"/>
                <w:sz w:val="21"/>
                <w:highlight w:val="none"/>
              </w:rPr>
            </w:pPr>
          </w:p>
        </w:tc>
        <w:tc>
          <w:tcPr>
            <w:tcW w:w="1130" w:type="dxa"/>
            <w:vAlign w:val="top"/>
          </w:tcPr>
          <w:p w14:paraId="2B95957A">
            <w:pPr>
              <w:rPr>
                <w:rFonts w:ascii="Arial"/>
                <w:color w:val="auto"/>
                <w:sz w:val="21"/>
                <w:highlight w:val="none"/>
              </w:rPr>
            </w:pPr>
          </w:p>
        </w:tc>
        <w:tc>
          <w:tcPr>
            <w:tcW w:w="852" w:type="dxa"/>
            <w:vAlign w:val="top"/>
          </w:tcPr>
          <w:p w14:paraId="283EE472">
            <w:pPr>
              <w:rPr>
                <w:rFonts w:ascii="Arial"/>
                <w:color w:val="auto"/>
                <w:sz w:val="21"/>
                <w:highlight w:val="none"/>
              </w:rPr>
            </w:pPr>
          </w:p>
        </w:tc>
        <w:tc>
          <w:tcPr>
            <w:tcW w:w="704" w:type="dxa"/>
            <w:vAlign w:val="top"/>
          </w:tcPr>
          <w:p w14:paraId="5B8C44B0">
            <w:pPr>
              <w:rPr>
                <w:rFonts w:ascii="Arial"/>
                <w:color w:val="auto"/>
                <w:sz w:val="21"/>
                <w:highlight w:val="none"/>
              </w:rPr>
            </w:pPr>
          </w:p>
        </w:tc>
        <w:tc>
          <w:tcPr>
            <w:tcW w:w="709" w:type="dxa"/>
            <w:vAlign w:val="top"/>
          </w:tcPr>
          <w:p w14:paraId="68595B19">
            <w:pPr>
              <w:rPr>
                <w:rFonts w:ascii="Arial"/>
                <w:color w:val="auto"/>
                <w:sz w:val="21"/>
                <w:highlight w:val="none"/>
              </w:rPr>
            </w:pPr>
          </w:p>
        </w:tc>
        <w:tc>
          <w:tcPr>
            <w:tcW w:w="847" w:type="dxa"/>
            <w:vAlign w:val="top"/>
          </w:tcPr>
          <w:p w14:paraId="77E45D78">
            <w:pPr>
              <w:rPr>
                <w:rFonts w:ascii="Arial"/>
                <w:color w:val="auto"/>
                <w:sz w:val="21"/>
                <w:highlight w:val="none"/>
              </w:rPr>
            </w:pPr>
          </w:p>
        </w:tc>
        <w:tc>
          <w:tcPr>
            <w:tcW w:w="847" w:type="dxa"/>
            <w:vAlign w:val="top"/>
          </w:tcPr>
          <w:p w14:paraId="60C1971A">
            <w:pPr>
              <w:rPr>
                <w:rFonts w:ascii="Arial"/>
                <w:color w:val="auto"/>
                <w:sz w:val="21"/>
                <w:highlight w:val="none"/>
              </w:rPr>
            </w:pPr>
          </w:p>
        </w:tc>
        <w:tc>
          <w:tcPr>
            <w:tcW w:w="800" w:type="dxa"/>
            <w:vAlign w:val="top"/>
          </w:tcPr>
          <w:p w14:paraId="48538455">
            <w:pPr>
              <w:rPr>
                <w:rFonts w:ascii="Arial"/>
                <w:color w:val="auto"/>
                <w:sz w:val="21"/>
                <w:highlight w:val="none"/>
              </w:rPr>
            </w:pPr>
          </w:p>
        </w:tc>
        <w:tc>
          <w:tcPr>
            <w:tcW w:w="1465" w:type="dxa"/>
            <w:vAlign w:val="top"/>
          </w:tcPr>
          <w:p w14:paraId="0FD5E8BB">
            <w:pPr>
              <w:rPr>
                <w:rFonts w:ascii="Arial"/>
                <w:color w:val="auto"/>
                <w:sz w:val="21"/>
                <w:highlight w:val="none"/>
              </w:rPr>
            </w:pPr>
          </w:p>
        </w:tc>
        <w:tc>
          <w:tcPr>
            <w:tcW w:w="816" w:type="dxa"/>
            <w:tcBorders>
              <w:right w:val="single" w:color="000000" w:sz="10" w:space="0"/>
            </w:tcBorders>
            <w:vAlign w:val="top"/>
          </w:tcPr>
          <w:p w14:paraId="26D3C2A4">
            <w:pPr>
              <w:rPr>
                <w:rFonts w:ascii="Arial"/>
                <w:color w:val="auto"/>
                <w:sz w:val="21"/>
                <w:highlight w:val="none"/>
              </w:rPr>
            </w:pPr>
          </w:p>
        </w:tc>
      </w:tr>
      <w:tr w14:paraId="5946B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7FBC3568">
            <w:pPr>
              <w:rPr>
                <w:rFonts w:ascii="Arial"/>
                <w:color w:val="auto"/>
                <w:sz w:val="21"/>
                <w:highlight w:val="none"/>
              </w:rPr>
            </w:pPr>
          </w:p>
        </w:tc>
        <w:tc>
          <w:tcPr>
            <w:tcW w:w="1130" w:type="dxa"/>
            <w:vAlign w:val="top"/>
          </w:tcPr>
          <w:p w14:paraId="154DA735">
            <w:pPr>
              <w:rPr>
                <w:rFonts w:ascii="Arial"/>
                <w:color w:val="auto"/>
                <w:sz w:val="21"/>
                <w:highlight w:val="none"/>
              </w:rPr>
            </w:pPr>
          </w:p>
        </w:tc>
        <w:tc>
          <w:tcPr>
            <w:tcW w:w="852" w:type="dxa"/>
            <w:vAlign w:val="top"/>
          </w:tcPr>
          <w:p w14:paraId="097FC135">
            <w:pPr>
              <w:rPr>
                <w:rFonts w:ascii="Arial"/>
                <w:color w:val="auto"/>
                <w:sz w:val="21"/>
                <w:highlight w:val="none"/>
              </w:rPr>
            </w:pPr>
          </w:p>
        </w:tc>
        <w:tc>
          <w:tcPr>
            <w:tcW w:w="704" w:type="dxa"/>
            <w:vAlign w:val="top"/>
          </w:tcPr>
          <w:p w14:paraId="663834F2">
            <w:pPr>
              <w:rPr>
                <w:rFonts w:ascii="Arial"/>
                <w:color w:val="auto"/>
                <w:sz w:val="21"/>
                <w:highlight w:val="none"/>
              </w:rPr>
            </w:pPr>
          </w:p>
        </w:tc>
        <w:tc>
          <w:tcPr>
            <w:tcW w:w="709" w:type="dxa"/>
            <w:vAlign w:val="top"/>
          </w:tcPr>
          <w:p w14:paraId="79C6FCA4">
            <w:pPr>
              <w:rPr>
                <w:rFonts w:ascii="Arial"/>
                <w:color w:val="auto"/>
                <w:sz w:val="21"/>
                <w:highlight w:val="none"/>
              </w:rPr>
            </w:pPr>
          </w:p>
        </w:tc>
        <w:tc>
          <w:tcPr>
            <w:tcW w:w="847" w:type="dxa"/>
            <w:vAlign w:val="top"/>
          </w:tcPr>
          <w:p w14:paraId="186A84DA">
            <w:pPr>
              <w:rPr>
                <w:rFonts w:ascii="Arial"/>
                <w:color w:val="auto"/>
                <w:sz w:val="21"/>
                <w:highlight w:val="none"/>
              </w:rPr>
            </w:pPr>
          </w:p>
        </w:tc>
        <w:tc>
          <w:tcPr>
            <w:tcW w:w="847" w:type="dxa"/>
            <w:vAlign w:val="top"/>
          </w:tcPr>
          <w:p w14:paraId="20DFCDF2">
            <w:pPr>
              <w:rPr>
                <w:rFonts w:ascii="Arial"/>
                <w:color w:val="auto"/>
                <w:sz w:val="21"/>
                <w:highlight w:val="none"/>
              </w:rPr>
            </w:pPr>
          </w:p>
        </w:tc>
        <w:tc>
          <w:tcPr>
            <w:tcW w:w="800" w:type="dxa"/>
            <w:vAlign w:val="top"/>
          </w:tcPr>
          <w:p w14:paraId="26088FEA">
            <w:pPr>
              <w:rPr>
                <w:rFonts w:ascii="Arial"/>
                <w:color w:val="auto"/>
                <w:sz w:val="21"/>
                <w:highlight w:val="none"/>
              </w:rPr>
            </w:pPr>
          </w:p>
        </w:tc>
        <w:tc>
          <w:tcPr>
            <w:tcW w:w="1465" w:type="dxa"/>
            <w:vAlign w:val="top"/>
          </w:tcPr>
          <w:p w14:paraId="08C8041D">
            <w:pPr>
              <w:rPr>
                <w:rFonts w:ascii="Arial"/>
                <w:color w:val="auto"/>
                <w:sz w:val="21"/>
                <w:highlight w:val="none"/>
              </w:rPr>
            </w:pPr>
          </w:p>
        </w:tc>
        <w:tc>
          <w:tcPr>
            <w:tcW w:w="816" w:type="dxa"/>
            <w:tcBorders>
              <w:right w:val="single" w:color="000000" w:sz="10" w:space="0"/>
            </w:tcBorders>
            <w:vAlign w:val="top"/>
          </w:tcPr>
          <w:p w14:paraId="1E3058C6">
            <w:pPr>
              <w:rPr>
                <w:rFonts w:ascii="Arial"/>
                <w:color w:val="auto"/>
                <w:sz w:val="21"/>
                <w:highlight w:val="none"/>
              </w:rPr>
            </w:pPr>
          </w:p>
        </w:tc>
      </w:tr>
      <w:tr w14:paraId="4CA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0D857D4">
            <w:pPr>
              <w:rPr>
                <w:rFonts w:ascii="Arial"/>
                <w:color w:val="auto"/>
                <w:sz w:val="21"/>
                <w:highlight w:val="none"/>
              </w:rPr>
            </w:pPr>
          </w:p>
        </w:tc>
        <w:tc>
          <w:tcPr>
            <w:tcW w:w="1130" w:type="dxa"/>
            <w:vAlign w:val="top"/>
          </w:tcPr>
          <w:p w14:paraId="66C8D7E0">
            <w:pPr>
              <w:rPr>
                <w:rFonts w:ascii="Arial"/>
                <w:color w:val="auto"/>
                <w:sz w:val="21"/>
                <w:highlight w:val="none"/>
              </w:rPr>
            </w:pPr>
          </w:p>
        </w:tc>
        <w:tc>
          <w:tcPr>
            <w:tcW w:w="852" w:type="dxa"/>
            <w:vAlign w:val="top"/>
          </w:tcPr>
          <w:p w14:paraId="773370CE">
            <w:pPr>
              <w:rPr>
                <w:rFonts w:ascii="Arial"/>
                <w:color w:val="auto"/>
                <w:sz w:val="21"/>
                <w:highlight w:val="none"/>
              </w:rPr>
            </w:pPr>
          </w:p>
        </w:tc>
        <w:tc>
          <w:tcPr>
            <w:tcW w:w="704" w:type="dxa"/>
            <w:vAlign w:val="top"/>
          </w:tcPr>
          <w:p w14:paraId="3B97D5D6">
            <w:pPr>
              <w:rPr>
                <w:rFonts w:ascii="Arial"/>
                <w:color w:val="auto"/>
                <w:sz w:val="21"/>
                <w:highlight w:val="none"/>
              </w:rPr>
            </w:pPr>
          </w:p>
        </w:tc>
        <w:tc>
          <w:tcPr>
            <w:tcW w:w="709" w:type="dxa"/>
            <w:vAlign w:val="top"/>
          </w:tcPr>
          <w:p w14:paraId="590DBA85">
            <w:pPr>
              <w:rPr>
                <w:rFonts w:ascii="Arial"/>
                <w:color w:val="auto"/>
                <w:sz w:val="21"/>
                <w:highlight w:val="none"/>
              </w:rPr>
            </w:pPr>
          </w:p>
        </w:tc>
        <w:tc>
          <w:tcPr>
            <w:tcW w:w="847" w:type="dxa"/>
            <w:vAlign w:val="top"/>
          </w:tcPr>
          <w:p w14:paraId="3AD6A3BA">
            <w:pPr>
              <w:rPr>
                <w:rFonts w:ascii="Arial"/>
                <w:color w:val="auto"/>
                <w:sz w:val="21"/>
                <w:highlight w:val="none"/>
              </w:rPr>
            </w:pPr>
          </w:p>
        </w:tc>
        <w:tc>
          <w:tcPr>
            <w:tcW w:w="847" w:type="dxa"/>
            <w:vAlign w:val="top"/>
          </w:tcPr>
          <w:p w14:paraId="512FD707">
            <w:pPr>
              <w:rPr>
                <w:rFonts w:ascii="Arial"/>
                <w:color w:val="auto"/>
                <w:sz w:val="21"/>
                <w:highlight w:val="none"/>
              </w:rPr>
            </w:pPr>
          </w:p>
        </w:tc>
        <w:tc>
          <w:tcPr>
            <w:tcW w:w="800" w:type="dxa"/>
            <w:vAlign w:val="top"/>
          </w:tcPr>
          <w:p w14:paraId="78DA47BF">
            <w:pPr>
              <w:rPr>
                <w:rFonts w:ascii="Arial"/>
                <w:color w:val="auto"/>
                <w:sz w:val="21"/>
                <w:highlight w:val="none"/>
              </w:rPr>
            </w:pPr>
          </w:p>
        </w:tc>
        <w:tc>
          <w:tcPr>
            <w:tcW w:w="1465" w:type="dxa"/>
            <w:vAlign w:val="top"/>
          </w:tcPr>
          <w:p w14:paraId="28FB7FE6">
            <w:pPr>
              <w:rPr>
                <w:rFonts w:ascii="Arial"/>
                <w:color w:val="auto"/>
                <w:sz w:val="21"/>
                <w:highlight w:val="none"/>
              </w:rPr>
            </w:pPr>
          </w:p>
        </w:tc>
        <w:tc>
          <w:tcPr>
            <w:tcW w:w="816" w:type="dxa"/>
            <w:tcBorders>
              <w:right w:val="single" w:color="000000" w:sz="10" w:space="0"/>
            </w:tcBorders>
            <w:vAlign w:val="top"/>
          </w:tcPr>
          <w:p w14:paraId="716F3EB1">
            <w:pPr>
              <w:rPr>
                <w:rFonts w:ascii="Arial"/>
                <w:color w:val="auto"/>
                <w:sz w:val="21"/>
                <w:highlight w:val="none"/>
              </w:rPr>
            </w:pPr>
          </w:p>
        </w:tc>
      </w:tr>
      <w:tr w14:paraId="0D95D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11709D7D">
            <w:pPr>
              <w:rPr>
                <w:rFonts w:ascii="Arial"/>
                <w:color w:val="auto"/>
                <w:sz w:val="21"/>
                <w:highlight w:val="none"/>
              </w:rPr>
            </w:pPr>
          </w:p>
        </w:tc>
        <w:tc>
          <w:tcPr>
            <w:tcW w:w="1130" w:type="dxa"/>
            <w:vAlign w:val="top"/>
          </w:tcPr>
          <w:p w14:paraId="59D2E843">
            <w:pPr>
              <w:rPr>
                <w:rFonts w:ascii="Arial"/>
                <w:color w:val="auto"/>
                <w:sz w:val="21"/>
                <w:highlight w:val="none"/>
              </w:rPr>
            </w:pPr>
          </w:p>
        </w:tc>
        <w:tc>
          <w:tcPr>
            <w:tcW w:w="852" w:type="dxa"/>
            <w:vAlign w:val="top"/>
          </w:tcPr>
          <w:p w14:paraId="174141F5">
            <w:pPr>
              <w:rPr>
                <w:rFonts w:ascii="Arial"/>
                <w:color w:val="auto"/>
                <w:sz w:val="21"/>
                <w:highlight w:val="none"/>
              </w:rPr>
            </w:pPr>
          </w:p>
        </w:tc>
        <w:tc>
          <w:tcPr>
            <w:tcW w:w="704" w:type="dxa"/>
            <w:vAlign w:val="top"/>
          </w:tcPr>
          <w:p w14:paraId="7E6C1079">
            <w:pPr>
              <w:rPr>
                <w:rFonts w:ascii="Arial"/>
                <w:color w:val="auto"/>
                <w:sz w:val="21"/>
                <w:highlight w:val="none"/>
              </w:rPr>
            </w:pPr>
          </w:p>
        </w:tc>
        <w:tc>
          <w:tcPr>
            <w:tcW w:w="709" w:type="dxa"/>
            <w:vAlign w:val="top"/>
          </w:tcPr>
          <w:p w14:paraId="4F59B87A">
            <w:pPr>
              <w:rPr>
                <w:rFonts w:ascii="Arial"/>
                <w:color w:val="auto"/>
                <w:sz w:val="21"/>
                <w:highlight w:val="none"/>
              </w:rPr>
            </w:pPr>
          </w:p>
        </w:tc>
        <w:tc>
          <w:tcPr>
            <w:tcW w:w="847" w:type="dxa"/>
            <w:vAlign w:val="top"/>
          </w:tcPr>
          <w:p w14:paraId="6CD7B8A5">
            <w:pPr>
              <w:rPr>
                <w:rFonts w:ascii="Arial"/>
                <w:color w:val="auto"/>
                <w:sz w:val="21"/>
                <w:highlight w:val="none"/>
              </w:rPr>
            </w:pPr>
          </w:p>
        </w:tc>
        <w:tc>
          <w:tcPr>
            <w:tcW w:w="847" w:type="dxa"/>
            <w:vAlign w:val="top"/>
          </w:tcPr>
          <w:p w14:paraId="7B19DB52">
            <w:pPr>
              <w:rPr>
                <w:rFonts w:ascii="Arial"/>
                <w:color w:val="auto"/>
                <w:sz w:val="21"/>
                <w:highlight w:val="none"/>
              </w:rPr>
            </w:pPr>
          </w:p>
        </w:tc>
        <w:tc>
          <w:tcPr>
            <w:tcW w:w="800" w:type="dxa"/>
            <w:vAlign w:val="top"/>
          </w:tcPr>
          <w:p w14:paraId="098E07B7">
            <w:pPr>
              <w:rPr>
                <w:rFonts w:ascii="Arial"/>
                <w:color w:val="auto"/>
                <w:sz w:val="21"/>
                <w:highlight w:val="none"/>
              </w:rPr>
            </w:pPr>
          </w:p>
        </w:tc>
        <w:tc>
          <w:tcPr>
            <w:tcW w:w="1465" w:type="dxa"/>
            <w:vAlign w:val="top"/>
          </w:tcPr>
          <w:p w14:paraId="182F93D2">
            <w:pPr>
              <w:rPr>
                <w:rFonts w:ascii="Arial"/>
                <w:color w:val="auto"/>
                <w:sz w:val="21"/>
                <w:highlight w:val="none"/>
              </w:rPr>
            </w:pPr>
          </w:p>
        </w:tc>
        <w:tc>
          <w:tcPr>
            <w:tcW w:w="816" w:type="dxa"/>
            <w:tcBorders>
              <w:right w:val="single" w:color="000000" w:sz="10" w:space="0"/>
            </w:tcBorders>
            <w:vAlign w:val="top"/>
          </w:tcPr>
          <w:p w14:paraId="27E5627F">
            <w:pPr>
              <w:rPr>
                <w:rFonts w:ascii="Arial"/>
                <w:color w:val="auto"/>
                <w:sz w:val="21"/>
                <w:highlight w:val="none"/>
              </w:rPr>
            </w:pPr>
          </w:p>
        </w:tc>
      </w:tr>
      <w:tr w14:paraId="1D66F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4CD4482A">
            <w:pPr>
              <w:rPr>
                <w:rFonts w:ascii="Arial"/>
                <w:color w:val="auto"/>
                <w:sz w:val="21"/>
                <w:highlight w:val="none"/>
              </w:rPr>
            </w:pPr>
          </w:p>
        </w:tc>
        <w:tc>
          <w:tcPr>
            <w:tcW w:w="1130" w:type="dxa"/>
            <w:vAlign w:val="top"/>
          </w:tcPr>
          <w:p w14:paraId="2219A292">
            <w:pPr>
              <w:rPr>
                <w:rFonts w:ascii="Arial"/>
                <w:color w:val="auto"/>
                <w:sz w:val="21"/>
                <w:highlight w:val="none"/>
              </w:rPr>
            </w:pPr>
          </w:p>
        </w:tc>
        <w:tc>
          <w:tcPr>
            <w:tcW w:w="852" w:type="dxa"/>
            <w:vAlign w:val="top"/>
          </w:tcPr>
          <w:p w14:paraId="31BF76FB">
            <w:pPr>
              <w:rPr>
                <w:rFonts w:ascii="Arial"/>
                <w:color w:val="auto"/>
                <w:sz w:val="21"/>
                <w:highlight w:val="none"/>
              </w:rPr>
            </w:pPr>
          </w:p>
        </w:tc>
        <w:tc>
          <w:tcPr>
            <w:tcW w:w="704" w:type="dxa"/>
            <w:vAlign w:val="top"/>
          </w:tcPr>
          <w:p w14:paraId="2E28BDF4">
            <w:pPr>
              <w:rPr>
                <w:rFonts w:ascii="Arial"/>
                <w:color w:val="auto"/>
                <w:sz w:val="21"/>
                <w:highlight w:val="none"/>
              </w:rPr>
            </w:pPr>
          </w:p>
        </w:tc>
        <w:tc>
          <w:tcPr>
            <w:tcW w:w="709" w:type="dxa"/>
            <w:vAlign w:val="top"/>
          </w:tcPr>
          <w:p w14:paraId="27501480">
            <w:pPr>
              <w:rPr>
                <w:rFonts w:ascii="Arial"/>
                <w:color w:val="auto"/>
                <w:sz w:val="21"/>
                <w:highlight w:val="none"/>
              </w:rPr>
            </w:pPr>
          </w:p>
        </w:tc>
        <w:tc>
          <w:tcPr>
            <w:tcW w:w="847" w:type="dxa"/>
            <w:vAlign w:val="top"/>
          </w:tcPr>
          <w:p w14:paraId="78429D5D">
            <w:pPr>
              <w:rPr>
                <w:rFonts w:ascii="Arial"/>
                <w:color w:val="auto"/>
                <w:sz w:val="21"/>
                <w:highlight w:val="none"/>
              </w:rPr>
            </w:pPr>
          </w:p>
        </w:tc>
        <w:tc>
          <w:tcPr>
            <w:tcW w:w="847" w:type="dxa"/>
            <w:vAlign w:val="top"/>
          </w:tcPr>
          <w:p w14:paraId="491AF3C5">
            <w:pPr>
              <w:rPr>
                <w:rFonts w:ascii="Arial"/>
                <w:color w:val="auto"/>
                <w:sz w:val="21"/>
                <w:highlight w:val="none"/>
              </w:rPr>
            </w:pPr>
          </w:p>
        </w:tc>
        <w:tc>
          <w:tcPr>
            <w:tcW w:w="800" w:type="dxa"/>
            <w:vAlign w:val="top"/>
          </w:tcPr>
          <w:p w14:paraId="107BEB54">
            <w:pPr>
              <w:rPr>
                <w:rFonts w:ascii="Arial"/>
                <w:color w:val="auto"/>
                <w:sz w:val="21"/>
                <w:highlight w:val="none"/>
              </w:rPr>
            </w:pPr>
          </w:p>
        </w:tc>
        <w:tc>
          <w:tcPr>
            <w:tcW w:w="1465" w:type="dxa"/>
            <w:vAlign w:val="top"/>
          </w:tcPr>
          <w:p w14:paraId="7775A59E">
            <w:pPr>
              <w:rPr>
                <w:rFonts w:ascii="Arial"/>
                <w:color w:val="auto"/>
                <w:sz w:val="21"/>
                <w:highlight w:val="none"/>
              </w:rPr>
            </w:pPr>
          </w:p>
        </w:tc>
        <w:tc>
          <w:tcPr>
            <w:tcW w:w="816" w:type="dxa"/>
            <w:tcBorders>
              <w:right w:val="single" w:color="000000" w:sz="10" w:space="0"/>
            </w:tcBorders>
            <w:vAlign w:val="top"/>
          </w:tcPr>
          <w:p w14:paraId="0C1614B7">
            <w:pPr>
              <w:rPr>
                <w:rFonts w:ascii="Arial"/>
                <w:color w:val="auto"/>
                <w:sz w:val="21"/>
                <w:highlight w:val="none"/>
              </w:rPr>
            </w:pPr>
          </w:p>
        </w:tc>
      </w:tr>
      <w:tr w14:paraId="2D46D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A38A44D">
            <w:pPr>
              <w:rPr>
                <w:rFonts w:ascii="Arial"/>
                <w:color w:val="auto"/>
                <w:sz w:val="21"/>
                <w:highlight w:val="none"/>
              </w:rPr>
            </w:pPr>
          </w:p>
        </w:tc>
        <w:tc>
          <w:tcPr>
            <w:tcW w:w="1130" w:type="dxa"/>
            <w:vAlign w:val="top"/>
          </w:tcPr>
          <w:p w14:paraId="42E9B1F9">
            <w:pPr>
              <w:rPr>
                <w:rFonts w:ascii="Arial"/>
                <w:color w:val="auto"/>
                <w:sz w:val="21"/>
                <w:highlight w:val="none"/>
              </w:rPr>
            </w:pPr>
          </w:p>
        </w:tc>
        <w:tc>
          <w:tcPr>
            <w:tcW w:w="852" w:type="dxa"/>
            <w:vAlign w:val="top"/>
          </w:tcPr>
          <w:p w14:paraId="3174C04D">
            <w:pPr>
              <w:rPr>
                <w:rFonts w:ascii="Arial"/>
                <w:color w:val="auto"/>
                <w:sz w:val="21"/>
                <w:highlight w:val="none"/>
              </w:rPr>
            </w:pPr>
          </w:p>
        </w:tc>
        <w:tc>
          <w:tcPr>
            <w:tcW w:w="704" w:type="dxa"/>
            <w:vAlign w:val="top"/>
          </w:tcPr>
          <w:p w14:paraId="1919303A">
            <w:pPr>
              <w:rPr>
                <w:rFonts w:ascii="Arial"/>
                <w:color w:val="auto"/>
                <w:sz w:val="21"/>
                <w:highlight w:val="none"/>
              </w:rPr>
            </w:pPr>
          </w:p>
        </w:tc>
        <w:tc>
          <w:tcPr>
            <w:tcW w:w="709" w:type="dxa"/>
            <w:vAlign w:val="top"/>
          </w:tcPr>
          <w:p w14:paraId="65B5E9E0">
            <w:pPr>
              <w:rPr>
                <w:rFonts w:ascii="Arial"/>
                <w:color w:val="auto"/>
                <w:sz w:val="21"/>
                <w:highlight w:val="none"/>
              </w:rPr>
            </w:pPr>
          </w:p>
        </w:tc>
        <w:tc>
          <w:tcPr>
            <w:tcW w:w="847" w:type="dxa"/>
            <w:vAlign w:val="top"/>
          </w:tcPr>
          <w:p w14:paraId="31781948">
            <w:pPr>
              <w:rPr>
                <w:rFonts w:ascii="Arial"/>
                <w:color w:val="auto"/>
                <w:sz w:val="21"/>
                <w:highlight w:val="none"/>
              </w:rPr>
            </w:pPr>
          </w:p>
        </w:tc>
        <w:tc>
          <w:tcPr>
            <w:tcW w:w="847" w:type="dxa"/>
            <w:vAlign w:val="top"/>
          </w:tcPr>
          <w:p w14:paraId="1AD4FCD8">
            <w:pPr>
              <w:rPr>
                <w:rFonts w:ascii="Arial"/>
                <w:color w:val="auto"/>
                <w:sz w:val="21"/>
                <w:highlight w:val="none"/>
              </w:rPr>
            </w:pPr>
          </w:p>
        </w:tc>
        <w:tc>
          <w:tcPr>
            <w:tcW w:w="800" w:type="dxa"/>
            <w:vAlign w:val="top"/>
          </w:tcPr>
          <w:p w14:paraId="22BC6392">
            <w:pPr>
              <w:rPr>
                <w:rFonts w:ascii="Arial"/>
                <w:color w:val="auto"/>
                <w:sz w:val="21"/>
                <w:highlight w:val="none"/>
              </w:rPr>
            </w:pPr>
          </w:p>
        </w:tc>
        <w:tc>
          <w:tcPr>
            <w:tcW w:w="1465" w:type="dxa"/>
            <w:vAlign w:val="top"/>
          </w:tcPr>
          <w:p w14:paraId="0CA684FD">
            <w:pPr>
              <w:rPr>
                <w:rFonts w:ascii="Arial"/>
                <w:color w:val="auto"/>
                <w:sz w:val="21"/>
                <w:highlight w:val="none"/>
              </w:rPr>
            </w:pPr>
          </w:p>
        </w:tc>
        <w:tc>
          <w:tcPr>
            <w:tcW w:w="816" w:type="dxa"/>
            <w:tcBorders>
              <w:right w:val="single" w:color="000000" w:sz="10" w:space="0"/>
            </w:tcBorders>
            <w:vAlign w:val="top"/>
          </w:tcPr>
          <w:p w14:paraId="70FE6440">
            <w:pPr>
              <w:rPr>
                <w:rFonts w:ascii="Arial"/>
                <w:color w:val="auto"/>
                <w:sz w:val="21"/>
                <w:highlight w:val="none"/>
              </w:rPr>
            </w:pPr>
          </w:p>
        </w:tc>
      </w:tr>
      <w:tr w14:paraId="1AAEC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02138447">
            <w:pPr>
              <w:rPr>
                <w:rFonts w:ascii="Arial"/>
                <w:color w:val="auto"/>
                <w:sz w:val="21"/>
                <w:highlight w:val="none"/>
              </w:rPr>
            </w:pPr>
          </w:p>
        </w:tc>
        <w:tc>
          <w:tcPr>
            <w:tcW w:w="1130" w:type="dxa"/>
            <w:vAlign w:val="top"/>
          </w:tcPr>
          <w:p w14:paraId="50ACEE82">
            <w:pPr>
              <w:rPr>
                <w:rFonts w:ascii="Arial"/>
                <w:color w:val="auto"/>
                <w:sz w:val="21"/>
                <w:highlight w:val="none"/>
              </w:rPr>
            </w:pPr>
          </w:p>
        </w:tc>
        <w:tc>
          <w:tcPr>
            <w:tcW w:w="852" w:type="dxa"/>
            <w:vAlign w:val="top"/>
          </w:tcPr>
          <w:p w14:paraId="1A489B65">
            <w:pPr>
              <w:rPr>
                <w:rFonts w:ascii="Arial"/>
                <w:color w:val="auto"/>
                <w:sz w:val="21"/>
                <w:highlight w:val="none"/>
              </w:rPr>
            </w:pPr>
          </w:p>
        </w:tc>
        <w:tc>
          <w:tcPr>
            <w:tcW w:w="704" w:type="dxa"/>
            <w:vAlign w:val="top"/>
          </w:tcPr>
          <w:p w14:paraId="1085D087">
            <w:pPr>
              <w:rPr>
                <w:rFonts w:ascii="Arial"/>
                <w:color w:val="auto"/>
                <w:sz w:val="21"/>
                <w:highlight w:val="none"/>
              </w:rPr>
            </w:pPr>
          </w:p>
        </w:tc>
        <w:tc>
          <w:tcPr>
            <w:tcW w:w="709" w:type="dxa"/>
            <w:vAlign w:val="top"/>
          </w:tcPr>
          <w:p w14:paraId="1CD696F9">
            <w:pPr>
              <w:rPr>
                <w:rFonts w:ascii="Arial"/>
                <w:color w:val="auto"/>
                <w:sz w:val="21"/>
                <w:highlight w:val="none"/>
              </w:rPr>
            </w:pPr>
          </w:p>
        </w:tc>
        <w:tc>
          <w:tcPr>
            <w:tcW w:w="847" w:type="dxa"/>
            <w:vAlign w:val="top"/>
          </w:tcPr>
          <w:p w14:paraId="3DA45415">
            <w:pPr>
              <w:rPr>
                <w:rFonts w:ascii="Arial"/>
                <w:color w:val="auto"/>
                <w:sz w:val="21"/>
                <w:highlight w:val="none"/>
              </w:rPr>
            </w:pPr>
          </w:p>
        </w:tc>
        <w:tc>
          <w:tcPr>
            <w:tcW w:w="847" w:type="dxa"/>
            <w:vAlign w:val="top"/>
          </w:tcPr>
          <w:p w14:paraId="7606597C">
            <w:pPr>
              <w:rPr>
                <w:rFonts w:ascii="Arial"/>
                <w:color w:val="auto"/>
                <w:sz w:val="21"/>
                <w:highlight w:val="none"/>
              </w:rPr>
            </w:pPr>
          </w:p>
        </w:tc>
        <w:tc>
          <w:tcPr>
            <w:tcW w:w="800" w:type="dxa"/>
            <w:vAlign w:val="top"/>
          </w:tcPr>
          <w:p w14:paraId="4FB070A3">
            <w:pPr>
              <w:rPr>
                <w:rFonts w:ascii="Arial"/>
                <w:color w:val="auto"/>
                <w:sz w:val="21"/>
                <w:highlight w:val="none"/>
              </w:rPr>
            </w:pPr>
          </w:p>
        </w:tc>
        <w:tc>
          <w:tcPr>
            <w:tcW w:w="1465" w:type="dxa"/>
            <w:vAlign w:val="top"/>
          </w:tcPr>
          <w:p w14:paraId="1913C9F1">
            <w:pPr>
              <w:rPr>
                <w:rFonts w:ascii="Arial"/>
                <w:color w:val="auto"/>
                <w:sz w:val="21"/>
                <w:highlight w:val="none"/>
              </w:rPr>
            </w:pPr>
          </w:p>
        </w:tc>
        <w:tc>
          <w:tcPr>
            <w:tcW w:w="816" w:type="dxa"/>
            <w:tcBorders>
              <w:right w:val="single" w:color="000000" w:sz="10" w:space="0"/>
            </w:tcBorders>
            <w:vAlign w:val="top"/>
          </w:tcPr>
          <w:p w14:paraId="3063BF74">
            <w:pPr>
              <w:rPr>
                <w:rFonts w:ascii="Arial"/>
                <w:color w:val="auto"/>
                <w:sz w:val="21"/>
                <w:highlight w:val="none"/>
              </w:rPr>
            </w:pPr>
          </w:p>
        </w:tc>
      </w:tr>
      <w:tr w14:paraId="0F34A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78D929B8">
            <w:pPr>
              <w:rPr>
                <w:rFonts w:ascii="Arial"/>
                <w:color w:val="auto"/>
                <w:sz w:val="21"/>
                <w:highlight w:val="none"/>
              </w:rPr>
            </w:pPr>
          </w:p>
        </w:tc>
        <w:tc>
          <w:tcPr>
            <w:tcW w:w="1130" w:type="dxa"/>
            <w:vAlign w:val="top"/>
          </w:tcPr>
          <w:p w14:paraId="1CAA1583">
            <w:pPr>
              <w:rPr>
                <w:rFonts w:ascii="Arial"/>
                <w:color w:val="auto"/>
                <w:sz w:val="21"/>
                <w:highlight w:val="none"/>
              </w:rPr>
            </w:pPr>
          </w:p>
        </w:tc>
        <w:tc>
          <w:tcPr>
            <w:tcW w:w="852" w:type="dxa"/>
            <w:vAlign w:val="top"/>
          </w:tcPr>
          <w:p w14:paraId="1A15F8A9">
            <w:pPr>
              <w:rPr>
                <w:rFonts w:ascii="Arial"/>
                <w:color w:val="auto"/>
                <w:sz w:val="21"/>
                <w:highlight w:val="none"/>
              </w:rPr>
            </w:pPr>
          </w:p>
        </w:tc>
        <w:tc>
          <w:tcPr>
            <w:tcW w:w="704" w:type="dxa"/>
            <w:vAlign w:val="top"/>
          </w:tcPr>
          <w:p w14:paraId="2CA9B997">
            <w:pPr>
              <w:rPr>
                <w:rFonts w:ascii="Arial"/>
                <w:color w:val="auto"/>
                <w:sz w:val="21"/>
                <w:highlight w:val="none"/>
              </w:rPr>
            </w:pPr>
          </w:p>
        </w:tc>
        <w:tc>
          <w:tcPr>
            <w:tcW w:w="709" w:type="dxa"/>
            <w:vAlign w:val="top"/>
          </w:tcPr>
          <w:p w14:paraId="33E05602">
            <w:pPr>
              <w:rPr>
                <w:rFonts w:ascii="Arial"/>
                <w:color w:val="auto"/>
                <w:sz w:val="21"/>
                <w:highlight w:val="none"/>
              </w:rPr>
            </w:pPr>
          </w:p>
        </w:tc>
        <w:tc>
          <w:tcPr>
            <w:tcW w:w="847" w:type="dxa"/>
            <w:vAlign w:val="top"/>
          </w:tcPr>
          <w:p w14:paraId="74A0A7F9">
            <w:pPr>
              <w:rPr>
                <w:rFonts w:ascii="Arial"/>
                <w:color w:val="auto"/>
                <w:sz w:val="21"/>
                <w:highlight w:val="none"/>
              </w:rPr>
            </w:pPr>
          </w:p>
        </w:tc>
        <w:tc>
          <w:tcPr>
            <w:tcW w:w="847" w:type="dxa"/>
            <w:vAlign w:val="top"/>
          </w:tcPr>
          <w:p w14:paraId="28F94E4D">
            <w:pPr>
              <w:rPr>
                <w:rFonts w:ascii="Arial"/>
                <w:color w:val="auto"/>
                <w:sz w:val="21"/>
                <w:highlight w:val="none"/>
              </w:rPr>
            </w:pPr>
          </w:p>
        </w:tc>
        <w:tc>
          <w:tcPr>
            <w:tcW w:w="800" w:type="dxa"/>
            <w:vAlign w:val="top"/>
          </w:tcPr>
          <w:p w14:paraId="0C56BB36">
            <w:pPr>
              <w:rPr>
                <w:rFonts w:ascii="Arial"/>
                <w:color w:val="auto"/>
                <w:sz w:val="21"/>
                <w:highlight w:val="none"/>
              </w:rPr>
            </w:pPr>
          </w:p>
        </w:tc>
        <w:tc>
          <w:tcPr>
            <w:tcW w:w="1465" w:type="dxa"/>
            <w:vAlign w:val="top"/>
          </w:tcPr>
          <w:p w14:paraId="51507C36">
            <w:pPr>
              <w:rPr>
                <w:rFonts w:ascii="Arial"/>
                <w:color w:val="auto"/>
                <w:sz w:val="21"/>
                <w:highlight w:val="none"/>
              </w:rPr>
            </w:pPr>
          </w:p>
        </w:tc>
        <w:tc>
          <w:tcPr>
            <w:tcW w:w="816" w:type="dxa"/>
            <w:tcBorders>
              <w:right w:val="single" w:color="000000" w:sz="10" w:space="0"/>
            </w:tcBorders>
            <w:vAlign w:val="top"/>
          </w:tcPr>
          <w:p w14:paraId="6670E106">
            <w:pPr>
              <w:rPr>
                <w:rFonts w:ascii="Arial"/>
                <w:color w:val="auto"/>
                <w:sz w:val="21"/>
                <w:highlight w:val="none"/>
              </w:rPr>
            </w:pPr>
          </w:p>
        </w:tc>
      </w:tr>
      <w:tr w14:paraId="07B40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19D92EA">
            <w:pPr>
              <w:rPr>
                <w:rFonts w:ascii="Arial"/>
                <w:color w:val="auto"/>
                <w:sz w:val="21"/>
                <w:highlight w:val="none"/>
              </w:rPr>
            </w:pPr>
          </w:p>
        </w:tc>
        <w:tc>
          <w:tcPr>
            <w:tcW w:w="1130" w:type="dxa"/>
            <w:vAlign w:val="top"/>
          </w:tcPr>
          <w:p w14:paraId="650722D8">
            <w:pPr>
              <w:rPr>
                <w:rFonts w:ascii="Arial"/>
                <w:color w:val="auto"/>
                <w:sz w:val="21"/>
                <w:highlight w:val="none"/>
              </w:rPr>
            </w:pPr>
          </w:p>
        </w:tc>
        <w:tc>
          <w:tcPr>
            <w:tcW w:w="852" w:type="dxa"/>
            <w:vAlign w:val="top"/>
          </w:tcPr>
          <w:p w14:paraId="04DF4448">
            <w:pPr>
              <w:rPr>
                <w:rFonts w:ascii="Arial"/>
                <w:color w:val="auto"/>
                <w:sz w:val="21"/>
                <w:highlight w:val="none"/>
              </w:rPr>
            </w:pPr>
          </w:p>
        </w:tc>
        <w:tc>
          <w:tcPr>
            <w:tcW w:w="704" w:type="dxa"/>
            <w:vAlign w:val="top"/>
          </w:tcPr>
          <w:p w14:paraId="11745450">
            <w:pPr>
              <w:rPr>
                <w:rFonts w:ascii="Arial"/>
                <w:color w:val="auto"/>
                <w:sz w:val="21"/>
                <w:highlight w:val="none"/>
              </w:rPr>
            </w:pPr>
          </w:p>
        </w:tc>
        <w:tc>
          <w:tcPr>
            <w:tcW w:w="709" w:type="dxa"/>
            <w:vAlign w:val="top"/>
          </w:tcPr>
          <w:p w14:paraId="734327E2">
            <w:pPr>
              <w:rPr>
                <w:rFonts w:ascii="Arial"/>
                <w:color w:val="auto"/>
                <w:sz w:val="21"/>
                <w:highlight w:val="none"/>
              </w:rPr>
            </w:pPr>
          </w:p>
        </w:tc>
        <w:tc>
          <w:tcPr>
            <w:tcW w:w="847" w:type="dxa"/>
            <w:vAlign w:val="top"/>
          </w:tcPr>
          <w:p w14:paraId="54BC2D6F">
            <w:pPr>
              <w:rPr>
                <w:rFonts w:ascii="Arial"/>
                <w:color w:val="auto"/>
                <w:sz w:val="21"/>
                <w:highlight w:val="none"/>
              </w:rPr>
            </w:pPr>
          </w:p>
        </w:tc>
        <w:tc>
          <w:tcPr>
            <w:tcW w:w="847" w:type="dxa"/>
            <w:vAlign w:val="top"/>
          </w:tcPr>
          <w:p w14:paraId="1BF3A1EA">
            <w:pPr>
              <w:rPr>
                <w:rFonts w:ascii="Arial"/>
                <w:color w:val="auto"/>
                <w:sz w:val="21"/>
                <w:highlight w:val="none"/>
              </w:rPr>
            </w:pPr>
          </w:p>
        </w:tc>
        <w:tc>
          <w:tcPr>
            <w:tcW w:w="800" w:type="dxa"/>
            <w:vAlign w:val="top"/>
          </w:tcPr>
          <w:p w14:paraId="7496731E">
            <w:pPr>
              <w:rPr>
                <w:rFonts w:ascii="Arial"/>
                <w:color w:val="auto"/>
                <w:sz w:val="21"/>
                <w:highlight w:val="none"/>
              </w:rPr>
            </w:pPr>
          </w:p>
        </w:tc>
        <w:tc>
          <w:tcPr>
            <w:tcW w:w="1465" w:type="dxa"/>
            <w:vAlign w:val="top"/>
          </w:tcPr>
          <w:p w14:paraId="14CA5CE3">
            <w:pPr>
              <w:rPr>
                <w:rFonts w:ascii="Arial"/>
                <w:color w:val="auto"/>
                <w:sz w:val="21"/>
                <w:highlight w:val="none"/>
              </w:rPr>
            </w:pPr>
          </w:p>
        </w:tc>
        <w:tc>
          <w:tcPr>
            <w:tcW w:w="816" w:type="dxa"/>
            <w:tcBorders>
              <w:right w:val="single" w:color="000000" w:sz="10" w:space="0"/>
            </w:tcBorders>
            <w:vAlign w:val="top"/>
          </w:tcPr>
          <w:p w14:paraId="3DFBC11B">
            <w:pPr>
              <w:rPr>
                <w:rFonts w:ascii="Arial"/>
                <w:color w:val="auto"/>
                <w:sz w:val="21"/>
                <w:highlight w:val="none"/>
              </w:rPr>
            </w:pPr>
          </w:p>
        </w:tc>
      </w:tr>
      <w:tr w14:paraId="0557C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4222746">
            <w:pPr>
              <w:rPr>
                <w:rFonts w:ascii="Arial"/>
                <w:color w:val="auto"/>
                <w:sz w:val="21"/>
                <w:highlight w:val="none"/>
              </w:rPr>
            </w:pPr>
          </w:p>
        </w:tc>
        <w:tc>
          <w:tcPr>
            <w:tcW w:w="1130" w:type="dxa"/>
            <w:vAlign w:val="top"/>
          </w:tcPr>
          <w:p w14:paraId="20474523">
            <w:pPr>
              <w:rPr>
                <w:rFonts w:ascii="Arial"/>
                <w:color w:val="auto"/>
                <w:sz w:val="21"/>
                <w:highlight w:val="none"/>
              </w:rPr>
            </w:pPr>
          </w:p>
        </w:tc>
        <w:tc>
          <w:tcPr>
            <w:tcW w:w="852" w:type="dxa"/>
            <w:vAlign w:val="top"/>
          </w:tcPr>
          <w:p w14:paraId="076A8AD9">
            <w:pPr>
              <w:rPr>
                <w:rFonts w:ascii="Arial"/>
                <w:color w:val="auto"/>
                <w:sz w:val="21"/>
                <w:highlight w:val="none"/>
              </w:rPr>
            </w:pPr>
          </w:p>
        </w:tc>
        <w:tc>
          <w:tcPr>
            <w:tcW w:w="704" w:type="dxa"/>
            <w:vAlign w:val="top"/>
          </w:tcPr>
          <w:p w14:paraId="77A58EC0">
            <w:pPr>
              <w:rPr>
                <w:rFonts w:ascii="Arial"/>
                <w:color w:val="auto"/>
                <w:sz w:val="21"/>
                <w:highlight w:val="none"/>
              </w:rPr>
            </w:pPr>
          </w:p>
        </w:tc>
        <w:tc>
          <w:tcPr>
            <w:tcW w:w="709" w:type="dxa"/>
            <w:vAlign w:val="top"/>
          </w:tcPr>
          <w:p w14:paraId="6CB1A69E">
            <w:pPr>
              <w:rPr>
                <w:rFonts w:ascii="Arial"/>
                <w:color w:val="auto"/>
                <w:sz w:val="21"/>
                <w:highlight w:val="none"/>
              </w:rPr>
            </w:pPr>
          </w:p>
        </w:tc>
        <w:tc>
          <w:tcPr>
            <w:tcW w:w="847" w:type="dxa"/>
            <w:vAlign w:val="top"/>
          </w:tcPr>
          <w:p w14:paraId="2B8CFC13">
            <w:pPr>
              <w:rPr>
                <w:rFonts w:ascii="Arial"/>
                <w:color w:val="auto"/>
                <w:sz w:val="21"/>
                <w:highlight w:val="none"/>
              </w:rPr>
            </w:pPr>
          </w:p>
        </w:tc>
        <w:tc>
          <w:tcPr>
            <w:tcW w:w="847" w:type="dxa"/>
            <w:vAlign w:val="top"/>
          </w:tcPr>
          <w:p w14:paraId="329BE5F3">
            <w:pPr>
              <w:rPr>
                <w:rFonts w:ascii="Arial"/>
                <w:color w:val="auto"/>
                <w:sz w:val="21"/>
                <w:highlight w:val="none"/>
              </w:rPr>
            </w:pPr>
          </w:p>
        </w:tc>
        <w:tc>
          <w:tcPr>
            <w:tcW w:w="800" w:type="dxa"/>
            <w:vAlign w:val="top"/>
          </w:tcPr>
          <w:p w14:paraId="50BC5F83">
            <w:pPr>
              <w:rPr>
                <w:rFonts w:ascii="Arial"/>
                <w:color w:val="auto"/>
                <w:sz w:val="21"/>
                <w:highlight w:val="none"/>
              </w:rPr>
            </w:pPr>
          </w:p>
        </w:tc>
        <w:tc>
          <w:tcPr>
            <w:tcW w:w="1465" w:type="dxa"/>
            <w:vAlign w:val="top"/>
          </w:tcPr>
          <w:p w14:paraId="5B7F14C8">
            <w:pPr>
              <w:rPr>
                <w:rFonts w:ascii="Arial"/>
                <w:color w:val="auto"/>
                <w:sz w:val="21"/>
                <w:highlight w:val="none"/>
              </w:rPr>
            </w:pPr>
          </w:p>
        </w:tc>
        <w:tc>
          <w:tcPr>
            <w:tcW w:w="816" w:type="dxa"/>
            <w:tcBorders>
              <w:right w:val="single" w:color="000000" w:sz="10" w:space="0"/>
            </w:tcBorders>
            <w:vAlign w:val="top"/>
          </w:tcPr>
          <w:p w14:paraId="1B5D1DDC">
            <w:pPr>
              <w:rPr>
                <w:rFonts w:ascii="Arial"/>
                <w:color w:val="auto"/>
                <w:sz w:val="21"/>
                <w:highlight w:val="none"/>
              </w:rPr>
            </w:pPr>
          </w:p>
        </w:tc>
      </w:tr>
      <w:tr w14:paraId="04406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A8B4C75">
            <w:pPr>
              <w:rPr>
                <w:rFonts w:ascii="Arial"/>
                <w:color w:val="auto"/>
                <w:sz w:val="21"/>
                <w:highlight w:val="none"/>
              </w:rPr>
            </w:pPr>
          </w:p>
        </w:tc>
        <w:tc>
          <w:tcPr>
            <w:tcW w:w="1130" w:type="dxa"/>
            <w:vAlign w:val="top"/>
          </w:tcPr>
          <w:p w14:paraId="0396E2FF">
            <w:pPr>
              <w:rPr>
                <w:rFonts w:ascii="Arial"/>
                <w:color w:val="auto"/>
                <w:sz w:val="21"/>
                <w:highlight w:val="none"/>
              </w:rPr>
            </w:pPr>
          </w:p>
        </w:tc>
        <w:tc>
          <w:tcPr>
            <w:tcW w:w="852" w:type="dxa"/>
            <w:vAlign w:val="top"/>
          </w:tcPr>
          <w:p w14:paraId="02CEC3CF">
            <w:pPr>
              <w:rPr>
                <w:rFonts w:ascii="Arial"/>
                <w:color w:val="auto"/>
                <w:sz w:val="21"/>
                <w:highlight w:val="none"/>
              </w:rPr>
            </w:pPr>
          </w:p>
        </w:tc>
        <w:tc>
          <w:tcPr>
            <w:tcW w:w="704" w:type="dxa"/>
            <w:vAlign w:val="top"/>
          </w:tcPr>
          <w:p w14:paraId="4B42CDA6">
            <w:pPr>
              <w:rPr>
                <w:rFonts w:ascii="Arial"/>
                <w:color w:val="auto"/>
                <w:sz w:val="21"/>
                <w:highlight w:val="none"/>
              </w:rPr>
            </w:pPr>
          </w:p>
        </w:tc>
        <w:tc>
          <w:tcPr>
            <w:tcW w:w="709" w:type="dxa"/>
            <w:vAlign w:val="top"/>
          </w:tcPr>
          <w:p w14:paraId="42591A4D">
            <w:pPr>
              <w:rPr>
                <w:rFonts w:ascii="Arial"/>
                <w:color w:val="auto"/>
                <w:sz w:val="21"/>
                <w:highlight w:val="none"/>
              </w:rPr>
            </w:pPr>
          </w:p>
        </w:tc>
        <w:tc>
          <w:tcPr>
            <w:tcW w:w="847" w:type="dxa"/>
            <w:vAlign w:val="top"/>
          </w:tcPr>
          <w:p w14:paraId="02CFAB6D">
            <w:pPr>
              <w:rPr>
                <w:rFonts w:ascii="Arial"/>
                <w:color w:val="auto"/>
                <w:sz w:val="21"/>
                <w:highlight w:val="none"/>
              </w:rPr>
            </w:pPr>
          </w:p>
        </w:tc>
        <w:tc>
          <w:tcPr>
            <w:tcW w:w="847" w:type="dxa"/>
            <w:vAlign w:val="top"/>
          </w:tcPr>
          <w:p w14:paraId="4EC5DB9B">
            <w:pPr>
              <w:rPr>
                <w:rFonts w:ascii="Arial"/>
                <w:color w:val="auto"/>
                <w:sz w:val="21"/>
                <w:highlight w:val="none"/>
              </w:rPr>
            </w:pPr>
          </w:p>
        </w:tc>
        <w:tc>
          <w:tcPr>
            <w:tcW w:w="800" w:type="dxa"/>
            <w:vAlign w:val="top"/>
          </w:tcPr>
          <w:p w14:paraId="0DF590A9">
            <w:pPr>
              <w:rPr>
                <w:rFonts w:ascii="Arial"/>
                <w:color w:val="auto"/>
                <w:sz w:val="21"/>
                <w:highlight w:val="none"/>
              </w:rPr>
            </w:pPr>
          </w:p>
        </w:tc>
        <w:tc>
          <w:tcPr>
            <w:tcW w:w="1465" w:type="dxa"/>
            <w:vAlign w:val="top"/>
          </w:tcPr>
          <w:p w14:paraId="741AFBA5">
            <w:pPr>
              <w:rPr>
                <w:rFonts w:ascii="Arial"/>
                <w:color w:val="auto"/>
                <w:sz w:val="21"/>
                <w:highlight w:val="none"/>
              </w:rPr>
            </w:pPr>
          </w:p>
        </w:tc>
        <w:tc>
          <w:tcPr>
            <w:tcW w:w="816" w:type="dxa"/>
            <w:tcBorders>
              <w:right w:val="single" w:color="000000" w:sz="10" w:space="0"/>
            </w:tcBorders>
            <w:vAlign w:val="top"/>
          </w:tcPr>
          <w:p w14:paraId="2BC55031">
            <w:pPr>
              <w:rPr>
                <w:rFonts w:ascii="Arial"/>
                <w:color w:val="auto"/>
                <w:sz w:val="21"/>
                <w:highlight w:val="none"/>
              </w:rPr>
            </w:pPr>
          </w:p>
        </w:tc>
      </w:tr>
      <w:tr w14:paraId="7D31D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3EB2A26A">
            <w:pPr>
              <w:rPr>
                <w:rFonts w:ascii="Arial"/>
                <w:color w:val="auto"/>
                <w:sz w:val="21"/>
                <w:highlight w:val="none"/>
              </w:rPr>
            </w:pPr>
          </w:p>
        </w:tc>
        <w:tc>
          <w:tcPr>
            <w:tcW w:w="1130" w:type="dxa"/>
            <w:vAlign w:val="top"/>
          </w:tcPr>
          <w:p w14:paraId="4B1DEA71">
            <w:pPr>
              <w:rPr>
                <w:rFonts w:ascii="Arial"/>
                <w:color w:val="auto"/>
                <w:sz w:val="21"/>
                <w:highlight w:val="none"/>
              </w:rPr>
            </w:pPr>
          </w:p>
        </w:tc>
        <w:tc>
          <w:tcPr>
            <w:tcW w:w="852" w:type="dxa"/>
            <w:vAlign w:val="top"/>
          </w:tcPr>
          <w:p w14:paraId="73FE2410">
            <w:pPr>
              <w:rPr>
                <w:rFonts w:ascii="Arial"/>
                <w:color w:val="auto"/>
                <w:sz w:val="21"/>
                <w:highlight w:val="none"/>
              </w:rPr>
            </w:pPr>
          </w:p>
        </w:tc>
        <w:tc>
          <w:tcPr>
            <w:tcW w:w="704" w:type="dxa"/>
            <w:vAlign w:val="top"/>
          </w:tcPr>
          <w:p w14:paraId="3F3BCA5E">
            <w:pPr>
              <w:rPr>
                <w:rFonts w:ascii="Arial"/>
                <w:color w:val="auto"/>
                <w:sz w:val="21"/>
                <w:highlight w:val="none"/>
              </w:rPr>
            </w:pPr>
          </w:p>
        </w:tc>
        <w:tc>
          <w:tcPr>
            <w:tcW w:w="709" w:type="dxa"/>
            <w:vAlign w:val="top"/>
          </w:tcPr>
          <w:p w14:paraId="012A5B0B">
            <w:pPr>
              <w:rPr>
                <w:rFonts w:ascii="Arial"/>
                <w:color w:val="auto"/>
                <w:sz w:val="21"/>
                <w:highlight w:val="none"/>
              </w:rPr>
            </w:pPr>
          </w:p>
        </w:tc>
        <w:tc>
          <w:tcPr>
            <w:tcW w:w="847" w:type="dxa"/>
            <w:vAlign w:val="top"/>
          </w:tcPr>
          <w:p w14:paraId="692A3961">
            <w:pPr>
              <w:rPr>
                <w:rFonts w:ascii="Arial"/>
                <w:color w:val="auto"/>
                <w:sz w:val="21"/>
                <w:highlight w:val="none"/>
              </w:rPr>
            </w:pPr>
          </w:p>
        </w:tc>
        <w:tc>
          <w:tcPr>
            <w:tcW w:w="847" w:type="dxa"/>
            <w:vAlign w:val="top"/>
          </w:tcPr>
          <w:p w14:paraId="7EF3850E">
            <w:pPr>
              <w:rPr>
                <w:rFonts w:ascii="Arial"/>
                <w:color w:val="auto"/>
                <w:sz w:val="21"/>
                <w:highlight w:val="none"/>
              </w:rPr>
            </w:pPr>
          </w:p>
        </w:tc>
        <w:tc>
          <w:tcPr>
            <w:tcW w:w="800" w:type="dxa"/>
            <w:vAlign w:val="top"/>
          </w:tcPr>
          <w:p w14:paraId="3DCF4472">
            <w:pPr>
              <w:rPr>
                <w:rFonts w:ascii="Arial"/>
                <w:color w:val="auto"/>
                <w:sz w:val="21"/>
                <w:highlight w:val="none"/>
              </w:rPr>
            </w:pPr>
          </w:p>
        </w:tc>
        <w:tc>
          <w:tcPr>
            <w:tcW w:w="1465" w:type="dxa"/>
            <w:vAlign w:val="top"/>
          </w:tcPr>
          <w:p w14:paraId="592576AD">
            <w:pPr>
              <w:rPr>
                <w:rFonts w:ascii="Arial"/>
                <w:color w:val="auto"/>
                <w:sz w:val="21"/>
                <w:highlight w:val="none"/>
              </w:rPr>
            </w:pPr>
          </w:p>
        </w:tc>
        <w:tc>
          <w:tcPr>
            <w:tcW w:w="816" w:type="dxa"/>
            <w:tcBorders>
              <w:right w:val="single" w:color="000000" w:sz="10" w:space="0"/>
            </w:tcBorders>
            <w:vAlign w:val="top"/>
          </w:tcPr>
          <w:p w14:paraId="717AD76A">
            <w:pPr>
              <w:rPr>
                <w:rFonts w:ascii="Arial"/>
                <w:color w:val="auto"/>
                <w:sz w:val="21"/>
                <w:highlight w:val="none"/>
              </w:rPr>
            </w:pPr>
          </w:p>
        </w:tc>
      </w:tr>
      <w:tr w14:paraId="3AFF1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4A8BBA9B">
            <w:pPr>
              <w:rPr>
                <w:rFonts w:ascii="Arial"/>
                <w:color w:val="auto"/>
                <w:sz w:val="21"/>
                <w:highlight w:val="none"/>
              </w:rPr>
            </w:pPr>
          </w:p>
        </w:tc>
        <w:tc>
          <w:tcPr>
            <w:tcW w:w="1130" w:type="dxa"/>
            <w:vAlign w:val="top"/>
          </w:tcPr>
          <w:p w14:paraId="7A2D0BBA">
            <w:pPr>
              <w:rPr>
                <w:rFonts w:ascii="Arial"/>
                <w:color w:val="auto"/>
                <w:sz w:val="21"/>
                <w:highlight w:val="none"/>
              </w:rPr>
            </w:pPr>
          </w:p>
        </w:tc>
        <w:tc>
          <w:tcPr>
            <w:tcW w:w="852" w:type="dxa"/>
            <w:vAlign w:val="top"/>
          </w:tcPr>
          <w:p w14:paraId="659EE366">
            <w:pPr>
              <w:rPr>
                <w:rFonts w:ascii="Arial"/>
                <w:color w:val="auto"/>
                <w:sz w:val="21"/>
                <w:highlight w:val="none"/>
              </w:rPr>
            </w:pPr>
          </w:p>
        </w:tc>
        <w:tc>
          <w:tcPr>
            <w:tcW w:w="704" w:type="dxa"/>
            <w:vAlign w:val="top"/>
          </w:tcPr>
          <w:p w14:paraId="3CEA508E">
            <w:pPr>
              <w:rPr>
                <w:rFonts w:ascii="Arial"/>
                <w:color w:val="auto"/>
                <w:sz w:val="21"/>
                <w:highlight w:val="none"/>
              </w:rPr>
            </w:pPr>
          </w:p>
        </w:tc>
        <w:tc>
          <w:tcPr>
            <w:tcW w:w="709" w:type="dxa"/>
            <w:vAlign w:val="top"/>
          </w:tcPr>
          <w:p w14:paraId="51EAA08C">
            <w:pPr>
              <w:rPr>
                <w:rFonts w:ascii="Arial"/>
                <w:color w:val="auto"/>
                <w:sz w:val="21"/>
                <w:highlight w:val="none"/>
              </w:rPr>
            </w:pPr>
          </w:p>
        </w:tc>
        <w:tc>
          <w:tcPr>
            <w:tcW w:w="847" w:type="dxa"/>
            <w:vAlign w:val="top"/>
          </w:tcPr>
          <w:p w14:paraId="7729CA84">
            <w:pPr>
              <w:rPr>
                <w:rFonts w:ascii="Arial"/>
                <w:color w:val="auto"/>
                <w:sz w:val="21"/>
                <w:highlight w:val="none"/>
              </w:rPr>
            </w:pPr>
          </w:p>
        </w:tc>
        <w:tc>
          <w:tcPr>
            <w:tcW w:w="847" w:type="dxa"/>
            <w:vAlign w:val="top"/>
          </w:tcPr>
          <w:p w14:paraId="381AD1FA">
            <w:pPr>
              <w:rPr>
                <w:rFonts w:ascii="Arial"/>
                <w:color w:val="auto"/>
                <w:sz w:val="21"/>
                <w:highlight w:val="none"/>
              </w:rPr>
            </w:pPr>
          </w:p>
        </w:tc>
        <w:tc>
          <w:tcPr>
            <w:tcW w:w="800" w:type="dxa"/>
            <w:vAlign w:val="top"/>
          </w:tcPr>
          <w:p w14:paraId="1AF2AA15">
            <w:pPr>
              <w:rPr>
                <w:rFonts w:ascii="Arial"/>
                <w:color w:val="auto"/>
                <w:sz w:val="21"/>
                <w:highlight w:val="none"/>
              </w:rPr>
            </w:pPr>
          </w:p>
        </w:tc>
        <w:tc>
          <w:tcPr>
            <w:tcW w:w="1465" w:type="dxa"/>
            <w:vAlign w:val="top"/>
          </w:tcPr>
          <w:p w14:paraId="604F8B3C">
            <w:pPr>
              <w:rPr>
                <w:rFonts w:ascii="Arial"/>
                <w:color w:val="auto"/>
                <w:sz w:val="21"/>
                <w:highlight w:val="none"/>
              </w:rPr>
            </w:pPr>
          </w:p>
        </w:tc>
        <w:tc>
          <w:tcPr>
            <w:tcW w:w="816" w:type="dxa"/>
            <w:tcBorders>
              <w:right w:val="single" w:color="000000" w:sz="10" w:space="0"/>
            </w:tcBorders>
            <w:vAlign w:val="top"/>
          </w:tcPr>
          <w:p w14:paraId="50D77AD6">
            <w:pPr>
              <w:rPr>
                <w:rFonts w:ascii="Arial"/>
                <w:color w:val="auto"/>
                <w:sz w:val="21"/>
                <w:highlight w:val="none"/>
              </w:rPr>
            </w:pPr>
          </w:p>
        </w:tc>
      </w:tr>
      <w:tr w14:paraId="5E6D2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3D15070">
            <w:pPr>
              <w:rPr>
                <w:rFonts w:ascii="Arial"/>
                <w:color w:val="auto"/>
                <w:sz w:val="21"/>
                <w:highlight w:val="none"/>
              </w:rPr>
            </w:pPr>
          </w:p>
        </w:tc>
        <w:tc>
          <w:tcPr>
            <w:tcW w:w="1130" w:type="dxa"/>
            <w:vAlign w:val="top"/>
          </w:tcPr>
          <w:p w14:paraId="091DC28B">
            <w:pPr>
              <w:rPr>
                <w:rFonts w:ascii="Arial"/>
                <w:color w:val="auto"/>
                <w:sz w:val="21"/>
                <w:highlight w:val="none"/>
              </w:rPr>
            </w:pPr>
          </w:p>
        </w:tc>
        <w:tc>
          <w:tcPr>
            <w:tcW w:w="852" w:type="dxa"/>
            <w:vAlign w:val="top"/>
          </w:tcPr>
          <w:p w14:paraId="64836072">
            <w:pPr>
              <w:rPr>
                <w:rFonts w:ascii="Arial"/>
                <w:color w:val="auto"/>
                <w:sz w:val="21"/>
                <w:highlight w:val="none"/>
              </w:rPr>
            </w:pPr>
          </w:p>
        </w:tc>
        <w:tc>
          <w:tcPr>
            <w:tcW w:w="704" w:type="dxa"/>
            <w:vAlign w:val="top"/>
          </w:tcPr>
          <w:p w14:paraId="64FF427A">
            <w:pPr>
              <w:rPr>
                <w:rFonts w:ascii="Arial"/>
                <w:color w:val="auto"/>
                <w:sz w:val="21"/>
                <w:highlight w:val="none"/>
              </w:rPr>
            </w:pPr>
          </w:p>
        </w:tc>
        <w:tc>
          <w:tcPr>
            <w:tcW w:w="709" w:type="dxa"/>
            <w:vAlign w:val="top"/>
          </w:tcPr>
          <w:p w14:paraId="18287E65">
            <w:pPr>
              <w:rPr>
                <w:rFonts w:ascii="Arial"/>
                <w:color w:val="auto"/>
                <w:sz w:val="21"/>
                <w:highlight w:val="none"/>
              </w:rPr>
            </w:pPr>
          </w:p>
        </w:tc>
        <w:tc>
          <w:tcPr>
            <w:tcW w:w="847" w:type="dxa"/>
            <w:vAlign w:val="top"/>
          </w:tcPr>
          <w:p w14:paraId="5D451C18">
            <w:pPr>
              <w:rPr>
                <w:rFonts w:ascii="Arial"/>
                <w:color w:val="auto"/>
                <w:sz w:val="21"/>
                <w:highlight w:val="none"/>
              </w:rPr>
            </w:pPr>
          </w:p>
        </w:tc>
        <w:tc>
          <w:tcPr>
            <w:tcW w:w="847" w:type="dxa"/>
            <w:vAlign w:val="top"/>
          </w:tcPr>
          <w:p w14:paraId="039AEF2A">
            <w:pPr>
              <w:rPr>
                <w:rFonts w:ascii="Arial"/>
                <w:color w:val="auto"/>
                <w:sz w:val="21"/>
                <w:highlight w:val="none"/>
              </w:rPr>
            </w:pPr>
          </w:p>
        </w:tc>
        <w:tc>
          <w:tcPr>
            <w:tcW w:w="800" w:type="dxa"/>
            <w:vAlign w:val="top"/>
          </w:tcPr>
          <w:p w14:paraId="3C1EBFE8">
            <w:pPr>
              <w:rPr>
                <w:rFonts w:ascii="Arial"/>
                <w:color w:val="auto"/>
                <w:sz w:val="21"/>
                <w:highlight w:val="none"/>
              </w:rPr>
            </w:pPr>
          </w:p>
        </w:tc>
        <w:tc>
          <w:tcPr>
            <w:tcW w:w="1465" w:type="dxa"/>
            <w:vAlign w:val="top"/>
          </w:tcPr>
          <w:p w14:paraId="3F94F9C1">
            <w:pPr>
              <w:rPr>
                <w:rFonts w:ascii="Arial"/>
                <w:color w:val="auto"/>
                <w:sz w:val="21"/>
                <w:highlight w:val="none"/>
              </w:rPr>
            </w:pPr>
          </w:p>
        </w:tc>
        <w:tc>
          <w:tcPr>
            <w:tcW w:w="816" w:type="dxa"/>
            <w:tcBorders>
              <w:right w:val="single" w:color="000000" w:sz="10" w:space="0"/>
            </w:tcBorders>
            <w:vAlign w:val="top"/>
          </w:tcPr>
          <w:p w14:paraId="641BD9B3">
            <w:pPr>
              <w:rPr>
                <w:rFonts w:ascii="Arial"/>
                <w:color w:val="auto"/>
                <w:sz w:val="21"/>
                <w:highlight w:val="none"/>
              </w:rPr>
            </w:pPr>
          </w:p>
        </w:tc>
      </w:tr>
      <w:tr w14:paraId="06E0E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0ADF08C6">
            <w:pPr>
              <w:rPr>
                <w:rFonts w:ascii="Arial"/>
                <w:color w:val="auto"/>
                <w:sz w:val="21"/>
                <w:highlight w:val="none"/>
              </w:rPr>
            </w:pPr>
          </w:p>
        </w:tc>
        <w:tc>
          <w:tcPr>
            <w:tcW w:w="1130" w:type="dxa"/>
            <w:vAlign w:val="top"/>
          </w:tcPr>
          <w:p w14:paraId="399E8EB5">
            <w:pPr>
              <w:rPr>
                <w:rFonts w:ascii="Arial"/>
                <w:color w:val="auto"/>
                <w:sz w:val="21"/>
                <w:highlight w:val="none"/>
              </w:rPr>
            </w:pPr>
          </w:p>
        </w:tc>
        <w:tc>
          <w:tcPr>
            <w:tcW w:w="852" w:type="dxa"/>
            <w:vAlign w:val="top"/>
          </w:tcPr>
          <w:p w14:paraId="4164FF65">
            <w:pPr>
              <w:rPr>
                <w:rFonts w:ascii="Arial"/>
                <w:color w:val="auto"/>
                <w:sz w:val="21"/>
                <w:highlight w:val="none"/>
              </w:rPr>
            </w:pPr>
          </w:p>
        </w:tc>
        <w:tc>
          <w:tcPr>
            <w:tcW w:w="704" w:type="dxa"/>
            <w:vAlign w:val="top"/>
          </w:tcPr>
          <w:p w14:paraId="22A0C7D3">
            <w:pPr>
              <w:rPr>
                <w:rFonts w:ascii="Arial"/>
                <w:color w:val="auto"/>
                <w:sz w:val="21"/>
                <w:highlight w:val="none"/>
              </w:rPr>
            </w:pPr>
          </w:p>
        </w:tc>
        <w:tc>
          <w:tcPr>
            <w:tcW w:w="709" w:type="dxa"/>
            <w:vAlign w:val="top"/>
          </w:tcPr>
          <w:p w14:paraId="7BFB4DF9">
            <w:pPr>
              <w:rPr>
                <w:rFonts w:ascii="Arial"/>
                <w:color w:val="auto"/>
                <w:sz w:val="21"/>
                <w:highlight w:val="none"/>
              </w:rPr>
            </w:pPr>
          </w:p>
        </w:tc>
        <w:tc>
          <w:tcPr>
            <w:tcW w:w="847" w:type="dxa"/>
            <w:vAlign w:val="top"/>
          </w:tcPr>
          <w:p w14:paraId="544C5F6D">
            <w:pPr>
              <w:rPr>
                <w:rFonts w:ascii="Arial"/>
                <w:color w:val="auto"/>
                <w:sz w:val="21"/>
                <w:highlight w:val="none"/>
              </w:rPr>
            </w:pPr>
          </w:p>
        </w:tc>
        <w:tc>
          <w:tcPr>
            <w:tcW w:w="847" w:type="dxa"/>
            <w:vAlign w:val="top"/>
          </w:tcPr>
          <w:p w14:paraId="1FABA096">
            <w:pPr>
              <w:rPr>
                <w:rFonts w:ascii="Arial"/>
                <w:color w:val="auto"/>
                <w:sz w:val="21"/>
                <w:highlight w:val="none"/>
              </w:rPr>
            </w:pPr>
          </w:p>
        </w:tc>
        <w:tc>
          <w:tcPr>
            <w:tcW w:w="800" w:type="dxa"/>
            <w:vAlign w:val="top"/>
          </w:tcPr>
          <w:p w14:paraId="276606DD">
            <w:pPr>
              <w:rPr>
                <w:rFonts w:ascii="Arial"/>
                <w:color w:val="auto"/>
                <w:sz w:val="21"/>
                <w:highlight w:val="none"/>
              </w:rPr>
            </w:pPr>
          </w:p>
        </w:tc>
        <w:tc>
          <w:tcPr>
            <w:tcW w:w="1465" w:type="dxa"/>
            <w:vAlign w:val="top"/>
          </w:tcPr>
          <w:p w14:paraId="08A2E598">
            <w:pPr>
              <w:rPr>
                <w:rFonts w:ascii="Arial"/>
                <w:color w:val="auto"/>
                <w:sz w:val="21"/>
                <w:highlight w:val="none"/>
              </w:rPr>
            </w:pPr>
          </w:p>
        </w:tc>
        <w:tc>
          <w:tcPr>
            <w:tcW w:w="816" w:type="dxa"/>
            <w:tcBorders>
              <w:right w:val="single" w:color="000000" w:sz="10" w:space="0"/>
            </w:tcBorders>
            <w:vAlign w:val="top"/>
          </w:tcPr>
          <w:p w14:paraId="4D54FC2C">
            <w:pPr>
              <w:rPr>
                <w:rFonts w:ascii="Arial"/>
                <w:color w:val="auto"/>
                <w:sz w:val="21"/>
                <w:highlight w:val="none"/>
              </w:rPr>
            </w:pPr>
          </w:p>
        </w:tc>
      </w:tr>
      <w:tr w14:paraId="7C199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14:paraId="60B656CD">
            <w:pPr>
              <w:rPr>
                <w:rFonts w:ascii="Arial"/>
                <w:color w:val="auto"/>
                <w:sz w:val="21"/>
                <w:highlight w:val="none"/>
              </w:rPr>
            </w:pPr>
          </w:p>
        </w:tc>
        <w:tc>
          <w:tcPr>
            <w:tcW w:w="1130" w:type="dxa"/>
            <w:tcBorders>
              <w:bottom w:val="single" w:color="000000" w:sz="10" w:space="0"/>
            </w:tcBorders>
            <w:vAlign w:val="top"/>
          </w:tcPr>
          <w:p w14:paraId="692630AA">
            <w:pPr>
              <w:rPr>
                <w:rFonts w:ascii="Arial"/>
                <w:color w:val="auto"/>
                <w:sz w:val="21"/>
                <w:highlight w:val="none"/>
              </w:rPr>
            </w:pPr>
          </w:p>
        </w:tc>
        <w:tc>
          <w:tcPr>
            <w:tcW w:w="852" w:type="dxa"/>
            <w:tcBorders>
              <w:bottom w:val="single" w:color="000000" w:sz="10" w:space="0"/>
            </w:tcBorders>
            <w:vAlign w:val="top"/>
          </w:tcPr>
          <w:p w14:paraId="7050FD49">
            <w:pPr>
              <w:rPr>
                <w:rFonts w:ascii="Arial"/>
                <w:color w:val="auto"/>
                <w:sz w:val="21"/>
                <w:highlight w:val="none"/>
              </w:rPr>
            </w:pPr>
          </w:p>
        </w:tc>
        <w:tc>
          <w:tcPr>
            <w:tcW w:w="704" w:type="dxa"/>
            <w:tcBorders>
              <w:bottom w:val="single" w:color="000000" w:sz="10" w:space="0"/>
            </w:tcBorders>
            <w:vAlign w:val="top"/>
          </w:tcPr>
          <w:p w14:paraId="06582ECA">
            <w:pPr>
              <w:rPr>
                <w:rFonts w:ascii="Arial"/>
                <w:color w:val="auto"/>
                <w:sz w:val="21"/>
                <w:highlight w:val="none"/>
              </w:rPr>
            </w:pPr>
          </w:p>
        </w:tc>
        <w:tc>
          <w:tcPr>
            <w:tcW w:w="709" w:type="dxa"/>
            <w:tcBorders>
              <w:bottom w:val="single" w:color="000000" w:sz="10" w:space="0"/>
            </w:tcBorders>
            <w:vAlign w:val="top"/>
          </w:tcPr>
          <w:p w14:paraId="3895448E">
            <w:pPr>
              <w:rPr>
                <w:rFonts w:ascii="Arial"/>
                <w:color w:val="auto"/>
                <w:sz w:val="21"/>
                <w:highlight w:val="none"/>
              </w:rPr>
            </w:pPr>
          </w:p>
        </w:tc>
        <w:tc>
          <w:tcPr>
            <w:tcW w:w="847" w:type="dxa"/>
            <w:tcBorders>
              <w:bottom w:val="single" w:color="000000" w:sz="10" w:space="0"/>
            </w:tcBorders>
            <w:vAlign w:val="top"/>
          </w:tcPr>
          <w:p w14:paraId="23352272">
            <w:pPr>
              <w:rPr>
                <w:rFonts w:ascii="Arial"/>
                <w:color w:val="auto"/>
                <w:sz w:val="21"/>
                <w:highlight w:val="none"/>
              </w:rPr>
            </w:pPr>
          </w:p>
        </w:tc>
        <w:tc>
          <w:tcPr>
            <w:tcW w:w="847" w:type="dxa"/>
            <w:tcBorders>
              <w:bottom w:val="single" w:color="000000" w:sz="10" w:space="0"/>
            </w:tcBorders>
            <w:vAlign w:val="top"/>
          </w:tcPr>
          <w:p w14:paraId="1A2736E4">
            <w:pPr>
              <w:rPr>
                <w:rFonts w:ascii="Arial"/>
                <w:color w:val="auto"/>
                <w:sz w:val="21"/>
                <w:highlight w:val="none"/>
              </w:rPr>
            </w:pPr>
          </w:p>
        </w:tc>
        <w:tc>
          <w:tcPr>
            <w:tcW w:w="800" w:type="dxa"/>
            <w:tcBorders>
              <w:bottom w:val="single" w:color="000000" w:sz="10" w:space="0"/>
            </w:tcBorders>
            <w:vAlign w:val="top"/>
          </w:tcPr>
          <w:p w14:paraId="5DEC9CC8">
            <w:pPr>
              <w:rPr>
                <w:rFonts w:ascii="Arial"/>
                <w:color w:val="auto"/>
                <w:sz w:val="21"/>
                <w:highlight w:val="none"/>
              </w:rPr>
            </w:pPr>
          </w:p>
        </w:tc>
        <w:tc>
          <w:tcPr>
            <w:tcW w:w="1465" w:type="dxa"/>
            <w:tcBorders>
              <w:bottom w:val="single" w:color="000000" w:sz="10" w:space="0"/>
            </w:tcBorders>
            <w:vAlign w:val="top"/>
          </w:tcPr>
          <w:p w14:paraId="07FFF304">
            <w:pPr>
              <w:rPr>
                <w:rFonts w:ascii="Arial"/>
                <w:color w:val="auto"/>
                <w:sz w:val="21"/>
                <w:highlight w:val="none"/>
              </w:rPr>
            </w:pPr>
          </w:p>
        </w:tc>
        <w:tc>
          <w:tcPr>
            <w:tcW w:w="816" w:type="dxa"/>
            <w:tcBorders>
              <w:bottom w:val="single" w:color="000000" w:sz="10" w:space="0"/>
              <w:right w:val="single" w:color="000000" w:sz="10" w:space="0"/>
            </w:tcBorders>
            <w:vAlign w:val="top"/>
          </w:tcPr>
          <w:p w14:paraId="5AD065E6">
            <w:pPr>
              <w:rPr>
                <w:rFonts w:ascii="Arial"/>
                <w:color w:val="auto"/>
                <w:sz w:val="21"/>
                <w:highlight w:val="none"/>
              </w:rPr>
            </w:pPr>
          </w:p>
        </w:tc>
      </w:tr>
    </w:tbl>
    <w:p w14:paraId="7C2D1AF0">
      <w:pPr>
        <w:pStyle w:val="3"/>
        <w:rPr>
          <w:color w:val="auto"/>
          <w:highlight w:val="none"/>
        </w:rPr>
      </w:pPr>
    </w:p>
    <w:p w14:paraId="11CDD801">
      <w:pPr>
        <w:rPr>
          <w:color w:val="auto"/>
          <w:highlight w:val="none"/>
        </w:rPr>
        <w:sectPr>
          <w:footerReference r:id="rId157" w:type="default"/>
          <w:pgSz w:w="11905" w:h="16839"/>
          <w:pgMar w:top="400" w:right="1560" w:bottom="1004" w:left="1570" w:header="0" w:footer="828" w:gutter="0"/>
          <w:pgNumType w:fmt="decimal"/>
          <w:cols w:space="720" w:num="1"/>
        </w:sectPr>
      </w:pPr>
    </w:p>
    <w:p w14:paraId="0A26275F">
      <w:pPr>
        <w:pStyle w:val="3"/>
        <w:spacing w:line="276" w:lineRule="auto"/>
        <w:rPr>
          <w:color w:val="auto"/>
          <w:highlight w:val="none"/>
        </w:rPr>
      </w:pPr>
    </w:p>
    <w:p w14:paraId="3ABBA09D">
      <w:pPr>
        <w:pStyle w:val="3"/>
        <w:spacing w:line="276" w:lineRule="auto"/>
        <w:rPr>
          <w:color w:val="auto"/>
          <w:highlight w:val="none"/>
        </w:rPr>
      </w:pPr>
    </w:p>
    <w:p w14:paraId="14096487">
      <w:pPr>
        <w:pStyle w:val="3"/>
        <w:spacing w:line="276" w:lineRule="auto"/>
        <w:rPr>
          <w:color w:val="auto"/>
          <w:highlight w:val="none"/>
        </w:rPr>
      </w:pPr>
    </w:p>
    <w:p w14:paraId="5CCFADC9">
      <w:pPr>
        <w:pStyle w:val="3"/>
        <w:spacing w:line="276" w:lineRule="auto"/>
        <w:rPr>
          <w:color w:val="auto"/>
          <w:highlight w:val="none"/>
        </w:rPr>
      </w:pPr>
    </w:p>
    <w:p w14:paraId="26F1BBDF">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3</w:t>
      </w:r>
      <w:r>
        <w:rPr>
          <w:rFonts w:ascii="宋体" w:hAnsi="宋体" w:eastAsia="宋体" w:cs="宋体"/>
          <w:color w:val="auto"/>
          <w:spacing w:val="-10"/>
          <w:sz w:val="24"/>
          <w:szCs w:val="24"/>
          <w:highlight w:val="none"/>
        </w:rPr>
        <w:t>：</w:t>
      </w:r>
    </w:p>
    <w:p w14:paraId="649A6A2F">
      <w:pPr>
        <w:spacing w:before="244" w:line="471" w:lineRule="exact"/>
        <w:ind w:left="3201"/>
        <w:rPr>
          <w:rFonts w:ascii="黑体" w:hAnsi="黑体" w:eastAsia="黑体" w:cs="黑体"/>
          <w:color w:val="auto"/>
          <w:sz w:val="27"/>
          <w:szCs w:val="27"/>
          <w:highlight w:val="none"/>
        </w:rPr>
      </w:pPr>
      <w:r>
        <w:rPr>
          <w:rFonts w:ascii="黑体" w:hAnsi="黑体" w:eastAsia="黑体" w:cs="黑体"/>
          <w:color w:val="auto"/>
          <w:spacing w:val="7"/>
          <w:position w:val="14"/>
          <w:sz w:val="27"/>
          <w:szCs w:val="27"/>
          <w:highlight w:val="none"/>
        </w:rPr>
        <w:t>工程质量保修书</w:t>
      </w:r>
    </w:p>
    <w:p w14:paraId="54E68E0C">
      <w:pPr>
        <w:spacing w:line="221" w:lineRule="auto"/>
        <w:ind w:left="44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发包人（全称</w:t>
      </w:r>
      <w:r>
        <w:rPr>
          <w:rFonts w:ascii="宋体" w:hAnsi="宋体" w:eastAsia="宋体" w:cs="宋体"/>
          <w:color w:val="auto"/>
          <w:spacing w:val="-21"/>
          <w:sz w:val="21"/>
          <w:szCs w:val="21"/>
          <w:highlight w:val="none"/>
        </w:rPr>
        <w:t>）：</w:t>
      </w:r>
      <w:r>
        <w:rPr>
          <w:rFonts w:ascii="宋体" w:hAnsi="宋体" w:eastAsia="宋体" w:cs="宋体"/>
          <w:color w:val="auto"/>
          <w:sz w:val="21"/>
          <w:szCs w:val="21"/>
          <w:highlight w:val="none"/>
          <w:u w:val="single" w:color="auto"/>
        </w:rPr>
        <w:t xml:space="preserve">                                </w:t>
      </w:r>
    </w:p>
    <w:p w14:paraId="282FDBDA">
      <w:pPr>
        <w:spacing w:before="155" w:line="221"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承包人（全称</w:t>
      </w:r>
      <w:r>
        <w:rPr>
          <w:rFonts w:ascii="宋体" w:hAnsi="宋体" w:eastAsia="宋体" w:cs="宋体"/>
          <w:color w:val="auto"/>
          <w:spacing w:val="-22"/>
          <w:sz w:val="21"/>
          <w:szCs w:val="21"/>
          <w:highlight w:val="none"/>
        </w:rPr>
        <w:t>）：</w:t>
      </w:r>
      <w:r>
        <w:rPr>
          <w:rFonts w:ascii="宋体" w:hAnsi="宋体" w:eastAsia="宋体" w:cs="宋体"/>
          <w:color w:val="auto"/>
          <w:sz w:val="21"/>
          <w:szCs w:val="21"/>
          <w:highlight w:val="none"/>
          <w:u w:val="single" w:color="auto"/>
        </w:rPr>
        <w:t xml:space="preserve">                                </w:t>
      </w:r>
    </w:p>
    <w:p w14:paraId="1EEC394B">
      <w:pPr>
        <w:pStyle w:val="3"/>
        <w:spacing w:line="249" w:lineRule="auto"/>
        <w:rPr>
          <w:color w:val="auto"/>
          <w:highlight w:val="none"/>
        </w:rPr>
      </w:pPr>
    </w:p>
    <w:p w14:paraId="61EE8E5E">
      <w:pPr>
        <w:pStyle w:val="3"/>
        <w:spacing w:line="249" w:lineRule="auto"/>
        <w:rPr>
          <w:color w:val="auto"/>
          <w:highlight w:val="none"/>
        </w:rPr>
      </w:pPr>
    </w:p>
    <w:p w14:paraId="6E7500D0">
      <w:pPr>
        <w:spacing w:before="68" w:line="409" w:lineRule="exact"/>
        <w:ind w:right="17"/>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发包人和承包人根据《中华人民共和国建筑法》和《建设工程质量管理条例》，经协商</w:t>
      </w:r>
    </w:p>
    <w:p w14:paraId="1D96024D">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一致就</w:t>
      </w:r>
      <w:r>
        <w:rPr>
          <w:rFonts w:ascii="宋体" w:hAnsi="宋体" w:eastAsia="宋体" w:cs="宋体"/>
          <w:color w:val="auto"/>
          <w:spacing w:val="-9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9"/>
          <w:sz w:val="21"/>
          <w:szCs w:val="21"/>
          <w:highlight w:val="none"/>
        </w:rPr>
        <w:t xml:space="preserve"> </w:t>
      </w:r>
      <w:r>
        <w:rPr>
          <w:rFonts w:ascii="宋体" w:hAnsi="宋体" w:eastAsia="宋体" w:cs="宋体"/>
          <w:color w:val="auto"/>
          <w:spacing w:val="-10"/>
          <w:sz w:val="21"/>
          <w:szCs w:val="21"/>
          <w:highlight w:val="none"/>
        </w:rPr>
        <w:t>（工程全称） 签订工程质量保修书。</w:t>
      </w:r>
      <w:bookmarkStart w:id="1357" w:name="_GoBack"/>
      <w:bookmarkEnd w:id="1357"/>
    </w:p>
    <w:p w14:paraId="443613D0">
      <w:pPr>
        <w:spacing w:before="158" w:line="220" w:lineRule="auto"/>
        <w:ind w:left="444"/>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一、工程质量保修范围和内容</w:t>
      </w:r>
    </w:p>
    <w:p w14:paraId="7F89445E">
      <w:pPr>
        <w:spacing w:before="95"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承包人在质量保修期内，按照有关法律规定和合同约定，承担工程质量保修责任。</w:t>
      </w:r>
    </w:p>
    <w:p w14:paraId="50D46B92">
      <w:pPr>
        <w:spacing w:before="157" w:line="359" w:lineRule="auto"/>
        <w:ind w:left="34" w:right="6" w:firstLine="40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质量保修范围包括地基基础工程、主体结构工程，屋面防水工程、有防水要求的卫生</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间、房间和外墙面的防渗漏， 供热与供冷系统，电气管线、给排水</w:t>
      </w:r>
      <w:r>
        <w:rPr>
          <w:rFonts w:ascii="宋体" w:hAnsi="宋体" w:eastAsia="宋体" w:cs="宋体"/>
          <w:color w:val="auto"/>
          <w:spacing w:val="-1"/>
          <w:sz w:val="21"/>
          <w:szCs w:val="21"/>
          <w:highlight w:val="none"/>
        </w:rPr>
        <w:t>管道、设备安装和装修</w:t>
      </w:r>
    </w:p>
    <w:p w14:paraId="542D17A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工程，以及双方约定的其他项目。具体保修的内容，</w:t>
      </w:r>
      <w:r>
        <w:rPr>
          <w:rFonts w:ascii="宋体" w:hAnsi="宋体" w:eastAsia="宋体" w:cs="宋体"/>
          <w:color w:val="auto"/>
          <w:spacing w:val="-19"/>
          <w:sz w:val="21"/>
          <w:szCs w:val="21"/>
          <w:highlight w:val="none"/>
        </w:rPr>
        <w:t xml:space="preserve"> </w:t>
      </w:r>
      <w:r>
        <w:rPr>
          <w:rFonts w:ascii="宋体" w:hAnsi="宋体" w:eastAsia="宋体" w:cs="宋体"/>
          <w:color w:val="auto"/>
          <w:spacing w:val="-4"/>
          <w:sz w:val="21"/>
          <w:szCs w:val="21"/>
          <w:highlight w:val="none"/>
        </w:rPr>
        <w:t>双方约定如下：</w:t>
      </w:r>
    </w:p>
    <w:p w14:paraId="355ED756">
      <w:pPr>
        <w:pStyle w:val="3"/>
        <w:tabs>
          <w:tab w:val="left" w:pos="8325"/>
        </w:tabs>
        <w:spacing w:before="175" w:line="242" w:lineRule="exact"/>
        <w:ind w:left="212"/>
        <w:rPr>
          <w:color w:val="auto"/>
          <w:highlight w:val="none"/>
        </w:rPr>
      </w:pPr>
      <w:r>
        <w:rPr>
          <w:color w:val="auto"/>
          <w:highlight w:val="none"/>
          <w:u w:val="single" w:color="auto"/>
        </w:rPr>
        <w:tab/>
      </w:r>
    </w:p>
    <w:p w14:paraId="110D69CC">
      <w:pPr>
        <w:pStyle w:val="3"/>
        <w:spacing w:line="261" w:lineRule="auto"/>
        <w:rPr>
          <w:color w:val="auto"/>
          <w:highlight w:val="none"/>
        </w:rPr>
      </w:pPr>
    </w:p>
    <w:p w14:paraId="4967B16B">
      <w:pPr>
        <w:tabs>
          <w:tab w:val="left" w:pos="7679"/>
        </w:tabs>
        <w:spacing w:before="26" w:line="159" w:lineRule="auto"/>
        <w:ind w:left="1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2"/>
          <w:sz w:val="8"/>
          <w:szCs w:val="8"/>
          <w:highlight w:val="none"/>
        </w:rPr>
        <w:t xml:space="preserve"> </w:t>
      </w:r>
      <w:r>
        <w:rPr>
          <w:rFonts w:ascii="宋体" w:hAnsi="宋体" w:eastAsia="宋体" w:cs="宋体"/>
          <w:color w:val="auto"/>
          <w:spacing w:val="6"/>
          <w:sz w:val="8"/>
          <w:szCs w:val="8"/>
          <w:highlight w:val="none"/>
        </w:rPr>
        <w:t>。</w:t>
      </w:r>
    </w:p>
    <w:p w14:paraId="3D319850">
      <w:pPr>
        <w:spacing w:before="203" w:line="220" w:lineRule="auto"/>
        <w:ind w:left="444"/>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二、质量保修期</w:t>
      </w:r>
    </w:p>
    <w:p w14:paraId="2DC20D3E">
      <w:pPr>
        <w:spacing w:before="96" w:line="408" w:lineRule="exact"/>
        <w:ind w:left="441"/>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根据《建设工程质量管理条例》及有关规定，工程的</w:t>
      </w:r>
      <w:r>
        <w:rPr>
          <w:rFonts w:ascii="宋体" w:hAnsi="宋体" w:eastAsia="宋体" w:cs="宋体"/>
          <w:color w:val="auto"/>
          <w:spacing w:val="-2"/>
          <w:position w:val="14"/>
          <w:sz w:val="21"/>
          <w:szCs w:val="21"/>
          <w:highlight w:val="none"/>
        </w:rPr>
        <w:t>质量保修期如下：</w:t>
      </w:r>
    </w:p>
    <w:p w14:paraId="4C561D38">
      <w:pPr>
        <w:spacing w:before="1"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3"/>
          <w:sz w:val="21"/>
          <w:szCs w:val="21"/>
          <w:highlight w:val="none"/>
        </w:rPr>
        <w:t>．地基基础工程和主体结构工程为设计文件规定的工程合理使用年限；</w:t>
      </w:r>
    </w:p>
    <w:p w14:paraId="2482B2E9">
      <w:pPr>
        <w:spacing w:before="156" w:line="35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．屋面防水工程、有防水要求的卫生间、房间和外墙面的防渗为</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5</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2"/>
          <w:sz w:val="21"/>
          <w:szCs w:val="21"/>
          <w:highlight w:val="none"/>
        </w:rPr>
        <w:t>年；</w:t>
      </w:r>
    </w:p>
    <w:p w14:paraId="4419C32E">
      <w:pPr>
        <w:spacing w:before="1"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3</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7"/>
          <w:sz w:val="21"/>
          <w:szCs w:val="21"/>
          <w:highlight w:val="none"/>
        </w:rPr>
        <w:t>．装修工程为</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2</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7"/>
          <w:sz w:val="21"/>
          <w:szCs w:val="21"/>
          <w:highlight w:val="none"/>
        </w:rPr>
        <w:t>年；</w:t>
      </w:r>
    </w:p>
    <w:p w14:paraId="47736DEE">
      <w:pPr>
        <w:spacing w:before="157" w:line="359"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4</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3"/>
          <w:sz w:val="21"/>
          <w:szCs w:val="21"/>
          <w:highlight w:val="none"/>
        </w:rPr>
        <w:t>．电气管线、给排水管道、设备安装工程为</w:t>
      </w:r>
      <w:r>
        <w:rPr>
          <w:rFonts w:ascii="宋体" w:hAnsi="宋体" w:eastAsia="宋体" w:cs="宋体"/>
          <w:color w:val="auto"/>
          <w:spacing w:val="-103"/>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hint="eastAsia" w:ascii="宋体" w:hAnsi="宋体" w:eastAsia="宋体" w:cs="宋体"/>
          <w:color w:val="auto"/>
          <w:spacing w:val="12"/>
          <w:sz w:val="21"/>
          <w:szCs w:val="21"/>
          <w:highlight w:val="none"/>
          <w:u w:val="single" w:color="auto"/>
          <w:lang w:val="en-US" w:eastAsia="zh-CN"/>
        </w:rPr>
        <w:t>2</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年；</w:t>
      </w:r>
    </w:p>
    <w:p w14:paraId="5F2EFD1E">
      <w:pPr>
        <w:spacing w:before="1" w:line="219"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5</w:t>
      </w:r>
      <w:r>
        <w:rPr>
          <w:rFonts w:ascii="Times New Roman" w:hAnsi="Times New Roman" w:eastAsia="Times New Roman" w:cs="Times New Roman"/>
          <w:color w:val="auto"/>
          <w:spacing w:val="-8"/>
          <w:sz w:val="21"/>
          <w:szCs w:val="21"/>
          <w:highlight w:val="none"/>
        </w:rPr>
        <w:t xml:space="preserve"> </w:t>
      </w:r>
      <w:r>
        <w:rPr>
          <w:rFonts w:ascii="宋体" w:hAnsi="宋体" w:eastAsia="宋体" w:cs="宋体"/>
          <w:color w:val="auto"/>
          <w:spacing w:val="-3"/>
          <w:sz w:val="21"/>
          <w:szCs w:val="21"/>
          <w:highlight w:val="none"/>
        </w:rPr>
        <w:t>．供热与供冷系统为</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2</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3"/>
          <w:sz w:val="21"/>
          <w:szCs w:val="21"/>
          <w:highlight w:val="none"/>
        </w:rPr>
        <w:t>个采暖期、供冷期；</w:t>
      </w:r>
    </w:p>
    <w:p w14:paraId="454F543D">
      <w:pPr>
        <w:spacing w:line="220" w:lineRule="auto"/>
        <w:ind w:left="440"/>
        <w:rPr>
          <w:rFonts w:ascii="宋体" w:hAnsi="宋体" w:eastAsia="宋体" w:cs="宋体"/>
          <w:color w:val="auto"/>
          <w:sz w:val="21"/>
          <w:szCs w:val="21"/>
          <w:highlight w:val="none"/>
        </w:rPr>
      </w:pPr>
      <w:r>
        <w:rPr>
          <w:rFonts w:hint="eastAsia" w:ascii="Times New Roman" w:hAnsi="Times New Roman" w:eastAsia="宋体" w:cs="Times New Roman"/>
          <w:color w:val="auto"/>
          <w:spacing w:val="-2"/>
          <w:sz w:val="21"/>
          <w:szCs w:val="21"/>
          <w:highlight w:val="none"/>
          <w:lang w:val="en-US" w:eastAsia="zh-CN"/>
        </w:rPr>
        <w:t>6</w:t>
      </w:r>
      <w:r>
        <w:rPr>
          <w:rFonts w:ascii="宋体" w:hAnsi="宋体" w:eastAsia="宋体" w:cs="宋体"/>
          <w:color w:val="auto"/>
          <w:spacing w:val="-2"/>
          <w:sz w:val="21"/>
          <w:szCs w:val="21"/>
          <w:highlight w:val="none"/>
        </w:rPr>
        <w:t>．其他项目保修期限约定如下：</w:t>
      </w:r>
    </w:p>
    <w:p w14:paraId="0EE14484">
      <w:pPr>
        <w:pStyle w:val="3"/>
        <w:tabs>
          <w:tab w:val="left" w:pos="8325"/>
        </w:tabs>
        <w:spacing w:before="180" w:line="242" w:lineRule="exact"/>
        <w:ind w:left="212"/>
        <w:rPr>
          <w:color w:val="auto"/>
          <w:highlight w:val="none"/>
        </w:rPr>
      </w:pPr>
      <w:r>
        <w:rPr>
          <w:color w:val="auto"/>
          <w:highlight w:val="none"/>
          <w:u w:val="single" w:color="auto"/>
        </w:rPr>
        <w:tab/>
      </w:r>
    </w:p>
    <w:p w14:paraId="011EE16F">
      <w:pPr>
        <w:pStyle w:val="3"/>
        <w:tabs>
          <w:tab w:val="left" w:pos="8327"/>
        </w:tabs>
        <w:spacing w:before="167" w:line="241" w:lineRule="exact"/>
        <w:ind w:left="10"/>
        <w:rPr>
          <w:color w:val="auto"/>
          <w:highlight w:val="none"/>
        </w:rPr>
      </w:pPr>
      <w:r>
        <w:rPr>
          <w:color w:val="auto"/>
          <w:highlight w:val="none"/>
          <w:u w:val="single" w:color="auto"/>
        </w:rPr>
        <w:tab/>
      </w:r>
    </w:p>
    <w:p w14:paraId="28459D1F">
      <w:pPr>
        <w:spacing w:before="285" w:line="106" w:lineRule="exact"/>
        <w:ind w:left="39"/>
        <w:rPr>
          <w:rFonts w:ascii="宋体" w:hAnsi="宋体" w:eastAsia="宋体" w:cs="宋体"/>
          <w:color w:val="auto"/>
          <w:sz w:val="21"/>
          <w:szCs w:val="21"/>
          <w:highlight w:val="none"/>
        </w:rPr>
      </w:pPr>
      <w:r>
        <w:rPr>
          <w:rFonts w:ascii="宋体" w:hAnsi="宋体" w:eastAsia="宋体" w:cs="宋体"/>
          <w:color w:val="auto"/>
          <w:position w:val="1"/>
          <w:sz w:val="21"/>
          <w:szCs w:val="21"/>
          <w:highlight w:val="none"/>
        </w:rPr>
        <w:t>。</w:t>
      </w:r>
    </w:p>
    <w:p w14:paraId="00357B15">
      <w:pPr>
        <w:spacing w:before="165" w:line="221" w:lineRule="auto"/>
        <w:ind w:left="2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质量保修期自工程竣工验收合格之日起计算。</w:t>
      </w:r>
    </w:p>
    <w:p w14:paraId="034CEFB5">
      <w:pPr>
        <w:spacing w:before="158" w:line="219" w:lineRule="auto"/>
        <w:ind w:left="445"/>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三、缺陷责任期</w:t>
      </w:r>
    </w:p>
    <w:p w14:paraId="183C6045">
      <w:pPr>
        <w:spacing w:before="96" w:line="359" w:lineRule="auto"/>
        <w:ind w:right="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工程缺陷责任期为</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个月，缺陷责任期自工程通过竣工验收之日起计</w:t>
      </w:r>
      <w:r>
        <w:rPr>
          <w:rFonts w:ascii="宋体" w:hAnsi="宋体" w:eastAsia="宋体" w:cs="宋体"/>
          <w:color w:val="auto"/>
          <w:spacing w:val="-1"/>
          <w:sz w:val="21"/>
          <w:szCs w:val="21"/>
          <w:highlight w:val="none"/>
        </w:rPr>
        <w:t>算。单位</w:t>
      </w:r>
    </w:p>
    <w:p w14:paraId="549F939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工程先于全部工程进行验收， 单位工程缺陷责任期自单位工程验收合格之日起算。</w:t>
      </w:r>
    </w:p>
    <w:p w14:paraId="78A5BACD">
      <w:pPr>
        <w:spacing w:before="156" w:line="221" w:lineRule="auto"/>
        <w:ind w:left="44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缺陷责任期终止后， 发包人应退还剩余的质量保证金。</w:t>
      </w:r>
    </w:p>
    <w:p w14:paraId="13DD1CB3">
      <w:pPr>
        <w:spacing w:before="158" w:line="219" w:lineRule="auto"/>
        <w:ind w:left="453"/>
        <w:rPr>
          <w:rFonts w:ascii="黑体" w:hAnsi="黑体" w:eastAsia="黑体" w:cs="黑体"/>
          <w:color w:val="auto"/>
          <w:sz w:val="21"/>
          <w:szCs w:val="21"/>
          <w:highlight w:val="none"/>
        </w:rPr>
      </w:pPr>
      <w:r>
        <w:rPr>
          <w:rFonts w:ascii="黑体" w:hAnsi="黑体" w:eastAsia="黑体" w:cs="黑体"/>
          <w:color w:val="auto"/>
          <w:spacing w:val="-11"/>
          <w:sz w:val="21"/>
          <w:szCs w:val="21"/>
          <w:highlight w:val="none"/>
        </w:rPr>
        <w:t>四、</w:t>
      </w:r>
      <w:r>
        <w:rPr>
          <w:rFonts w:ascii="黑体" w:hAnsi="黑体" w:eastAsia="黑体" w:cs="黑体"/>
          <w:color w:val="auto"/>
          <w:spacing w:val="-34"/>
          <w:sz w:val="21"/>
          <w:szCs w:val="21"/>
          <w:highlight w:val="none"/>
        </w:rPr>
        <w:t xml:space="preserve"> </w:t>
      </w:r>
      <w:r>
        <w:rPr>
          <w:rFonts w:ascii="黑体" w:hAnsi="黑体" w:eastAsia="黑体" w:cs="黑体"/>
          <w:color w:val="auto"/>
          <w:spacing w:val="-11"/>
          <w:sz w:val="21"/>
          <w:szCs w:val="21"/>
          <w:highlight w:val="none"/>
        </w:rPr>
        <w:t>质量保修责任</w:t>
      </w:r>
    </w:p>
    <w:p w14:paraId="6B477779">
      <w:pPr>
        <w:spacing w:before="101" w:line="408" w:lineRule="exact"/>
        <w:ind w:right="24"/>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5"/>
          <w:sz w:val="21"/>
          <w:szCs w:val="21"/>
          <w:highlight w:val="none"/>
        </w:rPr>
        <w:t>1</w:t>
      </w:r>
      <w:r>
        <w:rPr>
          <w:rFonts w:ascii="Times New Roman" w:hAnsi="Times New Roman" w:eastAsia="Times New Roman" w:cs="Times New Roman"/>
          <w:color w:val="auto"/>
          <w:spacing w:val="-8"/>
          <w:position w:val="15"/>
          <w:sz w:val="21"/>
          <w:szCs w:val="21"/>
          <w:highlight w:val="none"/>
        </w:rPr>
        <w:t xml:space="preserve"> </w:t>
      </w:r>
      <w:r>
        <w:rPr>
          <w:rFonts w:ascii="宋体" w:hAnsi="宋体" w:eastAsia="宋体" w:cs="宋体"/>
          <w:color w:val="auto"/>
          <w:spacing w:val="-3"/>
          <w:position w:val="15"/>
          <w:sz w:val="21"/>
          <w:szCs w:val="21"/>
          <w:highlight w:val="none"/>
        </w:rPr>
        <w:t>．属于保修范围、内容的项目，承包人应当在接到保修通知之日起</w:t>
      </w:r>
      <w:r>
        <w:rPr>
          <w:rFonts w:ascii="宋体" w:hAnsi="宋体" w:eastAsia="宋体" w:cs="宋体"/>
          <w:color w:val="auto"/>
          <w:spacing w:val="-36"/>
          <w:position w:val="15"/>
          <w:sz w:val="21"/>
          <w:szCs w:val="21"/>
          <w:highlight w:val="none"/>
        </w:rPr>
        <w:t xml:space="preserve"> </w:t>
      </w:r>
      <w:r>
        <w:rPr>
          <w:rFonts w:ascii="宋体" w:hAnsi="宋体" w:eastAsia="宋体" w:cs="宋体"/>
          <w:color w:val="auto"/>
          <w:spacing w:val="-3"/>
          <w:position w:val="15"/>
          <w:sz w:val="21"/>
          <w:szCs w:val="21"/>
          <w:highlight w:val="none"/>
        </w:rPr>
        <w:t>7</w:t>
      </w:r>
      <w:r>
        <w:rPr>
          <w:rFonts w:ascii="宋体" w:hAnsi="宋体" w:eastAsia="宋体" w:cs="宋体"/>
          <w:color w:val="auto"/>
          <w:spacing w:val="-35"/>
          <w:position w:val="15"/>
          <w:sz w:val="21"/>
          <w:szCs w:val="21"/>
          <w:highlight w:val="none"/>
        </w:rPr>
        <w:t xml:space="preserve"> </w:t>
      </w:r>
      <w:r>
        <w:rPr>
          <w:rFonts w:ascii="宋体" w:hAnsi="宋体" w:eastAsia="宋体" w:cs="宋体"/>
          <w:color w:val="auto"/>
          <w:spacing w:val="-3"/>
          <w:position w:val="15"/>
          <w:sz w:val="21"/>
          <w:szCs w:val="21"/>
          <w:highlight w:val="none"/>
        </w:rPr>
        <w:t>天内派人保修。</w:t>
      </w:r>
    </w:p>
    <w:p w14:paraId="366932E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承包人不在约定期限内派人保修的，发包人可以委托他人修</w:t>
      </w:r>
      <w:r>
        <w:rPr>
          <w:rFonts w:ascii="宋体" w:hAnsi="宋体" w:eastAsia="宋体" w:cs="宋体"/>
          <w:color w:val="auto"/>
          <w:spacing w:val="-2"/>
          <w:sz w:val="21"/>
          <w:szCs w:val="21"/>
          <w:highlight w:val="none"/>
        </w:rPr>
        <w:t>理。</w:t>
      </w:r>
    </w:p>
    <w:p w14:paraId="72DF0C55">
      <w:pPr>
        <w:spacing w:line="220" w:lineRule="auto"/>
        <w:rPr>
          <w:rFonts w:ascii="宋体" w:hAnsi="宋体" w:eastAsia="宋体" w:cs="宋体"/>
          <w:color w:val="auto"/>
          <w:sz w:val="21"/>
          <w:szCs w:val="21"/>
          <w:highlight w:val="none"/>
        </w:rPr>
        <w:sectPr>
          <w:footerReference r:id="rId158" w:type="default"/>
          <w:pgSz w:w="11905" w:h="16839"/>
          <w:pgMar w:top="400" w:right="1785" w:bottom="1004" w:left="1785" w:header="0" w:footer="828" w:gutter="0"/>
          <w:pgNumType w:fmt="decimal"/>
          <w:cols w:space="720" w:num="1"/>
        </w:sectPr>
      </w:pPr>
    </w:p>
    <w:p w14:paraId="3BCC3096">
      <w:pPr>
        <w:pStyle w:val="3"/>
        <w:spacing w:line="248" w:lineRule="auto"/>
        <w:rPr>
          <w:color w:val="auto"/>
          <w:highlight w:val="none"/>
        </w:rPr>
      </w:pPr>
    </w:p>
    <w:p w14:paraId="6397F137">
      <w:pPr>
        <w:pStyle w:val="3"/>
        <w:spacing w:line="249" w:lineRule="auto"/>
        <w:rPr>
          <w:color w:val="auto"/>
          <w:highlight w:val="none"/>
        </w:rPr>
      </w:pPr>
    </w:p>
    <w:p w14:paraId="095E51A1">
      <w:pPr>
        <w:pStyle w:val="3"/>
        <w:spacing w:line="249" w:lineRule="auto"/>
        <w:rPr>
          <w:color w:val="auto"/>
          <w:highlight w:val="none"/>
        </w:rPr>
      </w:pPr>
    </w:p>
    <w:p w14:paraId="60DD79C6">
      <w:pPr>
        <w:pStyle w:val="3"/>
        <w:spacing w:line="249" w:lineRule="auto"/>
        <w:rPr>
          <w:color w:val="auto"/>
          <w:highlight w:val="none"/>
        </w:rPr>
      </w:pPr>
    </w:p>
    <w:p w14:paraId="3AF41E35">
      <w:pPr>
        <w:spacing w:before="68" w:line="221" w:lineRule="auto"/>
        <w:ind w:right="2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1"/>
          <w:sz w:val="21"/>
          <w:szCs w:val="21"/>
          <w:highlight w:val="none"/>
        </w:rPr>
        <w:t>．发生紧急事故需抢修的，承包人在接到事故通知后，应当立即</w:t>
      </w:r>
      <w:r>
        <w:rPr>
          <w:rFonts w:ascii="宋体" w:hAnsi="宋体" w:eastAsia="宋体" w:cs="宋体"/>
          <w:color w:val="auto"/>
          <w:spacing w:val="-2"/>
          <w:sz w:val="21"/>
          <w:szCs w:val="21"/>
          <w:highlight w:val="none"/>
        </w:rPr>
        <w:t>到达事故现场抢修。</w:t>
      </w:r>
    </w:p>
    <w:p w14:paraId="29D180DA">
      <w:pPr>
        <w:spacing w:before="156" w:line="359" w:lineRule="auto"/>
        <w:ind w:left="39" w:right="4" w:firstLine="411"/>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3</w:t>
      </w:r>
      <w:r>
        <w:rPr>
          <w:rFonts w:ascii="Times New Roman" w:hAnsi="Times New Roman" w:eastAsia="Times New Roman" w:cs="Times New Roman"/>
          <w:color w:val="auto"/>
          <w:spacing w:val="-18"/>
          <w:sz w:val="21"/>
          <w:szCs w:val="21"/>
          <w:highlight w:val="none"/>
        </w:rPr>
        <w:t xml:space="preserve"> </w:t>
      </w:r>
      <w:r>
        <w:rPr>
          <w:rFonts w:ascii="宋体" w:hAnsi="宋体" w:eastAsia="宋体" w:cs="宋体"/>
          <w:color w:val="auto"/>
          <w:spacing w:val="-5"/>
          <w:sz w:val="21"/>
          <w:szCs w:val="21"/>
          <w:highlight w:val="none"/>
        </w:rPr>
        <w:t>．对于涉及结构安全的质量问题，</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应当按照《建设工程质量管理条例》的规定，立即</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向当地建设行政主管部门和有关部门报告，采取安全防范措施，并由原设计人或者具有相</w:t>
      </w:r>
    </w:p>
    <w:p w14:paraId="27FEDCF5">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应资质等级的设计人提出保修方案，承包人实施保修。</w:t>
      </w:r>
    </w:p>
    <w:p w14:paraId="55842D1C">
      <w:pPr>
        <w:spacing w:before="156"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4</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9"/>
          <w:sz w:val="21"/>
          <w:szCs w:val="21"/>
          <w:highlight w:val="none"/>
        </w:rPr>
        <w:t>．质量保修完成后，</w:t>
      </w:r>
      <w:r>
        <w:rPr>
          <w:rFonts w:ascii="宋体" w:hAnsi="宋体" w:eastAsia="宋体" w:cs="宋体"/>
          <w:color w:val="auto"/>
          <w:spacing w:val="38"/>
          <w:sz w:val="21"/>
          <w:szCs w:val="21"/>
          <w:highlight w:val="none"/>
        </w:rPr>
        <w:t xml:space="preserve"> </w:t>
      </w:r>
      <w:r>
        <w:rPr>
          <w:rFonts w:ascii="宋体" w:hAnsi="宋体" w:eastAsia="宋体" w:cs="宋体"/>
          <w:color w:val="auto"/>
          <w:spacing w:val="-9"/>
          <w:sz w:val="21"/>
          <w:szCs w:val="21"/>
          <w:highlight w:val="none"/>
        </w:rPr>
        <w:t>由发包人组织验收。</w:t>
      </w:r>
    </w:p>
    <w:p w14:paraId="65A55DEF">
      <w:pPr>
        <w:spacing w:before="162" w:line="220" w:lineRule="auto"/>
        <w:ind w:left="446"/>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五、</w:t>
      </w:r>
      <w:r>
        <w:rPr>
          <w:rFonts w:ascii="黑体" w:hAnsi="黑体" w:eastAsia="黑体" w:cs="黑体"/>
          <w:color w:val="auto"/>
          <w:spacing w:val="-33"/>
          <w:sz w:val="21"/>
          <w:szCs w:val="21"/>
          <w:highlight w:val="none"/>
        </w:rPr>
        <w:t xml:space="preserve"> </w:t>
      </w:r>
      <w:r>
        <w:rPr>
          <w:rFonts w:ascii="黑体" w:hAnsi="黑体" w:eastAsia="黑体" w:cs="黑体"/>
          <w:color w:val="auto"/>
          <w:spacing w:val="-14"/>
          <w:sz w:val="21"/>
          <w:szCs w:val="21"/>
          <w:highlight w:val="none"/>
        </w:rPr>
        <w:t>保修费用</w:t>
      </w:r>
    </w:p>
    <w:p w14:paraId="759261AE">
      <w:pPr>
        <w:spacing w:before="95" w:line="221" w:lineRule="auto"/>
        <w:ind w:left="2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保修费用由造成质量缺陷的责任方承担。</w:t>
      </w:r>
    </w:p>
    <w:p w14:paraId="45E32ACB">
      <w:pPr>
        <w:spacing w:before="158" w:line="219" w:lineRule="auto"/>
        <w:ind w:left="447"/>
        <w:rPr>
          <w:rFonts w:ascii="黑体" w:hAnsi="黑体" w:eastAsia="黑体" w:cs="黑体"/>
          <w:color w:val="auto"/>
          <w:sz w:val="21"/>
          <w:szCs w:val="21"/>
          <w:highlight w:val="none"/>
        </w:rPr>
      </w:pPr>
      <w:r>
        <w:rPr>
          <w:rFonts w:ascii="黑体" w:hAnsi="黑体" w:eastAsia="黑体" w:cs="黑体"/>
          <w:color w:val="auto"/>
          <w:spacing w:val="-5"/>
          <w:sz w:val="21"/>
          <w:szCs w:val="21"/>
          <w:highlight w:val="none"/>
        </w:rPr>
        <w:t>六、</w:t>
      </w:r>
      <w:r>
        <w:rPr>
          <w:rFonts w:ascii="黑体" w:hAnsi="黑体" w:eastAsia="黑体" w:cs="黑体"/>
          <w:color w:val="auto"/>
          <w:spacing w:val="-25"/>
          <w:sz w:val="21"/>
          <w:szCs w:val="21"/>
          <w:highlight w:val="none"/>
        </w:rPr>
        <w:t xml:space="preserve"> </w:t>
      </w:r>
      <w:r>
        <w:rPr>
          <w:rFonts w:ascii="黑体" w:hAnsi="黑体" w:eastAsia="黑体" w:cs="黑体"/>
          <w:color w:val="auto"/>
          <w:spacing w:val="-5"/>
          <w:sz w:val="21"/>
          <w:szCs w:val="21"/>
          <w:highlight w:val="none"/>
        </w:rPr>
        <w:t>双方约定的其他工程质量保修事项：</w:t>
      </w:r>
    </w:p>
    <w:p w14:paraId="4515EEC7">
      <w:pPr>
        <w:tabs>
          <w:tab w:val="left" w:pos="7682"/>
        </w:tabs>
        <w:spacing w:before="232" w:line="159" w:lineRule="auto"/>
        <w:ind w:left="432"/>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14:paraId="5BD29A12">
      <w:pPr>
        <w:spacing w:before="141"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工程质量保修书由发包人、承包人在工程竣工验收前共</w:t>
      </w:r>
      <w:r>
        <w:rPr>
          <w:rFonts w:ascii="宋体" w:hAnsi="宋体" w:eastAsia="宋体" w:cs="宋体"/>
          <w:color w:val="auto"/>
          <w:position w:val="15"/>
          <w:sz w:val="21"/>
          <w:szCs w:val="21"/>
          <w:highlight w:val="none"/>
        </w:rPr>
        <w:t>同签署， 作为施工合同附件，</w:t>
      </w:r>
    </w:p>
    <w:p w14:paraId="76AD4B35">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其有效期限至保修期满。</w:t>
      </w:r>
    </w:p>
    <w:p w14:paraId="7568DFC0">
      <w:pPr>
        <w:spacing w:before="27"/>
        <w:rPr>
          <w:color w:val="auto"/>
          <w:highlight w:val="none"/>
        </w:rPr>
      </w:pPr>
    </w:p>
    <w:p w14:paraId="3FEBB758">
      <w:pPr>
        <w:spacing w:before="27"/>
        <w:rPr>
          <w:color w:val="auto"/>
          <w:highlight w:val="none"/>
        </w:rPr>
      </w:pPr>
    </w:p>
    <w:p w14:paraId="57FB709B">
      <w:pPr>
        <w:spacing w:before="26"/>
        <w:rPr>
          <w:color w:val="auto"/>
          <w:highlight w:val="none"/>
        </w:rPr>
      </w:pPr>
    </w:p>
    <w:p w14:paraId="1ECED6F7">
      <w:pPr>
        <w:spacing w:before="26"/>
        <w:rPr>
          <w:color w:val="auto"/>
          <w:highlight w:val="none"/>
        </w:rPr>
      </w:pPr>
    </w:p>
    <w:p w14:paraId="4A5A47F9">
      <w:pPr>
        <w:spacing w:before="26"/>
        <w:rPr>
          <w:color w:val="auto"/>
          <w:highlight w:val="none"/>
        </w:rPr>
      </w:pPr>
    </w:p>
    <w:p w14:paraId="5F8212E2">
      <w:pPr>
        <w:rPr>
          <w:color w:val="auto"/>
          <w:highlight w:val="none"/>
        </w:rPr>
        <w:sectPr>
          <w:footerReference r:id="rId159" w:type="default"/>
          <w:pgSz w:w="11905" w:h="16839"/>
          <w:pgMar w:top="400" w:right="1785" w:bottom="1004" w:left="1785" w:header="0" w:footer="828" w:gutter="0"/>
          <w:pgNumType w:fmt="decimal"/>
          <w:cols w:equalWidth="0" w:num="1">
            <w:col w:w="8333"/>
          </w:cols>
        </w:sectPr>
      </w:pPr>
    </w:p>
    <w:p w14:paraId="396542FE">
      <w:pPr>
        <w:spacing w:before="43" w:line="363" w:lineRule="auto"/>
        <w:ind w:left="65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发包人（公章</w:t>
      </w:r>
      <w:r>
        <w:rPr>
          <w:rFonts w:ascii="宋体" w:hAnsi="宋体" w:eastAsia="宋体" w:cs="宋体"/>
          <w:color w:val="auto"/>
          <w:spacing w:val="-51"/>
          <w:sz w:val="21"/>
          <w:szCs w:val="21"/>
          <w:highlight w:val="none"/>
        </w:rPr>
        <w:t>）：</w:t>
      </w:r>
      <w:r>
        <w:rPr>
          <w:rFonts w:ascii="宋体" w:hAnsi="宋体" w:eastAsia="宋体" w:cs="宋体"/>
          <w:color w:val="auto"/>
          <w:sz w:val="21"/>
          <w:szCs w:val="21"/>
          <w:highlight w:val="none"/>
          <w:u w:val="single" w:color="auto"/>
        </w:rPr>
        <w:t xml:space="preserve">              </w:t>
      </w:r>
    </w:p>
    <w:p w14:paraId="1FAED010">
      <w:pPr>
        <w:spacing w:before="1" w:line="229" w:lineRule="auto"/>
        <w:ind w:left="647"/>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7"/>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p>
    <w:p w14:paraId="14500780">
      <w:pPr>
        <w:spacing w:before="146" w:line="359" w:lineRule="auto"/>
        <w:ind w:left="64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法定代表人（签字</w:t>
      </w:r>
      <w:r>
        <w:rPr>
          <w:rFonts w:ascii="宋体" w:hAnsi="宋体" w:eastAsia="宋体" w:cs="宋体"/>
          <w:color w:val="auto"/>
          <w:spacing w:val="-53"/>
          <w:sz w:val="21"/>
          <w:szCs w:val="21"/>
          <w:highlight w:val="none"/>
        </w:rPr>
        <w:t>）：</w:t>
      </w:r>
      <w:r>
        <w:rPr>
          <w:rFonts w:ascii="宋体" w:hAnsi="宋体" w:eastAsia="宋体" w:cs="宋体"/>
          <w:color w:val="auto"/>
          <w:sz w:val="21"/>
          <w:szCs w:val="21"/>
          <w:highlight w:val="none"/>
          <w:u w:val="single" w:color="auto"/>
        </w:rPr>
        <w:t xml:space="preserve">           </w:t>
      </w:r>
    </w:p>
    <w:p w14:paraId="74F2EAF2">
      <w:pPr>
        <w:spacing w:before="1" w:line="220" w:lineRule="auto"/>
        <w:ind w:left="6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委托代理人（签字</w:t>
      </w:r>
      <w:r>
        <w:rPr>
          <w:rFonts w:ascii="宋体" w:hAnsi="宋体" w:eastAsia="宋体" w:cs="宋体"/>
          <w:color w:val="auto"/>
          <w:spacing w:val="-52"/>
          <w:sz w:val="21"/>
          <w:szCs w:val="21"/>
          <w:highlight w:val="none"/>
        </w:rPr>
        <w:t>）：</w:t>
      </w:r>
      <w:r>
        <w:rPr>
          <w:rFonts w:ascii="宋体" w:hAnsi="宋体" w:eastAsia="宋体" w:cs="宋体"/>
          <w:color w:val="auto"/>
          <w:sz w:val="21"/>
          <w:szCs w:val="21"/>
          <w:highlight w:val="none"/>
          <w:u w:val="single" w:color="auto"/>
        </w:rPr>
        <w:t xml:space="preserve">           </w:t>
      </w:r>
    </w:p>
    <w:p w14:paraId="2B9B86B3">
      <w:pPr>
        <w:spacing w:before="157" w:line="223" w:lineRule="auto"/>
        <w:ind w:left="672"/>
        <w:rPr>
          <w:rFonts w:ascii="宋体" w:hAnsi="宋体" w:eastAsia="宋体" w:cs="宋体"/>
          <w:color w:val="auto"/>
          <w:sz w:val="21"/>
          <w:szCs w:val="21"/>
          <w:highlight w:val="none"/>
        </w:rPr>
      </w:pPr>
      <w:r>
        <w:rPr>
          <w:rFonts w:ascii="宋体" w:hAnsi="宋体" w:eastAsia="宋体" w:cs="宋体"/>
          <w:color w:val="auto"/>
          <w:spacing w:val="-30"/>
          <w:w w:val="96"/>
          <w:sz w:val="21"/>
          <w:szCs w:val="21"/>
          <w:highlight w:val="none"/>
        </w:rPr>
        <w:t>电</w:t>
      </w:r>
      <w:r>
        <w:rPr>
          <w:rFonts w:ascii="宋体" w:hAnsi="宋体" w:eastAsia="宋体" w:cs="宋体"/>
          <w:color w:val="auto"/>
          <w:spacing w:val="5"/>
          <w:sz w:val="21"/>
          <w:szCs w:val="21"/>
          <w:highlight w:val="none"/>
        </w:rPr>
        <w:t xml:space="preserve">  </w:t>
      </w:r>
      <w:r>
        <w:rPr>
          <w:rFonts w:ascii="宋体" w:hAnsi="宋体" w:eastAsia="宋体" w:cs="宋体"/>
          <w:color w:val="auto"/>
          <w:spacing w:val="-30"/>
          <w:w w:val="96"/>
          <w:sz w:val="21"/>
          <w:szCs w:val="21"/>
          <w:highlight w:val="none"/>
        </w:rPr>
        <w:t>话：</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2012C813">
      <w:pPr>
        <w:spacing w:before="154" w:line="359" w:lineRule="auto"/>
        <w:ind w:left="645"/>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7"/>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7D523617">
      <w:pPr>
        <w:spacing w:line="221" w:lineRule="auto"/>
        <w:ind w:left="648"/>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开户银行：</w:t>
      </w:r>
      <w:r>
        <w:rPr>
          <w:rFonts w:ascii="宋体" w:hAnsi="宋体" w:eastAsia="宋体" w:cs="宋体"/>
          <w:color w:val="auto"/>
          <w:spacing w:val="48"/>
          <w:sz w:val="21"/>
          <w:szCs w:val="21"/>
          <w:highlight w:val="none"/>
        </w:rPr>
        <w:t xml:space="preserve"> </w:t>
      </w:r>
      <w:r>
        <w:rPr>
          <w:rFonts w:ascii="宋体" w:hAnsi="宋体" w:eastAsia="宋体" w:cs="宋体"/>
          <w:color w:val="auto"/>
          <w:sz w:val="21"/>
          <w:szCs w:val="21"/>
          <w:highlight w:val="none"/>
          <w:u w:val="single" w:color="auto"/>
        </w:rPr>
        <w:t xml:space="preserve">                  </w:t>
      </w:r>
    </w:p>
    <w:p w14:paraId="09B95FFA">
      <w:pPr>
        <w:spacing w:before="157" w:line="222" w:lineRule="auto"/>
        <w:ind w:left="651"/>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账</w:t>
      </w:r>
      <w:r>
        <w:rPr>
          <w:rFonts w:ascii="宋体" w:hAnsi="宋体" w:eastAsia="宋体" w:cs="宋体"/>
          <w:color w:val="auto"/>
          <w:spacing w:val="7"/>
          <w:sz w:val="21"/>
          <w:szCs w:val="21"/>
          <w:highlight w:val="none"/>
        </w:rPr>
        <w:t xml:space="preserve">  </w:t>
      </w:r>
      <w:r>
        <w:rPr>
          <w:rFonts w:ascii="宋体" w:hAnsi="宋体" w:eastAsia="宋体" w:cs="宋体"/>
          <w:color w:val="auto"/>
          <w:spacing w:val="-31"/>
          <w:sz w:val="21"/>
          <w:szCs w:val="21"/>
          <w:highlight w:val="none"/>
        </w:rPr>
        <w:t>号：</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14:paraId="3AFE3F90">
      <w:pPr>
        <w:spacing w:before="155" w:line="186" w:lineRule="auto"/>
        <w:ind w:left="663"/>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u w:val="single" w:color="auto"/>
        </w:rPr>
        <w:t xml:space="preserve">                 </w:t>
      </w:r>
    </w:p>
    <w:p w14:paraId="06DAEF0C">
      <w:pPr>
        <w:pStyle w:val="3"/>
        <w:spacing w:line="14" w:lineRule="auto"/>
        <w:rPr>
          <w:color w:val="auto"/>
          <w:sz w:val="2"/>
          <w:highlight w:val="none"/>
        </w:rPr>
      </w:pPr>
      <w:r>
        <w:rPr>
          <w:color w:val="auto"/>
          <w:sz w:val="2"/>
          <w:szCs w:val="2"/>
          <w:highlight w:val="none"/>
        </w:rPr>
        <w:br w:type="column"/>
      </w:r>
    </w:p>
    <w:p w14:paraId="4B896017">
      <w:pPr>
        <w:spacing w:before="41" w:line="363" w:lineRule="auto"/>
        <w:ind w:left="10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承包人（公章</w:t>
      </w:r>
      <w:r>
        <w:rPr>
          <w:rFonts w:ascii="宋体" w:hAnsi="宋体" w:eastAsia="宋体" w:cs="宋体"/>
          <w:color w:val="auto"/>
          <w:spacing w:val="-51"/>
          <w:sz w:val="21"/>
          <w:szCs w:val="21"/>
          <w:highlight w:val="none"/>
        </w:rPr>
        <w:t>）：</w:t>
      </w:r>
      <w:r>
        <w:rPr>
          <w:rFonts w:ascii="宋体" w:hAnsi="宋体" w:eastAsia="宋体" w:cs="宋体"/>
          <w:color w:val="auto"/>
          <w:sz w:val="21"/>
          <w:szCs w:val="21"/>
          <w:highlight w:val="none"/>
          <w:u w:val="single" w:color="auto"/>
        </w:rPr>
        <w:t xml:space="preserve">               </w:t>
      </w:r>
    </w:p>
    <w:p w14:paraId="22DB38DD">
      <w:pPr>
        <w:spacing w:before="1" w:line="229" w:lineRule="auto"/>
        <w:ind w:left="1"/>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u w:val="single" w:color="auto"/>
        </w:rPr>
        <w:t xml:space="preserve">                     </w:t>
      </w:r>
    </w:p>
    <w:p w14:paraId="708088E7">
      <w:pPr>
        <w:spacing w:before="146" w:line="359" w:lineRule="auto"/>
        <w:ind w:left="106" w:right="341" w:firstLine="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法定代表人（签字</w:t>
      </w:r>
      <w:r>
        <w:rPr>
          <w:rFonts w:ascii="宋体" w:hAnsi="宋体" w:eastAsia="宋体" w:cs="宋体"/>
          <w:color w:val="auto"/>
          <w:spacing w:val="-51"/>
          <w:sz w:val="21"/>
          <w:szCs w:val="21"/>
          <w:highlight w:val="none"/>
        </w:rPr>
        <w:t>）：</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委托代理人（签字</w:t>
      </w:r>
      <w:r>
        <w:rPr>
          <w:rFonts w:ascii="宋体" w:hAnsi="宋体" w:eastAsia="宋体" w:cs="宋体"/>
          <w:color w:val="auto"/>
          <w:spacing w:val="-54"/>
          <w:sz w:val="21"/>
          <w:szCs w:val="21"/>
          <w:highlight w:val="none"/>
        </w:rPr>
        <w:t>）：</w:t>
      </w:r>
      <w:r>
        <w:rPr>
          <w:rFonts w:ascii="宋体" w:hAnsi="宋体" w:eastAsia="宋体" w:cs="宋体"/>
          <w:color w:val="auto"/>
          <w:sz w:val="21"/>
          <w:szCs w:val="21"/>
          <w:highlight w:val="none"/>
          <w:u w:val="single" w:color="auto"/>
        </w:rPr>
        <w:t xml:space="preserve">           </w:t>
      </w:r>
    </w:p>
    <w:p w14:paraId="7084AA33">
      <w:pPr>
        <w:spacing w:before="1" w:line="222" w:lineRule="auto"/>
        <w:ind w:left="26"/>
        <w:rPr>
          <w:rFonts w:ascii="宋体" w:hAnsi="宋体" w:eastAsia="宋体" w:cs="宋体"/>
          <w:color w:val="auto"/>
          <w:sz w:val="21"/>
          <w:szCs w:val="21"/>
          <w:highlight w:val="none"/>
        </w:rPr>
      </w:pPr>
      <w:r>
        <w:rPr>
          <w:rFonts w:ascii="宋体" w:hAnsi="宋体" w:eastAsia="宋体" w:cs="宋体"/>
          <w:color w:val="auto"/>
          <w:spacing w:val="-29"/>
          <w:w w:val="95"/>
          <w:sz w:val="21"/>
          <w:szCs w:val="21"/>
          <w:highlight w:val="none"/>
        </w:rPr>
        <w:t>电</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5"/>
          <w:sz w:val="21"/>
          <w:szCs w:val="21"/>
          <w:highlight w:val="none"/>
        </w:rPr>
        <w:t>话：</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14:paraId="1385098C">
      <w:pPr>
        <w:spacing w:before="154" w:line="359" w:lineRule="auto"/>
        <w:ind w:left="2" w:right="553" w:hanging="2"/>
        <w:rPr>
          <w:rFonts w:ascii="宋体" w:hAnsi="宋体" w:eastAsia="宋体" w:cs="宋体"/>
          <w:color w:val="auto"/>
          <w:sz w:val="21"/>
          <w:szCs w:val="21"/>
          <w:highlight w:val="none"/>
        </w:rPr>
      </w:pPr>
      <w:r>
        <w:rPr>
          <w:rFonts w:ascii="宋体" w:hAnsi="宋体" w:eastAsia="宋体" w:cs="宋体"/>
          <w:color w:val="auto"/>
          <w:spacing w:val="-27"/>
          <w:w w:val="98"/>
          <w:sz w:val="21"/>
          <w:szCs w:val="21"/>
          <w:highlight w:val="none"/>
        </w:rPr>
        <w:t>传</w:t>
      </w:r>
      <w:r>
        <w:rPr>
          <w:rFonts w:ascii="宋体" w:hAnsi="宋体" w:eastAsia="宋体" w:cs="宋体"/>
          <w:color w:val="auto"/>
          <w:spacing w:val="5"/>
          <w:sz w:val="21"/>
          <w:szCs w:val="21"/>
          <w:highlight w:val="none"/>
        </w:rPr>
        <w:t xml:space="preserve">  </w:t>
      </w:r>
      <w:r>
        <w:rPr>
          <w:rFonts w:ascii="宋体" w:hAnsi="宋体" w:eastAsia="宋体" w:cs="宋体"/>
          <w:color w:val="auto"/>
          <w:spacing w:val="-27"/>
          <w:w w:val="98"/>
          <w:sz w:val="21"/>
          <w:szCs w:val="21"/>
          <w:highlight w:val="none"/>
        </w:rPr>
        <w:t>真：</w:t>
      </w:r>
      <w:r>
        <w:rPr>
          <w:rFonts w:ascii="宋体" w:hAnsi="宋体" w:eastAsia="宋体" w:cs="宋体"/>
          <w:color w:val="auto"/>
          <w:spacing w:val="-3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
          <w:sz w:val="21"/>
          <w:szCs w:val="21"/>
          <w:highlight w:val="none"/>
        </w:rPr>
        <w:t xml:space="preserve"> </w:t>
      </w:r>
      <w:r>
        <w:rPr>
          <w:rFonts w:ascii="宋体" w:hAnsi="宋体" w:eastAsia="宋体" w:cs="宋体"/>
          <w:color w:val="auto"/>
          <w:spacing w:val="-18"/>
          <w:sz w:val="21"/>
          <w:szCs w:val="21"/>
          <w:highlight w:val="none"/>
        </w:rPr>
        <w:t>开户银行：</w:t>
      </w:r>
      <w:r>
        <w:rPr>
          <w:rFonts w:ascii="宋体" w:hAnsi="宋体" w:eastAsia="宋体" w:cs="宋体"/>
          <w:color w:val="auto"/>
          <w:spacing w:val="-29"/>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3"/>
          <w:sz w:val="21"/>
          <w:szCs w:val="21"/>
          <w:highlight w:val="none"/>
        </w:rPr>
        <w:t xml:space="preserve"> </w:t>
      </w:r>
      <w:r>
        <w:rPr>
          <w:rFonts w:ascii="宋体" w:hAnsi="宋体" w:eastAsia="宋体" w:cs="宋体"/>
          <w:color w:val="auto"/>
          <w:spacing w:val="-31"/>
          <w:sz w:val="21"/>
          <w:szCs w:val="21"/>
          <w:highlight w:val="none"/>
        </w:rPr>
        <w:t>账</w:t>
      </w:r>
      <w:r>
        <w:rPr>
          <w:rFonts w:ascii="宋体" w:hAnsi="宋体" w:eastAsia="宋体" w:cs="宋体"/>
          <w:color w:val="auto"/>
          <w:spacing w:val="5"/>
          <w:sz w:val="21"/>
          <w:szCs w:val="21"/>
          <w:highlight w:val="none"/>
        </w:rPr>
        <w:t xml:space="preserve">  </w:t>
      </w:r>
      <w:r>
        <w:rPr>
          <w:rFonts w:ascii="宋体" w:hAnsi="宋体" w:eastAsia="宋体" w:cs="宋体"/>
          <w:color w:val="auto"/>
          <w:spacing w:val="-31"/>
          <w:sz w:val="21"/>
          <w:szCs w:val="21"/>
          <w:highlight w:val="none"/>
        </w:rPr>
        <w:t>号：</w:t>
      </w:r>
      <w:r>
        <w:rPr>
          <w:rFonts w:ascii="宋体" w:hAnsi="宋体" w:eastAsia="宋体" w:cs="宋体"/>
          <w:color w:val="auto"/>
          <w:spacing w:val="-36"/>
          <w:sz w:val="21"/>
          <w:szCs w:val="21"/>
          <w:highlight w:val="none"/>
        </w:rPr>
        <w:t xml:space="preserve"> </w:t>
      </w:r>
      <w:r>
        <w:rPr>
          <w:rFonts w:ascii="宋体" w:hAnsi="宋体" w:eastAsia="宋体" w:cs="宋体"/>
          <w:color w:val="auto"/>
          <w:sz w:val="21"/>
          <w:szCs w:val="21"/>
          <w:highlight w:val="none"/>
          <w:u w:val="single" w:color="auto"/>
        </w:rPr>
        <w:t xml:space="preserve">                     </w:t>
      </w:r>
    </w:p>
    <w:p w14:paraId="68A2FC0B">
      <w:pPr>
        <w:spacing w:before="1" w:line="185" w:lineRule="auto"/>
        <w:ind w:left="17"/>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邮政编码：</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FE0963B">
      <w:pPr>
        <w:spacing w:line="185"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4647" w:space="100"/>
            <w:col w:w="3587"/>
          </w:cols>
        </w:sectPr>
      </w:pPr>
    </w:p>
    <w:p w14:paraId="4BC847DE">
      <w:pPr>
        <w:pStyle w:val="3"/>
        <w:spacing w:line="276" w:lineRule="auto"/>
        <w:rPr>
          <w:color w:val="auto"/>
          <w:highlight w:val="none"/>
        </w:rPr>
      </w:pPr>
    </w:p>
    <w:p w14:paraId="4FA95D7C">
      <w:pPr>
        <w:pStyle w:val="3"/>
        <w:spacing w:line="276" w:lineRule="auto"/>
        <w:rPr>
          <w:color w:val="auto"/>
          <w:highlight w:val="none"/>
        </w:rPr>
      </w:pPr>
    </w:p>
    <w:p w14:paraId="54160508">
      <w:pPr>
        <w:pStyle w:val="3"/>
        <w:spacing w:line="276" w:lineRule="auto"/>
        <w:rPr>
          <w:color w:val="auto"/>
          <w:highlight w:val="none"/>
        </w:rPr>
      </w:pPr>
    </w:p>
    <w:p w14:paraId="06476B95">
      <w:pPr>
        <w:pStyle w:val="3"/>
        <w:spacing w:line="276" w:lineRule="auto"/>
        <w:rPr>
          <w:color w:val="auto"/>
          <w:highlight w:val="none"/>
        </w:rPr>
      </w:pPr>
    </w:p>
    <w:p w14:paraId="0B0C0965">
      <w:pPr>
        <w:spacing w:before="78" w:line="219" w:lineRule="auto"/>
        <w:ind w:left="402"/>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附件</w:t>
      </w:r>
      <w:r>
        <w:rPr>
          <w:rFonts w:ascii="宋体" w:hAnsi="宋体" w:eastAsia="宋体" w:cs="宋体"/>
          <w:color w:val="auto"/>
          <w:spacing w:val="-59"/>
          <w:sz w:val="24"/>
          <w:szCs w:val="24"/>
          <w:highlight w:val="none"/>
        </w:rPr>
        <w:t xml:space="preserve"> </w:t>
      </w:r>
      <w:r>
        <w:rPr>
          <w:rFonts w:ascii="Times New Roman" w:hAnsi="Times New Roman" w:eastAsia="Times New Roman" w:cs="Times New Roman"/>
          <w:color w:val="auto"/>
          <w:spacing w:val="-8"/>
          <w:sz w:val="24"/>
          <w:szCs w:val="24"/>
          <w:highlight w:val="none"/>
        </w:rPr>
        <w:t>4</w:t>
      </w:r>
      <w:r>
        <w:rPr>
          <w:rFonts w:ascii="宋体" w:hAnsi="宋体" w:eastAsia="宋体" w:cs="宋体"/>
          <w:color w:val="auto"/>
          <w:spacing w:val="-8"/>
          <w:sz w:val="24"/>
          <w:szCs w:val="24"/>
          <w:highlight w:val="none"/>
        </w:rPr>
        <w:t>：</w:t>
      </w:r>
    </w:p>
    <w:p w14:paraId="128E1FC8">
      <w:pPr>
        <w:spacing w:before="243" w:line="225" w:lineRule="auto"/>
        <w:ind w:left="3146"/>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主要建设工程文件目录</w:t>
      </w:r>
    </w:p>
    <w:p w14:paraId="6B196C00">
      <w:pPr>
        <w:spacing w:line="112" w:lineRule="exact"/>
        <w:rPr>
          <w:color w:val="auto"/>
          <w:highlight w:val="none"/>
        </w:rPr>
      </w:pPr>
    </w:p>
    <w:tbl>
      <w:tblPr>
        <w:tblStyle w:val="10"/>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14:paraId="46231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14:paraId="27CA63BC">
            <w:pPr>
              <w:pStyle w:val="11"/>
              <w:spacing w:before="177" w:line="221" w:lineRule="auto"/>
              <w:ind w:left="85"/>
              <w:rPr>
                <w:color w:val="auto"/>
                <w:highlight w:val="none"/>
              </w:rPr>
            </w:pPr>
            <w:r>
              <w:rPr>
                <w:color w:val="auto"/>
                <w:spacing w:val="-1"/>
                <w:highlight w:val="none"/>
              </w:rPr>
              <w:t>文件名称</w:t>
            </w:r>
          </w:p>
        </w:tc>
        <w:tc>
          <w:tcPr>
            <w:tcW w:w="1274" w:type="dxa"/>
            <w:tcBorders>
              <w:top w:val="single" w:color="000000" w:sz="10" w:space="0"/>
            </w:tcBorders>
            <w:vAlign w:val="top"/>
          </w:tcPr>
          <w:p w14:paraId="6BEA68C0">
            <w:pPr>
              <w:pStyle w:val="11"/>
              <w:spacing w:before="177" w:line="221" w:lineRule="auto"/>
              <w:ind w:left="85"/>
              <w:rPr>
                <w:color w:val="auto"/>
                <w:highlight w:val="none"/>
              </w:rPr>
            </w:pPr>
            <w:r>
              <w:rPr>
                <w:color w:val="auto"/>
                <w:spacing w:val="-2"/>
                <w:highlight w:val="none"/>
              </w:rPr>
              <w:t>套数</w:t>
            </w:r>
          </w:p>
        </w:tc>
        <w:tc>
          <w:tcPr>
            <w:tcW w:w="1446" w:type="dxa"/>
            <w:tcBorders>
              <w:top w:val="single" w:color="000000" w:sz="10" w:space="0"/>
            </w:tcBorders>
            <w:vAlign w:val="top"/>
          </w:tcPr>
          <w:p w14:paraId="3751E30B">
            <w:pPr>
              <w:pStyle w:val="11"/>
              <w:spacing w:before="178" w:line="221" w:lineRule="auto"/>
              <w:ind w:left="100"/>
              <w:rPr>
                <w:color w:val="auto"/>
                <w:highlight w:val="none"/>
              </w:rPr>
            </w:pPr>
            <w:r>
              <w:rPr>
                <w:color w:val="auto"/>
                <w:spacing w:val="-5"/>
                <w:highlight w:val="none"/>
              </w:rPr>
              <w:t>费用（元）</w:t>
            </w:r>
          </w:p>
        </w:tc>
        <w:tc>
          <w:tcPr>
            <w:tcW w:w="1240" w:type="dxa"/>
            <w:tcBorders>
              <w:top w:val="single" w:color="000000" w:sz="10" w:space="0"/>
            </w:tcBorders>
            <w:vAlign w:val="top"/>
          </w:tcPr>
          <w:p w14:paraId="3EA0F1D4">
            <w:pPr>
              <w:pStyle w:val="11"/>
              <w:spacing w:before="178" w:line="221" w:lineRule="auto"/>
              <w:ind w:left="93"/>
              <w:rPr>
                <w:color w:val="auto"/>
                <w:highlight w:val="none"/>
              </w:rPr>
            </w:pPr>
            <w:r>
              <w:rPr>
                <w:color w:val="auto"/>
                <w:spacing w:val="-2"/>
                <w:highlight w:val="none"/>
              </w:rPr>
              <w:t>质量</w:t>
            </w:r>
          </w:p>
        </w:tc>
        <w:tc>
          <w:tcPr>
            <w:tcW w:w="1446" w:type="dxa"/>
            <w:tcBorders>
              <w:top w:val="single" w:color="000000" w:sz="10" w:space="0"/>
            </w:tcBorders>
            <w:vAlign w:val="top"/>
          </w:tcPr>
          <w:p w14:paraId="126C7616">
            <w:pPr>
              <w:pStyle w:val="11"/>
              <w:spacing w:before="178" w:line="222" w:lineRule="auto"/>
              <w:ind w:left="308"/>
              <w:rPr>
                <w:color w:val="auto"/>
                <w:highlight w:val="none"/>
              </w:rPr>
            </w:pPr>
            <w:r>
              <w:rPr>
                <w:color w:val="auto"/>
                <w:spacing w:val="-1"/>
                <w:highlight w:val="none"/>
              </w:rPr>
              <w:t>移交时间</w:t>
            </w:r>
          </w:p>
        </w:tc>
        <w:tc>
          <w:tcPr>
            <w:tcW w:w="1679" w:type="dxa"/>
            <w:tcBorders>
              <w:top w:val="single" w:color="000000" w:sz="10" w:space="0"/>
              <w:right w:val="single" w:color="000000" w:sz="10" w:space="0"/>
            </w:tcBorders>
            <w:vAlign w:val="top"/>
          </w:tcPr>
          <w:p w14:paraId="1D73651D">
            <w:pPr>
              <w:pStyle w:val="11"/>
              <w:spacing w:before="177" w:line="221" w:lineRule="auto"/>
              <w:ind w:left="535"/>
              <w:rPr>
                <w:color w:val="auto"/>
                <w:highlight w:val="none"/>
              </w:rPr>
            </w:pPr>
            <w:r>
              <w:rPr>
                <w:color w:val="auto"/>
                <w:spacing w:val="-3"/>
                <w:highlight w:val="none"/>
              </w:rPr>
              <w:t>责任人</w:t>
            </w:r>
          </w:p>
        </w:tc>
      </w:tr>
      <w:tr w14:paraId="45B11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14:paraId="766D8B9B">
            <w:pPr>
              <w:rPr>
                <w:rFonts w:ascii="Arial"/>
                <w:color w:val="auto"/>
                <w:sz w:val="21"/>
                <w:highlight w:val="none"/>
              </w:rPr>
            </w:pPr>
          </w:p>
        </w:tc>
        <w:tc>
          <w:tcPr>
            <w:tcW w:w="1274" w:type="dxa"/>
            <w:vAlign w:val="top"/>
          </w:tcPr>
          <w:p w14:paraId="34999387">
            <w:pPr>
              <w:rPr>
                <w:rFonts w:ascii="Arial"/>
                <w:color w:val="auto"/>
                <w:sz w:val="21"/>
                <w:highlight w:val="none"/>
              </w:rPr>
            </w:pPr>
          </w:p>
        </w:tc>
        <w:tc>
          <w:tcPr>
            <w:tcW w:w="1446" w:type="dxa"/>
            <w:vAlign w:val="top"/>
          </w:tcPr>
          <w:p w14:paraId="33597BA3">
            <w:pPr>
              <w:rPr>
                <w:rFonts w:ascii="Arial"/>
                <w:color w:val="auto"/>
                <w:sz w:val="21"/>
                <w:highlight w:val="none"/>
              </w:rPr>
            </w:pPr>
          </w:p>
        </w:tc>
        <w:tc>
          <w:tcPr>
            <w:tcW w:w="1240" w:type="dxa"/>
            <w:vAlign w:val="top"/>
          </w:tcPr>
          <w:p w14:paraId="01A96D5F">
            <w:pPr>
              <w:rPr>
                <w:rFonts w:ascii="Arial"/>
                <w:color w:val="auto"/>
                <w:sz w:val="21"/>
                <w:highlight w:val="none"/>
              </w:rPr>
            </w:pPr>
          </w:p>
        </w:tc>
        <w:tc>
          <w:tcPr>
            <w:tcW w:w="1446" w:type="dxa"/>
            <w:vAlign w:val="top"/>
          </w:tcPr>
          <w:p w14:paraId="38C3B6C1">
            <w:pPr>
              <w:rPr>
                <w:rFonts w:ascii="Arial"/>
                <w:color w:val="auto"/>
                <w:sz w:val="21"/>
                <w:highlight w:val="none"/>
              </w:rPr>
            </w:pPr>
          </w:p>
        </w:tc>
        <w:tc>
          <w:tcPr>
            <w:tcW w:w="1679" w:type="dxa"/>
            <w:tcBorders>
              <w:right w:val="single" w:color="000000" w:sz="10" w:space="0"/>
            </w:tcBorders>
            <w:vAlign w:val="top"/>
          </w:tcPr>
          <w:p w14:paraId="516FCDF8">
            <w:pPr>
              <w:rPr>
                <w:rFonts w:ascii="Arial"/>
                <w:color w:val="auto"/>
                <w:sz w:val="21"/>
                <w:highlight w:val="none"/>
              </w:rPr>
            </w:pPr>
          </w:p>
        </w:tc>
      </w:tr>
      <w:tr w14:paraId="76487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D1C7A30">
            <w:pPr>
              <w:rPr>
                <w:rFonts w:ascii="Arial"/>
                <w:color w:val="auto"/>
                <w:sz w:val="21"/>
                <w:highlight w:val="none"/>
              </w:rPr>
            </w:pPr>
          </w:p>
        </w:tc>
        <w:tc>
          <w:tcPr>
            <w:tcW w:w="1274" w:type="dxa"/>
            <w:vAlign w:val="top"/>
          </w:tcPr>
          <w:p w14:paraId="53BCA75B">
            <w:pPr>
              <w:rPr>
                <w:rFonts w:ascii="Arial"/>
                <w:color w:val="auto"/>
                <w:sz w:val="21"/>
                <w:highlight w:val="none"/>
              </w:rPr>
            </w:pPr>
          </w:p>
        </w:tc>
        <w:tc>
          <w:tcPr>
            <w:tcW w:w="1446" w:type="dxa"/>
            <w:vAlign w:val="top"/>
          </w:tcPr>
          <w:p w14:paraId="4A6A02D4">
            <w:pPr>
              <w:rPr>
                <w:rFonts w:ascii="Arial"/>
                <w:color w:val="auto"/>
                <w:sz w:val="21"/>
                <w:highlight w:val="none"/>
              </w:rPr>
            </w:pPr>
          </w:p>
        </w:tc>
        <w:tc>
          <w:tcPr>
            <w:tcW w:w="1240" w:type="dxa"/>
            <w:vAlign w:val="top"/>
          </w:tcPr>
          <w:p w14:paraId="2E889619">
            <w:pPr>
              <w:rPr>
                <w:rFonts w:ascii="Arial"/>
                <w:color w:val="auto"/>
                <w:sz w:val="21"/>
                <w:highlight w:val="none"/>
              </w:rPr>
            </w:pPr>
          </w:p>
        </w:tc>
        <w:tc>
          <w:tcPr>
            <w:tcW w:w="1446" w:type="dxa"/>
            <w:vAlign w:val="top"/>
          </w:tcPr>
          <w:p w14:paraId="71DBF8BB">
            <w:pPr>
              <w:rPr>
                <w:rFonts w:ascii="Arial"/>
                <w:color w:val="auto"/>
                <w:sz w:val="21"/>
                <w:highlight w:val="none"/>
              </w:rPr>
            </w:pPr>
          </w:p>
        </w:tc>
        <w:tc>
          <w:tcPr>
            <w:tcW w:w="1679" w:type="dxa"/>
            <w:tcBorders>
              <w:right w:val="single" w:color="000000" w:sz="10" w:space="0"/>
            </w:tcBorders>
            <w:vAlign w:val="top"/>
          </w:tcPr>
          <w:p w14:paraId="08ECB431">
            <w:pPr>
              <w:rPr>
                <w:rFonts w:ascii="Arial"/>
                <w:color w:val="auto"/>
                <w:sz w:val="21"/>
                <w:highlight w:val="none"/>
              </w:rPr>
            </w:pPr>
          </w:p>
        </w:tc>
      </w:tr>
      <w:tr w14:paraId="3757C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CA78406">
            <w:pPr>
              <w:rPr>
                <w:rFonts w:ascii="Arial"/>
                <w:color w:val="auto"/>
                <w:sz w:val="21"/>
                <w:highlight w:val="none"/>
              </w:rPr>
            </w:pPr>
          </w:p>
        </w:tc>
        <w:tc>
          <w:tcPr>
            <w:tcW w:w="1274" w:type="dxa"/>
            <w:vAlign w:val="top"/>
          </w:tcPr>
          <w:p w14:paraId="594344F2">
            <w:pPr>
              <w:rPr>
                <w:rFonts w:ascii="Arial"/>
                <w:color w:val="auto"/>
                <w:sz w:val="21"/>
                <w:highlight w:val="none"/>
              </w:rPr>
            </w:pPr>
          </w:p>
        </w:tc>
        <w:tc>
          <w:tcPr>
            <w:tcW w:w="1446" w:type="dxa"/>
            <w:vAlign w:val="top"/>
          </w:tcPr>
          <w:p w14:paraId="4226669C">
            <w:pPr>
              <w:rPr>
                <w:rFonts w:ascii="Arial"/>
                <w:color w:val="auto"/>
                <w:sz w:val="21"/>
                <w:highlight w:val="none"/>
              </w:rPr>
            </w:pPr>
          </w:p>
        </w:tc>
        <w:tc>
          <w:tcPr>
            <w:tcW w:w="1240" w:type="dxa"/>
            <w:vAlign w:val="top"/>
          </w:tcPr>
          <w:p w14:paraId="5956BA3C">
            <w:pPr>
              <w:rPr>
                <w:rFonts w:ascii="Arial"/>
                <w:color w:val="auto"/>
                <w:sz w:val="21"/>
                <w:highlight w:val="none"/>
              </w:rPr>
            </w:pPr>
          </w:p>
        </w:tc>
        <w:tc>
          <w:tcPr>
            <w:tcW w:w="1446" w:type="dxa"/>
            <w:vAlign w:val="top"/>
          </w:tcPr>
          <w:p w14:paraId="3250C47A">
            <w:pPr>
              <w:rPr>
                <w:rFonts w:ascii="Arial"/>
                <w:color w:val="auto"/>
                <w:sz w:val="21"/>
                <w:highlight w:val="none"/>
              </w:rPr>
            </w:pPr>
          </w:p>
        </w:tc>
        <w:tc>
          <w:tcPr>
            <w:tcW w:w="1679" w:type="dxa"/>
            <w:tcBorders>
              <w:right w:val="single" w:color="000000" w:sz="10" w:space="0"/>
            </w:tcBorders>
            <w:vAlign w:val="top"/>
          </w:tcPr>
          <w:p w14:paraId="7C8C303D">
            <w:pPr>
              <w:rPr>
                <w:rFonts w:ascii="Arial"/>
                <w:color w:val="auto"/>
                <w:sz w:val="21"/>
                <w:highlight w:val="none"/>
              </w:rPr>
            </w:pPr>
          </w:p>
        </w:tc>
      </w:tr>
      <w:tr w14:paraId="431CF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08BA1A44">
            <w:pPr>
              <w:rPr>
                <w:rFonts w:ascii="Arial"/>
                <w:color w:val="auto"/>
                <w:sz w:val="21"/>
                <w:highlight w:val="none"/>
              </w:rPr>
            </w:pPr>
          </w:p>
        </w:tc>
        <w:tc>
          <w:tcPr>
            <w:tcW w:w="1274" w:type="dxa"/>
            <w:vAlign w:val="top"/>
          </w:tcPr>
          <w:p w14:paraId="33EB1D2D">
            <w:pPr>
              <w:rPr>
                <w:rFonts w:ascii="Arial"/>
                <w:color w:val="auto"/>
                <w:sz w:val="21"/>
                <w:highlight w:val="none"/>
              </w:rPr>
            </w:pPr>
          </w:p>
        </w:tc>
        <w:tc>
          <w:tcPr>
            <w:tcW w:w="1446" w:type="dxa"/>
            <w:vAlign w:val="top"/>
          </w:tcPr>
          <w:p w14:paraId="4F1C4502">
            <w:pPr>
              <w:rPr>
                <w:rFonts w:ascii="Arial"/>
                <w:color w:val="auto"/>
                <w:sz w:val="21"/>
                <w:highlight w:val="none"/>
              </w:rPr>
            </w:pPr>
          </w:p>
        </w:tc>
        <w:tc>
          <w:tcPr>
            <w:tcW w:w="1240" w:type="dxa"/>
            <w:vAlign w:val="top"/>
          </w:tcPr>
          <w:p w14:paraId="66575E75">
            <w:pPr>
              <w:rPr>
                <w:rFonts w:ascii="Arial"/>
                <w:color w:val="auto"/>
                <w:sz w:val="21"/>
                <w:highlight w:val="none"/>
              </w:rPr>
            </w:pPr>
          </w:p>
        </w:tc>
        <w:tc>
          <w:tcPr>
            <w:tcW w:w="1446" w:type="dxa"/>
            <w:vAlign w:val="top"/>
          </w:tcPr>
          <w:p w14:paraId="5F7297BD">
            <w:pPr>
              <w:rPr>
                <w:rFonts w:ascii="Arial"/>
                <w:color w:val="auto"/>
                <w:sz w:val="21"/>
                <w:highlight w:val="none"/>
              </w:rPr>
            </w:pPr>
          </w:p>
        </w:tc>
        <w:tc>
          <w:tcPr>
            <w:tcW w:w="1679" w:type="dxa"/>
            <w:tcBorders>
              <w:right w:val="single" w:color="000000" w:sz="10" w:space="0"/>
            </w:tcBorders>
            <w:vAlign w:val="top"/>
          </w:tcPr>
          <w:p w14:paraId="4472594F">
            <w:pPr>
              <w:rPr>
                <w:rFonts w:ascii="Arial"/>
                <w:color w:val="auto"/>
                <w:sz w:val="21"/>
                <w:highlight w:val="none"/>
              </w:rPr>
            </w:pPr>
          </w:p>
        </w:tc>
      </w:tr>
      <w:tr w14:paraId="469C5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181B275A">
            <w:pPr>
              <w:rPr>
                <w:rFonts w:ascii="Arial"/>
                <w:color w:val="auto"/>
                <w:sz w:val="21"/>
                <w:highlight w:val="none"/>
              </w:rPr>
            </w:pPr>
          </w:p>
        </w:tc>
        <w:tc>
          <w:tcPr>
            <w:tcW w:w="1274" w:type="dxa"/>
            <w:vAlign w:val="top"/>
          </w:tcPr>
          <w:p w14:paraId="0AA214FC">
            <w:pPr>
              <w:rPr>
                <w:rFonts w:ascii="Arial"/>
                <w:color w:val="auto"/>
                <w:sz w:val="21"/>
                <w:highlight w:val="none"/>
              </w:rPr>
            </w:pPr>
          </w:p>
        </w:tc>
        <w:tc>
          <w:tcPr>
            <w:tcW w:w="1446" w:type="dxa"/>
            <w:vAlign w:val="top"/>
          </w:tcPr>
          <w:p w14:paraId="2A1E1EF3">
            <w:pPr>
              <w:rPr>
                <w:rFonts w:ascii="Arial"/>
                <w:color w:val="auto"/>
                <w:sz w:val="21"/>
                <w:highlight w:val="none"/>
              </w:rPr>
            </w:pPr>
          </w:p>
        </w:tc>
        <w:tc>
          <w:tcPr>
            <w:tcW w:w="1240" w:type="dxa"/>
            <w:vAlign w:val="top"/>
          </w:tcPr>
          <w:p w14:paraId="46E826A8">
            <w:pPr>
              <w:rPr>
                <w:rFonts w:ascii="Arial"/>
                <w:color w:val="auto"/>
                <w:sz w:val="21"/>
                <w:highlight w:val="none"/>
              </w:rPr>
            </w:pPr>
          </w:p>
        </w:tc>
        <w:tc>
          <w:tcPr>
            <w:tcW w:w="1446" w:type="dxa"/>
            <w:vAlign w:val="top"/>
          </w:tcPr>
          <w:p w14:paraId="3DBCB82C">
            <w:pPr>
              <w:rPr>
                <w:rFonts w:ascii="Arial"/>
                <w:color w:val="auto"/>
                <w:sz w:val="21"/>
                <w:highlight w:val="none"/>
              </w:rPr>
            </w:pPr>
          </w:p>
        </w:tc>
        <w:tc>
          <w:tcPr>
            <w:tcW w:w="1679" w:type="dxa"/>
            <w:tcBorders>
              <w:right w:val="single" w:color="000000" w:sz="10" w:space="0"/>
            </w:tcBorders>
            <w:vAlign w:val="top"/>
          </w:tcPr>
          <w:p w14:paraId="489E9000">
            <w:pPr>
              <w:rPr>
                <w:rFonts w:ascii="Arial"/>
                <w:color w:val="auto"/>
                <w:sz w:val="21"/>
                <w:highlight w:val="none"/>
              </w:rPr>
            </w:pPr>
          </w:p>
        </w:tc>
      </w:tr>
      <w:tr w14:paraId="4A2B9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468693E">
            <w:pPr>
              <w:rPr>
                <w:rFonts w:ascii="Arial"/>
                <w:color w:val="auto"/>
                <w:sz w:val="21"/>
                <w:highlight w:val="none"/>
              </w:rPr>
            </w:pPr>
          </w:p>
        </w:tc>
        <w:tc>
          <w:tcPr>
            <w:tcW w:w="1274" w:type="dxa"/>
            <w:vAlign w:val="top"/>
          </w:tcPr>
          <w:p w14:paraId="20705CEC">
            <w:pPr>
              <w:rPr>
                <w:rFonts w:ascii="Arial"/>
                <w:color w:val="auto"/>
                <w:sz w:val="21"/>
                <w:highlight w:val="none"/>
              </w:rPr>
            </w:pPr>
          </w:p>
        </w:tc>
        <w:tc>
          <w:tcPr>
            <w:tcW w:w="1446" w:type="dxa"/>
            <w:vAlign w:val="top"/>
          </w:tcPr>
          <w:p w14:paraId="464E5B95">
            <w:pPr>
              <w:rPr>
                <w:rFonts w:ascii="Arial"/>
                <w:color w:val="auto"/>
                <w:sz w:val="21"/>
                <w:highlight w:val="none"/>
              </w:rPr>
            </w:pPr>
          </w:p>
        </w:tc>
        <w:tc>
          <w:tcPr>
            <w:tcW w:w="1240" w:type="dxa"/>
            <w:vAlign w:val="top"/>
          </w:tcPr>
          <w:p w14:paraId="76FF5362">
            <w:pPr>
              <w:rPr>
                <w:rFonts w:ascii="Arial"/>
                <w:color w:val="auto"/>
                <w:sz w:val="21"/>
                <w:highlight w:val="none"/>
              </w:rPr>
            </w:pPr>
          </w:p>
        </w:tc>
        <w:tc>
          <w:tcPr>
            <w:tcW w:w="1446" w:type="dxa"/>
            <w:vAlign w:val="top"/>
          </w:tcPr>
          <w:p w14:paraId="76158DA5">
            <w:pPr>
              <w:rPr>
                <w:rFonts w:ascii="Arial"/>
                <w:color w:val="auto"/>
                <w:sz w:val="21"/>
                <w:highlight w:val="none"/>
              </w:rPr>
            </w:pPr>
          </w:p>
        </w:tc>
        <w:tc>
          <w:tcPr>
            <w:tcW w:w="1679" w:type="dxa"/>
            <w:tcBorders>
              <w:right w:val="single" w:color="000000" w:sz="10" w:space="0"/>
            </w:tcBorders>
            <w:vAlign w:val="top"/>
          </w:tcPr>
          <w:p w14:paraId="501983BA">
            <w:pPr>
              <w:rPr>
                <w:rFonts w:ascii="Arial"/>
                <w:color w:val="auto"/>
                <w:sz w:val="21"/>
                <w:highlight w:val="none"/>
              </w:rPr>
            </w:pPr>
          </w:p>
        </w:tc>
      </w:tr>
      <w:tr w14:paraId="3CE7A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5061DBAC">
            <w:pPr>
              <w:rPr>
                <w:rFonts w:ascii="Arial"/>
                <w:color w:val="auto"/>
                <w:sz w:val="21"/>
                <w:highlight w:val="none"/>
              </w:rPr>
            </w:pPr>
          </w:p>
        </w:tc>
        <w:tc>
          <w:tcPr>
            <w:tcW w:w="1274" w:type="dxa"/>
            <w:vAlign w:val="top"/>
          </w:tcPr>
          <w:p w14:paraId="53CD3CB4">
            <w:pPr>
              <w:rPr>
                <w:rFonts w:ascii="Arial"/>
                <w:color w:val="auto"/>
                <w:sz w:val="21"/>
                <w:highlight w:val="none"/>
              </w:rPr>
            </w:pPr>
          </w:p>
        </w:tc>
        <w:tc>
          <w:tcPr>
            <w:tcW w:w="1446" w:type="dxa"/>
            <w:vAlign w:val="top"/>
          </w:tcPr>
          <w:p w14:paraId="2A4518EF">
            <w:pPr>
              <w:rPr>
                <w:rFonts w:ascii="Arial"/>
                <w:color w:val="auto"/>
                <w:sz w:val="21"/>
                <w:highlight w:val="none"/>
              </w:rPr>
            </w:pPr>
          </w:p>
        </w:tc>
        <w:tc>
          <w:tcPr>
            <w:tcW w:w="1240" w:type="dxa"/>
            <w:vAlign w:val="top"/>
          </w:tcPr>
          <w:p w14:paraId="06E958CA">
            <w:pPr>
              <w:rPr>
                <w:rFonts w:ascii="Arial"/>
                <w:color w:val="auto"/>
                <w:sz w:val="21"/>
                <w:highlight w:val="none"/>
              </w:rPr>
            </w:pPr>
          </w:p>
        </w:tc>
        <w:tc>
          <w:tcPr>
            <w:tcW w:w="1446" w:type="dxa"/>
            <w:vAlign w:val="top"/>
          </w:tcPr>
          <w:p w14:paraId="552CF375">
            <w:pPr>
              <w:rPr>
                <w:rFonts w:ascii="Arial"/>
                <w:color w:val="auto"/>
                <w:sz w:val="21"/>
                <w:highlight w:val="none"/>
              </w:rPr>
            </w:pPr>
          </w:p>
        </w:tc>
        <w:tc>
          <w:tcPr>
            <w:tcW w:w="1679" w:type="dxa"/>
            <w:tcBorders>
              <w:right w:val="single" w:color="000000" w:sz="10" w:space="0"/>
            </w:tcBorders>
            <w:vAlign w:val="top"/>
          </w:tcPr>
          <w:p w14:paraId="71E00965">
            <w:pPr>
              <w:rPr>
                <w:rFonts w:ascii="Arial"/>
                <w:color w:val="auto"/>
                <w:sz w:val="21"/>
                <w:highlight w:val="none"/>
              </w:rPr>
            </w:pPr>
          </w:p>
        </w:tc>
      </w:tr>
      <w:tr w14:paraId="43FDD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5F5E4DD6">
            <w:pPr>
              <w:rPr>
                <w:rFonts w:ascii="Arial"/>
                <w:color w:val="auto"/>
                <w:sz w:val="21"/>
                <w:highlight w:val="none"/>
              </w:rPr>
            </w:pPr>
          </w:p>
        </w:tc>
        <w:tc>
          <w:tcPr>
            <w:tcW w:w="1274" w:type="dxa"/>
            <w:vAlign w:val="top"/>
          </w:tcPr>
          <w:p w14:paraId="314ACDA6">
            <w:pPr>
              <w:rPr>
                <w:rFonts w:ascii="Arial"/>
                <w:color w:val="auto"/>
                <w:sz w:val="21"/>
                <w:highlight w:val="none"/>
              </w:rPr>
            </w:pPr>
          </w:p>
        </w:tc>
        <w:tc>
          <w:tcPr>
            <w:tcW w:w="1446" w:type="dxa"/>
            <w:vAlign w:val="top"/>
          </w:tcPr>
          <w:p w14:paraId="76CAFE20">
            <w:pPr>
              <w:rPr>
                <w:rFonts w:ascii="Arial"/>
                <w:color w:val="auto"/>
                <w:sz w:val="21"/>
                <w:highlight w:val="none"/>
              </w:rPr>
            </w:pPr>
          </w:p>
        </w:tc>
        <w:tc>
          <w:tcPr>
            <w:tcW w:w="1240" w:type="dxa"/>
            <w:vAlign w:val="top"/>
          </w:tcPr>
          <w:p w14:paraId="670BC51D">
            <w:pPr>
              <w:rPr>
                <w:rFonts w:ascii="Arial"/>
                <w:color w:val="auto"/>
                <w:sz w:val="21"/>
                <w:highlight w:val="none"/>
              </w:rPr>
            </w:pPr>
          </w:p>
        </w:tc>
        <w:tc>
          <w:tcPr>
            <w:tcW w:w="1446" w:type="dxa"/>
            <w:vAlign w:val="top"/>
          </w:tcPr>
          <w:p w14:paraId="54DF25C4">
            <w:pPr>
              <w:rPr>
                <w:rFonts w:ascii="Arial"/>
                <w:color w:val="auto"/>
                <w:sz w:val="21"/>
                <w:highlight w:val="none"/>
              </w:rPr>
            </w:pPr>
          </w:p>
        </w:tc>
        <w:tc>
          <w:tcPr>
            <w:tcW w:w="1679" w:type="dxa"/>
            <w:tcBorders>
              <w:right w:val="single" w:color="000000" w:sz="10" w:space="0"/>
            </w:tcBorders>
            <w:vAlign w:val="top"/>
          </w:tcPr>
          <w:p w14:paraId="5B9FC926">
            <w:pPr>
              <w:rPr>
                <w:rFonts w:ascii="Arial"/>
                <w:color w:val="auto"/>
                <w:sz w:val="21"/>
                <w:highlight w:val="none"/>
              </w:rPr>
            </w:pPr>
          </w:p>
        </w:tc>
      </w:tr>
      <w:tr w14:paraId="07C5F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6DFE44C">
            <w:pPr>
              <w:rPr>
                <w:rFonts w:ascii="Arial"/>
                <w:color w:val="auto"/>
                <w:sz w:val="21"/>
                <w:highlight w:val="none"/>
              </w:rPr>
            </w:pPr>
          </w:p>
        </w:tc>
        <w:tc>
          <w:tcPr>
            <w:tcW w:w="1274" w:type="dxa"/>
            <w:vAlign w:val="top"/>
          </w:tcPr>
          <w:p w14:paraId="1F53F0B4">
            <w:pPr>
              <w:rPr>
                <w:rFonts w:ascii="Arial"/>
                <w:color w:val="auto"/>
                <w:sz w:val="21"/>
                <w:highlight w:val="none"/>
              </w:rPr>
            </w:pPr>
          </w:p>
        </w:tc>
        <w:tc>
          <w:tcPr>
            <w:tcW w:w="1446" w:type="dxa"/>
            <w:vAlign w:val="top"/>
          </w:tcPr>
          <w:p w14:paraId="7EA4F2E9">
            <w:pPr>
              <w:rPr>
                <w:rFonts w:ascii="Arial"/>
                <w:color w:val="auto"/>
                <w:sz w:val="21"/>
                <w:highlight w:val="none"/>
              </w:rPr>
            </w:pPr>
          </w:p>
        </w:tc>
        <w:tc>
          <w:tcPr>
            <w:tcW w:w="1240" w:type="dxa"/>
            <w:vAlign w:val="top"/>
          </w:tcPr>
          <w:p w14:paraId="3EAA73B6">
            <w:pPr>
              <w:rPr>
                <w:rFonts w:ascii="Arial"/>
                <w:color w:val="auto"/>
                <w:sz w:val="21"/>
                <w:highlight w:val="none"/>
              </w:rPr>
            </w:pPr>
          </w:p>
        </w:tc>
        <w:tc>
          <w:tcPr>
            <w:tcW w:w="1446" w:type="dxa"/>
            <w:vAlign w:val="top"/>
          </w:tcPr>
          <w:p w14:paraId="04B797DB">
            <w:pPr>
              <w:rPr>
                <w:rFonts w:ascii="Arial"/>
                <w:color w:val="auto"/>
                <w:sz w:val="21"/>
                <w:highlight w:val="none"/>
              </w:rPr>
            </w:pPr>
          </w:p>
        </w:tc>
        <w:tc>
          <w:tcPr>
            <w:tcW w:w="1679" w:type="dxa"/>
            <w:tcBorders>
              <w:right w:val="single" w:color="000000" w:sz="10" w:space="0"/>
            </w:tcBorders>
            <w:vAlign w:val="top"/>
          </w:tcPr>
          <w:p w14:paraId="4C0FB6E1">
            <w:pPr>
              <w:rPr>
                <w:rFonts w:ascii="Arial"/>
                <w:color w:val="auto"/>
                <w:sz w:val="21"/>
                <w:highlight w:val="none"/>
              </w:rPr>
            </w:pPr>
          </w:p>
        </w:tc>
      </w:tr>
      <w:tr w14:paraId="038A6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4AB57652">
            <w:pPr>
              <w:rPr>
                <w:rFonts w:ascii="Arial"/>
                <w:color w:val="auto"/>
                <w:sz w:val="21"/>
                <w:highlight w:val="none"/>
              </w:rPr>
            </w:pPr>
          </w:p>
        </w:tc>
        <w:tc>
          <w:tcPr>
            <w:tcW w:w="1274" w:type="dxa"/>
            <w:vAlign w:val="top"/>
          </w:tcPr>
          <w:p w14:paraId="5C27551E">
            <w:pPr>
              <w:rPr>
                <w:rFonts w:ascii="Arial"/>
                <w:color w:val="auto"/>
                <w:sz w:val="21"/>
                <w:highlight w:val="none"/>
              </w:rPr>
            </w:pPr>
          </w:p>
        </w:tc>
        <w:tc>
          <w:tcPr>
            <w:tcW w:w="1446" w:type="dxa"/>
            <w:vAlign w:val="top"/>
          </w:tcPr>
          <w:p w14:paraId="71EB4B99">
            <w:pPr>
              <w:rPr>
                <w:rFonts w:ascii="Arial"/>
                <w:color w:val="auto"/>
                <w:sz w:val="21"/>
                <w:highlight w:val="none"/>
              </w:rPr>
            </w:pPr>
          </w:p>
        </w:tc>
        <w:tc>
          <w:tcPr>
            <w:tcW w:w="1240" w:type="dxa"/>
            <w:vAlign w:val="top"/>
          </w:tcPr>
          <w:p w14:paraId="5010C8EF">
            <w:pPr>
              <w:rPr>
                <w:rFonts w:ascii="Arial"/>
                <w:color w:val="auto"/>
                <w:sz w:val="21"/>
                <w:highlight w:val="none"/>
              </w:rPr>
            </w:pPr>
          </w:p>
        </w:tc>
        <w:tc>
          <w:tcPr>
            <w:tcW w:w="1446" w:type="dxa"/>
            <w:vAlign w:val="top"/>
          </w:tcPr>
          <w:p w14:paraId="09722234">
            <w:pPr>
              <w:rPr>
                <w:rFonts w:ascii="Arial"/>
                <w:color w:val="auto"/>
                <w:sz w:val="21"/>
                <w:highlight w:val="none"/>
              </w:rPr>
            </w:pPr>
          </w:p>
        </w:tc>
        <w:tc>
          <w:tcPr>
            <w:tcW w:w="1679" w:type="dxa"/>
            <w:tcBorders>
              <w:right w:val="single" w:color="000000" w:sz="10" w:space="0"/>
            </w:tcBorders>
            <w:vAlign w:val="top"/>
          </w:tcPr>
          <w:p w14:paraId="533D3862">
            <w:pPr>
              <w:rPr>
                <w:rFonts w:ascii="Arial"/>
                <w:color w:val="auto"/>
                <w:sz w:val="21"/>
                <w:highlight w:val="none"/>
              </w:rPr>
            </w:pPr>
          </w:p>
        </w:tc>
      </w:tr>
      <w:tr w14:paraId="6E9B6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564C946">
            <w:pPr>
              <w:rPr>
                <w:rFonts w:ascii="Arial"/>
                <w:color w:val="auto"/>
                <w:sz w:val="21"/>
                <w:highlight w:val="none"/>
              </w:rPr>
            </w:pPr>
          </w:p>
        </w:tc>
        <w:tc>
          <w:tcPr>
            <w:tcW w:w="1274" w:type="dxa"/>
            <w:vAlign w:val="top"/>
          </w:tcPr>
          <w:p w14:paraId="28AD5359">
            <w:pPr>
              <w:rPr>
                <w:rFonts w:ascii="Arial"/>
                <w:color w:val="auto"/>
                <w:sz w:val="21"/>
                <w:highlight w:val="none"/>
              </w:rPr>
            </w:pPr>
          </w:p>
        </w:tc>
        <w:tc>
          <w:tcPr>
            <w:tcW w:w="1446" w:type="dxa"/>
            <w:vAlign w:val="top"/>
          </w:tcPr>
          <w:p w14:paraId="78EECB51">
            <w:pPr>
              <w:rPr>
                <w:rFonts w:ascii="Arial"/>
                <w:color w:val="auto"/>
                <w:sz w:val="21"/>
                <w:highlight w:val="none"/>
              </w:rPr>
            </w:pPr>
          </w:p>
        </w:tc>
        <w:tc>
          <w:tcPr>
            <w:tcW w:w="1240" w:type="dxa"/>
            <w:vAlign w:val="top"/>
          </w:tcPr>
          <w:p w14:paraId="57B0A316">
            <w:pPr>
              <w:rPr>
                <w:rFonts w:ascii="Arial"/>
                <w:color w:val="auto"/>
                <w:sz w:val="21"/>
                <w:highlight w:val="none"/>
              </w:rPr>
            </w:pPr>
          </w:p>
        </w:tc>
        <w:tc>
          <w:tcPr>
            <w:tcW w:w="1446" w:type="dxa"/>
            <w:vAlign w:val="top"/>
          </w:tcPr>
          <w:p w14:paraId="654BBB81">
            <w:pPr>
              <w:rPr>
                <w:rFonts w:ascii="Arial"/>
                <w:color w:val="auto"/>
                <w:sz w:val="21"/>
                <w:highlight w:val="none"/>
              </w:rPr>
            </w:pPr>
          </w:p>
        </w:tc>
        <w:tc>
          <w:tcPr>
            <w:tcW w:w="1679" w:type="dxa"/>
            <w:tcBorders>
              <w:right w:val="single" w:color="000000" w:sz="10" w:space="0"/>
            </w:tcBorders>
            <w:vAlign w:val="top"/>
          </w:tcPr>
          <w:p w14:paraId="0B50E7C5">
            <w:pPr>
              <w:rPr>
                <w:rFonts w:ascii="Arial"/>
                <w:color w:val="auto"/>
                <w:sz w:val="21"/>
                <w:highlight w:val="none"/>
              </w:rPr>
            </w:pPr>
          </w:p>
        </w:tc>
      </w:tr>
      <w:tr w14:paraId="70121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14:paraId="20291551">
            <w:pPr>
              <w:rPr>
                <w:rFonts w:ascii="Arial"/>
                <w:color w:val="auto"/>
                <w:sz w:val="21"/>
                <w:highlight w:val="none"/>
              </w:rPr>
            </w:pPr>
          </w:p>
        </w:tc>
        <w:tc>
          <w:tcPr>
            <w:tcW w:w="1274" w:type="dxa"/>
            <w:vAlign w:val="top"/>
          </w:tcPr>
          <w:p w14:paraId="06C83B07">
            <w:pPr>
              <w:rPr>
                <w:rFonts w:ascii="Arial"/>
                <w:color w:val="auto"/>
                <w:sz w:val="21"/>
                <w:highlight w:val="none"/>
              </w:rPr>
            </w:pPr>
          </w:p>
        </w:tc>
        <w:tc>
          <w:tcPr>
            <w:tcW w:w="1446" w:type="dxa"/>
            <w:vAlign w:val="top"/>
          </w:tcPr>
          <w:p w14:paraId="6DAEDCCB">
            <w:pPr>
              <w:rPr>
                <w:rFonts w:ascii="Arial"/>
                <w:color w:val="auto"/>
                <w:sz w:val="21"/>
                <w:highlight w:val="none"/>
              </w:rPr>
            </w:pPr>
          </w:p>
        </w:tc>
        <w:tc>
          <w:tcPr>
            <w:tcW w:w="1240" w:type="dxa"/>
            <w:vAlign w:val="top"/>
          </w:tcPr>
          <w:p w14:paraId="5E3BDD54">
            <w:pPr>
              <w:rPr>
                <w:rFonts w:ascii="Arial"/>
                <w:color w:val="auto"/>
                <w:sz w:val="21"/>
                <w:highlight w:val="none"/>
              </w:rPr>
            </w:pPr>
          </w:p>
        </w:tc>
        <w:tc>
          <w:tcPr>
            <w:tcW w:w="1446" w:type="dxa"/>
            <w:vAlign w:val="top"/>
          </w:tcPr>
          <w:p w14:paraId="38EE4434">
            <w:pPr>
              <w:rPr>
                <w:rFonts w:ascii="Arial"/>
                <w:color w:val="auto"/>
                <w:sz w:val="21"/>
                <w:highlight w:val="none"/>
              </w:rPr>
            </w:pPr>
          </w:p>
        </w:tc>
        <w:tc>
          <w:tcPr>
            <w:tcW w:w="1679" w:type="dxa"/>
            <w:tcBorders>
              <w:right w:val="single" w:color="000000" w:sz="10" w:space="0"/>
            </w:tcBorders>
            <w:vAlign w:val="top"/>
          </w:tcPr>
          <w:p w14:paraId="5E63243B">
            <w:pPr>
              <w:rPr>
                <w:rFonts w:ascii="Arial"/>
                <w:color w:val="auto"/>
                <w:sz w:val="21"/>
                <w:highlight w:val="none"/>
              </w:rPr>
            </w:pPr>
          </w:p>
        </w:tc>
      </w:tr>
      <w:tr w14:paraId="267EF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3DE088D7">
            <w:pPr>
              <w:rPr>
                <w:rFonts w:ascii="Arial"/>
                <w:color w:val="auto"/>
                <w:sz w:val="21"/>
                <w:highlight w:val="none"/>
              </w:rPr>
            </w:pPr>
          </w:p>
        </w:tc>
        <w:tc>
          <w:tcPr>
            <w:tcW w:w="1274" w:type="dxa"/>
            <w:vAlign w:val="top"/>
          </w:tcPr>
          <w:p w14:paraId="3F0020A3">
            <w:pPr>
              <w:rPr>
                <w:rFonts w:ascii="Arial"/>
                <w:color w:val="auto"/>
                <w:sz w:val="21"/>
                <w:highlight w:val="none"/>
              </w:rPr>
            </w:pPr>
          </w:p>
        </w:tc>
        <w:tc>
          <w:tcPr>
            <w:tcW w:w="1446" w:type="dxa"/>
            <w:vAlign w:val="top"/>
          </w:tcPr>
          <w:p w14:paraId="1D459FC5">
            <w:pPr>
              <w:rPr>
                <w:rFonts w:ascii="Arial"/>
                <w:color w:val="auto"/>
                <w:sz w:val="21"/>
                <w:highlight w:val="none"/>
              </w:rPr>
            </w:pPr>
          </w:p>
        </w:tc>
        <w:tc>
          <w:tcPr>
            <w:tcW w:w="1240" w:type="dxa"/>
            <w:vAlign w:val="top"/>
          </w:tcPr>
          <w:p w14:paraId="33FAC688">
            <w:pPr>
              <w:rPr>
                <w:rFonts w:ascii="Arial"/>
                <w:color w:val="auto"/>
                <w:sz w:val="21"/>
                <w:highlight w:val="none"/>
              </w:rPr>
            </w:pPr>
          </w:p>
        </w:tc>
        <w:tc>
          <w:tcPr>
            <w:tcW w:w="1446" w:type="dxa"/>
            <w:vAlign w:val="top"/>
          </w:tcPr>
          <w:p w14:paraId="4161048E">
            <w:pPr>
              <w:rPr>
                <w:rFonts w:ascii="Arial"/>
                <w:color w:val="auto"/>
                <w:sz w:val="21"/>
                <w:highlight w:val="none"/>
              </w:rPr>
            </w:pPr>
          </w:p>
        </w:tc>
        <w:tc>
          <w:tcPr>
            <w:tcW w:w="1679" w:type="dxa"/>
            <w:tcBorders>
              <w:right w:val="single" w:color="000000" w:sz="10" w:space="0"/>
            </w:tcBorders>
            <w:vAlign w:val="top"/>
          </w:tcPr>
          <w:p w14:paraId="571A8E4F">
            <w:pPr>
              <w:rPr>
                <w:rFonts w:ascii="Arial"/>
                <w:color w:val="auto"/>
                <w:sz w:val="21"/>
                <w:highlight w:val="none"/>
              </w:rPr>
            </w:pPr>
          </w:p>
        </w:tc>
      </w:tr>
      <w:tr w14:paraId="5954A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6B23012">
            <w:pPr>
              <w:rPr>
                <w:rFonts w:ascii="Arial"/>
                <w:color w:val="auto"/>
                <w:sz w:val="21"/>
                <w:highlight w:val="none"/>
              </w:rPr>
            </w:pPr>
          </w:p>
        </w:tc>
        <w:tc>
          <w:tcPr>
            <w:tcW w:w="1274" w:type="dxa"/>
            <w:vAlign w:val="top"/>
          </w:tcPr>
          <w:p w14:paraId="1E93471B">
            <w:pPr>
              <w:rPr>
                <w:rFonts w:ascii="Arial"/>
                <w:color w:val="auto"/>
                <w:sz w:val="21"/>
                <w:highlight w:val="none"/>
              </w:rPr>
            </w:pPr>
          </w:p>
        </w:tc>
        <w:tc>
          <w:tcPr>
            <w:tcW w:w="1446" w:type="dxa"/>
            <w:vAlign w:val="top"/>
          </w:tcPr>
          <w:p w14:paraId="17AFF967">
            <w:pPr>
              <w:rPr>
                <w:rFonts w:ascii="Arial"/>
                <w:color w:val="auto"/>
                <w:sz w:val="21"/>
                <w:highlight w:val="none"/>
              </w:rPr>
            </w:pPr>
          </w:p>
        </w:tc>
        <w:tc>
          <w:tcPr>
            <w:tcW w:w="1240" w:type="dxa"/>
            <w:vAlign w:val="top"/>
          </w:tcPr>
          <w:p w14:paraId="255639AE">
            <w:pPr>
              <w:rPr>
                <w:rFonts w:ascii="Arial"/>
                <w:color w:val="auto"/>
                <w:sz w:val="21"/>
                <w:highlight w:val="none"/>
              </w:rPr>
            </w:pPr>
          </w:p>
        </w:tc>
        <w:tc>
          <w:tcPr>
            <w:tcW w:w="1446" w:type="dxa"/>
            <w:vAlign w:val="top"/>
          </w:tcPr>
          <w:p w14:paraId="57A55229">
            <w:pPr>
              <w:rPr>
                <w:rFonts w:ascii="Arial"/>
                <w:color w:val="auto"/>
                <w:sz w:val="21"/>
                <w:highlight w:val="none"/>
              </w:rPr>
            </w:pPr>
          </w:p>
        </w:tc>
        <w:tc>
          <w:tcPr>
            <w:tcW w:w="1679" w:type="dxa"/>
            <w:tcBorders>
              <w:right w:val="single" w:color="000000" w:sz="10" w:space="0"/>
            </w:tcBorders>
            <w:vAlign w:val="top"/>
          </w:tcPr>
          <w:p w14:paraId="32CA694F">
            <w:pPr>
              <w:rPr>
                <w:rFonts w:ascii="Arial"/>
                <w:color w:val="auto"/>
                <w:sz w:val="21"/>
                <w:highlight w:val="none"/>
              </w:rPr>
            </w:pPr>
          </w:p>
        </w:tc>
      </w:tr>
      <w:tr w14:paraId="79E73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A95479C">
            <w:pPr>
              <w:rPr>
                <w:rFonts w:ascii="Arial"/>
                <w:color w:val="auto"/>
                <w:sz w:val="21"/>
                <w:highlight w:val="none"/>
              </w:rPr>
            </w:pPr>
          </w:p>
        </w:tc>
        <w:tc>
          <w:tcPr>
            <w:tcW w:w="1274" w:type="dxa"/>
            <w:vAlign w:val="top"/>
          </w:tcPr>
          <w:p w14:paraId="23637CB6">
            <w:pPr>
              <w:rPr>
                <w:rFonts w:ascii="Arial"/>
                <w:color w:val="auto"/>
                <w:sz w:val="21"/>
                <w:highlight w:val="none"/>
              </w:rPr>
            </w:pPr>
          </w:p>
        </w:tc>
        <w:tc>
          <w:tcPr>
            <w:tcW w:w="1446" w:type="dxa"/>
            <w:vAlign w:val="top"/>
          </w:tcPr>
          <w:p w14:paraId="13ECBBC1">
            <w:pPr>
              <w:rPr>
                <w:rFonts w:ascii="Arial"/>
                <w:color w:val="auto"/>
                <w:sz w:val="21"/>
                <w:highlight w:val="none"/>
              </w:rPr>
            </w:pPr>
          </w:p>
        </w:tc>
        <w:tc>
          <w:tcPr>
            <w:tcW w:w="1240" w:type="dxa"/>
            <w:vAlign w:val="top"/>
          </w:tcPr>
          <w:p w14:paraId="24A7E9FE">
            <w:pPr>
              <w:rPr>
                <w:rFonts w:ascii="Arial"/>
                <w:color w:val="auto"/>
                <w:sz w:val="21"/>
                <w:highlight w:val="none"/>
              </w:rPr>
            </w:pPr>
          </w:p>
        </w:tc>
        <w:tc>
          <w:tcPr>
            <w:tcW w:w="1446" w:type="dxa"/>
            <w:vAlign w:val="top"/>
          </w:tcPr>
          <w:p w14:paraId="3E7BC2E9">
            <w:pPr>
              <w:rPr>
                <w:rFonts w:ascii="Arial"/>
                <w:color w:val="auto"/>
                <w:sz w:val="21"/>
                <w:highlight w:val="none"/>
              </w:rPr>
            </w:pPr>
          </w:p>
        </w:tc>
        <w:tc>
          <w:tcPr>
            <w:tcW w:w="1679" w:type="dxa"/>
            <w:tcBorders>
              <w:right w:val="single" w:color="000000" w:sz="10" w:space="0"/>
            </w:tcBorders>
            <w:vAlign w:val="top"/>
          </w:tcPr>
          <w:p w14:paraId="20B237D1">
            <w:pPr>
              <w:rPr>
                <w:rFonts w:ascii="Arial"/>
                <w:color w:val="auto"/>
                <w:sz w:val="21"/>
                <w:highlight w:val="none"/>
              </w:rPr>
            </w:pPr>
          </w:p>
        </w:tc>
      </w:tr>
      <w:tr w14:paraId="4965F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1BAB8A21">
            <w:pPr>
              <w:rPr>
                <w:rFonts w:ascii="Arial"/>
                <w:color w:val="auto"/>
                <w:sz w:val="21"/>
                <w:highlight w:val="none"/>
              </w:rPr>
            </w:pPr>
          </w:p>
        </w:tc>
        <w:tc>
          <w:tcPr>
            <w:tcW w:w="1274" w:type="dxa"/>
            <w:vAlign w:val="top"/>
          </w:tcPr>
          <w:p w14:paraId="17D00AE1">
            <w:pPr>
              <w:rPr>
                <w:rFonts w:ascii="Arial"/>
                <w:color w:val="auto"/>
                <w:sz w:val="21"/>
                <w:highlight w:val="none"/>
              </w:rPr>
            </w:pPr>
          </w:p>
        </w:tc>
        <w:tc>
          <w:tcPr>
            <w:tcW w:w="1446" w:type="dxa"/>
            <w:vAlign w:val="top"/>
          </w:tcPr>
          <w:p w14:paraId="5761CDB9">
            <w:pPr>
              <w:rPr>
                <w:rFonts w:ascii="Arial"/>
                <w:color w:val="auto"/>
                <w:sz w:val="21"/>
                <w:highlight w:val="none"/>
              </w:rPr>
            </w:pPr>
          </w:p>
        </w:tc>
        <w:tc>
          <w:tcPr>
            <w:tcW w:w="1240" w:type="dxa"/>
            <w:vAlign w:val="top"/>
          </w:tcPr>
          <w:p w14:paraId="68555BBA">
            <w:pPr>
              <w:rPr>
                <w:rFonts w:ascii="Arial"/>
                <w:color w:val="auto"/>
                <w:sz w:val="21"/>
                <w:highlight w:val="none"/>
              </w:rPr>
            </w:pPr>
          </w:p>
        </w:tc>
        <w:tc>
          <w:tcPr>
            <w:tcW w:w="1446" w:type="dxa"/>
            <w:vAlign w:val="top"/>
          </w:tcPr>
          <w:p w14:paraId="535C085F">
            <w:pPr>
              <w:rPr>
                <w:rFonts w:ascii="Arial"/>
                <w:color w:val="auto"/>
                <w:sz w:val="21"/>
                <w:highlight w:val="none"/>
              </w:rPr>
            </w:pPr>
          </w:p>
        </w:tc>
        <w:tc>
          <w:tcPr>
            <w:tcW w:w="1679" w:type="dxa"/>
            <w:tcBorders>
              <w:right w:val="single" w:color="000000" w:sz="10" w:space="0"/>
            </w:tcBorders>
            <w:vAlign w:val="top"/>
          </w:tcPr>
          <w:p w14:paraId="12E42D8B">
            <w:pPr>
              <w:rPr>
                <w:rFonts w:ascii="Arial"/>
                <w:color w:val="auto"/>
                <w:sz w:val="21"/>
                <w:highlight w:val="none"/>
              </w:rPr>
            </w:pPr>
          </w:p>
        </w:tc>
      </w:tr>
      <w:tr w14:paraId="41D44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279CD7E">
            <w:pPr>
              <w:rPr>
                <w:rFonts w:ascii="Arial"/>
                <w:color w:val="auto"/>
                <w:sz w:val="21"/>
                <w:highlight w:val="none"/>
              </w:rPr>
            </w:pPr>
          </w:p>
        </w:tc>
        <w:tc>
          <w:tcPr>
            <w:tcW w:w="1274" w:type="dxa"/>
            <w:vAlign w:val="top"/>
          </w:tcPr>
          <w:p w14:paraId="4E3E5DD1">
            <w:pPr>
              <w:rPr>
                <w:rFonts w:ascii="Arial"/>
                <w:color w:val="auto"/>
                <w:sz w:val="21"/>
                <w:highlight w:val="none"/>
              </w:rPr>
            </w:pPr>
          </w:p>
        </w:tc>
        <w:tc>
          <w:tcPr>
            <w:tcW w:w="1446" w:type="dxa"/>
            <w:vAlign w:val="top"/>
          </w:tcPr>
          <w:p w14:paraId="07249C68">
            <w:pPr>
              <w:rPr>
                <w:rFonts w:ascii="Arial"/>
                <w:color w:val="auto"/>
                <w:sz w:val="21"/>
                <w:highlight w:val="none"/>
              </w:rPr>
            </w:pPr>
          </w:p>
        </w:tc>
        <w:tc>
          <w:tcPr>
            <w:tcW w:w="1240" w:type="dxa"/>
            <w:vAlign w:val="top"/>
          </w:tcPr>
          <w:p w14:paraId="56B43FEC">
            <w:pPr>
              <w:rPr>
                <w:rFonts w:ascii="Arial"/>
                <w:color w:val="auto"/>
                <w:sz w:val="21"/>
                <w:highlight w:val="none"/>
              </w:rPr>
            </w:pPr>
          </w:p>
        </w:tc>
        <w:tc>
          <w:tcPr>
            <w:tcW w:w="1446" w:type="dxa"/>
            <w:vAlign w:val="top"/>
          </w:tcPr>
          <w:p w14:paraId="354CE032">
            <w:pPr>
              <w:rPr>
                <w:rFonts w:ascii="Arial"/>
                <w:color w:val="auto"/>
                <w:sz w:val="21"/>
                <w:highlight w:val="none"/>
              </w:rPr>
            </w:pPr>
          </w:p>
        </w:tc>
        <w:tc>
          <w:tcPr>
            <w:tcW w:w="1679" w:type="dxa"/>
            <w:tcBorders>
              <w:right w:val="single" w:color="000000" w:sz="10" w:space="0"/>
            </w:tcBorders>
            <w:vAlign w:val="top"/>
          </w:tcPr>
          <w:p w14:paraId="423197CA">
            <w:pPr>
              <w:rPr>
                <w:rFonts w:ascii="Arial"/>
                <w:color w:val="auto"/>
                <w:sz w:val="21"/>
                <w:highlight w:val="none"/>
              </w:rPr>
            </w:pPr>
          </w:p>
        </w:tc>
      </w:tr>
      <w:tr w14:paraId="5F814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1CF161A">
            <w:pPr>
              <w:rPr>
                <w:rFonts w:ascii="Arial"/>
                <w:color w:val="auto"/>
                <w:sz w:val="21"/>
                <w:highlight w:val="none"/>
              </w:rPr>
            </w:pPr>
          </w:p>
        </w:tc>
        <w:tc>
          <w:tcPr>
            <w:tcW w:w="1274" w:type="dxa"/>
            <w:vAlign w:val="top"/>
          </w:tcPr>
          <w:p w14:paraId="5F3CF37D">
            <w:pPr>
              <w:rPr>
                <w:rFonts w:ascii="Arial"/>
                <w:color w:val="auto"/>
                <w:sz w:val="21"/>
                <w:highlight w:val="none"/>
              </w:rPr>
            </w:pPr>
          </w:p>
        </w:tc>
        <w:tc>
          <w:tcPr>
            <w:tcW w:w="1446" w:type="dxa"/>
            <w:vAlign w:val="top"/>
          </w:tcPr>
          <w:p w14:paraId="488A1919">
            <w:pPr>
              <w:rPr>
                <w:rFonts w:ascii="Arial"/>
                <w:color w:val="auto"/>
                <w:sz w:val="21"/>
                <w:highlight w:val="none"/>
              </w:rPr>
            </w:pPr>
          </w:p>
        </w:tc>
        <w:tc>
          <w:tcPr>
            <w:tcW w:w="1240" w:type="dxa"/>
            <w:vAlign w:val="top"/>
          </w:tcPr>
          <w:p w14:paraId="37FBFF07">
            <w:pPr>
              <w:rPr>
                <w:rFonts w:ascii="Arial"/>
                <w:color w:val="auto"/>
                <w:sz w:val="21"/>
                <w:highlight w:val="none"/>
              </w:rPr>
            </w:pPr>
          </w:p>
        </w:tc>
        <w:tc>
          <w:tcPr>
            <w:tcW w:w="1446" w:type="dxa"/>
            <w:vAlign w:val="top"/>
          </w:tcPr>
          <w:p w14:paraId="3F917AA4">
            <w:pPr>
              <w:rPr>
                <w:rFonts w:ascii="Arial"/>
                <w:color w:val="auto"/>
                <w:sz w:val="21"/>
                <w:highlight w:val="none"/>
              </w:rPr>
            </w:pPr>
          </w:p>
        </w:tc>
        <w:tc>
          <w:tcPr>
            <w:tcW w:w="1679" w:type="dxa"/>
            <w:tcBorders>
              <w:right w:val="single" w:color="000000" w:sz="10" w:space="0"/>
            </w:tcBorders>
            <w:vAlign w:val="top"/>
          </w:tcPr>
          <w:p w14:paraId="359C90E5">
            <w:pPr>
              <w:rPr>
                <w:rFonts w:ascii="Arial"/>
                <w:color w:val="auto"/>
                <w:sz w:val="21"/>
                <w:highlight w:val="none"/>
              </w:rPr>
            </w:pPr>
          </w:p>
        </w:tc>
      </w:tr>
      <w:tr w14:paraId="2A2C2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14:paraId="0585B298">
            <w:pPr>
              <w:rPr>
                <w:rFonts w:ascii="Arial"/>
                <w:color w:val="auto"/>
                <w:sz w:val="21"/>
                <w:highlight w:val="none"/>
              </w:rPr>
            </w:pPr>
          </w:p>
        </w:tc>
        <w:tc>
          <w:tcPr>
            <w:tcW w:w="1274" w:type="dxa"/>
            <w:tcBorders>
              <w:bottom w:val="single" w:color="000000" w:sz="10" w:space="0"/>
            </w:tcBorders>
            <w:vAlign w:val="top"/>
          </w:tcPr>
          <w:p w14:paraId="3CD7F73D">
            <w:pPr>
              <w:rPr>
                <w:rFonts w:ascii="Arial"/>
                <w:color w:val="auto"/>
                <w:sz w:val="21"/>
                <w:highlight w:val="none"/>
              </w:rPr>
            </w:pPr>
          </w:p>
        </w:tc>
        <w:tc>
          <w:tcPr>
            <w:tcW w:w="1446" w:type="dxa"/>
            <w:tcBorders>
              <w:bottom w:val="single" w:color="000000" w:sz="10" w:space="0"/>
            </w:tcBorders>
            <w:vAlign w:val="top"/>
          </w:tcPr>
          <w:p w14:paraId="12F1EC86">
            <w:pPr>
              <w:rPr>
                <w:rFonts w:ascii="Arial"/>
                <w:color w:val="auto"/>
                <w:sz w:val="21"/>
                <w:highlight w:val="none"/>
              </w:rPr>
            </w:pPr>
          </w:p>
        </w:tc>
        <w:tc>
          <w:tcPr>
            <w:tcW w:w="1240" w:type="dxa"/>
            <w:tcBorders>
              <w:bottom w:val="single" w:color="000000" w:sz="10" w:space="0"/>
            </w:tcBorders>
            <w:vAlign w:val="top"/>
          </w:tcPr>
          <w:p w14:paraId="7F300426">
            <w:pPr>
              <w:rPr>
                <w:rFonts w:ascii="Arial"/>
                <w:color w:val="auto"/>
                <w:sz w:val="21"/>
                <w:highlight w:val="none"/>
              </w:rPr>
            </w:pPr>
          </w:p>
        </w:tc>
        <w:tc>
          <w:tcPr>
            <w:tcW w:w="1446" w:type="dxa"/>
            <w:tcBorders>
              <w:bottom w:val="single" w:color="000000" w:sz="10" w:space="0"/>
            </w:tcBorders>
            <w:vAlign w:val="top"/>
          </w:tcPr>
          <w:p w14:paraId="3560628F">
            <w:pPr>
              <w:rPr>
                <w:rFonts w:ascii="Arial"/>
                <w:color w:val="auto"/>
                <w:sz w:val="21"/>
                <w:highlight w:val="none"/>
              </w:rPr>
            </w:pPr>
          </w:p>
        </w:tc>
        <w:tc>
          <w:tcPr>
            <w:tcW w:w="1679" w:type="dxa"/>
            <w:tcBorders>
              <w:bottom w:val="single" w:color="000000" w:sz="10" w:space="0"/>
              <w:right w:val="single" w:color="000000" w:sz="10" w:space="0"/>
            </w:tcBorders>
            <w:vAlign w:val="top"/>
          </w:tcPr>
          <w:p w14:paraId="2A632EE0">
            <w:pPr>
              <w:rPr>
                <w:rFonts w:ascii="Arial"/>
                <w:color w:val="auto"/>
                <w:sz w:val="21"/>
                <w:highlight w:val="none"/>
              </w:rPr>
            </w:pPr>
          </w:p>
        </w:tc>
      </w:tr>
    </w:tbl>
    <w:p w14:paraId="1AAFC5B6">
      <w:pPr>
        <w:pStyle w:val="3"/>
        <w:rPr>
          <w:color w:val="auto"/>
          <w:highlight w:val="none"/>
        </w:rPr>
      </w:pPr>
    </w:p>
    <w:p w14:paraId="23EEF33D">
      <w:pPr>
        <w:rPr>
          <w:color w:val="auto"/>
          <w:highlight w:val="none"/>
        </w:rPr>
        <w:sectPr>
          <w:footerReference r:id="rId160" w:type="default"/>
          <w:pgSz w:w="11905" w:h="16839"/>
          <w:pgMar w:top="400" w:right="1411" w:bottom="1004" w:left="1421" w:header="0" w:footer="828" w:gutter="0"/>
          <w:pgNumType w:fmt="decimal"/>
          <w:cols w:space="720" w:num="1"/>
        </w:sectPr>
      </w:pPr>
    </w:p>
    <w:p w14:paraId="6B806F93">
      <w:pPr>
        <w:pStyle w:val="3"/>
        <w:spacing w:line="276" w:lineRule="auto"/>
        <w:rPr>
          <w:color w:val="auto"/>
          <w:highlight w:val="none"/>
        </w:rPr>
      </w:pPr>
    </w:p>
    <w:p w14:paraId="7E0D22A6">
      <w:pPr>
        <w:pStyle w:val="3"/>
        <w:spacing w:line="276" w:lineRule="auto"/>
        <w:rPr>
          <w:color w:val="auto"/>
          <w:highlight w:val="none"/>
        </w:rPr>
      </w:pPr>
    </w:p>
    <w:p w14:paraId="75FD0B39">
      <w:pPr>
        <w:pStyle w:val="3"/>
        <w:spacing w:line="276" w:lineRule="auto"/>
        <w:rPr>
          <w:color w:val="auto"/>
          <w:highlight w:val="none"/>
        </w:rPr>
      </w:pPr>
    </w:p>
    <w:p w14:paraId="22145292">
      <w:pPr>
        <w:pStyle w:val="3"/>
        <w:spacing w:line="276" w:lineRule="auto"/>
        <w:rPr>
          <w:color w:val="auto"/>
          <w:highlight w:val="none"/>
        </w:rPr>
      </w:pPr>
    </w:p>
    <w:p w14:paraId="0089FEEB">
      <w:pPr>
        <w:spacing w:before="78" w:line="219" w:lineRule="auto"/>
        <w:ind w:left="36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5</w:t>
      </w:r>
      <w:r>
        <w:rPr>
          <w:rFonts w:ascii="宋体" w:hAnsi="宋体" w:eastAsia="宋体" w:cs="宋体"/>
          <w:color w:val="auto"/>
          <w:spacing w:val="-10"/>
          <w:sz w:val="24"/>
          <w:szCs w:val="24"/>
          <w:highlight w:val="none"/>
        </w:rPr>
        <w:t>：</w:t>
      </w:r>
    </w:p>
    <w:p w14:paraId="2299361F">
      <w:pPr>
        <w:spacing w:before="243" w:line="225" w:lineRule="auto"/>
        <w:ind w:left="2261"/>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承包人用于本工程施工的机械设备表</w:t>
      </w:r>
    </w:p>
    <w:p w14:paraId="2CF3E5BF">
      <w:pPr>
        <w:spacing w:line="112" w:lineRule="exact"/>
        <w:rPr>
          <w:color w:val="auto"/>
          <w:highlight w:val="none"/>
        </w:rPr>
      </w:pPr>
    </w:p>
    <w:tbl>
      <w:tblPr>
        <w:tblStyle w:val="10"/>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14:paraId="24E87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14:paraId="15C5952B">
            <w:pPr>
              <w:spacing w:line="328" w:lineRule="auto"/>
              <w:rPr>
                <w:rFonts w:ascii="Arial"/>
                <w:color w:val="auto"/>
                <w:sz w:val="21"/>
                <w:highlight w:val="none"/>
              </w:rPr>
            </w:pPr>
          </w:p>
          <w:p w14:paraId="29AE811D">
            <w:pPr>
              <w:pStyle w:val="11"/>
              <w:spacing w:before="68" w:line="222" w:lineRule="auto"/>
              <w:ind w:left="155"/>
              <w:rPr>
                <w:color w:val="auto"/>
                <w:highlight w:val="none"/>
              </w:rPr>
            </w:pPr>
            <w:r>
              <w:rPr>
                <w:color w:val="auto"/>
                <w:spacing w:val="-2"/>
                <w:highlight w:val="none"/>
              </w:rPr>
              <w:t>序号</w:t>
            </w:r>
          </w:p>
        </w:tc>
        <w:tc>
          <w:tcPr>
            <w:tcW w:w="1412" w:type="dxa"/>
            <w:tcBorders>
              <w:top w:val="single" w:color="000000" w:sz="10" w:space="0"/>
            </w:tcBorders>
            <w:vAlign w:val="top"/>
          </w:tcPr>
          <w:p w14:paraId="2F143F1C">
            <w:pPr>
              <w:pStyle w:val="11"/>
              <w:spacing w:before="178" w:line="441" w:lineRule="exact"/>
              <w:ind w:left="177"/>
              <w:rPr>
                <w:color w:val="auto"/>
                <w:highlight w:val="none"/>
              </w:rPr>
            </w:pPr>
            <w:r>
              <w:rPr>
                <w:color w:val="auto"/>
                <w:spacing w:val="-1"/>
                <w:position w:val="17"/>
                <w:highlight w:val="none"/>
              </w:rPr>
              <w:t>机械或设备</w:t>
            </w:r>
          </w:p>
          <w:p w14:paraId="510FB039">
            <w:pPr>
              <w:pStyle w:val="11"/>
              <w:spacing w:line="222" w:lineRule="auto"/>
              <w:ind w:left="497"/>
              <w:rPr>
                <w:color w:val="auto"/>
                <w:highlight w:val="none"/>
              </w:rPr>
            </w:pPr>
            <w:r>
              <w:rPr>
                <w:color w:val="auto"/>
                <w:spacing w:val="-3"/>
                <w:highlight w:val="none"/>
              </w:rPr>
              <w:t>名称</w:t>
            </w:r>
          </w:p>
        </w:tc>
        <w:tc>
          <w:tcPr>
            <w:tcW w:w="848" w:type="dxa"/>
            <w:tcBorders>
              <w:top w:val="single" w:color="000000" w:sz="10" w:space="0"/>
            </w:tcBorders>
            <w:vAlign w:val="top"/>
          </w:tcPr>
          <w:p w14:paraId="7BF35AAE">
            <w:pPr>
              <w:pStyle w:val="11"/>
              <w:spacing w:before="178" w:line="441" w:lineRule="exact"/>
              <w:ind w:left="217"/>
              <w:rPr>
                <w:color w:val="auto"/>
                <w:highlight w:val="none"/>
              </w:rPr>
            </w:pPr>
            <w:r>
              <w:rPr>
                <w:color w:val="auto"/>
                <w:spacing w:val="-2"/>
                <w:position w:val="17"/>
                <w:highlight w:val="none"/>
              </w:rPr>
              <w:t>规格</w:t>
            </w:r>
          </w:p>
          <w:p w14:paraId="701E0E0E">
            <w:pPr>
              <w:pStyle w:val="11"/>
              <w:spacing w:line="222" w:lineRule="auto"/>
              <w:ind w:left="222"/>
              <w:rPr>
                <w:color w:val="auto"/>
                <w:highlight w:val="none"/>
              </w:rPr>
            </w:pPr>
            <w:r>
              <w:rPr>
                <w:color w:val="auto"/>
                <w:spacing w:val="-4"/>
                <w:highlight w:val="none"/>
              </w:rPr>
              <w:t>型号</w:t>
            </w:r>
          </w:p>
        </w:tc>
        <w:tc>
          <w:tcPr>
            <w:tcW w:w="708" w:type="dxa"/>
            <w:tcBorders>
              <w:top w:val="single" w:color="000000" w:sz="10" w:space="0"/>
            </w:tcBorders>
            <w:vAlign w:val="top"/>
          </w:tcPr>
          <w:p w14:paraId="79B4FA00">
            <w:pPr>
              <w:spacing w:line="328" w:lineRule="auto"/>
              <w:rPr>
                <w:rFonts w:ascii="Arial"/>
                <w:color w:val="auto"/>
                <w:sz w:val="21"/>
                <w:highlight w:val="none"/>
              </w:rPr>
            </w:pPr>
          </w:p>
          <w:p w14:paraId="2B42AEC2">
            <w:pPr>
              <w:pStyle w:val="11"/>
              <w:spacing w:before="68" w:line="221" w:lineRule="auto"/>
              <w:ind w:left="148"/>
              <w:rPr>
                <w:color w:val="auto"/>
                <w:highlight w:val="none"/>
              </w:rPr>
            </w:pPr>
            <w:r>
              <w:rPr>
                <w:color w:val="auto"/>
                <w:spacing w:val="-2"/>
                <w:highlight w:val="none"/>
              </w:rPr>
              <w:t>数量</w:t>
            </w:r>
          </w:p>
        </w:tc>
        <w:tc>
          <w:tcPr>
            <w:tcW w:w="848" w:type="dxa"/>
            <w:tcBorders>
              <w:top w:val="single" w:color="000000" w:sz="10" w:space="0"/>
            </w:tcBorders>
            <w:vAlign w:val="top"/>
          </w:tcPr>
          <w:p w14:paraId="1BAD0695">
            <w:pPr>
              <w:spacing w:line="328" w:lineRule="auto"/>
              <w:rPr>
                <w:rFonts w:ascii="Arial"/>
                <w:color w:val="auto"/>
                <w:sz w:val="21"/>
                <w:highlight w:val="none"/>
              </w:rPr>
            </w:pPr>
          </w:p>
          <w:p w14:paraId="4B313057">
            <w:pPr>
              <w:pStyle w:val="11"/>
              <w:spacing w:before="68" w:line="221" w:lineRule="auto"/>
              <w:ind w:left="220"/>
              <w:rPr>
                <w:color w:val="auto"/>
                <w:highlight w:val="none"/>
              </w:rPr>
            </w:pPr>
            <w:r>
              <w:rPr>
                <w:color w:val="auto"/>
                <w:spacing w:val="-2"/>
                <w:highlight w:val="none"/>
              </w:rPr>
              <w:t>产地</w:t>
            </w:r>
          </w:p>
        </w:tc>
        <w:tc>
          <w:tcPr>
            <w:tcW w:w="848" w:type="dxa"/>
            <w:tcBorders>
              <w:top w:val="single" w:color="000000" w:sz="10" w:space="0"/>
            </w:tcBorders>
            <w:vAlign w:val="top"/>
          </w:tcPr>
          <w:p w14:paraId="45C6BCC2">
            <w:pPr>
              <w:pStyle w:val="11"/>
              <w:spacing w:before="178" w:line="441" w:lineRule="exact"/>
              <w:ind w:left="223"/>
              <w:rPr>
                <w:color w:val="auto"/>
                <w:highlight w:val="none"/>
              </w:rPr>
            </w:pPr>
            <w:r>
              <w:rPr>
                <w:color w:val="auto"/>
                <w:spacing w:val="-2"/>
                <w:position w:val="17"/>
                <w:highlight w:val="none"/>
              </w:rPr>
              <w:t>制造</w:t>
            </w:r>
          </w:p>
          <w:p w14:paraId="696090DE">
            <w:pPr>
              <w:pStyle w:val="11"/>
              <w:spacing w:line="220" w:lineRule="auto"/>
              <w:ind w:left="223"/>
              <w:rPr>
                <w:color w:val="auto"/>
                <w:highlight w:val="none"/>
              </w:rPr>
            </w:pPr>
            <w:r>
              <w:rPr>
                <w:color w:val="auto"/>
                <w:spacing w:val="-2"/>
                <w:highlight w:val="none"/>
              </w:rPr>
              <w:t>年份</w:t>
            </w:r>
          </w:p>
        </w:tc>
        <w:tc>
          <w:tcPr>
            <w:tcW w:w="1274" w:type="dxa"/>
            <w:tcBorders>
              <w:top w:val="single" w:color="000000" w:sz="10" w:space="0"/>
            </w:tcBorders>
            <w:vAlign w:val="top"/>
          </w:tcPr>
          <w:p w14:paraId="20AC62EE">
            <w:pPr>
              <w:pStyle w:val="11"/>
              <w:spacing w:before="178" w:line="441" w:lineRule="exact"/>
              <w:ind w:left="224"/>
              <w:rPr>
                <w:color w:val="auto"/>
                <w:highlight w:val="none"/>
              </w:rPr>
            </w:pPr>
            <w:r>
              <w:rPr>
                <w:color w:val="auto"/>
                <w:spacing w:val="-1"/>
                <w:position w:val="17"/>
                <w:highlight w:val="none"/>
              </w:rPr>
              <w:t>额定功率</w:t>
            </w:r>
          </w:p>
          <w:p w14:paraId="1C13D6DF">
            <w:pPr>
              <w:pStyle w:val="11"/>
              <w:spacing w:line="231" w:lineRule="auto"/>
              <w:ind w:left="336"/>
              <w:rPr>
                <w:color w:val="auto"/>
                <w:highlight w:val="none"/>
              </w:rPr>
            </w:pPr>
            <w:r>
              <w:rPr>
                <w:color w:val="auto"/>
                <w:spacing w:val="-4"/>
                <w:highlight w:val="none"/>
              </w:rPr>
              <w:t>（kW）</w:t>
            </w:r>
          </w:p>
        </w:tc>
        <w:tc>
          <w:tcPr>
            <w:tcW w:w="1274" w:type="dxa"/>
            <w:tcBorders>
              <w:top w:val="single" w:color="000000" w:sz="10" w:space="0"/>
            </w:tcBorders>
            <w:vAlign w:val="top"/>
          </w:tcPr>
          <w:p w14:paraId="12252E21">
            <w:pPr>
              <w:spacing w:line="328" w:lineRule="auto"/>
              <w:rPr>
                <w:rFonts w:ascii="Arial"/>
                <w:color w:val="auto"/>
                <w:sz w:val="21"/>
                <w:highlight w:val="none"/>
              </w:rPr>
            </w:pPr>
          </w:p>
          <w:p w14:paraId="1075CB92">
            <w:pPr>
              <w:pStyle w:val="11"/>
              <w:spacing w:before="68" w:line="221" w:lineRule="auto"/>
              <w:ind w:left="229"/>
              <w:rPr>
                <w:color w:val="auto"/>
                <w:highlight w:val="none"/>
              </w:rPr>
            </w:pPr>
            <w:r>
              <w:rPr>
                <w:color w:val="auto"/>
                <w:spacing w:val="-1"/>
                <w:highlight w:val="none"/>
              </w:rPr>
              <w:t>生产能力</w:t>
            </w:r>
          </w:p>
        </w:tc>
        <w:tc>
          <w:tcPr>
            <w:tcW w:w="1007" w:type="dxa"/>
            <w:tcBorders>
              <w:top w:val="single" w:color="000000" w:sz="10" w:space="0"/>
              <w:right w:val="single" w:color="000000" w:sz="10" w:space="0"/>
            </w:tcBorders>
            <w:vAlign w:val="top"/>
          </w:tcPr>
          <w:p w14:paraId="63D9D59F">
            <w:pPr>
              <w:spacing w:line="328" w:lineRule="auto"/>
              <w:rPr>
                <w:rFonts w:ascii="Arial"/>
                <w:color w:val="auto"/>
                <w:sz w:val="21"/>
                <w:highlight w:val="none"/>
              </w:rPr>
            </w:pPr>
          </w:p>
          <w:p w14:paraId="796ACCCB">
            <w:pPr>
              <w:pStyle w:val="11"/>
              <w:spacing w:before="68" w:line="222" w:lineRule="auto"/>
              <w:ind w:left="305"/>
              <w:rPr>
                <w:color w:val="auto"/>
                <w:highlight w:val="none"/>
              </w:rPr>
            </w:pPr>
            <w:r>
              <w:rPr>
                <w:color w:val="auto"/>
                <w:spacing w:val="-3"/>
                <w:highlight w:val="none"/>
              </w:rPr>
              <w:t>备注</w:t>
            </w:r>
          </w:p>
        </w:tc>
      </w:tr>
      <w:tr w14:paraId="367DE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14:paraId="6C8C1C48">
            <w:pPr>
              <w:rPr>
                <w:rFonts w:ascii="Arial"/>
                <w:color w:val="auto"/>
                <w:sz w:val="21"/>
                <w:highlight w:val="none"/>
              </w:rPr>
            </w:pPr>
          </w:p>
        </w:tc>
        <w:tc>
          <w:tcPr>
            <w:tcW w:w="1412" w:type="dxa"/>
            <w:vAlign w:val="top"/>
          </w:tcPr>
          <w:p w14:paraId="1DA21A21">
            <w:pPr>
              <w:rPr>
                <w:rFonts w:ascii="Arial"/>
                <w:color w:val="auto"/>
                <w:sz w:val="21"/>
                <w:highlight w:val="none"/>
              </w:rPr>
            </w:pPr>
          </w:p>
        </w:tc>
        <w:tc>
          <w:tcPr>
            <w:tcW w:w="848" w:type="dxa"/>
            <w:vAlign w:val="top"/>
          </w:tcPr>
          <w:p w14:paraId="075AB3E8">
            <w:pPr>
              <w:rPr>
                <w:rFonts w:ascii="Arial"/>
                <w:color w:val="auto"/>
                <w:sz w:val="21"/>
                <w:highlight w:val="none"/>
              </w:rPr>
            </w:pPr>
          </w:p>
        </w:tc>
        <w:tc>
          <w:tcPr>
            <w:tcW w:w="708" w:type="dxa"/>
            <w:vAlign w:val="top"/>
          </w:tcPr>
          <w:p w14:paraId="2BA49260">
            <w:pPr>
              <w:rPr>
                <w:rFonts w:ascii="Arial"/>
                <w:color w:val="auto"/>
                <w:sz w:val="21"/>
                <w:highlight w:val="none"/>
              </w:rPr>
            </w:pPr>
          </w:p>
        </w:tc>
        <w:tc>
          <w:tcPr>
            <w:tcW w:w="848" w:type="dxa"/>
            <w:vAlign w:val="top"/>
          </w:tcPr>
          <w:p w14:paraId="2AC1B5B6">
            <w:pPr>
              <w:rPr>
                <w:rFonts w:ascii="Arial"/>
                <w:color w:val="auto"/>
                <w:sz w:val="21"/>
                <w:highlight w:val="none"/>
              </w:rPr>
            </w:pPr>
          </w:p>
        </w:tc>
        <w:tc>
          <w:tcPr>
            <w:tcW w:w="848" w:type="dxa"/>
            <w:vAlign w:val="top"/>
          </w:tcPr>
          <w:p w14:paraId="21D34FDD">
            <w:pPr>
              <w:rPr>
                <w:rFonts w:ascii="Arial"/>
                <w:color w:val="auto"/>
                <w:sz w:val="21"/>
                <w:highlight w:val="none"/>
              </w:rPr>
            </w:pPr>
          </w:p>
        </w:tc>
        <w:tc>
          <w:tcPr>
            <w:tcW w:w="1274" w:type="dxa"/>
            <w:vAlign w:val="top"/>
          </w:tcPr>
          <w:p w14:paraId="50E77E0F">
            <w:pPr>
              <w:rPr>
                <w:rFonts w:ascii="Arial"/>
                <w:color w:val="auto"/>
                <w:sz w:val="21"/>
                <w:highlight w:val="none"/>
              </w:rPr>
            </w:pPr>
          </w:p>
        </w:tc>
        <w:tc>
          <w:tcPr>
            <w:tcW w:w="1274" w:type="dxa"/>
            <w:vAlign w:val="top"/>
          </w:tcPr>
          <w:p w14:paraId="7A176E1E">
            <w:pPr>
              <w:rPr>
                <w:rFonts w:ascii="Arial"/>
                <w:color w:val="auto"/>
                <w:sz w:val="21"/>
                <w:highlight w:val="none"/>
              </w:rPr>
            </w:pPr>
          </w:p>
        </w:tc>
        <w:tc>
          <w:tcPr>
            <w:tcW w:w="1007" w:type="dxa"/>
            <w:tcBorders>
              <w:right w:val="single" w:color="000000" w:sz="10" w:space="0"/>
            </w:tcBorders>
            <w:vAlign w:val="top"/>
          </w:tcPr>
          <w:p w14:paraId="45CC9CF6">
            <w:pPr>
              <w:rPr>
                <w:rFonts w:ascii="Arial"/>
                <w:color w:val="auto"/>
                <w:sz w:val="21"/>
                <w:highlight w:val="none"/>
              </w:rPr>
            </w:pPr>
          </w:p>
        </w:tc>
      </w:tr>
      <w:tr w14:paraId="7B8E4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85B6F5E">
            <w:pPr>
              <w:rPr>
                <w:rFonts w:ascii="Arial"/>
                <w:color w:val="auto"/>
                <w:sz w:val="21"/>
                <w:highlight w:val="none"/>
              </w:rPr>
            </w:pPr>
          </w:p>
        </w:tc>
        <w:tc>
          <w:tcPr>
            <w:tcW w:w="1412" w:type="dxa"/>
            <w:vAlign w:val="top"/>
          </w:tcPr>
          <w:p w14:paraId="021D4696">
            <w:pPr>
              <w:rPr>
                <w:rFonts w:ascii="Arial"/>
                <w:color w:val="auto"/>
                <w:sz w:val="21"/>
                <w:highlight w:val="none"/>
              </w:rPr>
            </w:pPr>
          </w:p>
        </w:tc>
        <w:tc>
          <w:tcPr>
            <w:tcW w:w="848" w:type="dxa"/>
            <w:vAlign w:val="top"/>
          </w:tcPr>
          <w:p w14:paraId="3B75A876">
            <w:pPr>
              <w:rPr>
                <w:rFonts w:ascii="Arial"/>
                <w:color w:val="auto"/>
                <w:sz w:val="21"/>
                <w:highlight w:val="none"/>
              </w:rPr>
            </w:pPr>
          </w:p>
        </w:tc>
        <w:tc>
          <w:tcPr>
            <w:tcW w:w="708" w:type="dxa"/>
            <w:vAlign w:val="top"/>
          </w:tcPr>
          <w:p w14:paraId="5211CB1C">
            <w:pPr>
              <w:rPr>
                <w:rFonts w:ascii="Arial"/>
                <w:color w:val="auto"/>
                <w:sz w:val="21"/>
                <w:highlight w:val="none"/>
              </w:rPr>
            </w:pPr>
          </w:p>
        </w:tc>
        <w:tc>
          <w:tcPr>
            <w:tcW w:w="848" w:type="dxa"/>
            <w:vAlign w:val="top"/>
          </w:tcPr>
          <w:p w14:paraId="16E053DE">
            <w:pPr>
              <w:rPr>
                <w:rFonts w:ascii="Arial"/>
                <w:color w:val="auto"/>
                <w:sz w:val="21"/>
                <w:highlight w:val="none"/>
              </w:rPr>
            </w:pPr>
          </w:p>
        </w:tc>
        <w:tc>
          <w:tcPr>
            <w:tcW w:w="848" w:type="dxa"/>
            <w:vAlign w:val="top"/>
          </w:tcPr>
          <w:p w14:paraId="20177140">
            <w:pPr>
              <w:rPr>
                <w:rFonts w:ascii="Arial"/>
                <w:color w:val="auto"/>
                <w:sz w:val="21"/>
                <w:highlight w:val="none"/>
              </w:rPr>
            </w:pPr>
          </w:p>
        </w:tc>
        <w:tc>
          <w:tcPr>
            <w:tcW w:w="1274" w:type="dxa"/>
            <w:vAlign w:val="top"/>
          </w:tcPr>
          <w:p w14:paraId="1D31D37C">
            <w:pPr>
              <w:rPr>
                <w:rFonts w:ascii="Arial"/>
                <w:color w:val="auto"/>
                <w:sz w:val="21"/>
                <w:highlight w:val="none"/>
              </w:rPr>
            </w:pPr>
          </w:p>
        </w:tc>
        <w:tc>
          <w:tcPr>
            <w:tcW w:w="1274" w:type="dxa"/>
            <w:vAlign w:val="top"/>
          </w:tcPr>
          <w:p w14:paraId="4AB161AF">
            <w:pPr>
              <w:rPr>
                <w:rFonts w:ascii="Arial"/>
                <w:color w:val="auto"/>
                <w:sz w:val="21"/>
                <w:highlight w:val="none"/>
              </w:rPr>
            </w:pPr>
          </w:p>
        </w:tc>
        <w:tc>
          <w:tcPr>
            <w:tcW w:w="1007" w:type="dxa"/>
            <w:tcBorders>
              <w:right w:val="single" w:color="000000" w:sz="10" w:space="0"/>
            </w:tcBorders>
            <w:vAlign w:val="top"/>
          </w:tcPr>
          <w:p w14:paraId="4190BDD2">
            <w:pPr>
              <w:rPr>
                <w:rFonts w:ascii="Arial"/>
                <w:color w:val="auto"/>
                <w:sz w:val="21"/>
                <w:highlight w:val="none"/>
              </w:rPr>
            </w:pPr>
          </w:p>
        </w:tc>
      </w:tr>
      <w:tr w14:paraId="03EC3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2C713628">
            <w:pPr>
              <w:rPr>
                <w:rFonts w:ascii="Arial"/>
                <w:color w:val="auto"/>
                <w:sz w:val="21"/>
                <w:highlight w:val="none"/>
              </w:rPr>
            </w:pPr>
          </w:p>
        </w:tc>
        <w:tc>
          <w:tcPr>
            <w:tcW w:w="1412" w:type="dxa"/>
            <w:vAlign w:val="top"/>
          </w:tcPr>
          <w:p w14:paraId="509E2FD0">
            <w:pPr>
              <w:rPr>
                <w:rFonts w:ascii="Arial"/>
                <w:color w:val="auto"/>
                <w:sz w:val="21"/>
                <w:highlight w:val="none"/>
              </w:rPr>
            </w:pPr>
          </w:p>
        </w:tc>
        <w:tc>
          <w:tcPr>
            <w:tcW w:w="848" w:type="dxa"/>
            <w:vAlign w:val="top"/>
          </w:tcPr>
          <w:p w14:paraId="0290E2A5">
            <w:pPr>
              <w:rPr>
                <w:rFonts w:ascii="Arial"/>
                <w:color w:val="auto"/>
                <w:sz w:val="21"/>
                <w:highlight w:val="none"/>
              </w:rPr>
            </w:pPr>
          </w:p>
        </w:tc>
        <w:tc>
          <w:tcPr>
            <w:tcW w:w="708" w:type="dxa"/>
            <w:vAlign w:val="top"/>
          </w:tcPr>
          <w:p w14:paraId="736FD8D4">
            <w:pPr>
              <w:rPr>
                <w:rFonts w:ascii="Arial"/>
                <w:color w:val="auto"/>
                <w:sz w:val="21"/>
                <w:highlight w:val="none"/>
              </w:rPr>
            </w:pPr>
          </w:p>
        </w:tc>
        <w:tc>
          <w:tcPr>
            <w:tcW w:w="848" w:type="dxa"/>
            <w:vAlign w:val="top"/>
          </w:tcPr>
          <w:p w14:paraId="6A32C287">
            <w:pPr>
              <w:rPr>
                <w:rFonts w:ascii="Arial"/>
                <w:color w:val="auto"/>
                <w:sz w:val="21"/>
                <w:highlight w:val="none"/>
              </w:rPr>
            </w:pPr>
          </w:p>
        </w:tc>
        <w:tc>
          <w:tcPr>
            <w:tcW w:w="848" w:type="dxa"/>
            <w:vAlign w:val="top"/>
          </w:tcPr>
          <w:p w14:paraId="2D0A8BC2">
            <w:pPr>
              <w:rPr>
                <w:rFonts w:ascii="Arial"/>
                <w:color w:val="auto"/>
                <w:sz w:val="21"/>
                <w:highlight w:val="none"/>
              </w:rPr>
            </w:pPr>
          </w:p>
        </w:tc>
        <w:tc>
          <w:tcPr>
            <w:tcW w:w="1274" w:type="dxa"/>
            <w:vAlign w:val="top"/>
          </w:tcPr>
          <w:p w14:paraId="42672032">
            <w:pPr>
              <w:rPr>
                <w:rFonts w:ascii="Arial"/>
                <w:color w:val="auto"/>
                <w:sz w:val="21"/>
                <w:highlight w:val="none"/>
              </w:rPr>
            </w:pPr>
          </w:p>
        </w:tc>
        <w:tc>
          <w:tcPr>
            <w:tcW w:w="1274" w:type="dxa"/>
            <w:vAlign w:val="top"/>
          </w:tcPr>
          <w:p w14:paraId="71B1C7B3">
            <w:pPr>
              <w:rPr>
                <w:rFonts w:ascii="Arial"/>
                <w:color w:val="auto"/>
                <w:sz w:val="21"/>
                <w:highlight w:val="none"/>
              </w:rPr>
            </w:pPr>
          </w:p>
        </w:tc>
        <w:tc>
          <w:tcPr>
            <w:tcW w:w="1007" w:type="dxa"/>
            <w:tcBorders>
              <w:right w:val="single" w:color="000000" w:sz="10" w:space="0"/>
            </w:tcBorders>
            <w:vAlign w:val="top"/>
          </w:tcPr>
          <w:p w14:paraId="1587F7C3">
            <w:pPr>
              <w:rPr>
                <w:rFonts w:ascii="Arial"/>
                <w:color w:val="auto"/>
                <w:sz w:val="21"/>
                <w:highlight w:val="none"/>
              </w:rPr>
            </w:pPr>
          </w:p>
        </w:tc>
      </w:tr>
      <w:tr w14:paraId="13454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D27FA9F">
            <w:pPr>
              <w:rPr>
                <w:rFonts w:ascii="Arial"/>
                <w:color w:val="auto"/>
                <w:sz w:val="21"/>
                <w:highlight w:val="none"/>
              </w:rPr>
            </w:pPr>
          </w:p>
        </w:tc>
        <w:tc>
          <w:tcPr>
            <w:tcW w:w="1412" w:type="dxa"/>
            <w:vAlign w:val="top"/>
          </w:tcPr>
          <w:p w14:paraId="6724EB32">
            <w:pPr>
              <w:rPr>
                <w:rFonts w:ascii="Arial"/>
                <w:color w:val="auto"/>
                <w:sz w:val="21"/>
                <w:highlight w:val="none"/>
              </w:rPr>
            </w:pPr>
          </w:p>
        </w:tc>
        <w:tc>
          <w:tcPr>
            <w:tcW w:w="848" w:type="dxa"/>
            <w:vAlign w:val="top"/>
          </w:tcPr>
          <w:p w14:paraId="61A7B77A">
            <w:pPr>
              <w:rPr>
                <w:rFonts w:ascii="Arial"/>
                <w:color w:val="auto"/>
                <w:sz w:val="21"/>
                <w:highlight w:val="none"/>
              </w:rPr>
            </w:pPr>
          </w:p>
        </w:tc>
        <w:tc>
          <w:tcPr>
            <w:tcW w:w="708" w:type="dxa"/>
            <w:vAlign w:val="top"/>
          </w:tcPr>
          <w:p w14:paraId="2DB968E9">
            <w:pPr>
              <w:rPr>
                <w:rFonts w:ascii="Arial"/>
                <w:color w:val="auto"/>
                <w:sz w:val="21"/>
                <w:highlight w:val="none"/>
              </w:rPr>
            </w:pPr>
          </w:p>
        </w:tc>
        <w:tc>
          <w:tcPr>
            <w:tcW w:w="848" w:type="dxa"/>
            <w:vAlign w:val="top"/>
          </w:tcPr>
          <w:p w14:paraId="20DCCCCD">
            <w:pPr>
              <w:rPr>
                <w:rFonts w:ascii="Arial"/>
                <w:color w:val="auto"/>
                <w:sz w:val="21"/>
                <w:highlight w:val="none"/>
              </w:rPr>
            </w:pPr>
          </w:p>
        </w:tc>
        <w:tc>
          <w:tcPr>
            <w:tcW w:w="848" w:type="dxa"/>
            <w:vAlign w:val="top"/>
          </w:tcPr>
          <w:p w14:paraId="5DE2D05B">
            <w:pPr>
              <w:rPr>
                <w:rFonts w:ascii="Arial"/>
                <w:color w:val="auto"/>
                <w:sz w:val="21"/>
                <w:highlight w:val="none"/>
              </w:rPr>
            </w:pPr>
          </w:p>
        </w:tc>
        <w:tc>
          <w:tcPr>
            <w:tcW w:w="1274" w:type="dxa"/>
            <w:vAlign w:val="top"/>
          </w:tcPr>
          <w:p w14:paraId="1BCD4C6D">
            <w:pPr>
              <w:rPr>
                <w:rFonts w:ascii="Arial"/>
                <w:color w:val="auto"/>
                <w:sz w:val="21"/>
                <w:highlight w:val="none"/>
              </w:rPr>
            </w:pPr>
          </w:p>
        </w:tc>
        <w:tc>
          <w:tcPr>
            <w:tcW w:w="1274" w:type="dxa"/>
            <w:vAlign w:val="top"/>
          </w:tcPr>
          <w:p w14:paraId="4330B410">
            <w:pPr>
              <w:rPr>
                <w:rFonts w:ascii="Arial"/>
                <w:color w:val="auto"/>
                <w:sz w:val="21"/>
                <w:highlight w:val="none"/>
              </w:rPr>
            </w:pPr>
          </w:p>
        </w:tc>
        <w:tc>
          <w:tcPr>
            <w:tcW w:w="1007" w:type="dxa"/>
            <w:tcBorders>
              <w:right w:val="single" w:color="000000" w:sz="10" w:space="0"/>
            </w:tcBorders>
            <w:vAlign w:val="top"/>
          </w:tcPr>
          <w:p w14:paraId="7620B73E">
            <w:pPr>
              <w:rPr>
                <w:rFonts w:ascii="Arial"/>
                <w:color w:val="auto"/>
                <w:sz w:val="21"/>
                <w:highlight w:val="none"/>
              </w:rPr>
            </w:pPr>
          </w:p>
        </w:tc>
      </w:tr>
      <w:tr w14:paraId="6A358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EEAB058">
            <w:pPr>
              <w:rPr>
                <w:rFonts w:ascii="Arial"/>
                <w:color w:val="auto"/>
                <w:sz w:val="21"/>
                <w:highlight w:val="none"/>
              </w:rPr>
            </w:pPr>
          </w:p>
        </w:tc>
        <w:tc>
          <w:tcPr>
            <w:tcW w:w="1412" w:type="dxa"/>
            <w:vAlign w:val="top"/>
          </w:tcPr>
          <w:p w14:paraId="3E011A7A">
            <w:pPr>
              <w:rPr>
                <w:rFonts w:ascii="Arial"/>
                <w:color w:val="auto"/>
                <w:sz w:val="21"/>
                <w:highlight w:val="none"/>
              </w:rPr>
            </w:pPr>
          </w:p>
        </w:tc>
        <w:tc>
          <w:tcPr>
            <w:tcW w:w="848" w:type="dxa"/>
            <w:vAlign w:val="top"/>
          </w:tcPr>
          <w:p w14:paraId="3DCA44E9">
            <w:pPr>
              <w:rPr>
                <w:rFonts w:ascii="Arial"/>
                <w:color w:val="auto"/>
                <w:sz w:val="21"/>
                <w:highlight w:val="none"/>
              </w:rPr>
            </w:pPr>
          </w:p>
        </w:tc>
        <w:tc>
          <w:tcPr>
            <w:tcW w:w="708" w:type="dxa"/>
            <w:vAlign w:val="top"/>
          </w:tcPr>
          <w:p w14:paraId="15DD32C9">
            <w:pPr>
              <w:rPr>
                <w:rFonts w:ascii="Arial"/>
                <w:color w:val="auto"/>
                <w:sz w:val="21"/>
                <w:highlight w:val="none"/>
              </w:rPr>
            </w:pPr>
          </w:p>
        </w:tc>
        <w:tc>
          <w:tcPr>
            <w:tcW w:w="848" w:type="dxa"/>
            <w:vAlign w:val="top"/>
          </w:tcPr>
          <w:p w14:paraId="26919A1B">
            <w:pPr>
              <w:rPr>
                <w:rFonts w:ascii="Arial"/>
                <w:color w:val="auto"/>
                <w:sz w:val="21"/>
                <w:highlight w:val="none"/>
              </w:rPr>
            </w:pPr>
          </w:p>
        </w:tc>
        <w:tc>
          <w:tcPr>
            <w:tcW w:w="848" w:type="dxa"/>
            <w:vAlign w:val="top"/>
          </w:tcPr>
          <w:p w14:paraId="1EEAB9CC">
            <w:pPr>
              <w:rPr>
                <w:rFonts w:ascii="Arial"/>
                <w:color w:val="auto"/>
                <w:sz w:val="21"/>
                <w:highlight w:val="none"/>
              </w:rPr>
            </w:pPr>
          </w:p>
        </w:tc>
        <w:tc>
          <w:tcPr>
            <w:tcW w:w="1274" w:type="dxa"/>
            <w:vAlign w:val="top"/>
          </w:tcPr>
          <w:p w14:paraId="4A772074">
            <w:pPr>
              <w:rPr>
                <w:rFonts w:ascii="Arial"/>
                <w:color w:val="auto"/>
                <w:sz w:val="21"/>
                <w:highlight w:val="none"/>
              </w:rPr>
            </w:pPr>
          </w:p>
        </w:tc>
        <w:tc>
          <w:tcPr>
            <w:tcW w:w="1274" w:type="dxa"/>
            <w:vAlign w:val="top"/>
          </w:tcPr>
          <w:p w14:paraId="47A156AE">
            <w:pPr>
              <w:rPr>
                <w:rFonts w:ascii="Arial"/>
                <w:color w:val="auto"/>
                <w:sz w:val="21"/>
                <w:highlight w:val="none"/>
              </w:rPr>
            </w:pPr>
          </w:p>
        </w:tc>
        <w:tc>
          <w:tcPr>
            <w:tcW w:w="1007" w:type="dxa"/>
            <w:tcBorders>
              <w:right w:val="single" w:color="000000" w:sz="10" w:space="0"/>
            </w:tcBorders>
            <w:vAlign w:val="top"/>
          </w:tcPr>
          <w:p w14:paraId="09A1593D">
            <w:pPr>
              <w:rPr>
                <w:rFonts w:ascii="Arial"/>
                <w:color w:val="auto"/>
                <w:sz w:val="21"/>
                <w:highlight w:val="none"/>
              </w:rPr>
            </w:pPr>
          </w:p>
        </w:tc>
      </w:tr>
      <w:tr w14:paraId="4F88A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4474B9DC">
            <w:pPr>
              <w:rPr>
                <w:rFonts w:ascii="Arial"/>
                <w:color w:val="auto"/>
                <w:sz w:val="21"/>
                <w:highlight w:val="none"/>
              </w:rPr>
            </w:pPr>
          </w:p>
        </w:tc>
        <w:tc>
          <w:tcPr>
            <w:tcW w:w="1412" w:type="dxa"/>
            <w:vAlign w:val="top"/>
          </w:tcPr>
          <w:p w14:paraId="63E536E1">
            <w:pPr>
              <w:rPr>
                <w:rFonts w:ascii="Arial"/>
                <w:color w:val="auto"/>
                <w:sz w:val="21"/>
                <w:highlight w:val="none"/>
              </w:rPr>
            </w:pPr>
          </w:p>
        </w:tc>
        <w:tc>
          <w:tcPr>
            <w:tcW w:w="848" w:type="dxa"/>
            <w:vAlign w:val="top"/>
          </w:tcPr>
          <w:p w14:paraId="5003B34F">
            <w:pPr>
              <w:rPr>
                <w:rFonts w:ascii="Arial"/>
                <w:color w:val="auto"/>
                <w:sz w:val="21"/>
                <w:highlight w:val="none"/>
              </w:rPr>
            </w:pPr>
          </w:p>
        </w:tc>
        <w:tc>
          <w:tcPr>
            <w:tcW w:w="708" w:type="dxa"/>
            <w:vAlign w:val="top"/>
          </w:tcPr>
          <w:p w14:paraId="535BA972">
            <w:pPr>
              <w:rPr>
                <w:rFonts w:ascii="Arial"/>
                <w:color w:val="auto"/>
                <w:sz w:val="21"/>
                <w:highlight w:val="none"/>
              </w:rPr>
            </w:pPr>
          </w:p>
        </w:tc>
        <w:tc>
          <w:tcPr>
            <w:tcW w:w="848" w:type="dxa"/>
            <w:vAlign w:val="top"/>
          </w:tcPr>
          <w:p w14:paraId="020171B8">
            <w:pPr>
              <w:rPr>
                <w:rFonts w:ascii="Arial"/>
                <w:color w:val="auto"/>
                <w:sz w:val="21"/>
                <w:highlight w:val="none"/>
              </w:rPr>
            </w:pPr>
          </w:p>
        </w:tc>
        <w:tc>
          <w:tcPr>
            <w:tcW w:w="848" w:type="dxa"/>
            <w:vAlign w:val="top"/>
          </w:tcPr>
          <w:p w14:paraId="0F0FE82B">
            <w:pPr>
              <w:rPr>
                <w:rFonts w:ascii="Arial"/>
                <w:color w:val="auto"/>
                <w:sz w:val="21"/>
                <w:highlight w:val="none"/>
              </w:rPr>
            </w:pPr>
          </w:p>
        </w:tc>
        <w:tc>
          <w:tcPr>
            <w:tcW w:w="1274" w:type="dxa"/>
            <w:vAlign w:val="top"/>
          </w:tcPr>
          <w:p w14:paraId="62A9B5DF">
            <w:pPr>
              <w:rPr>
                <w:rFonts w:ascii="Arial"/>
                <w:color w:val="auto"/>
                <w:sz w:val="21"/>
                <w:highlight w:val="none"/>
              </w:rPr>
            </w:pPr>
          </w:p>
        </w:tc>
        <w:tc>
          <w:tcPr>
            <w:tcW w:w="1274" w:type="dxa"/>
            <w:vAlign w:val="top"/>
          </w:tcPr>
          <w:p w14:paraId="0EBD3D07">
            <w:pPr>
              <w:rPr>
                <w:rFonts w:ascii="Arial"/>
                <w:color w:val="auto"/>
                <w:sz w:val="21"/>
                <w:highlight w:val="none"/>
              </w:rPr>
            </w:pPr>
          </w:p>
        </w:tc>
        <w:tc>
          <w:tcPr>
            <w:tcW w:w="1007" w:type="dxa"/>
            <w:tcBorders>
              <w:right w:val="single" w:color="000000" w:sz="10" w:space="0"/>
            </w:tcBorders>
            <w:vAlign w:val="top"/>
          </w:tcPr>
          <w:p w14:paraId="76DDD64A">
            <w:pPr>
              <w:rPr>
                <w:rFonts w:ascii="Arial"/>
                <w:color w:val="auto"/>
                <w:sz w:val="21"/>
                <w:highlight w:val="none"/>
              </w:rPr>
            </w:pPr>
          </w:p>
        </w:tc>
      </w:tr>
      <w:tr w14:paraId="0E8E4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75806F7">
            <w:pPr>
              <w:rPr>
                <w:rFonts w:ascii="Arial"/>
                <w:color w:val="auto"/>
                <w:sz w:val="21"/>
                <w:highlight w:val="none"/>
              </w:rPr>
            </w:pPr>
          </w:p>
        </w:tc>
        <w:tc>
          <w:tcPr>
            <w:tcW w:w="1412" w:type="dxa"/>
            <w:vAlign w:val="top"/>
          </w:tcPr>
          <w:p w14:paraId="10F283E2">
            <w:pPr>
              <w:rPr>
                <w:rFonts w:ascii="Arial"/>
                <w:color w:val="auto"/>
                <w:sz w:val="21"/>
                <w:highlight w:val="none"/>
              </w:rPr>
            </w:pPr>
          </w:p>
        </w:tc>
        <w:tc>
          <w:tcPr>
            <w:tcW w:w="848" w:type="dxa"/>
            <w:vAlign w:val="top"/>
          </w:tcPr>
          <w:p w14:paraId="43A29553">
            <w:pPr>
              <w:rPr>
                <w:rFonts w:ascii="Arial"/>
                <w:color w:val="auto"/>
                <w:sz w:val="21"/>
                <w:highlight w:val="none"/>
              </w:rPr>
            </w:pPr>
          </w:p>
        </w:tc>
        <w:tc>
          <w:tcPr>
            <w:tcW w:w="708" w:type="dxa"/>
            <w:vAlign w:val="top"/>
          </w:tcPr>
          <w:p w14:paraId="442158A5">
            <w:pPr>
              <w:rPr>
                <w:rFonts w:ascii="Arial"/>
                <w:color w:val="auto"/>
                <w:sz w:val="21"/>
                <w:highlight w:val="none"/>
              </w:rPr>
            </w:pPr>
          </w:p>
        </w:tc>
        <w:tc>
          <w:tcPr>
            <w:tcW w:w="848" w:type="dxa"/>
            <w:vAlign w:val="top"/>
          </w:tcPr>
          <w:p w14:paraId="0BA56E69">
            <w:pPr>
              <w:rPr>
                <w:rFonts w:ascii="Arial"/>
                <w:color w:val="auto"/>
                <w:sz w:val="21"/>
                <w:highlight w:val="none"/>
              </w:rPr>
            </w:pPr>
          </w:p>
        </w:tc>
        <w:tc>
          <w:tcPr>
            <w:tcW w:w="848" w:type="dxa"/>
            <w:vAlign w:val="top"/>
          </w:tcPr>
          <w:p w14:paraId="70E80C41">
            <w:pPr>
              <w:rPr>
                <w:rFonts w:ascii="Arial"/>
                <w:color w:val="auto"/>
                <w:sz w:val="21"/>
                <w:highlight w:val="none"/>
              </w:rPr>
            </w:pPr>
          </w:p>
        </w:tc>
        <w:tc>
          <w:tcPr>
            <w:tcW w:w="1274" w:type="dxa"/>
            <w:vAlign w:val="top"/>
          </w:tcPr>
          <w:p w14:paraId="2A78CDFC">
            <w:pPr>
              <w:rPr>
                <w:rFonts w:ascii="Arial"/>
                <w:color w:val="auto"/>
                <w:sz w:val="21"/>
                <w:highlight w:val="none"/>
              </w:rPr>
            </w:pPr>
          </w:p>
        </w:tc>
        <w:tc>
          <w:tcPr>
            <w:tcW w:w="1274" w:type="dxa"/>
            <w:vAlign w:val="top"/>
          </w:tcPr>
          <w:p w14:paraId="2AC19B2C">
            <w:pPr>
              <w:rPr>
                <w:rFonts w:ascii="Arial"/>
                <w:color w:val="auto"/>
                <w:sz w:val="21"/>
                <w:highlight w:val="none"/>
              </w:rPr>
            </w:pPr>
          </w:p>
        </w:tc>
        <w:tc>
          <w:tcPr>
            <w:tcW w:w="1007" w:type="dxa"/>
            <w:tcBorders>
              <w:right w:val="single" w:color="000000" w:sz="10" w:space="0"/>
            </w:tcBorders>
            <w:vAlign w:val="top"/>
          </w:tcPr>
          <w:p w14:paraId="3A37D498">
            <w:pPr>
              <w:rPr>
                <w:rFonts w:ascii="Arial"/>
                <w:color w:val="auto"/>
                <w:sz w:val="21"/>
                <w:highlight w:val="none"/>
              </w:rPr>
            </w:pPr>
          </w:p>
        </w:tc>
      </w:tr>
      <w:tr w14:paraId="58B22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5832D81">
            <w:pPr>
              <w:rPr>
                <w:rFonts w:ascii="Arial"/>
                <w:color w:val="auto"/>
                <w:sz w:val="21"/>
                <w:highlight w:val="none"/>
              </w:rPr>
            </w:pPr>
          </w:p>
        </w:tc>
        <w:tc>
          <w:tcPr>
            <w:tcW w:w="1412" w:type="dxa"/>
            <w:vAlign w:val="top"/>
          </w:tcPr>
          <w:p w14:paraId="000F34BE">
            <w:pPr>
              <w:rPr>
                <w:rFonts w:ascii="Arial"/>
                <w:color w:val="auto"/>
                <w:sz w:val="21"/>
                <w:highlight w:val="none"/>
              </w:rPr>
            </w:pPr>
          </w:p>
        </w:tc>
        <w:tc>
          <w:tcPr>
            <w:tcW w:w="848" w:type="dxa"/>
            <w:vAlign w:val="top"/>
          </w:tcPr>
          <w:p w14:paraId="43106B6E">
            <w:pPr>
              <w:rPr>
                <w:rFonts w:ascii="Arial"/>
                <w:color w:val="auto"/>
                <w:sz w:val="21"/>
                <w:highlight w:val="none"/>
              </w:rPr>
            </w:pPr>
          </w:p>
        </w:tc>
        <w:tc>
          <w:tcPr>
            <w:tcW w:w="708" w:type="dxa"/>
            <w:vAlign w:val="top"/>
          </w:tcPr>
          <w:p w14:paraId="69EE67F6">
            <w:pPr>
              <w:rPr>
                <w:rFonts w:ascii="Arial"/>
                <w:color w:val="auto"/>
                <w:sz w:val="21"/>
                <w:highlight w:val="none"/>
              </w:rPr>
            </w:pPr>
          </w:p>
        </w:tc>
        <w:tc>
          <w:tcPr>
            <w:tcW w:w="848" w:type="dxa"/>
            <w:vAlign w:val="top"/>
          </w:tcPr>
          <w:p w14:paraId="0E6B9680">
            <w:pPr>
              <w:rPr>
                <w:rFonts w:ascii="Arial"/>
                <w:color w:val="auto"/>
                <w:sz w:val="21"/>
                <w:highlight w:val="none"/>
              </w:rPr>
            </w:pPr>
          </w:p>
        </w:tc>
        <w:tc>
          <w:tcPr>
            <w:tcW w:w="848" w:type="dxa"/>
            <w:vAlign w:val="top"/>
          </w:tcPr>
          <w:p w14:paraId="17222E0E">
            <w:pPr>
              <w:rPr>
                <w:rFonts w:ascii="Arial"/>
                <w:color w:val="auto"/>
                <w:sz w:val="21"/>
                <w:highlight w:val="none"/>
              </w:rPr>
            </w:pPr>
          </w:p>
        </w:tc>
        <w:tc>
          <w:tcPr>
            <w:tcW w:w="1274" w:type="dxa"/>
            <w:vAlign w:val="top"/>
          </w:tcPr>
          <w:p w14:paraId="7C82E1A2">
            <w:pPr>
              <w:rPr>
                <w:rFonts w:ascii="Arial"/>
                <w:color w:val="auto"/>
                <w:sz w:val="21"/>
                <w:highlight w:val="none"/>
              </w:rPr>
            </w:pPr>
          </w:p>
        </w:tc>
        <w:tc>
          <w:tcPr>
            <w:tcW w:w="1274" w:type="dxa"/>
            <w:vAlign w:val="top"/>
          </w:tcPr>
          <w:p w14:paraId="3C968630">
            <w:pPr>
              <w:rPr>
                <w:rFonts w:ascii="Arial"/>
                <w:color w:val="auto"/>
                <w:sz w:val="21"/>
                <w:highlight w:val="none"/>
              </w:rPr>
            </w:pPr>
          </w:p>
        </w:tc>
        <w:tc>
          <w:tcPr>
            <w:tcW w:w="1007" w:type="dxa"/>
            <w:tcBorders>
              <w:right w:val="single" w:color="000000" w:sz="10" w:space="0"/>
            </w:tcBorders>
            <w:vAlign w:val="top"/>
          </w:tcPr>
          <w:p w14:paraId="31AA9DC8">
            <w:pPr>
              <w:rPr>
                <w:rFonts w:ascii="Arial"/>
                <w:color w:val="auto"/>
                <w:sz w:val="21"/>
                <w:highlight w:val="none"/>
              </w:rPr>
            </w:pPr>
          </w:p>
        </w:tc>
      </w:tr>
      <w:tr w14:paraId="47BF0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25D73EA">
            <w:pPr>
              <w:rPr>
                <w:rFonts w:ascii="Arial"/>
                <w:color w:val="auto"/>
                <w:sz w:val="21"/>
                <w:highlight w:val="none"/>
              </w:rPr>
            </w:pPr>
          </w:p>
        </w:tc>
        <w:tc>
          <w:tcPr>
            <w:tcW w:w="1412" w:type="dxa"/>
            <w:vAlign w:val="top"/>
          </w:tcPr>
          <w:p w14:paraId="4BB2C7BD">
            <w:pPr>
              <w:rPr>
                <w:rFonts w:ascii="Arial"/>
                <w:color w:val="auto"/>
                <w:sz w:val="21"/>
                <w:highlight w:val="none"/>
              </w:rPr>
            </w:pPr>
          </w:p>
        </w:tc>
        <w:tc>
          <w:tcPr>
            <w:tcW w:w="848" w:type="dxa"/>
            <w:vAlign w:val="top"/>
          </w:tcPr>
          <w:p w14:paraId="23FD934F">
            <w:pPr>
              <w:rPr>
                <w:rFonts w:ascii="Arial"/>
                <w:color w:val="auto"/>
                <w:sz w:val="21"/>
                <w:highlight w:val="none"/>
              </w:rPr>
            </w:pPr>
          </w:p>
        </w:tc>
        <w:tc>
          <w:tcPr>
            <w:tcW w:w="708" w:type="dxa"/>
            <w:vAlign w:val="top"/>
          </w:tcPr>
          <w:p w14:paraId="66170C70">
            <w:pPr>
              <w:rPr>
                <w:rFonts w:ascii="Arial"/>
                <w:color w:val="auto"/>
                <w:sz w:val="21"/>
                <w:highlight w:val="none"/>
              </w:rPr>
            </w:pPr>
          </w:p>
        </w:tc>
        <w:tc>
          <w:tcPr>
            <w:tcW w:w="848" w:type="dxa"/>
            <w:vAlign w:val="top"/>
          </w:tcPr>
          <w:p w14:paraId="2E51DD56">
            <w:pPr>
              <w:rPr>
                <w:rFonts w:ascii="Arial"/>
                <w:color w:val="auto"/>
                <w:sz w:val="21"/>
                <w:highlight w:val="none"/>
              </w:rPr>
            </w:pPr>
          </w:p>
        </w:tc>
        <w:tc>
          <w:tcPr>
            <w:tcW w:w="848" w:type="dxa"/>
            <w:vAlign w:val="top"/>
          </w:tcPr>
          <w:p w14:paraId="3AF9777B">
            <w:pPr>
              <w:rPr>
                <w:rFonts w:ascii="Arial"/>
                <w:color w:val="auto"/>
                <w:sz w:val="21"/>
                <w:highlight w:val="none"/>
              </w:rPr>
            </w:pPr>
          </w:p>
        </w:tc>
        <w:tc>
          <w:tcPr>
            <w:tcW w:w="1274" w:type="dxa"/>
            <w:vAlign w:val="top"/>
          </w:tcPr>
          <w:p w14:paraId="77A0462D">
            <w:pPr>
              <w:rPr>
                <w:rFonts w:ascii="Arial"/>
                <w:color w:val="auto"/>
                <w:sz w:val="21"/>
                <w:highlight w:val="none"/>
              </w:rPr>
            </w:pPr>
          </w:p>
        </w:tc>
        <w:tc>
          <w:tcPr>
            <w:tcW w:w="1274" w:type="dxa"/>
            <w:vAlign w:val="top"/>
          </w:tcPr>
          <w:p w14:paraId="51480353">
            <w:pPr>
              <w:rPr>
                <w:rFonts w:ascii="Arial"/>
                <w:color w:val="auto"/>
                <w:sz w:val="21"/>
                <w:highlight w:val="none"/>
              </w:rPr>
            </w:pPr>
          </w:p>
        </w:tc>
        <w:tc>
          <w:tcPr>
            <w:tcW w:w="1007" w:type="dxa"/>
            <w:tcBorders>
              <w:right w:val="single" w:color="000000" w:sz="10" w:space="0"/>
            </w:tcBorders>
            <w:vAlign w:val="top"/>
          </w:tcPr>
          <w:p w14:paraId="6E0CE370">
            <w:pPr>
              <w:rPr>
                <w:rFonts w:ascii="Arial"/>
                <w:color w:val="auto"/>
                <w:sz w:val="21"/>
                <w:highlight w:val="none"/>
              </w:rPr>
            </w:pPr>
          </w:p>
        </w:tc>
      </w:tr>
      <w:tr w14:paraId="64305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5F9AF1F5">
            <w:pPr>
              <w:rPr>
                <w:rFonts w:ascii="Arial"/>
                <w:color w:val="auto"/>
                <w:sz w:val="21"/>
                <w:highlight w:val="none"/>
              </w:rPr>
            </w:pPr>
          </w:p>
        </w:tc>
        <w:tc>
          <w:tcPr>
            <w:tcW w:w="1412" w:type="dxa"/>
            <w:vAlign w:val="top"/>
          </w:tcPr>
          <w:p w14:paraId="3B8A8E80">
            <w:pPr>
              <w:rPr>
                <w:rFonts w:ascii="Arial"/>
                <w:color w:val="auto"/>
                <w:sz w:val="21"/>
                <w:highlight w:val="none"/>
              </w:rPr>
            </w:pPr>
          </w:p>
        </w:tc>
        <w:tc>
          <w:tcPr>
            <w:tcW w:w="848" w:type="dxa"/>
            <w:vAlign w:val="top"/>
          </w:tcPr>
          <w:p w14:paraId="201EE884">
            <w:pPr>
              <w:rPr>
                <w:rFonts w:ascii="Arial"/>
                <w:color w:val="auto"/>
                <w:sz w:val="21"/>
                <w:highlight w:val="none"/>
              </w:rPr>
            </w:pPr>
          </w:p>
        </w:tc>
        <w:tc>
          <w:tcPr>
            <w:tcW w:w="708" w:type="dxa"/>
            <w:vAlign w:val="top"/>
          </w:tcPr>
          <w:p w14:paraId="2AD56EE0">
            <w:pPr>
              <w:rPr>
                <w:rFonts w:ascii="Arial"/>
                <w:color w:val="auto"/>
                <w:sz w:val="21"/>
                <w:highlight w:val="none"/>
              </w:rPr>
            </w:pPr>
          </w:p>
        </w:tc>
        <w:tc>
          <w:tcPr>
            <w:tcW w:w="848" w:type="dxa"/>
            <w:vAlign w:val="top"/>
          </w:tcPr>
          <w:p w14:paraId="4E2C6E93">
            <w:pPr>
              <w:rPr>
                <w:rFonts w:ascii="Arial"/>
                <w:color w:val="auto"/>
                <w:sz w:val="21"/>
                <w:highlight w:val="none"/>
              </w:rPr>
            </w:pPr>
          </w:p>
        </w:tc>
        <w:tc>
          <w:tcPr>
            <w:tcW w:w="848" w:type="dxa"/>
            <w:vAlign w:val="top"/>
          </w:tcPr>
          <w:p w14:paraId="5872791E">
            <w:pPr>
              <w:rPr>
                <w:rFonts w:ascii="Arial"/>
                <w:color w:val="auto"/>
                <w:sz w:val="21"/>
                <w:highlight w:val="none"/>
              </w:rPr>
            </w:pPr>
          </w:p>
        </w:tc>
        <w:tc>
          <w:tcPr>
            <w:tcW w:w="1274" w:type="dxa"/>
            <w:vAlign w:val="top"/>
          </w:tcPr>
          <w:p w14:paraId="46505A8A">
            <w:pPr>
              <w:rPr>
                <w:rFonts w:ascii="Arial"/>
                <w:color w:val="auto"/>
                <w:sz w:val="21"/>
                <w:highlight w:val="none"/>
              </w:rPr>
            </w:pPr>
          </w:p>
        </w:tc>
        <w:tc>
          <w:tcPr>
            <w:tcW w:w="1274" w:type="dxa"/>
            <w:vAlign w:val="top"/>
          </w:tcPr>
          <w:p w14:paraId="5F038202">
            <w:pPr>
              <w:rPr>
                <w:rFonts w:ascii="Arial"/>
                <w:color w:val="auto"/>
                <w:sz w:val="21"/>
                <w:highlight w:val="none"/>
              </w:rPr>
            </w:pPr>
          </w:p>
        </w:tc>
        <w:tc>
          <w:tcPr>
            <w:tcW w:w="1007" w:type="dxa"/>
            <w:tcBorders>
              <w:right w:val="single" w:color="000000" w:sz="10" w:space="0"/>
            </w:tcBorders>
            <w:vAlign w:val="top"/>
          </w:tcPr>
          <w:p w14:paraId="41F77278">
            <w:pPr>
              <w:rPr>
                <w:rFonts w:ascii="Arial"/>
                <w:color w:val="auto"/>
                <w:sz w:val="21"/>
                <w:highlight w:val="none"/>
              </w:rPr>
            </w:pPr>
          </w:p>
        </w:tc>
      </w:tr>
      <w:tr w14:paraId="77FB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5C68F09">
            <w:pPr>
              <w:rPr>
                <w:rFonts w:ascii="Arial"/>
                <w:color w:val="auto"/>
                <w:sz w:val="21"/>
                <w:highlight w:val="none"/>
              </w:rPr>
            </w:pPr>
          </w:p>
        </w:tc>
        <w:tc>
          <w:tcPr>
            <w:tcW w:w="1412" w:type="dxa"/>
            <w:vAlign w:val="top"/>
          </w:tcPr>
          <w:p w14:paraId="28C0836E">
            <w:pPr>
              <w:rPr>
                <w:rFonts w:ascii="Arial"/>
                <w:color w:val="auto"/>
                <w:sz w:val="21"/>
                <w:highlight w:val="none"/>
              </w:rPr>
            </w:pPr>
          </w:p>
        </w:tc>
        <w:tc>
          <w:tcPr>
            <w:tcW w:w="848" w:type="dxa"/>
            <w:vAlign w:val="top"/>
          </w:tcPr>
          <w:p w14:paraId="40A4D6F5">
            <w:pPr>
              <w:rPr>
                <w:rFonts w:ascii="Arial"/>
                <w:color w:val="auto"/>
                <w:sz w:val="21"/>
                <w:highlight w:val="none"/>
              </w:rPr>
            </w:pPr>
          </w:p>
        </w:tc>
        <w:tc>
          <w:tcPr>
            <w:tcW w:w="708" w:type="dxa"/>
            <w:vAlign w:val="top"/>
          </w:tcPr>
          <w:p w14:paraId="28326F90">
            <w:pPr>
              <w:rPr>
                <w:rFonts w:ascii="Arial"/>
                <w:color w:val="auto"/>
                <w:sz w:val="21"/>
                <w:highlight w:val="none"/>
              </w:rPr>
            </w:pPr>
          </w:p>
        </w:tc>
        <w:tc>
          <w:tcPr>
            <w:tcW w:w="848" w:type="dxa"/>
            <w:vAlign w:val="top"/>
          </w:tcPr>
          <w:p w14:paraId="63CFFD32">
            <w:pPr>
              <w:rPr>
                <w:rFonts w:ascii="Arial"/>
                <w:color w:val="auto"/>
                <w:sz w:val="21"/>
                <w:highlight w:val="none"/>
              </w:rPr>
            </w:pPr>
          </w:p>
        </w:tc>
        <w:tc>
          <w:tcPr>
            <w:tcW w:w="848" w:type="dxa"/>
            <w:vAlign w:val="top"/>
          </w:tcPr>
          <w:p w14:paraId="73E068E5">
            <w:pPr>
              <w:rPr>
                <w:rFonts w:ascii="Arial"/>
                <w:color w:val="auto"/>
                <w:sz w:val="21"/>
                <w:highlight w:val="none"/>
              </w:rPr>
            </w:pPr>
          </w:p>
        </w:tc>
        <w:tc>
          <w:tcPr>
            <w:tcW w:w="1274" w:type="dxa"/>
            <w:vAlign w:val="top"/>
          </w:tcPr>
          <w:p w14:paraId="48A09783">
            <w:pPr>
              <w:rPr>
                <w:rFonts w:ascii="Arial"/>
                <w:color w:val="auto"/>
                <w:sz w:val="21"/>
                <w:highlight w:val="none"/>
              </w:rPr>
            </w:pPr>
          </w:p>
        </w:tc>
        <w:tc>
          <w:tcPr>
            <w:tcW w:w="1274" w:type="dxa"/>
            <w:vAlign w:val="top"/>
          </w:tcPr>
          <w:p w14:paraId="1E31DF0A">
            <w:pPr>
              <w:rPr>
                <w:rFonts w:ascii="Arial"/>
                <w:color w:val="auto"/>
                <w:sz w:val="21"/>
                <w:highlight w:val="none"/>
              </w:rPr>
            </w:pPr>
          </w:p>
        </w:tc>
        <w:tc>
          <w:tcPr>
            <w:tcW w:w="1007" w:type="dxa"/>
            <w:tcBorders>
              <w:right w:val="single" w:color="000000" w:sz="10" w:space="0"/>
            </w:tcBorders>
            <w:vAlign w:val="top"/>
          </w:tcPr>
          <w:p w14:paraId="648A2FB4">
            <w:pPr>
              <w:rPr>
                <w:rFonts w:ascii="Arial"/>
                <w:color w:val="auto"/>
                <w:sz w:val="21"/>
                <w:highlight w:val="none"/>
              </w:rPr>
            </w:pPr>
          </w:p>
        </w:tc>
      </w:tr>
      <w:tr w14:paraId="5B213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4FCADDF7">
            <w:pPr>
              <w:rPr>
                <w:rFonts w:ascii="Arial"/>
                <w:color w:val="auto"/>
                <w:sz w:val="21"/>
                <w:highlight w:val="none"/>
              </w:rPr>
            </w:pPr>
          </w:p>
        </w:tc>
        <w:tc>
          <w:tcPr>
            <w:tcW w:w="1412" w:type="dxa"/>
            <w:vAlign w:val="top"/>
          </w:tcPr>
          <w:p w14:paraId="475DABB9">
            <w:pPr>
              <w:rPr>
                <w:rFonts w:ascii="Arial"/>
                <w:color w:val="auto"/>
                <w:sz w:val="21"/>
                <w:highlight w:val="none"/>
              </w:rPr>
            </w:pPr>
          </w:p>
        </w:tc>
        <w:tc>
          <w:tcPr>
            <w:tcW w:w="848" w:type="dxa"/>
            <w:vAlign w:val="top"/>
          </w:tcPr>
          <w:p w14:paraId="19F9A490">
            <w:pPr>
              <w:rPr>
                <w:rFonts w:ascii="Arial"/>
                <w:color w:val="auto"/>
                <w:sz w:val="21"/>
                <w:highlight w:val="none"/>
              </w:rPr>
            </w:pPr>
          </w:p>
        </w:tc>
        <w:tc>
          <w:tcPr>
            <w:tcW w:w="708" w:type="dxa"/>
            <w:vAlign w:val="top"/>
          </w:tcPr>
          <w:p w14:paraId="27F7D326">
            <w:pPr>
              <w:rPr>
                <w:rFonts w:ascii="Arial"/>
                <w:color w:val="auto"/>
                <w:sz w:val="21"/>
                <w:highlight w:val="none"/>
              </w:rPr>
            </w:pPr>
          </w:p>
        </w:tc>
        <w:tc>
          <w:tcPr>
            <w:tcW w:w="848" w:type="dxa"/>
            <w:vAlign w:val="top"/>
          </w:tcPr>
          <w:p w14:paraId="7E6E194B">
            <w:pPr>
              <w:rPr>
                <w:rFonts w:ascii="Arial"/>
                <w:color w:val="auto"/>
                <w:sz w:val="21"/>
                <w:highlight w:val="none"/>
              </w:rPr>
            </w:pPr>
          </w:p>
        </w:tc>
        <w:tc>
          <w:tcPr>
            <w:tcW w:w="848" w:type="dxa"/>
            <w:vAlign w:val="top"/>
          </w:tcPr>
          <w:p w14:paraId="48EAE3BA">
            <w:pPr>
              <w:rPr>
                <w:rFonts w:ascii="Arial"/>
                <w:color w:val="auto"/>
                <w:sz w:val="21"/>
                <w:highlight w:val="none"/>
              </w:rPr>
            </w:pPr>
          </w:p>
        </w:tc>
        <w:tc>
          <w:tcPr>
            <w:tcW w:w="1274" w:type="dxa"/>
            <w:vAlign w:val="top"/>
          </w:tcPr>
          <w:p w14:paraId="6E994D78">
            <w:pPr>
              <w:rPr>
                <w:rFonts w:ascii="Arial"/>
                <w:color w:val="auto"/>
                <w:sz w:val="21"/>
                <w:highlight w:val="none"/>
              </w:rPr>
            </w:pPr>
          </w:p>
        </w:tc>
        <w:tc>
          <w:tcPr>
            <w:tcW w:w="1274" w:type="dxa"/>
            <w:vAlign w:val="top"/>
          </w:tcPr>
          <w:p w14:paraId="06EB3E5E">
            <w:pPr>
              <w:rPr>
                <w:rFonts w:ascii="Arial"/>
                <w:color w:val="auto"/>
                <w:sz w:val="21"/>
                <w:highlight w:val="none"/>
              </w:rPr>
            </w:pPr>
          </w:p>
        </w:tc>
        <w:tc>
          <w:tcPr>
            <w:tcW w:w="1007" w:type="dxa"/>
            <w:tcBorders>
              <w:right w:val="single" w:color="000000" w:sz="10" w:space="0"/>
            </w:tcBorders>
            <w:vAlign w:val="top"/>
          </w:tcPr>
          <w:p w14:paraId="0B64232B">
            <w:pPr>
              <w:rPr>
                <w:rFonts w:ascii="Arial"/>
                <w:color w:val="auto"/>
                <w:sz w:val="21"/>
                <w:highlight w:val="none"/>
              </w:rPr>
            </w:pPr>
          </w:p>
        </w:tc>
      </w:tr>
      <w:tr w14:paraId="0428A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867DC71">
            <w:pPr>
              <w:rPr>
                <w:rFonts w:ascii="Arial"/>
                <w:color w:val="auto"/>
                <w:sz w:val="21"/>
                <w:highlight w:val="none"/>
              </w:rPr>
            </w:pPr>
          </w:p>
        </w:tc>
        <w:tc>
          <w:tcPr>
            <w:tcW w:w="1412" w:type="dxa"/>
            <w:vAlign w:val="top"/>
          </w:tcPr>
          <w:p w14:paraId="41504EB7">
            <w:pPr>
              <w:rPr>
                <w:rFonts w:ascii="Arial"/>
                <w:color w:val="auto"/>
                <w:sz w:val="21"/>
                <w:highlight w:val="none"/>
              </w:rPr>
            </w:pPr>
          </w:p>
        </w:tc>
        <w:tc>
          <w:tcPr>
            <w:tcW w:w="848" w:type="dxa"/>
            <w:vAlign w:val="top"/>
          </w:tcPr>
          <w:p w14:paraId="1E0BC42C">
            <w:pPr>
              <w:rPr>
                <w:rFonts w:ascii="Arial"/>
                <w:color w:val="auto"/>
                <w:sz w:val="21"/>
                <w:highlight w:val="none"/>
              </w:rPr>
            </w:pPr>
          </w:p>
        </w:tc>
        <w:tc>
          <w:tcPr>
            <w:tcW w:w="708" w:type="dxa"/>
            <w:vAlign w:val="top"/>
          </w:tcPr>
          <w:p w14:paraId="61F1E8A8">
            <w:pPr>
              <w:rPr>
                <w:rFonts w:ascii="Arial"/>
                <w:color w:val="auto"/>
                <w:sz w:val="21"/>
                <w:highlight w:val="none"/>
              </w:rPr>
            </w:pPr>
          </w:p>
        </w:tc>
        <w:tc>
          <w:tcPr>
            <w:tcW w:w="848" w:type="dxa"/>
            <w:vAlign w:val="top"/>
          </w:tcPr>
          <w:p w14:paraId="2EDF75D7">
            <w:pPr>
              <w:rPr>
                <w:rFonts w:ascii="Arial"/>
                <w:color w:val="auto"/>
                <w:sz w:val="21"/>
                <w:highlight w:val="none"/>
              </w:rPr>
            </w:pPr>
          </w:p>
        </w:tc>
        <w:tc>
          <w:tcPr>
            <w:tcW w:w="848" w:type="dxa"/>
            <w:vAlign w:val="top"/>
          </w:tcPr>
          <w:p w14:paraId="67A19F08">
            <w:pPr>
              <w:rPr>
                <w:rFonts w:ascii="Arial"/>
                <w:color w:val="auto"/>
                <w:sz w:val="21"/>
                <w:highlight w:val="none"/>
              </w:rPr>
            </w:pPr>
          </w:p>
        </w:tc>
        <w:tc>
          <w:tcPr>
            <w:tcW w:w="1274" w:type="dxa"/>
            <w:vAlign w:val="top"/>
          </w:tcPr>
          <w:p w14:paraId="4E728A39">
            <w:pPr>
              <w:rPr>
                <w:rFonts w:ascii="Arial"/>
                <w:color w:val="auto"/>
                <w:sz w:val="21"/>
                <w:highlight w:val="none"/>
              </w:rPr>
            </w:pPr>
          </w:p>
        </w:tc>
        <w:tc>
          <w:tcPr>
            <w:tcW w:w="1274" w:type="dxa"/>
            <w:vAlign w:val="top"/>
          </w:tcPr>
          <w:p w14:paraId="25B45D80">
            <w:pPr>
              <w:rPr>
                <w:rFonts w:ascii="Arial"/>
                <w:color w:val="auto"/>
                <w:sz w:val="21"/>
                <w:highlight w:val="none"/>
              </w:rPr>
            </w:pPr>
          </w:p>
        </w:tc>
        <w:tc>
          <w:tcPr>
            <w:tcW w:w="1007" w:type="dxa"/>
            <w:tcBorders>
              <w:right w:val="single" w:color="000000" w:sz="10" w:space="0"/>
            </w:tcBorders>
            <w:vAlign w:val="top"/>
          </w:tcPr>
          <w:p w14:paraId="415F155E">
            <w:pPr>
              <w:rPr>
                <w:rFonts w:ascii="Arial"/>
                <w:color w:val="auto"/>
                <w:sz w:val="21"/>
                <w:highlight w:val="none"/>
              </w:rPr>
            </w:pPr>
          </w:p>
        </w:tc>
      </w:tr>
      <w:tr w14:paraId="3E313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16A5509">
            <w:pPr>
              <w:rPr>
                <w:rFonts w:ascii="Arial"/>
                <w:color w:val="auto"/>
                <w:sz w:val="21"/>
                <w:highlight w:val="none"/>
              </w:rPr>
            </w:pPr>
          </w:p>
        </w:tc>
        <w:tc>
          <w:tcPr>
            <w:tcW w:w="1412" w:type="dxa"/>
            <w:vAlign w:val="top"/>
          </w:tcPr>
          <w:p w14:paraId="66F1FDBE">
            <w:pPr>
              <w:rPr>
                <w:rFonts w:ascii="Arial"/>
                <w:color w:val="auto"/>
                <w:sz w:val="21"/>
                <w:highlight w:val="none"/>
              </w:rPr>
            </w:pPr>
          </w:p>
        </w:tc>
        <w:tc>
          <w:tcPr>
            <w:tcW w:w="848" w:type="dxa"/>
            <w:vAlign w:val="top"/>
          </w:tcPr>
          <w:p w14:paraId="24BCE8BC">
            <w:pPr>
              <w:rPr>
                <w:rFonts w:ascii="Arial"/>
                <w:color w:val="auto"/>
                <w:sz w:val="21"/>
                <w:highlight w:val="none"/>
              </w:rPr>
            </w:pPr>
          </w:p>
        </w:tc>
        <w:tc>
          <w:tcPr>
            <w:tcW w:w="708" w:type="dxa"/>
            <w:vAlign w:val="top"/>
          </w:tcPr>
          <w:p w14:paraId="0C867496">
            <w:pPr>
              <w:rPr>
                <w:rFonts w:ascii="Arial"/>
                <w:color w:val="auto"/>
                <w:sz w:val="21"/>
                <w:highlight w:val="none"/>
              </w:rPr>
            </w:pPr>
          </w:p>
        </w:tc>
        <w:tc>
          <w:tcPr>
            <w:tcW w:w="848" w:type="dxa"/>
            <w:vAlign w:val="top"/>
          </w:tcPr>
          <w:p w14:paraId="12754CAB">
            <w:pPr>
              <w:rPr>
                <w:rFonts w:ascii="Arial"/>
                <w:color w:val="auto"/>
                <w:sz w:val="21"/>
                <w:highlight w:val="none"/>
              </w:rPr>
            </w:pPr>
          </w:p>
        </w:tc>
        <w:tc>
          <w:tcPr>
            <w:tcW w:w="848" w:type="dxa"/>
            <w:vAlign w:val="top"/>
          </w:tcPr>
          <w:p w14:paraId="3D4DAE55">
            <w:pPr>
              <w:rPr>
                <w:rFonts w:ascii="Arial"/>
                <w:color w:val="auto"/>
                <w:sz w:val="21"/>
                <w:highlight w:val="none"/>
              </w:rPr>
            </w:pPr>
          </w:p>
        </w:tc>
        <w:tc>
          <w:tcPr>
            <w:tcW w:w="1274" w:type="dxa"/>
            <w:vAlign w:val="top"/>
          </w:tcPr>
          <w:p w14:paraId="06BDE126">
            <w:pPr>
              <w:rPr>
                <w:rFonts w:ascii="Arial"/>
                <w:color w:val="auto"/>
                <w:sz w:val="21"/>
                <w:highlight w:val="none"/>
              </w:rPr>
            </w:pPr>
          </w:p>
        </w:tc>
        <w:tc>
          <w:tcPr>
            <w:tcW w:w="1274" w:type="dxa"/>
            <w:vAlign w:val="top"/>
          </w:tcPr>
          <w:p w14:paraId="5584CFE9">
            <w:pPr>
              <w:rPr>
                <w:rFonts w:ascii="Arial"/>
                <w:color w:val="auto"/>
                <w:sz w:val="21"/>
                <w:highlight w:val="none"/>
              </w:rPr>
            </w:pPr>
          </w:p>
        </w:tc>
        <w:tc>
          <w:tcPr>
            <w:tcW w:w="1007" w:type="dxa"/>
            <w:tcBorders>
              <w:right w:val="single" w:color="000000" w:sz="10" w:space="0"/>
            </w:tcBorders>
            <w:vAlign w:val="top"/>
          </w:tcPr>
          <w:p w14:paraId="500E5557">
            <w:pPr>
              <w:rPr>
                <w:rFonts w:ascii="Arial"/>
                <w:color w:val="auto"/>
                <w:sz w:val="21"/>
                <w:highlight w:val="none"/>
              </w:rPr>
            </w:pPr>
          </w:p>
        </w:tc>
      </w:tr>
      <w:tr w14:paraId="5E3FB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4AB49AFC">
            <w:pPr>
              <w:rPr>
                <w:rFonts w:ascii="Arial"/>
                <w:color w:val="auto"/>
                <w:sz w:val="21"/>
                <w:highlight w:val="none"/>
              </w:rPr>
            </w:pPr>
          </w:p>
        </w:tc>
        <w:tc>
          <w:tcPr>
            <w:tcW w:w="1412" w:type="dxa"/>
            <w:vAlign w:val="top"/>
          </w:tcPr>
          <w:p w14:paraId="652D48B5">
            <w:pPr>
              <w:rPr>
                <w:rFonts w:ascii="Arial"/>
                <w:color w:val="auto"/>
                <w:sz w:val="21"/>
                <w:highlight w:val="none"/>
              </w:rPr>
            </w:pPr>
          </w:p>
        </w:tc>
        <w:tc>
          <w:tcPr>
            <w:tcW w:w="848" w:type="dxa"/>
            <w:vAlign w:val="top"/>
          </w:tcPr>
          <w:p w14:paraId="27BEAF17">
            <w:pPr>
              <w:rPr>
                <w:rFonts w:ascii="Arial"/>
                <w:color w:val="auto"/>
                <w:sz w:val="21"/>
                <w:highlight w:val="none"/>
              </w:rPr>
            </w:pPr>
          </w:p>
        </w:tc>
        <w:tc>
          <w:tcPr>
            <w:tcW w:w="708" w:type="dxa"/>
            <w:vAlign w:val="top"/>
          </w:tcPr>
          <w:p w14:paraId="1509D3A3">
            <w:pPr>
              <w:rPr>
                <w:rFonts w:ascii="Arial"/>
                <w:color w:val="auto"/>
                <w:sz w:val="21"/>
                <w:highlight w:val="none"/>
              </w:rPr>
            </w:pPr>
          </w:p>
        </w:tc>
        <w:tc>
          <w:tcPr>
            <w:tcW w:w="848" w:type="dxa"/>
            <w:vAlign w:val="top"/>
          </w:tcPr>
          <w:p w14:paraId="2CB3F6A2">
            <w:pPr>
              <w:rPr>
                <w:rFonts w:ascii="Arial"/>
                <w:color w:val="auto"/>
                <w:sz w:val="21"/>
                <w:highlight w:val="none"/>
              </w:rPr>
            </w:pPr>
          </w:p>
        </w:tc>
        <w:tc>
          <w:tcPr>
            <w:tcW w:w="848" w:type="dxa"/>
            <w:vAlign w:val="top"/>
          </w:tcPr>
          <w:p w14:paraId="4C875E6A">
            <w:pPr>
              <w:rPr>
                <w:rFonts w:ascii="Arial"/>
                <w:color w:val="auto"/>
                <w:sz w:val="21"/>
                <w:highlight w:val="none"/>
              </w:rPr>
            </w:pPr>
          </w:p>
        </w:tc>
        <w:tc>
          <w:tcPr>
            <w:tcW w:w="1274" w:type="dxa"/>
            <w:vAlign w:val="top"/>
          </w:tcPr>
          <w:p w14:paraId="1EB4376C">
            <w:pPr>
              <w:rPr>
                <w:rFonts w:ascii="Arial"/>
                <w:color w:val="auto"/>
                <w:sz w:val="21"/>
                <w:highlight w:val="none"/>
              </w:rPr>
            </w:pPr>
          </w:p>
        </w:tc>
        <w:tc>
          <w:tcPr>
            <w:tcW w:w="1274" w:type="dxa"/>
            <w:vAlign w:val="top"/>
          </w:tcPr>
          <w:p w14:paraId="55330074">
            <w:pPr>
              <w:rPr>
                <w:rFonts w:ascii="Arial"/>
                <w:color w:val="auto"/>
                <w:sz w:val="21"/>
                <w:highlight w:val="none"/>
              </w:rPr>
            </w:pPr>
          </w:p>
        </w:tc>
        <w:tc>
          <w:tcPr>
            <w:tcW w:w="1007" w:type="dxa"/>
            <w:tcBorders>
              <w:right w:val="single" w:color="000000" w:sz="10" w:space="0"/>
            </w:tcBorders>
            <w:vAlign w:val="top"/>
          </w:tcPr>
          <w:p w14:paraId="01665A68">
            <w:pPr>
              <w:rPr>
                <w:rFonts w:ascii="Arial"/>
                <w:color w:val="auto"/>
                <w:sz w:val="21"/>
                <w:highlight w:val="none"/>
              </w:rPr>
            </w:pPr>
          </w:p>
        </w:tc>
      </w:tr>
      <w:tr w14:paraId="731AE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CAD4C52">
            <w:pPr>
              <w:rPr>
                <w:rFonts w:ascii="Arial"/>
                <w:color w:val="auto"/>
                <w:sz w:val="21"/>
                <w:highlight w:val="none"/>
              </w:rPr>
            </w:pPr>
          </w:p>
        </w:tc>
        <w:tc>
          <w:tcPr>
            <w:tcW w:w="1412" w:type="dxa"/>
            <w:vAlign w:val="top"/>
          </w:tcPr>
          <w:p w14:paraId="596AC4F6">
            <w:pPr>
              <w:rPr>
                <w:rFonts w:ascii="Arial"/>
                <w:color w:val="auto"/>
                <w:sz w:val="21"/>
                <w:highlight w:val="none"/>
              </w:rPr>
            </w:pPr>
          </w:p>
        </w:tc>
        <w:tc>
          <w:tcPr>
            <w:tcW w:w="848" w:type="dxa"/>
            <w:vAlign w:val="top"/>
          </w:tcPr>
          <w:p w14:paraId="40BD32EC">
            <w:pPr>
              <w:rPr>
                <w:rFonts w:ascii="Arial"/>
                <w:color w:val="auto"/>
                <w:sz w:val="21"/>
                <w:highlight w:val="none"/>
              </w:rPr>
            </w:pPr>
          </w:p>
        </w:tc>
        <w:tc>
          <w:tcPr>
            <w:tcW w:w="708" w:type="dxa"/>
            <w:vAlign w:val="top"/>
          </w:tcPr>
          <w:p w14:paraId="6D46AB38">
            <w:pPr>
              <w:rPr>
                <w:rFonts w:ascii="Arial"/>
                <w:color w:val="auto"/>
                <w:sz w:val="21"/>
                <w:highlight w:val="none"/>
              </w:rPr>
            </w:pPr>
          </w:p>
        </w:tc>
        <w:tc>
          <w:tcPr>
            <w:tcW w:w="848" w:type="dxa"/>
            <w:vAlign w:val="top"/>
          </w:tcPr>
          <w:p w14:paraId="6FD3356C">
            <w:pPr>
              <w:rPr>
                <w:rFonts w:ascii="Arial"/>
                <w:color w:val="auto"/>
                <w:sz w:val="21"/>
                <w:highlight w:val="none"/>
              </w:rPr>
            </w:pPr>
          </w:p>
        </w:tc>
        <w:tc>
          <w:tcPr>
            <w:tcW w:w="848" w:type="dxa"/>
            <w:vAlign w:val="top"/>
          </w:tcPr>
          <w:p w14:paraId="53026883">
            <w:pPr>
              <w:rPr>
                <w:rFonts w:ascii="Arial"/>
                <w:color w:val="auto"/>
                <w:sz w:val="21"/>
                <w:highlight w:val="none"/>
              </w:rPr>
            </w:pPr>
          </w:p>
        </w:tc>
        <w:tc>
          <w:tcPr>
            <w:tcW w:w="1274" w:type="dxa"/>
            <w:vAlign w:val="top"/>
          </w:tcPr>
          <w:p w14:paraId="720F2887">
            <w:pPr>
              <w:rPr>
                <w:rFonts w:ascii="Arial"/>
                <w:color w:val="auto"/>
                <w:sz w:val="21"/>
                <w:highlight w:val="none"/>
              </w:rPr>
            </w:pPr>
          </w:p>
        </w:tc>
        <w:tc>
          <w:tcPr>
            <w:tcW w:w="1274" w:type="dxa"/>
            <w:vAlign w:val="top"/>
          </w:tcPr>
          <w:p w14:paraId="1C4877DC">
            <w:pPr>
              <w:rPr>
                <w:rFonts w:ascii="Arial"/>
                <w:color w:val="auto"/>
                <w:sz w:val="21"/>
                <w:highlight w:val="none"/>
              </w:rPr>
            </w:pPr>
          </w:p>
        </w:tc>
        <w:tc>
          <w:tcPr>
            <w:tcW w:w="1007" w:type="dxa"/>
            <w:tcBorders>
              <w:right w:val="single" w:color="000000" w:sz="10" w:space="0"/>
            </w:tcBorders>
            <w:vAlign w:val="top"/>
          </w:tcPr>
          <w:p w14:paraId="5EEDAFDC">
            <w:pPr>
              <w:rPr>
                <w:rFonts w:ascii="Arial"/>
                <w:color w:val="auto"/>
                <w:sz w:val="21"/>
                <w:highlight w:val="none"/>
              </w:rPr>
            </w:pPr>
          </w:p>
        </w:tc>
      </w:tr>
      <w:tr w14:paraId="698F1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E2D8204">
            <w:pPr>
              <w:rPr>
                <w:rFonts w:ascii="Arial"/>
                <w:color w:val="auto"/>
                <w:sz w:val="21"/>
                <w:highlight w:val="none"/>
              </w:rPr>
            </w:pPr>
          </w:p>
        </w:tc>
        <w:tc>
          <w:tcPr>
            <w:tcW w:w="1412" w:type="dxa"/>
            <w:vAlign w:val="top"/>
          </w:tcPr>
          <w:p w14:paraId="58A8BE1B">
            <w:pPr>
              <w:rPr>
                <w:rFonts w:ascii="Arial"/>
                <w:color w:val="auto"/>
                <w:sz w:val="21"/>
                <w:highlight w:val="none"/>
              </w:rPr>
            </w:pPr>
          </w:p>
        </w:tc>
        <w:tc>
          <w:tcPr>
            <w:tcW w:w="848" w:type="dxa"/>
            <w:vAlign w:val="top"/>
          </w:tcPr>
          <w:p w14:paraId="3A806CFD">
            <w:pPr>
              <w:rPr>
                <w:rFonts w:ascii="Arial"/>
                <w:color w:val="auto"/>
                <w:sz w:val="21"/>
                <w:highlight w:val="none"/>
              </w:rPr>
            </w:pPr>
          </w:p>
        </w:tc>
        <w:tc>
          <w:tcPr>
            <w:tcW w:w="708" w:type="dxa"/>
            <w:vAlign w:val="top"/>
          </w:tcPr>
          <w:p w14:paraId="5AC50543">
            <w:pPr>
              <w:rPr>
                <w:rFonts w:ascii="Arial"/>
                <w:color w:val="auto"/>
                <w:sz w:val="21"/>
                <w:highlight w:val="none"/>
              </w:rPr>
            </w:pPr>
          </w:p>
        </w:tc>
        <w:tc>
          <w:tcPr>
            <w:tcW w:w="848" w:type="dxa"/>
            <w:vAlign w:val="top"/>
          </w:tcPr>
          <w:p w14:paraId="3C45C1B3">
            <w:pPr>
              <w:rPr>
                <w:rFonts w:ascii="Arial"/>
                <w:color w:val="auto"/>
                <w:sz w:val="21"/>
                <w:highlight w:val="none"/>
              </w:rPr>
            </w:pPr>
          </w:p>
        </w:tc>
        <w:tc>
          <w:tcPr>
            <w:tcW w:w="848" w:type="dxa"/>
            <w:vAlign w:val="top"/>
          </w:tcPr>
          <w:p w14:paraId="3BF06E98">
            <w:pPr>
              <w:rPr>
                <w:rFonts w:ascii="Arial"/>
                <w:color w:val="auto"/>
                <w:sz w:val="21"/>
                <w:highlight w:val="none"/>
              </w:rPr>
            </w:pPr>
          </w:p>
        </w:tc>
        <w:tc>
          <w:tcPr>
            <w:tcW w:w="1274" w:type="dxa"/>
            <w:vAlign w:val="top"/>
          </w:tcPr>
          <w:p w14:paraId="5DB50B7F">
            <w:pPr>
              <w:rPr>
                <w:rFonts w:ascii="Arial"/>
                <w:color w:val="auto"/>
                <w:sz w:val="21"/>
                <w:highlight w:val="none"/>
              </w:rPr>
            </w:pPr>
          </w:p>
        </w:tc>
        <w:tc>
          <w:tcPr>
            <w:tcW w:w="1274" w:type="dxa"/>
            <w:vAlign w:val="top"/>
          </w:tcPr>
          <w:p w14:paraId="0827FDF3">
            <w:pPr>
              <w:rPr>
                <w:rFonts w:ascii="Arial"/>
                <w:color w:val="auto"/>
                <w:sz w:val="21"/>
                <w:highlight w:val="none"/>
              </w:rPr>
            </w:pPr>
          </w:p>
        </w:tc>
        <w:tc>
          <w:tcPr>
            <w:tcW w:w="1007" w:type="dxa"/>
            <w:tcBorders>
              <w:right w:val="single" w:color="000000" w:sz="10" w:space="0"/>
            </w:tcBorders>
            <w:vAlign w:val="top"/>
          </w:tcPr>
          <w:p w14:paraId="6BB61453">
            <w:pPr>
              <w:rPr>
                <w:rFonts w:ascii="Arial"/>
                <w:color w:val="auto"/>
                <w:sz w:val="21"/>
                <w:highlight w:val="none"/>
              </w:rPr>
            </w:pPr>
          </w:p>
        </w:tc>
      </w:tr>
      <w:tr w14:paraId="534D3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58C5BB53">
            <w:pPr>
              <w:rPr>
                <w:rFonts w:ascii="Arial"/>
                <w:color w:val="auto"/>
                <w:sz w:val="21"/>
                <w:highlight w:val="none"/>
              </w:rPr>
            </w:pPr>
          </w:p>
        </w:tc>
        <w:tc>
          <w:tcPr>
            <w:tcW w:w="1412" w:type="dxa"/>
            <w:vAlign w:val="top"/>
          </w:tcPr>
          <w:p w14:paraId="1DB26465">
            <w:pPr>
              <w:rPr>
                <w:rFonts w:ascii="Arial"/>
                <w:color w:val="auto"/>
                <w:sz w:val="21"/>
                <w:highlight w:val="none"/>
              </w:rPr>
            </w:pPr>
          </w:p>
        </w:tc>
        <w:tc>
          <w:tcPr>
            <w:tcW w:w="848" w:type="dxa"/>
            <w:vAlign w:val="top"/>
          </w:tcPr>
          <w:p w14:paraId="7C642985">
            <w:pPr>
              <w:rPr>
                <w:rFonts w:ascii="Arial"/>
                <w:color w:val="auto"/>
                <w:sz w:val="21"/>
                <w:highlight w:val="none"/>
              </w:rPr>
            </w:pPr>
          </w:p>
        </w:tc>
        <w:tc>
          <w:tcPr>
            <w:tcW w:w="708" w:type="dxa"/>
            <w:vAlign w:val="top"/>
          </w:tcPr>
          <w:p w14:paraId="3987612E">
            <w:pPr>
              <w:rPr>
                <w:rFonts w:ascii="Arial"/>
                <w:color w:val="auto"/>
                <w:sz w:val="21"/>
                <w:highlight w:val="none"/>
              </w:rPr>
            </w:pPr>
          </w:p>
        </w:tc>
        <w:tc>
          <w:tcPr>
            <w:tcW w:w="848" w:type="dxa"/>
            <w:vAlign w:val="top"/>
          </w:tcPr>
          <w:p w14:paraId="701D6A23">
            <w:pPr>
              <w:rPr>
                <w:rFonts w:ascii="Arial"/>
                <w:color w:val="auto"/>
                <w:sz w:val="21"/>
                <w:highlight w:val="none"/>
              </w:rPr>
            </w:pPr>
          </w:p>
        </w:tc>
        <w:tc>
          <w:tcPr>
            <w:tcW w:w="848" w:type="dxa"/>
            <w:vAlign w:val="top"/>
          </w:tcPr>
          <w:p w14:paraId="4F48FAE7">
            <w:pPr>
              <w:rPr>
                <w:rFonts w:ascii="Arial"/>
                <w:color w:val="auto"/>
                <w:sz w:val="21"/>
                <w:highlight w:val="none"/>
              </w:rPr>
            </w:pPr>
          </w:p>
        </w:tc>
        <w:tc>
          <w:tcPr>
            <w:tcW w:w="1274" w:type="dxa"/>
            <w:vAlign w:val="top"/>
          </w:tcPr>
          <w:p w14:paraId="5324306E">
            <w:pPr>
              <w:rPr>
                <w:rFonts w:ascii="Arial"/>
                <w:color w:val="auto"/>
                <w:sz w:val="21"/>
                <w:highlight w:val="none"/>
              </w:rPr>
            </w:pPr>
          </w:p>
        </w:tc>
        <w:tc>
          <w:tcPr>
            <w:tcW w:w="1274" w:type="dxa"/>
            <w:vAlign w:val="top"/>
          </w:tcPr>
          <w:p w14:paraId="5E8B821A">
            <w:pPr>
              <w:rPr>
                <w:rFonts w:ascii="Arial"/>
                <w:color w:val="auto"/>
                <w:sz w:val="21"/>
                <w:highlight w:val="none"/>
              </w:rPr>
            </w:pPr>
          </w:p>
        </w:tc>
        <w:tc>
          <w:tcPr>
            <w:tcW w:w="1007" w:type="dxa"/>
            <w:tcBorders>
              <w:right w:val="single" w:color="000000" w:sz="10" w:space="0"/>
            </w:tcBorders>
            <w:vAlign w:val="top"/>
          </w:tcPr>
          <w:p w14:paraId="62FCCB3D">
            <w:pPr>
              <w:rPr>
                <w:rFonts w:ascii="Arial"/>
                <w:color w:val="auto"/>
                <w:sz w:val="21"/>
                <w:highlight w:val="none"/>
              </w:rPr>
            </w:pPr>
          </w:p>
        </w:tc>
      </w:tr>
      <w:tr w14:paraId="3C2A0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14:paraId="16DFDD7E">
            <w:pPr>
              <w:rPr>
                <w:rFonts w:ascii="Arial"/>
                <w:color w:val="auto"/>
                <w:sz w:val="21"/>
                <w:highlight w:val="none"/>
              </w:rPr>
            </w:pPr>
          </w:p>
        </w:tc>
        <w:tc>
          <w:tcPr>
            <w:tcW w:w="1412" w:type="dxa"/>
            <w:tcBorders>
              <w:bottom w:val="single" w:color="000000" w:sz="10" w:space="0"/>
            </w:tcBorders>
            <w:vAlign w:val="top"/>
          </w:tcPr>
          <w:p w14:paraId="68E01273">
            <w:pPr>
              <w:rPr>
                <w:rFonts w:ascii="Arial"/>
                <w:color w:val="auto"/>
                <w:sz w:val="21"/>
                <w:highlight w:val="none"/>
              </w:rPr>
            </w:pPr>
          </w:p>
        </w:tc>
        <w:tc>
          <w:tcPr>
            <w:tcW w:w="848" w:type="dxa"/>
            <w:tcBorders>
              <w:bottom w:val="single" w:color="000000" w:sz="10" w:space="0"/>
            </w:tcBorders>
            <w:vAlign w:val="top"/>
          </w:tcPr>
          <w:p w14:paraId="14568587">
            <w:pPr>
              <w:rPr>
                <w:rFonts w:ascii="Arial"/>
                <w:color w:val="auto"/>
                <w:sz w:val="21"/>
                <w:highlight w:val="none"/>
              </w:rPr>
            </w:pPr>
          </w:p>
        </w:tc>
        <w:tc>
          <w:tcPr>
            <w:tcW w:w="708" w:type="dxa"/>
            <w:tcBorders>
              <w:bottom w:val="single" w:color="000000" w:sz="10" w:space="0"/>
            </w:tcBorders>
            <w:vAlign w:val="top"/>
          </w:tcPr>
          <w:p w14:paraId="36CBA82D">
            <w:pPr>
              <w:rPr>
                <w:rFonts w:ascii="Arial"/>
                <w:color w:val="auto"/>
                <w:sz w:val="21"/>
                <w:highlight w:val="none"/>
              </w:rPr>
            </w:pPr>
          </w:p>
        </w:tc>
        <w:tc>
          <w:tcPr>
            <w:tcW w:w="848" w:type="dxa"/>
            <w:tcBorders>
              <w:bottom w:val="single" w:color="000000" w:sz="10" w:space="0"/>
            </w:tcBorders>
            <w:vAlign w:val="top"/>
          </w:tcPr>
          <w:p w14:paraId="1478EEA3">
            <w:pPr>
              <w:rPr>
                <w:rFonts w:ascii="Arial"/>
                <w:color w:val="auto"/>
                <w:sz w:val="21"/>
                <w:highlight w:val="none"/>
              </w:rPr>
            </w:pPr>
          </w:p>
        </w:tc>
        <w:tc>
          <w:tcPr>
            <w:tcW w:w="848" w:type="dxa"/>
            <w:tcBorders>
              <w:bottom w:val="single" w:color="000000" w:sz="10" w:space="0"/>
            </w:tcBorders>
            <w:vAlign w:val="top"/>
          </w:tcPr>
          <w:p w14:paraId="22D0AA7A">
            <w:pPr>
              <w:rPr>
                <w:rFonts w:ascii="Arial"/>
                <w:color w:val="auto"/>
                <w:sz w:val="21"/>
                <w:highlight w:val="none"/>
              </w:rPr>
            </w:pPr>
          </w:p>
        </w:tc>
        <w:tc>
          <w:tcPr>
            <w:tcW w:w="1274" w:type="dxa"/>
            <w:tcBorders>
              <w:bottom w:val="single" w:color="000000" w:sz="10" w:space="0"/>
            </w:tcBorders>
            <w:vAlign w:val="top"/>
          </w:tcPr>
          <w:p w14:paraId="6E7BC41D">
            <w:pPr>
              <w:rPr>
                <w:rFonts w:ascii="Arial"/>
                <w:color w:val="auto"/>
                <w:sz w:val="21"/>
                <w:highlight w:val="none"/>
              </w:rPr>
            </w:pPr>
          </w:p>
        </w:tc>
        <w:tc>
          <w:tcPr>
            <w:tcW w:w="1274" w:type="dxa"/>
            <w:tcBorders>
              <w:bottom w:val="single" w:color="000000" w:sz="10" w:space="0"/>
            </w:tcBorders>
            <w:vAlign w:val="top"/>
          </w:tcPr>
          <w:p w14:paraId="46072FB1">
            <w:pPr>
              <w:rPr>
                <w:rFonts w:ascii="Arial"/>
                <w:color w:val="auto"/>
                <w:sz w:val="21"/>
                <w:highlight w:val="none"/>
              </w:rPr>
            </w:pPr>
          </w:p>
        </w:tc>
        <w:tc>
          <w:tcPr>
            <w:tcW w:w="1007" w:type="dxa"/>
            <w:tcBorders>
              <w:bottom w:val="single" w:color="000000" w:sz="10" w:space="0"/>
              <w:right w:val="single" w:color="000000" w:sz="10" w:space="0"/>
            </w:tcBorders>
            <w:vAlign w:val="top"/>
          </w:tcPr>
          <w:p w14:paraId="52F8E50C">
            <w:pPr>
              <w:rPr>
                <w:rFonts w:ascii="Arial"/>
                <w:color w:val="auto"/>
                <w:sz w:val="21"/>
                <w:highlight w:val="none"/>
              </w:rPr>
            </w:pPr>
          </w:p>
        </w:tc>
      </w:tr>
    </w:tbl>
    <w:p w14:paraId="7B945266">
      <w:pPr>
        <w:pStyle w:val="3"/>
        <w:rPr>
          <w:color w:val="auto"/>
          <w:highlight w:val="none"/>
        </w:rPr>
      </w:pPr>
    </w:p>
    <w:p w14:paraId="44E755AF">
      <w:pPr>
        <w:rPr>
          <w:color w:val="auto"/>
          <w:highlight w:val="none"/>
        </w:rPr>
        <w:sectPr>
          <w:footerReference r:id="rId161" w:type="default"/>
          <w:pgSz w:w="11905" w:h="16839"/>
          <w:pgMar w:top="400" w:right="1450" w:bottom="1004" w:left="1459" w:header="0" w:footer="828" w:gutter="0"/>
          <w:pgNumType w:fmt="decimal"/>
          <w:cols w:space="720" w:num="1"/>
        </w:sectPr>
      </w:pPr>
    </w:p>
    <w:p w14:paraId="3FB0C5B6">
      <w:pPr>
        <w:pStyle w:val="3"/>
        <w:spacing w:line="276" w:lineRule="auto"/>
        <w:rPr>
          <w:color w:val="auto"/>
          <w:highlight w:val="none"/>
        </w:rPr>
      </w:pPr>
    </w:p>
    <w:p w14:paraId="07C52BFC">
      <w:pPr>
        <w:pStyle w:val="3"/>
        <w:spacing w:line="276" w:lineRule="auto"/>
        <w:rPr>
          <w:color w:val="auto"/>
          <w:highlight w:val="none"/>
        </w:rPr>
      </w:pPr>
    </w:p>
    <w:p w14:paraId="0A7B52CC">
      <w:pPr>
        <w:pStyle w:val="3"/>
        <w:spacing w:line="276" w:lineRule="auto"/>
        <w:rPr>
          <w:color w:val="auto"/>
          <w:highlight w:val="none"/>
        </w:rPr>
      </w:pPr>
    </w:p>
    <w:p w14:paraId="1C5B7EF9">
      <w:pPr>
        <w:pStyle w:val="3"/>
        <w:spacing w:line="276" w:lineRule="auto"/>
        <w:rPr>
          <w:color w:val="auto"/>
          <w:highlight w:val="none"/>
        </w:rPr>
      </w:pPr>
    </w:p>
    <w:p w14:paraId="6C6DA652">
      <w:pPr>
        <w:spacing w:before="78" w:line="219" w:lineRule="auto"/>
        <w:ind w:left="791"/>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6</w:t>
      </w:r>
      <w:r>
        <w:rPr>
          <w:rFonts w:ascii="宋体" w:hAnsi="宋体" w:eastAsia="宋体" w:cs="宋体"/>
          <w:color w:val="auto"/>
          <w:spacing w:val="-10"/>
          <w:sz w:val="24"/>
          <w:szCs w:val="24"/>
          <w:highlight w:val="none"/>
        </w:rPr>
        <w:t>：</w:t>
      </w:r>
    </w:p>
    <w:p w14:paraId="295E5B87">
      <w:pPr>
        <w:spacing w:before="243" w:line="224" w:lineRule="auto"/>
        <w:ind w:left="3250"/>
        <w:rPr>
          <w:rFonts w:ascii="黑体" w:hAnsi="黑体" w:eastAsia="黑体" w:cs="黑体"/>
          <w:color w:val="auto"/>
          <w:sz w:val="27"/>
          <w:szCs w:val="27"/>
          <w:highlight w:val="none"/>
        </w:rPr>
      </w:pPr>
      <w:bookmarkStart w:id="1282" w:name="bookmark228"/>
      <w:bookmarkEnd w:id="1282"/>
      <w:r>
        <w:rPr>
          <w:rFonts w:ascii="黑体" w:hAnsi="黑体" w:eastAsia="黑体" w:cs="黑体"/>
          <w:color w:val="auto"/>
          <w:spacing w:val="8"/>
          <w:sz w:val="27"/>
          <w:szCs w:val="27"/>
          <w:highlight w:val="none"/>
        </w:rPr>
        <w:t>承包人主要施工管理人员表</w:t>
      </w:r>
    </w:p>
    <w:p w14:paraId="6F245E06">
      <w:pPr>
        <w:spacing w:line="113" w:lineRule="exact"/>
        <w:rPr>
          <w:color w:val="auto"/>
          <w:highlight w:val="none"/>
        </w:rPr>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3C0CA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64AA4C6F">
            <w:pPr>
              <w:pStyle w:val="11"/>
              <w:spacing w:before="177" w:line="223" w:lineRule="auto"/>
              <w:ind w:left="513"/>
              <w:rPr>
                <w:color w:val="auto"/>
                <w:highlight w:val="none"/>
              </w:rPr>
            </w:pPr>
            <w:r>
              <w:rPr>
                <w:color w:val="auto"/>
                <w:spacing w:val="-5"/>
                <w:highlight w:val="none"/>
              </w:rPr>
              <w:t>名</w:t>
            </w:r>
            <w:r>
              <w:rPr>
                <w:color w:val="auto"/>
                <w:spacing w:val="2"/>
                <w:highlight w:val="none"/>
              </w:rPr>
              <w:t xml:space="preserve">    </w:t>
            </w:r>
            <w:r>
              <w:rPr>
                <w:color w:val="auto"/>
                <w:spacing w:val="-5"/>
                <w:highlight w:val="none"/>
              </w:rPr>
              <w:t>称</w:t>
            </w:r>
          </w:p>
        </w:tc>
        <w:tc>
          <w:tcPr>
            <w:tcW w:w="1413" w:type="dxa"/>
            <w:tcBorders>
              <w:top w:val="single" w:color="000000" w:sz="10" w:space="0"/>
            </w:tcBorders>
            <w:vAlign w:val="top"/>
          </w:tcPr>
          <w:p w14:paraId="32D7D251">
            <w:pPr>
              <w:pStyle w:val="11"/>
              <w:spacing w:before="177" w:line="221" w:lineRule="auto"/>
              <w:ind w:left="497"/>
              <w:rPr>
                <w:color w:val="auto"/>
                <w:highlight w:val="none"/>
              </w:rPr>
            </w:pPr>
            <w:r>
              <w:rPr>
                <w:color w:val="auto"/>
                <w:spacing w:val="-2"/>
                <w:highlight w:val="none"/>
              </w:rPr>
              <w:t>姓名</w:t>
            </w:r>
          </w:p>
        </w:tc>
        <w:tc>
          <w:tcPr>
            <w:tcW w:w="1134" w:type="dxa"/>
            <w:tcBorders>
              <w:top w:val="single" w:color="000000" w:sz="10" w:space="0"/>
            </w:tcBorders>
            <w:vAlign w:val="top"/>
          </w:tcPr>
          <w:p w14:paraId="06E508CD">
            <w:pPr>
              <w:pStyle w:val="11"/>
              <w:spacing w:before="177" w:line="221" w:lineRule="auto"/>
              <w:ind w:left="357"/>
              <w:rPr>
                <w:color w:val="auto"/>
                <w:highlight w:val="none"/>
              </w:rPr>
            </w:pPr>
            <w:r>
              <w:rPr>
                <w:color w:val="auto"/>
                <w:spacing w:val="-2"/>
                <w:highlight w:val="none"/>
              </w:rPr>
              <w:t>职务</w:t>
            </w:r>
          </w:p>
        </w:tc>
        <w:tc>
          <w:tcPr>
            <w:tcW w:w="1130" w:type="dxa"/>
            <w:tcBorders>
              <w:top w:val="single" w:color="000000" w:sz="10" w:space="0"/>
            </w:tcBorders>
            <w:vAlign w:val="top"/>
          </w:tcPr>
          <w:p w14:paraId="7F63E295">
            <w:pPr>
              <w:pStyle w:val="11"/>
              <w:spacing w:before="177" w:line="223" w:lineRule="auto"/>
              <w:ind w:left="361"/>
              <w:rPr>
                <w:color w:val="auto"/>
                <w:highlight w:val="none"/>
              </w:rPr>
            </w:pPr>
            <w:r>
              <w:rPr>
                <w:color w:val="auto"/>
                <w:spacing w:val="-2"/>
                <w:highlight w:val="none"/>
              </w:rPr>
              <w:t>职称</w:t>
            </w:r>
          </w:p>
        </w:tc>
        <w:tc>
          <w:tcPr>
            <w:tcW w:w="4261" w:type="dxa"/>
            <w:tcBorders>
              <w:top w:val="single" w:color="000000" w:sz="10" w:space="0"/>
              <w:right w:val="single" w:color="000000" w:sz="10" w:space="0"/>
            </w:tcBorders>
            <w:vAlign w:val="top"/>
          </w:tcPr>
          <w:p w14:paraId="00B508BA">
            <w:pPr>
              <w:pStyle w:val="11"/>
              <w:spacing w:before="177" w:line="221" w:lineRule="auto"/>
              <w:ind w:left="668"/>
              <w:rPr>
                <w:color w:val="auto"/>
                <w:highlight w:val="none"/>
              </w:rPr>
            </w:pPr>
            <w:r>
              <w:rPr>
                <w:color w:val="auto"/>
                <w:spacing w:val="-1"/>
                <w:highlight w:val="none"/>
              </w:rPr>
              <w:t>主要资历、经验及承担过的项目</w:t>
            </w:r>
          </w:p>
        </w:tc>
      </w:tr>
      <w:tr w14:paraId="7EAE7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4888BADA">
            <w:pPr>
              <w:pStyle w:val="11"/>
              <w:spacing w:before="200" w:line="221" w:lineRule="auto"/>
              <w:ind w:left="4279"/>
              <w:rPr>
                <w:color w:val="auto"/>
                <w:highlight w:val="none"/>
              </w:rPr>
            </w:pPr>
            <w:r>
              <w:rPr>
                <w:color w:val="auto"/>
                <w:spacing w:val="-3"/>
                <w:highlight w:val="none"/>
              </w:rPr>
              <w:t>一、总部人员</w:t>
            </w:r>
          </w:p>
        </w:tc>
      </w:tr>
      <w:tr w14:paraId="0EB0F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6FED603">
            <w:pPr>
              <w:pStyle w:val="11"/>
              <w:spacing w:before="173" w:line="221" w:lineRule="auto"/>
              <w:ind w:left="514"/>
              <w:rPr>
                <w:color w:val="auto"/>
                <w:highlight w:val="none"/>
              </w:rPr>
            </w:pPr>
            <w:r>
              <w:rPr>
                <w:color w:val="auto"/>
                <w:spacing w:val="-2"/>
                <w:highlight w:val="none"/>
              </w:rPr>
              <w:t>项目主管</w:t>
            </w:r>
          </w:p>
        </w:tc>
        <w:tc>
          <w:tcPr>
            <w:tcW w:w="1413" w:type="dxa"/>
            <w:vAlign w:val="top"/>
          </w:tcPr>
          <w:p w14:paraId="4C30278D">
            <w:pPr>
              <w:rPr>
                <w:rFonts w:ascii="Arial"/>
                <w:color w:val="auto"/>
                <w:sz w:val="21"/>
                <w:highlight w:val="none"/>
              </w:rPr>
            </w:pPr>
          </w:p>
        </w:tc>
        <w:tc>
          <w:tcPr>
            <w:tcW w:w="1134" w:type="dxa"/>
            <w:vAlign w:val="top"/>
          </w:tcPr>
          <w:p w14:paraId="2AD191CB">
            <w:pPr>
              <w:rPr>
                <w:rFonts w:ascii="Arial"/>
                <w:color w:val="auto"/>
                <w:sz w:val="21"/>
                <w:highlight w:val="none"/>
              </w:rPr>
            </w:pPr>
          </w:p>
        </w:tc>
        <w:tc>
          <w:tcPr>
            <w:tcW w:w="1130" w:type="dxa"/>
            <w:vAlign w:val="top"/>
          </w:tcPr>
          <w:p w14:paraId="1A9EE3E4">
            <w:pPr>
              <w:rPr>
                <w:rFonts w:ascii="Arial"/>
                <w:color w:val="auto"/>
                <w:sz w:val="21"/>
                <w:highlight w:val="none"/>
              </w:rPr>
            </w:pPr>
          </w:p>
        </w:tc>
        <w:tc>
          <w:tcPr>
            <w:tcW w:w="4261" w:type="dxa"/>
            <w:tcBorders>
              <w:right w:val="single" w:color="000000" w:sz="10" w:space="0"/>
            </w:tcBorders>
            <w:vAlign w:val="top"/>
          </w:tcPr>
          <w:p w14:paraId="012BF3B9">
            <w:pPr>
              <w:rPr>
                <w:rFonts w:ascii="Arial"/>
                <w:color w:val="auto"/>
                <w:sz w:val="21"/>
                <w:highlight w:val="none"/>
              </w:rPr>
            </w:pPr>
          </w:p>
        </w:tc>
      </w:tr>
      <w:tr w14:paraId="212FB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7B71FF39">
            <w:pPr>
              <w:spacing w:line="280" w:lineRule="auto"/>
              <w:rPr>
                <w:rFonts w:ascii="Arial"/>
                <w:color w:val="auto"/>
                <w:sz w:val="21"/>
                <w:highlight w:val="none"/>
              </w:rPr>
            </w:pPr>
          </w:p>
          <w:p w14:paraId="48390EC5">
            <w:pPr>
              <w:spacing w:line="280" w:lineRule="auto"/>
              <w:rPr>
                <w:rFonts w:ascii="Arial"/>
                <w:color w:val="auto"/>
                <w:sz w:val="21"/>
                <w:highlight w:val="none"/>
              </w:rPr>
            </w:pPr>
          </w:p>
          <w:p w14:paraId="5816DC1C">
            <w:pPr>
              <w:pStyle w:val="11"/>
              <w:spacing w:before="68" w:line="221" w:lineRule="auto"/>
              <w:ind w:left="512"/>
              <w:rPr>
                <w:color w:val="auto"/>
                <w:highlight w:val="none"/>
              </w:rPr>
            </w:pPr>
            <w:r>
              <w:rPr>
                <w:color w:val="auto"/>
                <w:spacing w:val="-1"/>
                <w:highlight w:val="none"/>
              </w:rPr>
              <w:t>其他人员</w:t>
            </w:r>
          </w:p>
        </w:tc>
        <w:tc>
          <w:tcPr>
            <w:tcW w:w="1413" w:type="dxa"/>
            <w:vAlign w:val="top"/>
          </w:tcPr>
          <w:p w14:paraId="5527C57E">
            <w:pPr>
              <w:rPr>
                <w:rFonts w:ascii="Arial"/>
                <w:color w:val="auto"/>
                <w:sz w:val="21"/>
                <w:highlight w:val="none"/>
              </w:rPr>
            </w:pPr>
          </w:p>
        </w:tc>
        <w:tc>
          <w:tcPr>
            <w:tcW w:w="1134" w:type="dxa"/>
            <w:vAlign w:val="top"/>
          </w:tcPr>
          <w:p w14:paraId="153A6C8C">
            <w:pPr>
              <w:rPr>
                <w:rFonts w:ascii="Arial"/>
                <w:color w:val="auto"/>
                <w:sz w:val="21"/>
                <w:highlight w:val="none"/>
              </w:rPr>
            </w:pPr>
          </w:p>
        </w:tc>
        <w:tc>
          <w:tcPr>
            <w:tcW w:w="1130" w:type="dxa"/>
            <w:vAlign w:val="top"/>
          </w:tcPr>
          <w:p w14:paraId="7751EEEF">
            <w:pPr>
              <w:rPr>
                <w:rFonts w:ascii="Arial"/>
                <w:color w:val="auto"/>
                <w:sz w:val="21"/>
                <w:highlight w:val="none"/>
              </w:rPr>
            </w:pPr>
          </w:p>
        </w:tc>
        <w:tc>
          <w:tcPr>
            <w:tcW w:w="4261" w:type="dxa"/>
            <w:tcBorders>
              <w:right w:val="single" w:color="000000" w:sz="10" w:space="0"/>
            </w:tcBorders>
            <w:vAlign w:val="top"/>
          </w:tcPr>
          <w:p w14:paraId="0C1D3965">
            <w:pPr>
              <w:rPr>
                <w:rFonts w:ascii="Arial"/>
                <w:color w:val="auto"/>
                <w:sz w:val="21"/>
                <w:highlight w:val="none"/>
              </w:rPr>
            </w:pPr>
          </w:p>
        </w:tc>
      </w:tr>
      <w:tr w14:paraId="25433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6C5AE31">
            <w:pPr>
              <w:rPr>
                <w:rFonts w:ascii="Arial"/>
                <w:color w:val="auto"/>
                <w:sz w:val="21"/>
                <w:highlight w:val="none"/>
              </w:rPr>
            </w:pPr>
          </w:p>
        </w:tc>
        <w:tc>
          <w:tcPr>
            <w:tcW w:w="1413" w:type="dxa"/>
            <w:vAlign w:val="top"/>
          </w:tcPr>
          <w:p w14:paraId="78A50FBB">
            <w:pPr>
              <w:rPr>
                <w:rFonts w:ascii="Arial"/>
                <w:color w:val="auto"/>
                <w:sz w:val="21"/>
                <w:highlight w:val="none"/>
              </w:rPr>
            </w:pPr>
          </w:p>
        </w:tc>
        <w:tc>
          <w:tcPr>
            <w:tcW w:w="1134" w:type="dxa"/>
            <w:vAlign w:val="top"/>
          </w:tcPr>
          <w:p w14:paraId="28C662F4">
            <w:pPr>
              <w:rPr>
                <w:rFonts w:ascii="Arial"/>
                <w:color w:val="auto"/>
                <w:sz w:val="21"/>
                <w:highlight w:val="none"/>
              </w:rPr>
            </w:pPr>
          </w:p>
        </w:tc>
        <w:tc>
          <w:tcPr>
            <w:tcW w:w="1130" w:type="dxa"/>
            <w:vAlign w:val="top"/>
          </w:tcPr>
          <w:p w14:paraId="79D92A3A">
            <w:pPr>
              <w:rPr>
                <w:rFonts w:ascii="Arial"/>
                <w:color w:val="auto"/>
                <w:sz w:val="21"/>
                <w:highlight w:val="none"/>
              </w:rPr>
            </w:pPr>
          </w:p>
        </w:tc>
        <w:tc>
          <w:tcPr>
            <w:tcW w:w="4261" w:type="dxa"/>
            <w:tcBorders>
              <w:right w:val="single" w:color="000000" w:sz="10" w:space="0"/>
            </w:tcBorders>
            <w:vAlign w:val="top"/>
          </w:tcPr>
          <w:p w14:paraId="344E589E">
            <w:pPr>
              <w:rPr>
                <w:rFonts w:ascii="Arial"/>
                <w:color w:val="auto"/>
                <w:sz w:val="21"/>
                <w:highlight w:val="none"/>
              </w:rPr>
            </w:pPr>
          </w:p>
        </w:tc>
      </w:tr>
      <w:tr w14:paraId="13182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880" w:type="dxa"/>
            <w:vMerge w:val="continue"/>
            <w:tcBorders>
              <w:top w:val="nil"/>
              <w:left w:val="single" w:color="000000" w:sz="10" w:space="0"/>
            </w:tcBorders>
            <w:vAlign w:val="top"/>
          </w:tcPr>
          <w:p w14:paraId="45E3672E">
            <w:pPr>
              <w:rPr>
                <w:rFonts w:ascii="Arial"/>
                <w:color w:val="auto"/>
                <w:sz w:val="21"/>
                <w:highlight w:val="none"/>
              </w:rPr>
            </w:pPr>
          </w:p>
        </w:tc>
        <w:tc>
          <w:tcPr>
            <w:tcW w:w="1413" w:type="dxa"/>
            <w:vAlign w:val="top"/>
          </w:tcPr>
          <w:p w14:paraId="56FF583F">
            <w:pPr>
              <w:rPr>
                <w:rFonts w:ascii="Arial"/>
                <w:color w:val="auto"/>
                <w:sz w:val="21"/>
                <w:highlight w:val="none"/>
              </w:rPr>
            </w:pPr>
          </w:p>
        </w:tc>
        <w:tc>
          <w:tcPr>
            <w:tcW w:w="1134" w:type="dxa"/>
            <w:vAlign w:val="top"/>
          </w:tcPr>
          <w:p w14:paraId="28B838F2">
            <w:pPr>
              <w:rPr>
                <w:rFonts w:ascii="Arial"/>
                <w:color w:val="auto"/>
                <w:sz w:val="21"/>
                <w:highlight w:val="none"/>
              </w:rPr>
            </w:pPr>
          </w:p>
        </w:tc>
        <w:tc>
          <w:tcPr>
            <w:tcW w:w="1130" w:type="dxa"/>
            <w:vAlign w:val="top"/>
          </w:tcPr>
          <w:p w14:paraId="618F47FA">
            <w:pPr>
              <w:rPr>
                <w:rFonts w:ascii="Arial"/>
                <w:color w:val="auto"/>
                <w:sz w:val="21"/>
                <w:highlight w:val="none"/>
              </w:rPr>
            </w:pPr>
          </w:p>
        </w:tc>
        <w:tc>
          <w:tcPr>
            <w:tcW w:w="4261" w:type="dxa"/>
            <w:tcBorders>
              <w:right w:val="single" w:color="000000" w:sz="10" w:space="0"/>
            </w:tcBorders>
            <w:vAlign w:val="top"/>
          </w:tcPr>
          <w:p w14:paraId="488DFECB">
            <w:pPr>
              <w:rPr>
                <w:rFonts w:ascii="Arial"/>
                <w:color w:val="auto"/>
                <w:sz w:val="21"/>
                <w:highlight w:val="none"/>
              </w:rPr>
            </w:pPr>
          </w:p>
        </w:tc>
      </w:tr>
      <w:tr w14:paraId="36827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5772F512">
            <w:pPr>
              <w:pStyle w:val="11"/>
              <w:spacing w:before="178" w:line="221" w:lineRule="auto"/>
              <w:ind w:left="4279"/>
              <w:rPr>
                <w:color w:val="auto"/>
                <w:highlight w:val="none"/>
              </w:rPr>
            </w:pPr>
            <w:r>
              <w:rPr>
                <w:color w:val="auto"/>
                <w:spacing w:val="-1"/>
                <w:highlight w:val="none"/>
              </w:rPr>
              <w:t>二、现场人员</w:t>
            </w:r>
          </w:p>
        </w:tc>
      </w:tr>
      <w:tr w14:paraId="04779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FC10179">
            <w:pPr>
              <w:pStyle w:val="11"/>
              <w:spacing w:before="179" w:line="221" w:lineRule="auto"/>
              <w:ind w:left="514"/>
              <w:rPr>
                <w:color w:val="auto"/>
                <w:highlight w:val="none"/>
              </w:rPr>
            </w:pPr>
            <w:r>
              <w:rPr>
                <w:color w:val="auto"/>
                <w:spacing w:val="-2"/>
                <w:highlight w:val="none"/>
              </w:rPr>
              <w:t>项目经理</w:t>
            </w:r>
          </w:p>
        </w:tc>
        <w:tc>
          <w:tcPr>
            <w:tcW w:w="1413" w:type="dxa"/>
            <w:vAlign w:val="top"/>
          </w:tcPr>
          <w:p w14:paraId="54AFE58E">
            <w:pPr>
              <w:rPr>
                <w:rFonts w:ascii="Arial"/>
                <w:color w:val="auto"/>
                <w:sz w:val="21"/>
                <w:highlight w:val="none"/>
              </w:rPr>
            </w:pPr>
          </w:p>
        </w:tc>
        <w:tc>
          <w:tcPr>
            <w:tcW w:w="1134" w:type="dxa"/>
            <w:vAlign w:val="top"/>
          </w:tcPr>
          <w:p w14:paraId="276654C3">
            <w:pPr>
              <w:rPr>
                <w:rFonts w:ascii="Arial"/>
                <w:color w:val="auto"/>
                <w:sz w:val="21"/>
                <w:highlight w:val="none"/>
              </w:rPr>
            </w:pPr>
          </w:p>
        </w:tc>
        <w:tc>
          <w:tcPr>
            <w:tcW w:w="1130" w:type="dxa"/>
            <w:vAlign w:val="top"/>
          </w:tcPr>
          <w:p w14:paraId="2F4A2C60">
            <w:pPr>
              <w:rPr>
                <w:rFonts w:ascii="Arial"/>
                <w:color w:val="auto"/>
                <w:sz w:val="21"/>
                <w:highlight w:val="none"/>
              </w:rPr>
            </w:pPr>
          </w:p>
        </w:tc>
        <w:tc>
          <w:tcPr>
            <w:tcW w:w="4261" w:type="dxa"/>
            <w:tcBorders>
              <w:right w:val="single" w:color="000000" w:sz="10" w:space="0"/>
            </w:tcBorders>
            <w:vAlign w:val="top"/>
          </w:tcPr>
          <w:p w14:paraId="44497053">
            <w:pPr>
              <w:rPr>
                <w:rFonts w:ascii="Arial"/>
                <w:color w:val="auto"/>
                <w:sz w:val="21"/>
                <w:highlight w:val="none"/>
              </w:rPr>
            </w:pPr>
          </w:p>
        </w:tc>
      </w:tr>
      <w:tr w14:paraId="71B48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5AC5691">
            <w:pPr>
              <w:pStyle w:val="11"/>
              <w:spacing w:before="180" w:line="221" w:lineRule="auto"/>
              <w:ind w:left="409"/>
              <w:rPr>
                <w:color w:val="auto"/>
                <w:highlight w:val="none"/>
              </w:rPr>
            </w:pPr>
            <w:r>
              <w:rPr>
                <w:color w:val="auto"/>
                <w:spacing w:val="-1"/>
                <w:highlight w:val="none"/>
              </w:rPr>
              <w:t>项目副经理</w:t>
            </w:r>
          </w:p>
        </w:tc>
        <w:tc>
          <w:tcPr>
            <w:tcW w:w="1413" w:type="dxa"/>
            <w:vAlign w:val="top"/>
          </w:tcPr>
          <w:p w14:paraId="752F957F">
            <w:pPr>
              <w:rPr>
                <w:rFonts w:ascii="Arial"/>
                <w:color w:val="auto"/>
                <w:sz w:val="21"/>
                <w:highlight w:val="none"/>
              </w:rPr>
            </w:pPr>
          </w:p>
        </w:tc>
        <w:tc>
          <w:tcPr>
            <w:tcW w:w="1134" w:type="dxa"/>
            <w:vAlign w:val="top"/>
          </w:tcPr>
          <w:p w14:paraId="41B4AB6C">
            <w:pPr>
              <w:rPr>
                <w:rFonts w:ascii="Arial"/>
                <w:color w:val="auto"/>
                <w:sz w:val="21"/>
                <w:highlight w:val="none"/>
              </w:rPr>
            </w:pPr>
          </w:p>
        </w:tc>
        <w:tc>
          <w:tcPr>
            <w:tcW w:w="1130" w:type="dxa"/>
            <w:vAlign w:val="top"/>
          </w:tcPr>
          <w:p w14:paraId="1C36B0B2">
            <w:pPr>
              <w:rPr>
                <w:rFonts w:ascii="Arial"/>
                <w:color w:val="auto"/>
                <w:sz w:val="21"/>
                <w:highlight w:val="none"/>
              </w:rPr>
            </w:pPr>
          </w:p>
        </w:tc>
        <w:tc>
          <w:tcPr>
            <w:tcW w:w="4261" w:type="dxa"/>
            <w:tcBorders>
              <w:right w:val="single" w:color="000000" w:sz="10" w:space="0"/>
            </w:tcBorders>
            <w:vAlign w:val="top"/>
          </w:tcPr>
          <w:p w14:paraId="7B76FEDB">
            <w:pPr>
              <w:rPr>
                <w:rFonts w:ascii="Arial"/>
                <w:color w:val="auto"/>
                <w:sz w:val="21"/>
                <w:highlight w:val="none"/>
              </w:rPr>
            </w:pPr>
          </w:p>
        </w:tc>
      </w:tr>
      <w:tr w14:paraId="2B4F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2B3535E">
            <w:pPr>
              <w:pStyle w:val="11"/>
              <w:spacing w:before="181" w:line="221" w:lineRule="auto"/>
              <w:ind w:left="406"/>
              <w:rPr>
                <w:color w:val="auto"/>
                <w:highlight w:val="none"/>
              </w:rPr>
            </w:pPr>
            <w:r>
              <w:rPr>
                <w:color w:val="auto"/>
                <w:spacing w:val="-1"/>
                <w:highlight w:val="none"/>
              </w:rPr>
              <w:t>技术负责人</w:t>
            </w:r>
          </w:p>
        </w:tc>
        <w:tc>
          <w:tcPr>
            <w:tcW w:w="1413" w:type="dxa"/>
            <w:vAlign w:val="top"/>
          </w:tcPr>
          <w:p w14:paraId="789FB0D6">
            <w:pPr>
              <w:rPr>
                <w:rFonts w:ascii="Arial"/>
                <w:color w:val="auto"/>
                <w:sz w:val="21"/>
                <w:highlight w:val="none"/>
              </w:rPr>
            </w:pPr>
          </w:p>
        </w:tc>
        <w:tc>
          <w:tcPr>
            <w:tcW w:w="1134" w:type="dxa"/>
            <w:vAlign w:val="top"/>
          </w:tcPr>
          <w:p w14:paraId="698CA4AA">
            <w:pPr>
              <w:rPr>
                <w:rFonts w:ascii="Arial"/>
                <w:color w:val="auto"/>
                <w:sz w:val="21"/>
                <w:highlight w:val="none"/>
              </w:rPr>
            </w:pPr>
          </w:p>
        </w:tc>
        <w:tc>
          <w:tcPr>
            <w:tcW w:w="1130" w:type="dxa"/>
            <w:vAlign w:val="top"/>
          </w:tcPr>
          <w:p w14:paraId="54D81840">
            <w:pPr>
              <w:rPr>
                <w:rFonts w:ascii="Arial"/>
                <w:color w:val="auto"/>
                <w:sz w:val="21"/>
                <w:highlight w:val="none"/>
              </w:rPr>
            </w:pPr>
          </w:p>
        </w:tc>
        <w:tc>
          <w:tcPr>
            <w:tcW w:w="4261" w:type="dxa"/>
            <w:tcBorders>
              <w:right w:val="single" w:color="000000" w:sz="10" w:space="0"/>
            </w:tcBorders>
            <w:vAlign w:val="top"/>
          </w:tcPr>
          <w:p w14:paraId="4073F5C1">
            <w:pPr>
              <w:rPr>
                <w:rFonts w:ascii="Arial"/>
                <w:color w:val="auto"/>
                <w:sz w:val="21"/>
                <w:highlight w:val="none"/>
              </w:rPr>
            </w:pPr>
          </w:p>
        </w:tc>
      </w:tr>
      <w:tr w14:paraId="665FC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57AA5DF8">
            <w:pPr>
              <w:pStyle w:val="11"/>
              <w:spacing w:before="178" w:line="219" w:lineRule="auto"/>
              <w:ind w:left="510"/>
              <w:rPr>
                <w:color w:val="auto"/>
                <w:highlight w:val="none"/>
              </w:rPr>
            </w:pPr>
            <w:r>
              <w:rPr>
                <w:color w:val="auto"/>
                <w:spacing w:val="-1"/>
                <w:highlight w:val="none"/>
              </w:rPr>
              <w:t>造价管理</w:t>
            </w:r>
          </w:p>
        </w:tc>
        <w:tc>
          <w:tcPr>
            <w:tcW w:w="1413" w:type="dxa"/>
            <w:vAlign w:val="top"/>
          </w:tcPr>
          <w:p w14:paraId="20D9A074">
            <w:pPr>
              <w:rPr>
                <w:rFonts w:ascii="Arial"/>
                <w:color w:val="auto"/>
                <w:sz w:val="21"/>
                <w:highlight w:val="none"/>
              </w:rPr>
            </w:pPr>
          </w:p>
        </w:tc>
        <w:tc>
          <w:tcPr>
            <w:tcW w:w="1134" w:type="dxa"/>
            <w:vAlign w:val="top"/>
          </w:tcPr>
          <w:p w14:paraId="23E092A0">
            <w:pPr>
              <w:rPr>
                <w:rFonts w:ascii="Arial"/>
                <w:color w:val="auto"/>
                <w:sz w:val="21"/>
                <w:highlight w:val="none"/>
              </w:rPr>
            </w:pPr>
          </w:p>
        </w:tc>
        <w:tc>
          <w:tcPr>
            <w:tcW w:w="1130" w:type="dxa"/>
            <w:vAlign w:val="top"/>
          </w:tcPr>
          <w:p w14:paraId="3D5079DB">
            <w:pPr>
              <w:rPr>
                <w:rFonts w:ascii="Arial"/>
                <w:color w:val="auto"/>
                <w:sz w:val="21"/>
                <w:highlight w:val="none"/>
              </w:rPr>
            </w:pPr>
          </w:p>
        </w:tc>
        <w:tc>
          <w:tcPr>
            <w:tcW w:w="4261" w:type="dxa"/>
            <w:tcBorders>
              <w:right w:val="single" w:color="000000" w:sz="10" w:space="0"/>
            </w:tcBorders>
            <w:vAlign w:val="top"/>
          </w:tcPr>
          <w:p w14:paraId="25D8110A">
            <w:pPr>
              <w:rPr>
                <w:rFonts w:ascii="Arial"/>
                <w:color w:val="auto"/>
                <w:sz w:val="21"/>
                <w:highlight w:val="none"/>
              </w:rPr>
            </w:pPr>
          </w:p>
        </w:tc>
      </w:tr>
      <w:tr w14:paraId="2D628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06FAC77">
            <w:pPr>
              <w:pStyle w:val="11"/>
              <w:spacing w:before="184" w:line="220" w:lineRule="auto"/>
              <w:ind w:left="512"/>
              <w:rPr>
                <w:color w:val="auto"/>
                <w:highlight w:val="none"/>
              </w:rPr>
            </w:pPr>
            <w:r>
              <w:rPr>
                <w:color w:val="auto"/>
                <w:spacing w:val="-1"/>
                <w:highlight w:val="none"/>
              </w:rPr>
              <w:t>质量管理</w:t>
            </w:r>
          </w:p>
        </w:tc>
        <w:tc>
          <w:tcPr>
            <w:tcW w:w="1413" w:type="dxa"/>
            <w:vAlign w:val="top"/>
          </w:tcPr>
          <w:p w14:paraId="75D0B1F3">
            <w:pPr>
              <w:rPr>
                <w:rFonts w:ascii="Arial"/>
                <w:color w:val="auto"/>
                <w:sz w:val="21"/>
                <w:highlight w:val="none"/>
              </w:rPr>
            </w:pPr>
          </w:p>
        </w:tc>
        <w:tc>
          <w:tcPr>
            <w:tcW w:w="1134" w:type="dxa"/>
            <w:vAlign w:val="top"/>
          </w:tcPr>
          <w:p w14:paraId="6B6E5B96">
            <w:pPr>
              <w:rPr>
                <w:rFonts w:ascii="Arial"/>
                <w:color w:val="auto"/>
                <w:sz w:val="21"/>
                <w:highlight w:val="none"/>
              </w:rPr>
            </w:pPr>
          </w:p>
        </w:tc>
        <w:tc>
          <w:tcPr>
            <w:tcW w:w="1130" w:type="dxa"/>
            <w:vAlign w:val="top"/>
          </w:tcPr>
          <w:p w14:paraId="24B9AA42">
            <w:pPr>
              <w:rPr>
                <w:rFonts w:ascii="Arial"/>
                <w:color w:val="auto"/>
                <w:sz w:val="21"/>
                <w:highlight w:val="none"/>
              </w:rPr>
            </w:pPr>
          </w:p>
        </w:tc>
        <w:tc>
          <w:tcPr>
            <w:tcW w:w="4261" w:type="dxa"/>
            <w:tcBorders>
              <w:right w:val="single" w:color="000000" w:sz="10" w:space="0"/>
            </w:tcBorders>
            <w:vAlign w:val="top"/>
          </w:tcPr>
          <w:p w14:paraId="714E06F3">
            <w:pPr>
              <w:rPr>
                <w:rFonts w:ascii="Arial"/>
                <w:color w:val="auto"/>
                <w:sz w:val="21"/>
                <w:highlight w:val="none"/>
              </w:rPr>
            </w:pPr>
          </w:p>
        </w:tc>
      </w:tr>
      <w:tr w14:paraId="5E2A9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49D02FA">
            <w:pPr>
              <w:pStyle w:val="11"/>
              <w:spacing w:before="185" w:line="219" w:lineRule="auto"/>
              <w:ind w:left="511"/>
              <w:rPr>
                <w:color w:val="auto"/>
                <w:highlight w:val="none"/>
              </w:rPr>
            </w:pPr>
            <w:r>
              <w:rPr>
                <w:color w:val="auto"/>
                <w:spacing w:val="-1"/>
                <w:highlight w:val="none"/>
              </w:rPr>
              <w:t>材料管理</w:t>
            </w:r>
          </w:p>
        </w:tc>
        <w:tc>
          <w:tcPr>
            <w:tcW w:w="1413" w:type="dxa"/>
            <w:vAlign w:val="top"/>
          </w:tcPr>
          <w:p w14:paraId="168C16D1">
            <w:pPr>
              <w:rPr>
                <w:rFonts w:ascii="Arial"/>
                <w:color w:val="auto"/>
                <w:sz w:val="21"/>
                <w:highlight w:val="none"/>
              </w:rPr>
            </w:pPr>
          </w:p>
        </w:tc>
        <w:tc>
          <w:tcPr>
            <w:tcW w:w="1134" w:type="dxa"/>
            <w:vAlign w:val="top"/>
          </w:tcPr>
          <w:p w14:paraId="795EDC45">
            <w:pPr>
              <w:rPr>
                <w:rFonts w:ascii="Arial"/>
                <w:color w:val="auto"/>
                <w:sz w:val="21"/>
                <w:highlight w:val="none"/>
              </w:rPr>
            </w:pPr>
          </w:p>
        </w:tc>
        <w:tc>
          <w:tcPr>
            <w:tcW w:w="1130" w:type="dxa"/>
            <w:vAlign w:val="top"/>
          </w:tcPr>
          <w:p w14:paraId="0AAA099E">
            <w:pPr>
              <w:rPr>
                <w:rFonts w:ascii="Arial"/>
                <w:color w:val="auto"/>
                <w:sz w:val="21"/>
                <w:highlight w:val="none"/>
              </w:rPr>
            </w:pPr>
          </w:p>
        </w:tc>
        <w:tc>
          <w:tcPr>
            <w:tcW w:w="4261" w:type="dxa"/>
            <w:tcBorders>
              <w:right w:val="single" w:color="000000" w:sz="10" w:space="0"/>
            </w:tcBorders>
            <w:vAlign w:val="top"/>
          </w:tcPr>
          <w:p w14:paraId="7B5CE841">
            <w:pPr>
              <w:rPr>
                <w:rFonts w:ascii="Arial"/>
                <w:color w:val="auto"/>
                <w:sz w:val="21"/>
                <w:highlight w:val="none"/>
              </w:rPr>
            </w:pPr>
          </w:p>
        </w:tc>
      </w:tr>
      <w:tr w14:paraId="062B7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AA311A2">
            <w:pPr>
              <w:pStyle w:val="11"/>
              <w:spacing w:before="187" w:line="218" w:lineRule="auto"/>
              <w:ind w:left="511"/>
              <w:rPr>
                <w:color w:val="auto"/>
                <w:highlight w:val="none"/>
              </w:rPr>
            </w:pPr>
            <w:r>
              <w:rPr>
                <w:color w:val="auto"/>
                <w:spacing w:val="-1"/>
                <w:highlight w:val="none"/>
              </w:rPr>
              <w:t>计划管理</w:t>
            </w:r>
          </w:p>
        </w:tc>
        <w:tc>
          <w:tcPr>
            <w:tcW w:w="1413" w:type="dxa"/>
            <w:vAlign w:val="top"/>
          </w:tcPr>
          <w:p w14:paraId="4144963D">
            <w:pPr>
              <w:rPr>
                <w:rFonts w:ascii="Arial"/>
                <w:color w:val="auto"/>
                <w:sz w:val="21"/>
                <w:highlight w:val="none"/>
              </w:rPr>
            </w:pPr>
          </w:p>
        </w:tc>
        <w:tc>
          <w:tcPr>
            <w:tcW w:w="1134" w:type="dxa"/>
            <w:vAlign w:val="top"/>
          </w:tcPr>
          <w:p w14:paraId="4840B55E">
            <w:pPr>
              <w:rPr>
                <w:rFonts w:ascii="Arial"/>
                <w:color w:val="auto"/>
                <w:sz w:val="21"/>
                <w:highlight w:val="none"/>
              </w:rPr>
            </w:pPr>
          </w:p>
        </w:tc>
        <w:tc>
          <w:tcPr>
            <w:tcW w:w="1130" w:type="dxa"/>
            <w:vAlign w:val="top"/>
          </w:tcPr>
          <w:p w14:paraId="5DF6B25E">
            <w:pPr>
              <w:rPr>
                <w:rFonts w:ascii="Arial"/>
                <w:color w:val="auto"/>
                <w:sz w:val="21"/>
                <w:highlight w:val="none"/>
              </w:rPr>
            </w:pPr>
          </w:p>
        </w:tc>
        <w:tc>
          <w:tcPr>
            <w:tcW w:w="4261" w:type="dxa"/>
            <w:tcBorders>
              <w:right w:val="single" w:color="000000" w:sz="10" w:space="0"/>
            </w:tcBorders>
            <w:vAlign w:val="top"/>
          </w:tcPr>
          <w:p w14:paraId="0467231A">
            <w:pPr>
              <w:rPr>
                <w:rFonts w:ascii="Arial"/>
                <w:color w:val="auto"/>
                <w:sz w:val="21"/>
                <w:highlight w:val="none"/>
              </w:rPr>
            </w:pPr>
          </w:p>
        </w:tc>
      </w:tr>
      <w:tr w14:paraId="20C1C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E473FD1">
            <w:pPr>
              <w:pStyle w:val="11"/>
              <w:spacing w:before="188" w:line="217" w:lineRule="auto"/>
              <w:ind w:left="515"/>
              <w:rPr>
                <w:color w:val="auto"/>
                <w:highlight w:val="none"/>
              </w:rPr>
            </w:pPr>
            <w:r>
              <w:rPr>
                <w:color w:val="auto"/>
                <w:spacing w:val="-2"/>
                <w:highlight w:val="none"/>
              </w:rPr>
              <w:t>安全管理</w:t>
            </w:r>
          </w:p>
        </w:tc>
        <w:tc>
          <w:tcPr>
            <w:tcW w:w="1413" w:type="dxa"/>
            <w:vAlign w:val="top"/>
          </w:tcPr>
          <w:p w14:paraId="3D1AB41F">
            <w:pPr>
              <w:rPr>
                <w:rFonts w:ascii="Arial"/>
                <w:color w:val="auto"/>
                <w:sz w:val="21"/>
                <w:highlight w:val="none"/>
              </w:rPr>
            </w:pPr>
          </w:p>
        </w:tc>
        <w:tc>
          <w:tcPr>
            <w:tcW w:w="1134" w:type="dxa"/>
            <w:vAlign w:val="top"/>
          </w:tcPr>
          <w:p w14:paraId="4CB37639">
            <w:pPr>
              <w:rPr>
                <w:rFonts w:ascii="Arial"/>
                <w:color w:val="auto"/>
                <w:sz w:val="21"/>
                <w:highlight w:val="none"/>
              </w:rPr>
            </w:pPr>
          </w:p>
        </w:tc>
        <w:tc>
          <w:tcPr>
            <w:tcW w:w="1130" w:type="dxa"/>
            <w:vAlign w:val="top"/>
          </w:tcPr>
          <w:p w14:paraId="76678452">
            <w:pPr>
              <w:rPr>
                <w:rFonts w:ascii="Arial"/>
                <w:color w:val="auto"/>
                <w:sz w:val="21"/>
                <w:highlight w:val="none"/>
              </w:rPr>
            </w:pPr>
          </w:p>
        </w:tc>
        <w:tc>
          <w:tcPr>
            <w:tcW w:w="4261" w:type="dxa"/>
            <w:tcBorders>
              <w:right w:val="single" w:color="000000" w:sz="10" w:space="0"/>
            </w:tcBorders>
            <w:vAlign w:val="top"/>
          </w:tcPr>
          <w:p w14:paraId="0C96D2FE">
            <w:pPr>
              <w:rPr>
                <w:rFonts w:ascii="Arial"/>
                <w:color w:val="auto"/>
                <w:sz w:val="21"/>
                <w:highlight w:val="none"/>
              </w:rPr>
            </w:pPr>
          </w:p>
        </w:tc>
      </w:tr>
      <w:tr w14:paraId="63786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880" w:type="dxa"/>
            <w:vMerge w:val="restart"/>
            <w:tcBorders>
              <w:left w:val="single" w:color="000000" w:sz="10" w:space="0"/>
              <w:bottom w:val="nil"/>
            </w:tcBorders>
            <w:vAlign w:val="top"/>
          </w:tcPr>
          <w:p w14:paraId="75685524">
            <w:pPr>
              <w:spacing w:line="249" w:lineRule="auto"/>
              <w:rPr>
                <w:rFonts w:ascii="Arial"/>
                <w:color w:val="auto"/>
                <w:sz w:val="21"/>
                <w:highlight w:val="none"/>
              </w:rPr>
            </w:pPr>
          </w:p>
          <w:p w14:paraId="230404CD">
            <w:pPr>
              <w:spacing w:line="249" w:lineRule="auto"/>
              <w:rPr>
                <w:rFonts w:ascii="Arial"/>
                <w:color w:val="auto"/>
                <w:sz w:val="21"/>
                <w:highlight w:val="none"/>
              </w:rPr>
            </w:pPr>
          </w:p>
          <w:p w14:paraId="5A878B46">
            <w:pPr>
              <w:spacing w:line="249" w:lineRule="auto"/>
              <w:rPr>
                <w:rFonts w:ascii="Arial"/>
                <w:color w:val="auto"/>
                <w:sz w:val="21"/>
                <w:highlight w:val="none"/>
              </w:rPr>
            </w:pPr>
          </w:p>
          <w:p w14:paraId="1DEBDDE1">
            <w:pPr>
              <w:spacing w:line="249" w:lineRule="auto"/>
              <w:rPr>
                <w:rFonts w:ascii="Arial"/>
                <w:color w:val="auto"/>
                <w:sz w:val="21"/>
                <w:highlight w:val="none"/>
              </w:rPr>
            </w:pPr>
          </w:p>
          <w:p w14:paraId="3BECA9E0">
            <w:pPr>
              <w:spacing w:line="250" w:lineRule="auto"/>
              <w:rPr>
                <w:rFonts w:ascii="Arial"/>
                <w:color w:val="auto"/>
                <w:sz w:val="21"/>
                <w:highlight w:val="none"/>
              </w:rPr>
            </w:pPr>
          </w:p>
          <w:p w14:paraId="4DECFF92">
            <w:pPr>
              <w:pStyle w:val="11"/>
              <w:spacing w:before="68" w:line="221" w:lineRule="auto"/>
              <w:ind w:left="512"/>
              <w:rPr>
                <w:color w:val="auto"/>
                <w:highlight w:val="none"/>
              </w:rPr>
            </w:pPr>
            <w:r>
              <w:rPr>
                <w:color w:val="auto"/>
                <w:spacing w:val="-1"/>
                <w:highlight w:val="none"/>
              </w:rPr>
              <w:t>其他人员</w:t>
            </w:r>
          </w:p>
        </w:tc>
        <w:tc>
          <w:tcPr>
            <w:tcW w:w="1413" w:type="dxa"/>
            <w:vAlign w:val="top"/>
          </w:tcPr>
          <w:p w14:paraId="0FEE8037">
            <w:pPr>
              <w:rPr>
                <w:rFonts w:ascii="Arial"/>
                <w:color w:val="auto"/>
                <w:sz w:val="21"/>
                <w:highlight w:val="none"/>
              </w:rPr>
            </w:pPr>
          </w:p>
        </w:tc>
        <w:tc>
          <w:tcPr>
            <w:tcW w:w="1134" w:type="dxa"/>
            <w:vAlign w:val="top"/>
          </w:tcPr>
          <w:p w14:paraId="4518DBB7">
            <w:pPr>
              <w:rPr>
                <w:rFonts w:ascii="Arial"/>
                <w:color w:val="auto"/>
                <w:sz w:val="21"/>
                <w:highlight w:val="none"/>
              </w:rPr>
            </w:pPr>
          </w:p>
        </w:tc>
        <w:tc>
          <w:tcPr>
            <w:tcW w:w="1130" w:type="dxa"/>
            <w:vAlign w:val="top"/>
          </w:tcPr>
          <w:p w14:paraId="797BB905">
            <w:pPr>
              <w:rPr>
                <w:rFonts w:ascii="Arial"/>
                <w:color w:val="auto"/>
                <w:sz w:val="21"/>
                <w:highlight w:val="none"/>
              </w:rPr>
            </w:pPr>
          </w:p>
        </w:tc>
        <w:tc>
          <w:tcPr>
            <w:tcW w:w="4261" w:type="dxa"/>
            <w:tcBorders>
              <w:right w:val="single" w:color="000000" w:sz="10" w:space="0"/>
            </w:tcBorders>
            <w:vAlign w:val="top"/>
          </w:tcPr>
          <w:p w14:paraId="1645517E">
            <w:pPr>
              <w:rPr>
                <w:rFonts w:ascii="Arial"/>
                <w:color w:val="auto"/>
                <w:sz w:val="21"/>
                <w:highlight w:val="none"/>
              </w:rPr>
            </w:pPr>
          </w:p>
        </w:tc>
      </w:tr>
      <w:tr w14:paraId="3BF58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69F7E93B">
            <w:pPr>
              <w:rPr>
                <w:rFonts w:ascii="Arial"/>
                <w:color w:val="auto"/>
                <w:sz w:val="21"/>
                <w:highlight w:val="none"/>
              </w:rPr>
            </w:pPr>
          </w:p>
        </w:tc>
        <w:tc>
          <w:tcPr>
            <w:tcW w:w="1413" w:type="dxa"/>
            <w:vAlign w:val="top"/>
          </w:tcPr>
          <w:p w14:paraId="67708468">
            <w:pPr>
              <w:rPr>
                <w:rFonts w:ascii="Arial"/>
                <w:color w:val="auto"/>
                <w:sz w:val="21"/>
                <w:highlight w:val="none"/>
              </w:rPr>
            </w:pPr>
          </w:p>
        </w:tc>
        <w:tc>
          <w:tcPr>
            <w:tcW w:w="1134" w:type="dxa"/>
            <w:vAlign w:val="top"/>
          </w:tcPr>
          <w:p w14:paraId="70666125">
            <w:pPr>
              <w:rPr>
                <w:rFonts w:ascii="Arial"/>
                <w:color w:val="auto"/>
                <w:sz w:val="21"/>
                <w:highlight w:val="none"/>
              </w:rPr>
            </w:pPr>
          </w:p>
        </w:tc>
        <w:tc>
          <w:tcPr>
            <w:tcW w:w="1130" w:type="dxa"/>
            <w:vAlign w:val="top"/>
          </w:tcPr>
          <w:p w14:paraId="5A6FA27B">
            <w:pPr>
              <w:rPr>
                <w:rFonts w:ascii="Arial"/>
                <w:color w:val="auto"/>
                <w:sz w:val="21"/>
                <w:highlight w:val="none"/>
              </w:rPr>
            </w:pPr>
          </w:p>
        </w:tc>
        <w:tc>
          <w:tcPr>
            <w:tcW w:w="4261" w:type="dxa"/>
            <w:tcBorders>
              <w:right w:val="single" w:color="000000" w:sz="10" w:space="0"/>
            </w:tcBorders>
            <w:vAlign w:val="top"/>
          </w:tcPr>
          <w:p w14:paraId="448037AC">
            <w:pPr>
              <w:rPr>
                <w:rFonts w:ascii="Arial"/>
                <w:color w:val="auto"/>
                <w:sz w:val="21"/>
                <w:highlight w:val="none"/>
              </w:rPr>
            </w:pPr>
          </w:p>
        </w:tc>
      </w:tr>
      <w:tr w14:paraId="5DC80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A6DA72F">
            <w:pPr>
              <w:rPr>
                <w:rFonts w:ascii="Arial"/>
                <w:color w:val="auto"/>
                <w:sz w:val="21"/>
                <w:highlight w:val="none"/>
              </w:rPr>
            </w:pPr>
          </w:p>
        </w:tc>
        <w:tc>
          <w:tcPr>
            <w:tcW w:w="1413" w:type="dxa"/>
            <w:vAlign w:val="top"/>
          </w:tcPr>
          <w:p w14:paraId="52698478">
            <w:pPr>
              <w:rPr>
                <w:rFonts w:ascii="Arial"/>
                <w:color w:val="auto"/>
                <w:sz w:val="21"/>
                <w:highlight w:val="none"/>
              </w:rPr>
            </w:pPr>
          </w:p>
        </w:tc>
        <w:tc>
          <w:tcPr>
            <w:tcW w:w="1134" w:type="dxa"/>
            <w:vAlign w:val="top"/>
          </w:tcPr>
          <w:p w14:paraId="67A1898F">
            <w:pPr>
              <w:rPr>
                <w:rFonts w:ascii="Arial"/>
                <w:color w:val="auto"/>
                <w:sz w:val="21"/>
                <w:highlight w:val="none"/>
              </w:rPr>
            </w:pPr>
          </w:p>
        </w:tc>
        <w:tc>
          <w:tcPr>
            <w:tcW w:w="1130" w:type="dxa"/>
            <w:vAlign w:val="top"/>
          </w:tcPr>
          <w:p w14:paraId="0291F4AA">
            <w:pPr>
              <w:rPr>
                <w:rFonts w:ascii="Arial"/>
                <w:color w:val="auto"/>
                <w:sz w:val="21"/>
                <w:highlight w:val="none"/>
              </w:rPr>
            </w:pPr>
          </w:p>
        </w:tc>
        <w:tc>
          <w:tcPr>
            <w:tcW w:w="4261" w:type="dxa"/>
            <w:tcBorders>
              <w:right w:val="single" w:color="000000" w:sz="10" w:space="0"/>
            </w:tcBorders>
            <w:vAlign w:val="top"/>
          </w:tcPr>
          <w:p w14:paraId="103B5DF5">
            <w:pPr>
              <w:rPr>
                <w:rFonts w:ascii="Arial"/>
                <w:color w:val="auto"/>
                <w:sz w:val="21"/>
                <w:highlight w:val="none"/>
              </w:rPr>
            </w:pPr>
          </w:p>
        </w:tc>
      </w:tr>
      <w:tr w14:paraId="22218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338F471">
            <w:pPr>
              <w:rPr>
                <w:rFonts w:ascii="Arial"/>
                <w:color w:val="auto"/>
                <w:sz w:val="21"/>
                <w:highlight w:val="none"/>
              </w:rPr>
            </w:pPr>
          </w:p>
        </w:tc>
        <w:tc>
          <w:tcPr>
            <w:tcW w:w="1413" w:type="dxa"/>
            <w:vAlign w:val="top"/>
          </w:tcPr>
          <w:p w14:paraId="20CF9DFD">
            <w:pPr>
              <w:rPr>
                <w:rFonts w:ascii="Arial"/>
                <w:color w:val="auto"/>
                <w:sz w:val="21"/>
                <w:highlight w:val="none"/>
              </w:rPr>
            </w:pPr>
          </w:p>
        </w:tc>
        <w:tc>
          <w:tcPr>
            <w:tcW w:w="1134" w:type="dxa"/>
            <w:vAlign w:val="top"/>
          </w:tcPr>
          <w:p w14:paraId="0B954AD6">
            <w:pPr>
              <w:rPr>
                <w:rFonts w:ascii="Arial"/>
                <w:color w:val="auto"/>
                <w:sz w:val="21"/>
                <w:highlight w:val="none"/>
              </w:rPr>
            </w:pPr>
          </w:p>
        </w:tc>
        <w:tc>
          <w:tcPr>
            <w:tcW w:w="1130" w:type="dxa"/>
            <w:vAlign w:val="top"/>
          </w:tcPr>
          <w:p w14:paraId="3E5988FB">
            <w:pPr>
              <w:rPr>
                <w:rFonts w:ascii="Arial"/>
                <w:color w:val="auto"/>
                <w:sz w:val="21"/>
                <w:highlight w:val="none"/>
              </w:rPr>
            </w:pPr>
          </w:p>
        </w:tc>
        <w:tc>
          <w:tcPr>
            <w:tcW w:w="4261" w:type="dxa"/>
            <w:tcBorders>
              <w:right w:val="single" w:color="000000" w:sz="10" w:space="0"/>
            </w:tcBorders>
            <w:vAlign w:val="top"/>
          </w:tcPr>
          <w:p w14:paraId="3ED6493D">
            <w:pPr>
              <w:rPr>
                <w:rFonts w:ascii="Arial"/>
                <w:color w:val="auto"/>
                <w:sz w:val="21"/>
                <w:highlight w:val="none"/>
              </w:rPr>
            </w:pPr>
          </w:p>
        </w:tc>
      </w:tr>
      <w:tr w14:paraId="00A4F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4836568">
            <w:pPr>
              <w:rPr>
                <w:rFonts w:ascii="Arial"/>
                <w:color w:val="auto"/>
                <w:sz w:val="21"/>
                <w:highlight w:val="none"/>
              </w:rPr>
            </w:pPr>
          </w:p>
        </w:tc>
        <w:tc>
          <w:tcPr>
            <w:tcW w:w="1413" w:type="dxa"/>
            <w:vAlign w:val="top"/>
          </w:tcPr>
          <w:p w14:paraId="1705FB2A">
            <w:pPr>
              <w:rPr>
                <w:rFonts w:ascii="Arial"/>
                <w:color w:val="auto"/>
                <w:sz w:val="21"/>
                <w:highlight w:val="none"/>
              </w:rPr>
            </w:pPr>
          </w:p>
        </w:tc>
        <w:tc>
          <w:tcPr>
            <w:tcW w:w="1134" w:type="dxa"/>
            <w:vAlign w:val="top"/>
          </w:tcPr>
          <w:p w14:paraId="07F76BAB">
            <w:pPr>
              <w:rPr>
                <w:rFonts w:ascii="Arial"/>
                <w:color w:val="auto"/>
                <w:sz w:val="21"/>
                <w:highlight w:val="none"/>
              </w:rPr>
            </w:pPr>
          </w:p>
        </w:tc>
        <w:tc>
          <w:tcPr>
            <w:tcW w:w="1130" w:type="dxa"/>
            <w:vAlign w:val="top"/>
          </w:tcPr>
          <w:p w14:paraId="57CD22FE">
            <w:pPr>
              <w:rPr>
                <w:rFonts w:ascii="Arial"/>
                <w:color w:val="auto"/>
                <w:sz w:val="21"/>
                <w:highlight w:val="none"/>
              </w:rPr>
            </w:pPr>
          </w:p>
        </w:tc>
        <w:tc>
          <w:tcPr>
            <w:tcW w:w="4261" w:type="dxa"/>
            <w:tcBorders>
              <w:right w:val="single" w:color="000000" w:sz="10" w:space="0"/>
            </w:tcBorders>
            <w:vAlign w:val="top"/>
          </w:tcPr>
          <w:p w14:paraId="545DEB17">
            <w:pPr>
              <w:rPr>
                <w:rFonts w:ascii="Arial"/>
                <w:color w:val="auto"/>
                <w:sz w:val="21"/>
                <w:highlight w:val="none"/>
              </w:rPr>
            </w:pPr>
          </w:p>
        </w:tc>
      </w:tr>
      <w:tr w14:paraId="6C18B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58A35177">
            <w:pPr>
              <w:rPr>
                <w:rFonts w:ascii="Arial"/>
                <w:color w:val="auto"/>
                <w:sz w:val="21"/>
                <w:highlight w:val="none"/>
              </w:rPr>
            </w:pPr>
          </w:p>
        </w:tc>
        <w:tc>
          <w:tcPr>
            <w:tcW w:w="1413" w:type="dxa"/>
            <w:tcBorders>
              <w:bottom w:val="single" w:color="000000" w:sz="10" w:space="0"/>
            </w:tcBorders>
            <w:vAlign w:val="top"/>
          </w:tcPr>
          <w:p w14:paraId="6F535A73">
            <w:pPr>
              <w:rPr>
                <w:rFonts w:ascii="Arial"/>
                <w:color w:val="auto"/>
                <w:sz w:val="21"/>
                <w:highlight w:val="none"/>
              </w:rPr>
            </w:pPr>
          </w:p>
        </w:tc>
        <w:tc>
          <w:tcPr>
            <w:tcW w:w="1134" w:type="dxa"/>
            <w:tcBorders>
              <w:bottom w:val="single" w:color="000000" w:sz="10" w:space="0"/>
            </w:tcBorders>
            <w:vAlign w:val="top"/>
          </w:tcPr>
          <w:p w14:paraId="76753954">
            <w:pPr>
              <w:rPr>
                <w:rFonts w:ascii="Arial"/>
                <w:color w:val="auto"/>
                <w:sz w:val="21"/>
                <w:highlight w:val="none"/>
              </w:rPr>
            </w:pPr>
          </w:p>
        </w:tc>
        <w:tc>
          <w:tcPr>
            <w:tcW w:w="1130" w:type="dxa"/>
            <w:tcBorders>
              <w:bottom w:val="single" w:color="000000" w:sz="10" w:space="0"/>
            </w:tcBorders>
            <w:vAlign w:val="top"/>
          </w:tcPr>
          <w:p w14:paraId="0A97EB4B">
            <w:pPr>
              <w:rPr>
                <w:rFonts w:ascii="Arial"/>
                <w:color w:val="auto"/>
                <w:sz w:val="21"/>
                <w:highlight w:val="none"/>
              </w:rPr>
            </w:pPr>
          </w:p>
        </w:tc>
        <w:tc>
          <w:tcPr>
            <w:tcW w:w="4261" w:type="dxa"/>
            <w:tcBorders>
              <w:bottom w:val="single" w:color="000000" w:sz="10" w:space="0"/>
              <w:right w:val="single" w:color="000000" w:sz="10" w:space="0"/>
            </w:tcBorders>
            <w:vAlign w:val="top"/>
          </w:tcPr>
          <w:p w14:paraId="36673528">
            <w:pPr>
              <w:rPr>
                <w:rFonts w:ascii="Arial"/>
                <w:color w:val="auto"/>
                <w:sz w:val="21"/>
                <w:highlight w:val="none"/>
              </w:rPr>
            </w:pPr>
          </w:p>
        </w:tc>
      </w:tr>
    </w:tbl>
    <w:p w14:paraId="2760FC3C">
      <w:pPr>
        <w:pStyle w:val="3"/>
        <w:rPr>
          <w:color w:val="auto"/>
          <w:highlight w:val="none"/>
        </w:rPr>
      </w:pPr>
    </w:p>
    <w:p w14:paraId="64A981CF">
      <w:pPr>
        <w:rPr>
          <w:color w:val="auto"/>
          <w:highlight w:val="none"/>
        </w:rPr>
        <w:sectPr>
          <w:footerReference r:id="rId162" w:type="default"/>
          <w:pgSz w:w="11905" w:h="16839"/>
          <w:pgMar w:top="400" w:right="1027" w:bottom="1004" w:left="1032" w:header="0" w:footer="828" w:gutter="0"/>
          <w:pgNumType w:fmt="decimal"/>
          <w:cols w:space="720" w:num="1"/>
        </w:sectPr>
      </w:pPr>
    </w:p>
    <w:p w14:paraId="251F62D8">
      <w:pPr>
        <w:pStyle w:val="3"/>
        <w:spacing w:line="276" w:lineRule="auto"/>
        <w:rPr>
          <w:color w:val="auto"/>
          <w:highlight w:val="none"/>
        </w:rPr>
      </w:pPr>
    </w:p>
    <w:p w14:paraId="20B24A81">
      <w:pPr>
        <w:pStyle w:val="3"/>
        <w:spacing w:line="276" w:lineRule="auto"/>
        <w:rPr>
          <w:color w:val="auto"/>
          <w:highlight w:val="none"/>
        </w:rPr>
      </w:pPr>
    </w:p>
    <w:p w14:paraId="4646CA64">
      <w:pPr>
        <w:pStyle w:val="3"/>
        <w:spacing w:line="276" w:lineRule="auto"/>
        <w:rPr>
          <w:color w:val="auto"/>
          <w:highlight w:val="none"/>
        </w:rPr>
      </w:pPr>
    </w:p>
    <w:p w14:paraId="1EFDA0E6">
      <w:pPr>
        <w:pStyle w:val="3"/>
        <w:spacing w:line="276" w:lineRule="auto"/>
        <w:rPr>
          <w:color w:val="auto"/>
          <w:highlight w:val="none"/>
        </w:rPr>
      </w:pPr>
    </w:p>
    <w:p w14:paraId="1401BB41">
      <w:pPr>
        <w:spacing w:before="78" w:line="219" w:lineRule="auto"/>
        <w:ind w:left="791"/>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7</w:t>
      </w:r>
      <w:r>
        <w:rPr>
          <w:rFonts w:ascii="宋体" w:hAnsi="宋体" w:eastAsia="宋体" w:cs="宋体"/>
          <w:color w:val="auto"/>
          <w:spacing w:val="-10"/>
          <w:sz w:val="24"/>
          <w:szCs w:val="24"/>
          <w:highlight w:val="none"/>
        </w:rPr>
        <w:t>：</w:t>
      </w:r>
    </w:p>
    <w:p w14:paraId="19D4A0CB">
      <w:pPr>
        <w:spacing w:before="243" w:line="224" w:lineRule="auto"/>
        <w:ind w:left="3258"/>
        <w:rPr>
          <w:rFonts w:ascii="黑体" w:hAnsi="黑体" w:eastAsia="黑体" w:cs="黑体"/>
          <w:color w:val="auto"/>
          <w:sz w:val="27"/>
          <w:szCs w:val="27"/>
          <w:highlight w:val="none"/>
        </w:rPr>
      </w:pPr>
      <w:bookmarkStart w:id="1283" w:name="bookmark229"/>
      <w:bookmarkEnd w:id="1283"/>
      <w:r>
        <w:rPr>
          <w:rFonts w:ascii="黑体" w:hAnsi="黑体" w:eastAsia="黑体" w:cs="黑体"/>
          <w:color w:val="auto"/>
          <w:spacing w:val="8"/>
          <w:sz w:val="27"/>
          <w:szCs w:val="27"/>
          <w:highlight w:val="none"/>
        </w:rPr>
        <w:t>分包人主要施工管理人员表</w:t>
      </w:r>
    </w:p>
    <w:p w14:paraId="6E1B27E1">
      <w:pPr>
        <w:spacing w:line="113" w:lineRule="exact"/>
        <w:rPr>
          <w:color w:val="auto"/>
          <w:highlight w:val="none"/>
        </w:rPr>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181BD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02317EF7">
            <w:pPr>
              <w:pStyle w:val="11"/>
              <w:spacing w:before="177" w:line="223" w:lineRule="auto"/>
              <w:ind w:left="513"/>
              <w:rPr>
                <w:color w:val="auto"/>
                <w:highlight w:val="none"/>
              </w:rPr>
            </w:pPr>
            <w:r>
              <w:rPr>
                <w:color w:val="auto"/>
                <w:spacing w:val="-5"/>
                <w:highlight w:val="none"/>
              </w:rPr>
              <w:t>名</w:t>
            </w:r>
            <w:r>
              <w:rPr>
                <w:color w:val="auto"/>
                <w:spacing w:val="2"/>
                <w:highlight w:val="none"/>
              </w:rPr>
              <w:t xml:space="preserve">    </w:t>
            </w:r>
            <w:r>
              <w:rPr>
                <w:color w:val="auto"/>
                <w:spacing w:val="-5"/>
                <w:highlight w:val="none"/>
              </w:rPr>
              <w:t>称</w:t>
            </w:r>
          </w:p>
        </w:tc>
        <w:tc>
          <w:tcPr>
            <w:tcW w:w="1413" w:type="dxa"/>
            <w:tcBorders>
              <w:top w:val="single" w:color="000000" w:sz="10" w:space="0"/>
            </w:tcBorders>
            <w:vAlign w:val="top"/>
          </w:tcPr>
          <w:p w14:paraId="533EBD38">
            <w:pPr>
              <w:pStyle w:val="11"/>
              <w:spacing w:before="177" w:line="221" w:lineRule="auto"/>
              <w:ind w:left="497"/>
              <w:rPr>
                <w:color w:val="auto"/>
                <w:highlight w:val="none"/>
              </w:rPr>
            </w:pPr>
            <w:r>
              <w:rPr>
                <w:color w:val="auto"/>
                <w:spacing w:val="-2"/>
                <w:highlight w:val="none"/>
              </w:rPr>
              <w:t>姓名</w:t>
            </w:r>
          </w:p>
        </w:tc>
        <w:tc>
          <w:tcPr>
            <w:tcW w:w="1134" w:type="dxa"/>
            <w:tcBorders>
              <w:top w:val="single" w:color="000000" w:sz="10" w:space="0"/>
            </w:tcBorders>
            <w:vAlign w:val="top"/>
          </w:tcPr>
          <w:p w14:paraId="6C69A3FA">
            <w:pPr>
              <w:pStyle w:val="11"/>
              <w:spacing w:before="177" w:line="221" w:lineRule="auto"/>
              <w:ind w:left="357"/>
              <w:rPr>
                <w:color w:val="auto"/>
                <w:highlight w:val="none"/>
              </w:rPr>
            </w:pPr>
            <w:r>
              <w:rPr>
                <w:color w:val="auto"/>
                <w:spacing w:val="-2"/>
                <w:highlight w:val="none"/>
              </w:rPr>
              <w:t>职务</w:t>
            </w:r>
          </w:p>
        </w:tc>
        <w:tc>
          <w:tcPr>
            <w:tcW w:w="1130" w:type="dxa"/>
            <w:tcBorders>
              <w:top w:val="single" w:color="000000" w:sz="10" w:space="0"/>
            </w:tcBorders>
            <w:vAlign w:val="top"/>
          </w:tcPr>
          <w:p w14:paraId="518BD866">
            <w:pPr>
              <w:pStyle w:val="11"/>
              <w:spacing w:before="177" w:line="223" w:lineRule="auto"/>
              <w:ind w:left="361"/>
              <w:rPr>
                <w:color w:val="auto"/>
                <w:highlight w:val="none"/>
              </w:rPr>
            </w:pPr>
            <w:r>
              <w:rPr>
                <w:color w:val="auto"/>
                <w:spacing w:val="-2"/>
                <w:highlight w:val="none"/>
              </w:rPr>
              <w:t>职称</w:t>
            </w:r>
          </w:p>
        </w:tc>
        <w:tc>
          <w:tcPr>
            <w:tcW w:w="4261" w:type="dxa"/>
            <w:tcBorders>
              <w:top w:val="single" w:color="000000" w:sz="10" w:space="0"/>
              <w:right w:val="single" w:color="000000" w:sz="10" w:space="0"/>
            </w:tcBorders>
            <w:vAlign w:val="top"/>
          </w:tcPr>
          <w:p w14:paraId="24837049">
            <w:pPr>
              <w:pStyle w:val="11"/>
              <w:spacing w:before="177" w:line="221" w:lineRule="auto"/>
              <w:ind w:left="668"/>
              <w:rPr>
                <w:color w:val="auto"/>
                <w:highlight w:val="none"/>
              </w:rPr>
            </w:pPr>
            <w:r>
              <w:rPr>
                <w:color w:val="auto"/>
                <w:spacing w:val="-1"/>
                <w:highlight w:val="none"/>
              </w:rPr>
              <w:t>主要资历、经验及承担过的项目</w:t>
            </w:r>
          </w:p>
        </w:tc>
      </w:tr>
      <w:tr w14:paraId="1BC1A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44657ADE">
            <w:pPr>
              <w:pStyle w:val="11"/>
              <w:spacing w:before="200" w:line="221" w:lineRule="auto"/>
              <w:ind w:left="4279"/>
              <w:rPr>
                <w:color w:val="auto"/>
                <w:highlight w:val="none"/>
              </w:rPr>
            </w:pPr>
            <w:r>
              <w:rPr>
                <w:color w:val="auto"/>
                <w:spacing w:val="-3"/>
                <w:highlight w:val="none"/>
              </w:rPr>
              <w:t>一、总部人员</w:t>
            </w:r>
          </w:p>
        </w:tc>
      </w:tr>
      <w:tr w14:paraId="438D2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8F43970">
            <w:pPr>
              <w:pStyle w:val="11"/>
              <w:spacing w:before="173" w:line="221" w:lineRule="auto"/>
              <w:ind w:left="514"/>
              <w:rPr>
                <w:color w:val="auto"/>
                <w:highlight w:val="none"/>
              </w:rPr>
            </w:pPr>
            <w:r>
              <w:rPr>
                <w:color w:val="auto"/>
                <w:spacing w:val="-2"/>
                <w:highlight w:val="none"/>
              </w:rPr>
              <w:t>项目主管</w:t>
            </w:r>
          </w:p>
        </w:tc>
        <w:tc>
          <w:tcPr>
            <w:tcW w:w="1413" w:type="dxa"/>
            <w:vAlign w:val="top"/>
          </w:tcPr>
          <w:p w14:paraId="757DC71B">
            <w:pPr>
              <w:rPr>
                <w:rFonts w:ascii="Arial"/>
                <w:color w:val="auto"/>
                <w:sz w:val="21"/>
                <w:highlight w:val="none"/>
              </w:rPr>
            </w:pPr>
          </w:p>
        </w:tc>
        <w:tc>
          <w:tcPr>
            <w:tcW w:w="1134" w:type="dxa"/>
            <w:vAlign w:val="top"/>
          </w:tcPr>
          <w:p w14:paraId="42C4DA23">
            <w:pPr>
              <w:rPr>
                <w:rFonts w:ascii="Arial"/>
                <w:color w:val="auto"/>
                <w:sz w:val="21"/>
                <w:highlight w:val="none"/>
              </w:rPr>
            </w:pPr>
          </w:p>
        </w:tc>
        <w:tc>
          <w:tcPr>
            <w:tcW w:w="1130" w:type="dxa"/>
            <w:vAlign w:val="top"/>
          </w:tcPr>
          <w:p w14:paraId="420BD6DD">
            <w:pPr>
              <w:rPr>
                <w:rFonts w:ascii="Arial"/>
                <w:color w:val="auto"/>
                <w:sz w:val="21"/>
                <w:highlight w:val="none"/>
              </w:rPr>
            </w:pPr>
          </w:p>
        </w:tc>
        <w:tc>
          <w:tcPr>
            <w:tcW w:w="4261" w:type="dxa"/>
            <w:tcBorders>
              <w:right w:val="single" w:color="000000" w:sz="10" w:space="0"/>
            </w:tcBorders>
            <w:vAlign w:val="top"/>
          </w:tcPr>
          <w:p w14:paraId="04495B28">
            <w:pPr>
              <w:rPr>
                <w:rFonts w:ascii="Arial"/>
                <w:color w:val="auto"/>
                <w:sz w:val="21"/>
                <w:highlight w:val="none"/>
              </w:rPr>
            </w:pPr>
          </w:p>
        </w:tc>
      </w:tr>
      <w:tr w14:paraId="30D09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07B759B3">
            <w:pPr>
              <w:spacing w:line="280" w:lineRule="auto"/>
              <w:rPr>
                <w:rFonts w:ascii="Arial"/>
                <w:color w:val="auto"/>
                <w:sz w:val="21"/>
                <w:highlight w:val="none"/>
              </w:rPr>
            </w:pPr>
          </w:p>
          <w:p w14:paraId="1CC6B19B">
            <w:pPr>
              <w:spacing w:line="280" w:lineRule="auto"/>
              <w:rPr>
                <w:rFonts w:ascii="Arial"/>
                <w:color w:val="auto"/>
                <w:sz w:val="21"/>
                <w:highlight w:val="none"/>
              </w:rPr>
            </w:pPr>
          </w:p>
          <w:p w14:paraId="79687B5C">
            <w:pPr>
              <w:pStyle w:val="11"/>
              <w:spacing w:before="68" w:line="221" w:lineRule="auto"/>
              <w:ind w:left="512"/>
              <w:rPr>
                <w:color w:val="auto"/>
                <w:highlight w:val="none"/>
              </w:rPr>
            </w:pPr>
            <w:r>
              <w:rPr>
                <w:color w:val="auto"/>
                <w:spacing w:val="-1"/>
                <w:highlight w:val="none"/>
              </w:rPr>
              <w:t>其他人员</w:t>
            </w:r>
          </w:p>
        </w:tc>
        <w:tc>
          <w:tcPr>
            <w:tcW w:w="1413" w:type="dxa"/>
            <w:vAlign w:val="top"/>
          </w:tcPr>
          <w:p w14:paraId="4D6D7B02">
            <w:pPr>
              <w:rPr>
                <w:rFonts w:ascii="Arial"/>
                <w:color w:val="auto"/>
                <w:sz w:val="21"/>
                <w:highlight w:val="none"/>
              </w:rPr>
            </w:pPr>
          </w:p>
        </w:tc>
        <w:tc>
          <w:tcPr>
            <w:tcW w:w="1134" w:type="dxa"/>
            <w:vAlign w:val="top"/>
          </w:tcPr>
          <w:p w14:paraId="41D6DD79">
            <w:pPr>
              <w:rPr>
                <w:rFonts w:ascii="Arial"/>
                <w:color w:val="auto"/>
                <w:sz w:val="21"/>
                <w:highlight w:val="none"/>
              </w:rPr>
            </w:pPr>
          </w:p>
        </w:tc>
        <w:tc>
          <w:tcPr>
            <w:tcW w:w="1130" w:type="dxa"/>
            <w:vAlign w:val="top"/>
          </w:tcPr>
          <w:p w14:paraId="1A87BEE9">
            <w:pPr>
              <w:rPr>
                <w:rFonts w:ascii="Arial"/>
                <w:color w:val="auto"/>
                <w:sz w:val="21"/>
                <w:highlight w:val="none"/>
              </w:rPr>
            </w:pPr>
          </w:p>
        </w:tc>
        <w:tc>
          <w:tcPr>
            <w:tcW w:w="4261" w:type="dxa"/>
            <w:tcBorders>
              <w:right w:val="single" w:color="000000" w:sz="10" w:space="0"/>
            </w:tcBorders>
            <w:vAlign w:val="top"/>
          </w:tcPr>
          <w:p w14:paraId="1E7789A0">
            <w:pPr>
              <w:rPr>
                <w:rFonts w:ascii="Arial"/>
                <w:color w:val="auto"/>
                <w:sz w:val="21"/>
                <w:highlight w:val="none"/>
              </w:rPr>
            </w:pPr>
          </w:p>
        </w:tc>
      </w:tr>
      <w:tr w14:paraId="3DDA4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43BF9E01">
            <w:pPr>
              <w:rPr>
                <w:rFonts w:ascii="Arial"/>
                <w:color w:val="auto"/>
                <w:sz w:val="21"/>
                <w:highlight w:val="none"/>
              </w:rPr>
            </w:pPr>
          </w:p>
        </w:tc>
        <w:tc>
          <w:tcPr>
            <w:tcW w:w="1413" w:type="dxa"/>
            <w:vAlign w:val="top"/>
          </w:tcPr>
          <w:p w14:paraId="062D41B6">
            <w:pPr>
              <w:rPr>
                <w:rFonts w:ascii="Arial"/>
                <w:color w:val="auto"/>
                <w:sz w:val="21"/>
                <w:highlight w:val="none"/>
              </w:rPr>
            </w:pPr>
          </w:p>
        </w:tc>
        <w:tc>
          <w:tcPr>
            <w:tcW w:w="1134" w:type="dxa"/>
            <w:vAlign w:val="top"/>
          </w:tcPr>
          <w:p w14:paraId="1F9A55AF">
            <w:pPr>
              <w:rPr>
                <w:rFonts w:ascii="Arial"/>
                <w:color w:val="auto"/>
                <w:sz w:val="21"/>
                <w:highlight w:val="none"/>
              </w:rPr>
            </w:pPr>
          </w:p>
        </w:tc>
        <w:tc>
          <w:tcPr>
            <w:tcW w:w="1130" w:type="dxa"/>
            <w:vAlign w:val="top"/>
          </w:tcPr>
          <w:p w14:paraId="22C3D10D">
            <w:pPr>
              <w:rPr>
                <w:rFonts w:ascii="Arial"/>
                <w:color w:val="auto"/>
                <w:sz w:val="21"/>
                <w:highlight w:val="none"/>
              </w:rPr>
            </w:pPr>
          </w:p>
        </w:tc>
        <w:tc>
          <w:tcPr>
            <w:tcW w:w="4261" w:type="dxa"/>
            <w:tcBorders>
              <w:right w:val="single" w:color="000000" w:sz="10" w:space="0"/>
            </w:tcBorders>
            <w:vAlign w:val="top"/>
          </w:tcPr>
          <w:p w14:paraId="4F231125">
            <w:pPr>
              <w:rPr>
                <w:rFonts w:ascii="Arial"/>
                <w:color w:val="auto"/>
                <w:sz w:val="21"/>
                <w:highlight w:val="none"/>
              </w:rPr>
            </w:pPr>
          </w:p>
        </w:tc>
      </w:tr>
      <w:tr w14:paraId="6E6AE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5D5C79FC">
            <w:pPr>
              <w:rPr>
                <w:rFonts w:ascii="Arial"/>
                <w:color w:val="auto"/>
                <w:sz w:val="21"/>
                <w:highlight w:val="none"/>
              </w:rPr>
            </w:pPr>
          </w:p>
        </w:tc>
        <w:tc>
          <w:tcPr>
            <w:tcW w:w="1413" w:type="dxa"/>
            <w:vAlign w:val="top"/>
          </w:tcPr>
          <w:p w14:paraId="277682F6">
            <w:pPr>
              <w:rPr>
                <w:rFonts w:ascii="Arial"/>
                <w:color w:val="auto"/>
                <w:sz w:val="21"/>
                <w:highlight w:val="none"/>
              </w:rPr>
            </w:pPr>
          </w:p>
        </w:tc>
        <w:tc>
          <w:tcPr>
            <w:tcW w:w="1134" w:type="dxa"/>
            <w:vAlign w:val="top"/>
          </w:tcPr>
          <w:p w14:paraId="784509EB">
            <w:pPr>
              <w:rPr>
                <w:rFonts w:ascii="Arial"/>
                <w:color w:val="auto"/>
                <w:sz w:val="21"/>
                <w:highlight w:val="none"/>
              </w:rPr>
            </w:pPr>
          </w:p>
        </w:tc>
        <w:tc>
          <w:tcPr>
            <w:tcW w:w="1130" w:type="dxa"/>
            <w:vAlign w:val="top"/>
          </w:tcPr>
          <w:p w14:paraId="1419C9A8">
            <w:pPr>
              <w:rPr>
                <w:rFonts w:ascii="Arial"/>
                <w:color w:val="auto"/>
                <w:sz w:val="21"/>
                <w:highlight w:val="none"/>
              </w:rPr>
            </w:pPr>
          </w:p>
        </w:tc>
        <w:tc>
          <w:tcPr>
            <w:tcW w:w="4261" w:type="dxa"/>
            <w:tcBorders>
              <w:right w:val="single" w:color="000000" w:sz="10" w:space="0"/>
            </w:tcBorders>
            <w:vAlign w:val="top"/>
          </w:tcPr>
          <w:p w14:paraId="1051A9E1">
            <w:pPr>
              <w:rPr>
                <w:rFonts w:ascii="Arial"/>
                <w:color w:val="auto"/>
                <w:sz w:val="21"/>
                <w:highlight w:val="none"/>
              </w:rPr>
            </w:pPr>
          </w:p>
        </w:tc>
      </w:tr>
      <w:tr w14:paraId="3A15F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2C5E8EA4">
            <w:pPr>
              <w:pStyle w:val="11"/>
              <w:spacing w:before="178" w:line="221" w:lineRule="auto"/>
              <w:ind w:left="4279"/>
              <w:rPr>
                <w:color w:val="auto"/>
                <w:highlight w:val="none"/>
              </w:rPr>
            </w:pPr>
            <w:r>
              <w:rPr>
                <w:color w:val="auto"/>
                <w:spacing w:val="-1"/>
                <w:highlight w:val="none"/>
              </w:rPr>
              <w:t>二、现场人员</w:t>
            </w:r>
          </w:p>
        </w:tc>
      </w:tr>
      <w:tr w14:paraId="2E6D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1508244">
            <w:pPr>
              <w:pStyle w:val="11"/>
              <w:spacing w:before="179" w:line="221" w:lineRule="auto"/>
              <w:ind w:left="514"/>
              <w:rPr>
                <w:color w:val="auto"/>
                <w:highlight w:val="none"/>
              </w:rPr>
            </w:pPr>
            <w:r>
              <w:rPr>
                <w:color w:val="auto"/>
                <w:spacing w:val="-2"/>
                <w:highlight w:val="none"/>
              </w:rPr>
              <w:t>项目经理</w:t>
            </w:r>
          </w:p>
        </w:tc>
        <w:tc>
          <w:tcPr>
            <w:tcW w:w="1413" w:type="dxa"/>
            <w:vAlign w:val="top"/>
          </w:tcPr>
          <w:p w14:paraId="164687BB">
            <w:pPr>
              <w:rPr>
                <w:rFonts w:ascii="Arial"/>
                <w:color w:val="auto"/>
                <w:sz w:val="21"/>
                <w:highlight w:val="none"/>
              </w:rPr>
            </w:pPr>
          </w:p>
        </w:tc>
        <w:tc>
          <w:tcPr>
            <w:tcW w:w="1134" w:type="dxa"/>
            <w:vAlign w:val="top"/>
          </w:tcPr>
          <w:p w14:paraId="64B9BAFA">
            <w:pPr>
              <w:rPr>
                <w:rFonts w:ascii="Arial"/>
                <w:color w:val="auto"/>
                <w:sz w:val="21"/>
                <w:highlight w:val="none"/>
              </w:rPr>
            </w:pPr>
          </w:p>
        </w:tc>
        <w:tc>
          <w:tcPr>
            <w:tcW w:w="1130" w:type="dxa"/>
            <w:vAlign w:val="top"/>
          </w:tcPr>
          <w:p w14:paraId="460B770D">
            <w:pPr>
              <w:rPr>
                <w:rFonts w:ascii="Arial"/>
                <w:color w:val="auto"/>
                <w:sz w:val="21"/>
                <w:highlight w:val="none"/>
              </w:rPr>
            </w:pPr>
          </w:p>
        </w:tc>
        <w:tc>
          <w:tcPr>
            <w:tcW w:w="4261" w:type="dxa"/>
            <w:tcBorders>
              <w:right w:val="single" w:color="000000" w:sz="10" w:space="0"/>
            </w:tcBorders>
            <w:vAlign w:val="top"/>
          </w:tcPr>
          <w:p w14:paraId="7DFD64B1">
            <w:pPr>
              <w:rPr>
                <w:rFonts w:ascii="Arial"/>
                <w:color w:val="auto"/>
                <w:sz w:val="21"/>
                <w:highlight w:val="none"/>
              </w:rPr>
            </w:pPr>
          </w:p>
        </w:tc>
      </w:tr>
      <w:tr w14:paraId="51B13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B1112CE">
            <w:pPr>
              <w:pStyle w:val="11"/>
              <w:spacing w:before="180" w:line="221" w:lineRule="auto"/>
              <w:ind w:left="409"/>
              <w:rPr>
                <w:color w:val="auto"/>
                <w:highlight w:val="none"/>
              </w:rPr>
            </w:pPr>
            <w:r>
              <w:rPr>
                <w:color w:val="auto"/>
                <w:spacing w:val="-1"/>
                <w:highlight w:val="none"/>
              </w:rPr>
              <w:t>项目副经理</w:t>
            </w:r>
          </w:p>
        </w:tc>
        <w:tc>
          <w:tcPr>
            <w:tcW w:w="1413" w:type="dxa"/>
            <w:vAlign w:val="top"/>
          </w:tcPr>
          <w:p w14:paraId="2ABCCB6C">
            <w:pPr>
              <w:rPr>
                <w:rFonts w:ascii="Arial"/>
                <w:color w:val="auto"/>
                <w:sz w:val="21"/>
                <w:highlight w:val="none"/>
              </w:rPr>
            </w:pPr>
          </w:p>
        </w:tc>
        <w:tc>
          <w:tcPr>
            <w:tcW w:w="1134" w:type="dxa"/>
            <w:vAlign w:val="top"/>
          </w:tcPr>
          <w:p w14:paraId="25C65508">
            <w:pPr>
              <w:rPr>
                <w:rFonts w:ascii="Arial"/>
                <w:color w:val="auto"/>
                <w:sz w:val="21"/>
                <w:highlight w:val="none"/>
              </w:rPr>
            </w:pPr>
          </w:p>
        </w:tc>
        <w:tc>
          <w:tcPr>
            <w:tcW w:w="1130" w:type="dxa"/>
            <w:vAlign w:val="top"/>
          </w:tcPr>
          <w:p w14:paraId="3ECE4089">
            <w:pPr>
              <w:rPr>
                <w:rFonts w:ascii="Arial"/>
                <w:color w:val="auto"/>
                <w:sz w:val="21"/>
                <w:highlight w:val="none"/>
              </w:rPr>
            </w:pPr>
          </w:p>
        </w:tc>
        <w:tc>
          <w:tcPr>
            <w:tcW w:w="4261" w:type="dxa"/>
            <w:tcBorders>
              <w:right w:val="single" w:color="000000" w:sz="10" w:space="0"/>
            </w:tcBorders>
            <w:vAlign w:val="top"/>
          </w:tcPr>
          <w:p w14:paraId="39078223">
            <w:pPr>
              <w:rPr>
                <w:rFonts w:ascii="Arial"/>
                <w:color w:val="auto"/>
                <w:sz w:val="21"/>
                <w:highlight w:val="none"/>
              </w:rPr>
            </w:pPr>
          </w:p>
        </w:tc>
      </w:tr>
      <w:tr w14:paraId="2238A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D972890">
            <w:pPr>
              <w:pStyle w:val="11"/>
              <w:spacing w:before="181" w:line="221" w:lineRule="auto"/>
              <w:ind w:left="406"/>
              <w:rPr>
                <w:color w:val="auto"/>
                <w:highlight w:val="none"/>
              </w:rPr>
            </w:pPr>
            <w:r>
              <w:rPr>
                <w:color w:val="auto"/>
                <w:spacing w:val="-1"/>
                <w:highlight w:val="none"/>
              </w:rPr>
              <w:t>技术负责人</w:t>
            </w:r>
          </w:p>
        </w:tc>
        <w:tc>
          <w:tcPr>
            <w:tcW w:w="1413" w:type="dxa"/>
            <w:vAlign w:val="top"/>
          </w:tcPr>
          <w:p w14:paraId="37D916E4">
            <w:pPr>
              <w:rPr>
                <w:rFonts w:ascii="Arial"/>
                <w:color w:val="auto"/>
                <w:sz w:val="21"/>
                <w:highlight w:val="none"/>
              </w:rPr>
            </w:pPr>
          </w:p>
        </w:tc>
        <w:tc>
          <w:tcPr>
            <w:tcW w:w="1134" w:type="dxa"/>
            <w:vAlign w:val="top"/>
          </w:tcPr>
          <w:p w14:paraId="0B89C38C">
            <w:pPr>
              <w:rPr>
                <w:rFonts w:ascii="Arial"/>
                <w:color w:val="auto"/>
                <w:sz w:val="21"/>
                <w:highlight w:val="none"/>
              </w:rPr>
            </w:pPr>
          </w:p>
        </w:tc>
        <w:tc>
          <w:tcPr>
            <w:tcW w:w="1130" w:type="dxa"/>
            <w:vAlign w:val="top"/>
          </w:tcPr>
          <w:p w14:paraId="51A1DAAC">
            <w:pPr>
              <w:rPr>
                <w:rFonts w:ascii="Arial"/>
                <w:color w:val="auto"/>
                <w:sz w:val="21"/>
                <w:highlight w:val="none"/>
              </w:rPr>
            </w:pPr>
          </w:p>
        </w:tc>
        <w:tc>
          <w:tcPr>
            <w:tcW w:w="4261" w:type="dxa"/>
            <w:tcBorders>
              <w:right w:val="single" w:color="000000" w:sz="10" w:space="0"/>
            </w:tcBorders>
            <w:vAlign w:val="top"/>
          </w:tcPr>
          <w:p w14:paraId="0178F4B5">
            <w:pPr>
              <w:rPr>
                <w:rFonts w:ascii="Arial"/>
                <w:color w:val="auto"/>
                <w:sz w:val="21"/>
                <w:highlight w:val="none"/>
              </w:rPr>
            </w:pPr>
          </w:p>
        </w:tc>
      </w:tr>
      <w:tr w14:paraId="19B07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1C3D5A08">
            <w:pPr>
              <w:pStyle w:val="11"/>
              <w:spacing w:before="178" w:line="219" w:lineRule="auto"/>
              <w:ind w:left="510"/>
              <w:rPr>
                <w:color w:val="auto"/>
                <w:highlight w:val="none"/>
              </w:rPr>
            </w:pPr>
            <w:r>
              <w:rPr>
                <w:color w:val="auto"/>
                <w:spacing w:val="-1"/>
                <w:highlight w:val="none"/>
              </w:rPr>
              <w:t>造价管理</w:t>
            </w:r>
          </w:p>
        </w:tc>
        <w:tc>
          <w:tcPr>
            <w:tcW w:w="1413" w:type="dxa"/>
            <w:vAlign w:val="top"/>
          </w:tcPr>
          <w:p w14:paraId="417732BC">
            <w:pPr>
              <w:rPr>
                <w:rFonts w:ascii="Arial"/>
                <w:color w:val="auto"/>
                <w:sz w:val="21"/>
                <w:highlight w:val="none"/>
              </w:rPr>
            </w:pPr>
          </w:p>
        </w:tc>
        <w:tc>
          <w:tcPr>
            <w:tcW w:w="1134" w:type="dxa"/>
            <w:vAlign w:val="top"/>
          </w:tcPr>
          <w:p w14:paraId="2AAF1668">
            <w:pPr>
              <w:rPr>
                <w:rFonts w:ascii="Arial"/>
                <w:color w:val="auto"/>
                <w:sz w:val="21"/>
                <w:highlight w:val="none"/>
              </w:rPr>
            </w:pPr>
          </w:p>
        </w:tc>
        <w:tc>
          <w:tcPr>
            <w:tcW w:w="1130" w:type="dxa"/>
            <w:vAlign w:val="top"/>
          </w:tcPr>
          <w:p w14:paraId="30B8D680">
            <w:pPr>
              <w:rPr>
                <w:rFonts w:ascii="Arial"/>
                <w:color w:val="auto"/>
                <w:sz w:val="21"/>
                <w:highlight w:val="none"/>
              </w:rPr>
            </w:pPr>
          </w:p>
        </w:tc>
        <w:tc>
          <w:tcPr>
            <w:tcW w:w="4261" w:type="dxa"/>
            <w:tcBorders>
              <w:right w:val="single" w:color="000000" w:sz="10" w:space="0"/>
            </w:tcBorders>
            <w:vAlign w:val="top"/>
          </w:tcPr>
          <w:p w14:paraId="1E8159F0">
            <w:pPr>
              <w:rPr>
                <w:rFonts w:ascii="Arial"/>
                <w:color w:val="auto"/>
                <w:sz w:val="21"/>
                <w:highlight w:val="none"/>
              </w:rPr>
            </w:pPr>
          </w:p>
        </w:tc>
      </w:tr>
      <w:tr w14:paraId="04973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43BED26">
            <w:pPr>
              <w:pStyle w:val="11"/>
              <w:spacing w:before="184" w:line="220" w:lineRule="auto"/>
              <w:ind w:left="512"/>
              <w:rPr>
                <w:color w:val="auto"/>
                <w:highlight w:val="none"/>
              </w:rPr>
            </w:pPr>
            <w:r>
              <w:rPr>
                <w:color w:val="auto"/>
                <w:spacing w:val="-1"/>
                <w:highlight w:val="none"/>
              </w:rPr>
              <w:t>质量管理</w:t>
            </w:r>
          </w:p>
        </w:tc>
        <w:tc>
          <w:tcPr>
            <w:tcW w:w="1413" w:type="dxa"/>
            <w:vAlign w:val="top"/>
          </w:tcPr>
          <w:p w14:paraId="24465090">
            <w:pPr>
              <w:rPr>
                <w:rFonts w:ascii="Arial"/>
                <w:color w:val="auto"/>
                <w:sz w:val="21"/>
                <w:highlight w:val="none"/>
              </w:rPr>
            </w:pPr>
          </w:p>
        </w:tc>
        <w:tc>
          <w:tcPr>
            <w:tcW w:w="1134" w:type="dxa"/>
            <w:vAlign w:val="top"/>
          </w:tcPr>
          <w:p w14:paraId="552B9D81">
            <w:pPr>
              <w:rPr>
                <w:rFonts w:ascii="Arial"/>
                <w:color w:val="auto"/>
                <w:sz w:val="21"/>
                <w:highlight w:val="none"/>
              </w:rPr>
            </w:pPr>
          </w:p>
        </w:tc>
        <w:tc>
          <w:tcPr>
            <w:tcW w:w="1130" w:type="dxa"/>
            <w:vAlign w:val="top"/>
          </w:tcPr>
          <w:p w14:paraId="1417AFA9">
            <w:pPr>
              <w:rPr>
                <w:rFonts w:ascii="Arial"/>
                <w:color w:val="auto"/>
                <w:sz w:val="21"/>
                <w:highlight w:val="none"/>
              </w:rPr>
            </w:pPr>
          </w:p>
        </w:tc>
        <w:tc>
          <w:tcPr>
            <w:tcW w:w="4261" w:type="dxa"/>
            <w:tcBorders>
              <w:right w:val="single" w:color="000000" w:sz="10" w:space="0"/>
            </w:tcBorders>
            <w:vAlign w:val="top"/>
          </w:tcPr>
          <w:p w14:paraId="14F23E3A">
            <w:pPr>
              <w:rPr>
                <w:rFonts w:ascii="Arial"/>
                <w:color w:val="auto"/>
                <w:sz w:val="21"/>
                <w:highlight w:val="none"/>
              </w:rPr>
            </w:pPr>
          </w:p>
        </w:tc>
      </w:tr>
      <w:tr w14:paraId="15E82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460D1B5">
            <w:pPr>
              <w:pStyle w:val="11"/>
              <w:spacing w:before="185" w:line="219" w:lineRule="auto"/>
              <w:ind w:left="511"/>
              <w:rPr>
                <w:color w:val="auto"/>
                <w:highlight w:val="none"/>
              </w:rPr>
            </w:pPr>
            <w:r>
              <w:rPr>
                <w:color w:val="auto"/>
                <w:spacing w:val="-1"/>
                <w:highlight w:val="none"/>
              </w:rPr>
              <w:t>材料管理</w:t>
            </w:r>
          </w:p>
        </w:tc>
        <w:tc>
          <w:tcPr>
            <w:tcW w:w="1413" w:type="dxa"/>
            <w:vAlign w:val="top"/>
          </w:tcPr>
          <w:p w14:paraId="1E359A8B">
            <w:pPr>
              <w:rPr>
                <w:rFonts w:ascii="Arial"/>
                <w:color w:val="auto"/>
                <w:sz w:val="21"/>
                <w:highlight w:val="none"/>
              </w:rPr>
            </w:pPr>
          </w:p>
        </w:tc>
        <w:tc>
          <w:tcPr>
            <w:tcW w:w="1134" w:type="dxa"/>
            <w:vAlign w:val="top"/>
          </w:tcPr>
          <w:p w14:paraId="56417DA7">
            <w:pPr>
              <w:rPr>
                <w:rFonts w:ascii="Arial"/>
                <w:color w:val="auto"/>
                <w:sz w:val="21"/>
                <w:highlight w:val="none"/>
              </w:rPr>
            </w:pPr>
          </w:p>
        </w:tc>
        <w:tc>
          <w:tcPr>
            <w:tcW w:w="1130" w:type="dxa"/>
            <w:vAlign w:val="top"/>
          </w:tcPr>
          <w:p w14:paraId="13A3E53D">
            <w:pPr>
              <w:rPr>
                <w:rFonts w:ascii="Arial"/>
                <w:color w:val="auto"/>
                <w:sz w:val="21"/>
                <w:highlight w:val="none"/>
              </w:rPr>
            </w:pPr>
          </w:p>
        </w:tc>
        <w:tc>
          <w:tcPr>
            <w:tcW w:w="4261" w:type="dxa"/>
            <w:tcBorders>
              <w:right w:val="single" w:color="000000" w:sz="10" w:space="0"/>
            </w:tcBorders>
            <w:vAlign w:val="top"/>
          </w:tcPr>
          <w:p w14:paraId="054EC2D6">
            <w:pPr>
              <w:rPr>
                <w:rFonts w:ascii="Arial"/>
                <w:color w:val="auto"/>
                <w:sz w:val="21"/>
                <w:highlight w:val="none"/>
              </w:rPr>
            </w:pPr>
          </w:p>
        </w:tc>
      </w:tr>
      <w:tr w14:paraId="6A19E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B84D106">
            <w:pPr>
              <w:pStyle w:val="11"/>
              <w:spacing w:before="187" w:line="218" w:lineRule="auto"/>
              <w:ind w:left="511"/>
              <w:rPr>
                <w:color w:val="auto"/>
                <w:highlight w:val="none"/>
              </w:rPr>
            </w:pPr>
            <w:r>
              <w:rPr>
                <w:color w:val="auto"/>
                <w:spacing w:val="-1"/>
                <w:highlight w:val="none"/>
              </w:rPr>
              <w:t>计划管理</w:t>
            </w:r>
          </w:p>
        </w:tc>
        <w:tc>
          <w:tcPr>
            <w:tcW w:w="1413" w:type="dxa"/>
            <w:vAlign w:val="top"/>
          </w:tcPr>
          <w:p w14:paraId="61D3712B">
            <w:pPr>
              <w:rPr>
                <w:rFonts w:ascii="Arial"/>
                <w:color w:val="auto"/>
                <w:sz w:val="21"/>
                <w:highlight w:val="none"/>
              </w:rPr>
            </w:pPr>
          </w:p>
        </w:tc>
        <w:tc>
          <w:tcPr>
            <w:tcW w:w="1134" w:type="dxa"/>
            <w:vAlign w:val="top"/>
          </w:tcPr>
          <w:p w14:paraId="45F4EF01">
            <w:pPr>
              <w:rPr>
                <w:rFonts w:ascii="Arial"/>
                <w:color w:val="auto"/>
                <w:sz w:val="21"/>
                <w:highlight w:val="none"/>
              </w:rPr>
            </w:pPr>
          </w:p>
        </w:tc>
        <w:tc>
          <w:tcPr>
            <w:tcW w:w="1130" w:type="dxa"/>
            <w:vAlign w:val="top"/>
          </w:tcPr>
          <w:p w14:paraId="08E65F9F">
            <w:pPr>
              <w:rPr>
                <w:rFonts w:ascii="Arial"/>
                <w:color w:val="auto"/>
                <w:sz w:val="21"/>
                <w:highlight w:val="none"/>
              </w:rPr>
            </w:pPr>
          </w:p>
        </w:tc>
        <w:tc>
          <w:tcPr>
            <w:tcW w:w="4261" w:type="dxa"/>
            <w:tcBorders>
              <w:right w:val="single" w:color="000000" w:sz="10" w:space="0"/>
            </w:tcBorders>
            <w:vAlign w:val="top"/>
          </w:tcPr>
          <w:p w14:paraId="045A6A09">
            <w:pPr>
              <w:rPr>
                <w:rFonts w:ascii="Arial"/>
                <w:color w:val="auto"/>
                <w:sz w:val="21"/>
                <w:highlight w:val="none"/>
              </w:rPr>
            </w:pPr>
          </w:p>
        </w:tc>
      </w:tr>
      <w:tr w14:paraId="40DBB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38F93CF">
            <w:pPr>
              <w:pStyle w:val="11"/>
              <w:spacing w:before="188" w:line="217" w:lineRule="auto"/>
              <w:ind w:left="515"/>
              <w:rPr>
                <w:color w:val="auto"/>
                <w:highlight w:val="none"/>
              </w:rPr>
            </w:pPr>
            <w:r>
              <w:rPr>
                <w:color w:val="auto"/>
                <w:spacing w:val="-2"/>
                <w:highlight w:val="none"/>
              </w:rPr>
              <w:t>安全管理</w:t>
            </w:r>
          </w:p>
        </w:tc>
        <w:tc>
          <w:tcPr>
            <w:tcW w:w="1413" w:type="dxa"/>
            <w:vAlign w:val="top"/>
          </w:tcPr>
          <w:p w14:paraId="6FE0FDDA">
            <w:pPr>
              <w:rPr>
                <w:rFonts w:ascii="Arial"/>
                <w:color w:val="auto"/>
                <w:sz w:val="21"/>
                <w:highlight w:val="none"/>
              </w:rPr>
            </w:pPr>
          </w:p>
        </w:tc>
        <w:tc>
          <w:tcPr>
            <w:tcW w:w="1134" w:type="dxa"/>
            <w:vAlign w:val="top"/>
          </w:tcPr>
          <w:p w14:paraId="37C6027A">
            <w:pPr>
              <w:rPr>
                <w:rFonts w:ascii="Arial"/>
                <w:color w:val="auto"/>
                <w:sz w:val="21"/>
                <w:highlight w:val="none"/>
              </w:rPr>
            </w:pPr>
          </w:p>
        </w:tc>
        <w:tc>
          <w:tcPr>
            <w:tcW w:w="1130" w:type="dxa"/>
            <w:vAlign w:val="top"/>
          </w:tcPr>
          <w:p w14:paraId="52441093">
            <w:pPr>
              <w:rPr>
                <w:rFonts w:ascii="Arial"/>
                <w:color w:val="auto"/>
                <w:sz w:val="21"/>
                <w:highlight w:val="none"/>
              </w:rPr>
            </w:pPr>
          </w:p>
        </w:tc>
        <w:tc>
          <w:tcPr>
            <w:tcW w:w="4261" w:type="dxa"/>
            <w:tcBorders>
              <w:right w:val="single" w:color="000000" w:sz="10" w:space="0"/>
            </w:tcBorders>
            <w:vAlign w:val="top"/>
          </w:tcPr>
          <w:p w14:paraId="4D23D630">
            <w:pPr>
              <w:rPr>
                <w:rFonts w:ascii="Arial"/>
                <w:color w:val="auto"/>
                <w:sz w:val="21"/>
                <w:highlight w:val="none"/>
              </w:rPr>
            </w:pPr>
          </w:p>
        </w:tc>
      </w:tr>
      <w:tr w14:paraId="6202B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027C1734">
            <w:pPr>
              <w:spacing w:line="249" w:lineRule="auto"/>
              <w:rPr>
                <w:rFonts w:ascii="Arial"/>
                <w:color w:val="auto"/>
                <w:sz w:val="21"/>
                <w:highlight w:val="none"/>
              </w:rPr>
            </w:pPr>
          </w:p>
          <w:p w14:paraId="1B03F764">
            <w:pPr>
              <w:spacing w:line="249" w:lineRule="auto"/>
              <w:rPr>
                <w:rFonts w:ascii="Arial"/>
                <w:color w:val="auto"/>
                <w:sz w:val="21"/>
                <w:highlight w:val="none"/>
              </w:rPr>
            </w:pPr>
          </w:p>
          <w:p w14:paraId="18A158E3">
            <w:pPr>
              <w:spacing w:line="249" w:lineRule="auto"/>
              <w:rPr>
                <w:rFonts w:ascii="Arial"/>
                <w:color w:val="auto"/>
                <w:sz w:val="21"/>
                <w:highlight w:val="none"/>
              </w:rPr>
            </w:pPr>
          </w:p>
          <w:p w14:paraId="2DFB5B53">
            <w:pPr>
              <w:spacing w:line="249" w:lineRule="auto"/>
              <w:rPr>
                <w:rFonts w:ascii="Arial"/>
                <w:color w:val="auto"/>
                <w:sz w:val="21"/>
                <w:highlight w:val="none"/>
              </w:rPr>
            </w:pPr>
          </w:p>
          <w:p w14:paraId="69A3D2A8">
            <w:pPr>
              <w:spacing w:line="250" w:lineRule="auto"/>
              <w:rPr>
                <w:rFonts w:ascii="Arial"/>
                <w:color w:val="auto"/>
                <w:sz w:val="21"/>
                <w:highlight w:val="none"/>
              </w:rPr>
            </w:pPr>
          </w:p>
          <w:p w14:paraId="7CFA89E9">
            <w:pPr>
              <w:pStyle w:val="11"/>
              <w:spacing w:before="68" w:line="221" w:lineRule="auto"/>
              <w:ind w:left="512"/>
              <w:rPr>
                <w:color w:val="auto"/>
                <w:highlight w:val="none"/>
              </w:rPr>
            </w:pPr>
            <w:r>
              <w:rPr>
                <w:color w:val="auto"/>
                <w:spacing w:val="-1"/>
                <w:highlight w:val="none"/>
              </w:rPr>
              <w:t>其他人员</w:t>
            </w:r>
          </w:p>
        </w:tc>
        <w:tc>
          <w:tcPr>
            <w:tcW w:w="1413" w:type="dxa"/>
            <w:vAlign w:val="top"/>
          </w:tcPr>
          <w:p w14:paraId="43028219">
            <w:pPr>
              <w:rPr>
                <w:rFonts w:ascii="Arial"/>
                <w:color w:val="auto"/>
                <w:sz w:val="21"/>
                <w:highlight w:val="none"/>
              </w:rPr>
            </w:pPr>
          </w:p>
        </w:tc>
        <w:tc>
          <w:tcPr>
            <w:tcW w:w="1134" w:type="dxa"/>
            <w:vAlign w:val="top"/>
          </w:tcPr>
          <w:p w14:paraId="62A6099B">
            <w:pPr>
              <w:rPr>
                <w:rFonts w:ascii="Arial"/>
                <w:color w:val="auto"/>
                <w:sz w:val="21"/>
                <w:highlight w:val="none"/>
              </w:rPr>
            </w:pPr>
          </w:p>
        </w:tc>
        <w:tc>
          <w:tcPr>
            <w:tcW w:w="1130" w:type="dxa"/>
            <w:vAlign w:val="top"/>
          </w:tcPr>
          <w:p w14:paraId="6280B95F">
            <w:pPr>
              <w:rPr>
                <w:rFonts w:ascii="Arial"/>
                <w:color w:val="auto"/>
                <w:sz w:val="21"/>
                <w:highlight w:val="none"/>
              </w:rPr>
            </w:pPr>
          </w:p>
        </w:tc>
        <w:tc>
          <w:tcPr>
            <w:tcW w:w="4261" w:type="dxa"/>
            <w:tcBorders>
              <w:right w:val="single" w:color="000000" w:sz="10" w:space="0"/>
            </w:tcBorders>
            <w:vAlign w:val="top"/>
          </w:tcPr>
          <w:p w14:paraId="1B3E7135">
            <w:pPr>
              <w:rPr>
                <w:rFonts w:ascii="Arial"/>
                <w:color w:val="auto"/>
                <w:sz w:val="21"/>
                <w:highlight w:val="none"/>
              </w:rPr>
            </w:pPr>
          </w:p>
        </w:tc>
      </w:tr>
      <w:tr w14:paraId="6832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539DD94">
            <w:pPr>
              <w:rPr>
                <w:rFonts w:ascii="Arial"/>
                <w:color w:val="auto"/>
                <w:sz w:val="21"/>
                <w:highlight w:val="none"/>
              </w:rPr>
            </w:pPr>
          </w:p>
        </w:tc>
        <w:tc>
          <w:tcPr>
            <w:tcW w:w="1413" w:type="dxa"/>
            <w:vAlign w:val="top"/>
          </w:tcPr>
          <w:p w14:paraId="5651FEF6">
            <w:pPr>
              <w:rPr>
                <w:rFonts w:ascii="Arial"/>
                <w:color w:val="auto"/>
                <w:sz w:val="21"/>
                <w:highlight w:val="none"/>
              </w:rPr>
            </w:pPr>
          </w:p>
        </w:tc>
        <w:tc>
          <w:tcPr>
            <w:tcW w:w="1134" w:type="dxa"/>
            <w:vAlign w:val="top"/>
          </w:tcPr>
          <w:p w14:paraId="318AF9B2">
            <w:pPr>
              <w:rPr>
                <w:rFonts w:ascii="Arial"/>
                <w:color w:val="auto"/>
                <w:sz w:val="21"/>
                <w:highlight w:val="none"/>
              </w:rPr>
            </w:pPr>
          </w:p>
        </w:tc>
        <w:tc>
          <w:tcPr>
            <w:tcW w:w="1130" w:type="dxa"/>
            <w:vAlign w:val="top"/>
          </w:tcPr>
          <w:p w14:paraId="2E9BC24D">
            <w:pPr>
              <w:rPr>
                <w:rFonts w:ascii="Arial"/>
                <w:color w:val="auto"/>
                <w:sz w:val="21"/>
                <w:highlight w:val="none"/>
              </w:rPr>
            </w:pPr>
          </w:p>
        </w:tc>
        <w:tc>
          <w:tcPr>
            <w:tcW w:w="4261" w:type="dxa"/>
            <w:tcBorders>
              <w:right w:val="single" w:color="000000" w:sz="10" w:space="0"/>
            </w:tcBorders>
            <w:vAlign w:val="top"/>
          </w:tcPr>
          <w:p w14:paraId="0FF0E2C5">
            <w:pPr>
              <w:rPr>
                <w:rFonts w:ascii="Arial"/>
                <w:color w:val="auto"/>
                <w:sz w:val="21"/>
                <w:highlight w:val="none"/>
              </w:rPr>
            </w:pPr>
          </w:p>
        </w:tc>
      </w:tr>
      <w:tr w14:paraId="108EC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7BFB8F3">
            <w:pPr>
              <w:rPr>
                <w:rFonts w:ascii="Arial"/>
                <w:color w:val="auto"/>
                <w:sz w:val="21"/>
                <w:highlight w:val="none"/>
              </w:rPr>
            </w:pPr>
          </w:p>
        </w:tc>
        <w:tc>
          <w:tcPr>
            <w:tcW w:w="1413" w:type="dxa"/>
            <w:vAlign w:val="top"/>
          </w:tcPr>
          <w:p w14:paraId="45E038CC">
            <w:pPr>
              <w:rPr>
                <w:rFonts w:ascii="Arial"/>
                <w:color w:val="auto"/>
                <w:sz w:val="21"/>
                <w:highlight w:val="none"/>
              </w:rPr>
            </w:pPr>
          </w:p>
        </w:tc>
        <w:tc>
          <w:tcPr>
            <w:tcW w:w="1134" w:type="dxa"/>
            <w:vAlign w:val="top"/>
          </w:tcPr>
          <w:p w14:paraId="1295B050">
            <w:pPr>
              <w:rPr>
                <w:rFonts w:ascii="Arial"/>
                <w:color w:val="auto"/>
                <w:sz w:val="21"/>
                <w:highlight w:val="none"/>
              </w:rPr>
            </w:pPr>
          </w:p>
        </w:tc>
        <w:tc>
          <w:tcPr>
            <w:tcW w:w="1130" w:type="dxa"/>
            <w:vAlign w:val="top"/>
          </w:tcPr>
          <w:p w14:paraId="7F5FBDBD">
            <w:pPr>
              <w:rPr>
                <w:rFonts w:ascii="Arial"/>
                <w:color w:val="auto"/>
                <w:sz w:val="21"/>
                <w:highlight w:val="none"/>
              </w:rPr>
            </w:pPr>
          </w:p>
        </w:tc>
        <w:tc>
          <w:tcPr>
            <w:tcW w:w="4261" w:type="dxa"/>
            <w:tcBorders>
              <w:right w:val="single" w:color="000000" w:sz="10" w:space="0"/>
            </w:tcBorders>
            <w:vAlign w:val="top"/>
          </w:tcPr>
          <w:p w14:paraId="3B92E826">
            <w:pPr>
              <w:rPr>
                <w:rFonts w:ascii="Arial"/>
                <w:color w:val="auto"/>
                <w:sz w:val="21"/>
                <w:highlight w:val="none"/>
              </w:rPr>
            </w:pPr>
          </w:p>
        </w:tc>
      </w:tr>
      <w:tr w14:paraId="093F7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4891B4DD">
            <w:pPr>
              <w:rPr>
                <w:rFonts w:ascii="Arial"/>
                <w:color w:val="auto"/>
                <w:sz w:val="21"/>
                <w:highlight w:val="none"/>
              </w:rPr>
            </w:pPr>
          </w:p>
        </w:tc>
        <w:tc>
          <w:tcPr>
            <w:tcW w:w="1413" w:type="dxa"/>
            <w:vAlign w:val="top"/>
          </w:tcPr>
          <w:p w14:paraId="05AD2DE9">
            <w:pPr>
              <w:rPr>
                <w:rFonts w:ascii="Arial"/>
                <w:color w:val="auto"/>
                <w:sz w:val="21"/>
                <w:highlight w:val="none"/>
              </w:rPr>
            </w:pPr>
          </w:p>
        </w:tc>
        <w:tc>
          <w:tcPr>
            <w:tcW w:w="1134" w:type="dxa"/>
            <w:vAlign w:val="top"/>
          </w:tcPr>
          <w:p w14:paraId="14192D3B">
            <w:pPr>
              <w:rPr>
                <w:rFonts w:ascii="Arial"/>
                <w:color w:val="auto"/>
                <w:sz w:val="21"/>
                <w:highlight w:val="none"/>
              </w:rPr>
            </w:pPr>
          </w:p>
        </w:tc>
        <w:tc>
          <w:tcPr>
            <w:tcW w:w="1130" w:type="dxa"/>
            <w:vAlign w:val="top"/>
          </w:tcPr>
          <w:p w14:paraId="71C00A24">
            <w:pPr>
              <w:rPr>
                <w:rFonts w:ascii="Arial"/>
                <w:color w:val="auto"/>
                <w:sz w:val="21"/>
                <w:highlight w:val="none"/>
              </w:rPr>
            </w:pPr>
          </w:p>
        </w:tc>
        <w:tc>
          <w:tcPr>
            <w:tcW w:w="4261" w:type="dxa"/>
            <w:tcBorders>
              <w:right w:val="single" w:color="000000" w:sz="10" w:space="0"/>
            </w:tcBorders>
            <w:vAlign w:val="top"/>
          </w:tcPr>
          <w:p w14:paraId="360AAB46">
            <w:pPr>
              <w:rPr>
                <w:rFonts w:ascii="Arial"/>
                <w:color w:val="auto"/>
                <w:sz w:val="21"/>
                <w:highlight w:val="none"/>
              </w:rPr>
            </w:pPr>
          </w:p>
        </w:tc>
      </w:tr>
      <w:tr w14:paraId="2B1DA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CE71AD3">
            <w:pPr>
              <w:rPr>
                <w:rFonts w:ascii="Arial"/>
                <w:color w:val="auto"/>
                <w:sz w:val="21"/>
                <w:highlight w:val="none"/>
              </w:rPr>
            </w:pPr>
          </w:p>
        </w:tc>
        <w:tc>
          <w:tcPr>
            <w:tcW w:w="1413" w:type="dxa"/>
            <w:vAlign w:val="top"/>
          </w:tcPr>
          <w:p w14:paraId="72C26935">
            <w:pPr>
              <w:rPr>
                <w:rFonts w:ascii="Arial"/>
                <w:color w:val="auto"/>
                <w:sz w:val="21"/>
                <w:highlight w:val="none"/>
              </w:rPr>
            </w:pPr>
          </w:p>
        </w:tc>
        <w:tc>
          <w:tcPr>
            <w:tcW w:w="1134" w:type="dxa"/>
            <w:vAlign w:val="top"/>
          </w:tcPr>
          <w:p w14:paraId="68BCA4F6">
            <w:pPr>
              <w:rPr>
                <w:rFonts w:ascii="Arial"/>
                <w:color w:val="auto"/>
                <w:sz w:val="21"/>
                <w:highlight w:val="none"/>
              </w:rPr>
            </w:pPr>
          </w:p>
        </w:tc>
        <w:tc>
          <w:tcPr>
            <w:tcW w:w="1130" w:type="dxa"/>
            <w:vAlign w:val="top"/>
          </w:tcPr>
          <w:p w14:paraId="356A58A4">
            <w:pPr>
              <w:rPr>
                <w:rFonts w:ascii="Arial"/>
                <w:color w:val="auto"/>
                <w:sz w:val="21"/>
                <w:highlight w:val="none"/>
              </w:rPr>
            </w:pPr>
          </w:p>
        </w:tc>
        <w:tc>
          <w:tcPr>
            <w:tcW w:w="4261" w:type="dxa"/>
            <w:tcBorders>
              <w:right w:val="single" w:color="000000" w:sz="10" w:space="0"/>
            </w:tcBorders>
            <w:vAlign w:val="top"/>
          </w:tcPr>
          <w:p w14:paraId="2E8C6EC0">
            <w:pPr>
              <w:rPr>
                <w:rFonts w:ascii="Arial"/>
                <w:color w:val="auto"/>
                <w:sz w:val="21"/>
                <w:highlight w:val="none"/>
              </w:rPr>
            </w:pPr>
          </w:p>
        </w:tc>
      </w:tr>
      <w:tr w14:paraId="770B7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5C833540">
            <w:pPr>
              <w:rPr>
                <w:rFonts w:ascii="Arial"/>
                <w:color w:val="auto"/>
                <w:sz w:val="21"/>
                <w:highlight w:val="none"/>
              </w:rPr>
            </w:pPr>
          </w:p>
        </w:tc>
        <w:tc>
          <w:tcPr>
            <w:tcW w:w="1413" w:type="dxa"/>
            <w:tcBorders>
              <w:bottom w:val="single" w:color="000000" w:sz="10" w:space="0"/>
            </w:tcBorders>
            <w:vAlign w:val="top"/>
          </w:tcPr>
          <w:p w14:paraId="02F65C67">
            <w:pPr>
              <w:rPr>
                <w:rFonts w:ascii="Arial"/>
                <w:color w:val="auto"/>
                <w:sz w:val="21"/>
                <w:highlight w:val="none"/>
              </w:rPr>
            </w:pPr>
          </w:p>
        </w:tc>
        <w:tc>
          <w:tcPr>
            <w:tcW w:w="1134" w:type="dxa"/>
            <w:tcBorders>
              <w:bottom w:val="single" w:color="000000" w:sz="10" w:space="0"/>
            </w:tcBorders>
            <w:vAlign w:val="top"/>
          </w:tcPr>
          <w:p w14:paraId="03E04271">
            <w:pPr>
              <w:rPr>
                <w:rFonts w:ascii="Arial"/>
                <w:color w:val="auto"/>
                <w:sz w:val="21"/>
                <w:highlight w:val="none"/>
              </w:rPr>
            </w:pPr>
          </w:p>
        </w:tc>
        <w:tc>
          <w:tcPr>
            <w:tcW w:w="1130" w:type="dxa"/>
            <w:tcBorders>
              <w:bottom w:val="single" w:color="000000" w:sz="10" w:space="0"/>
            </w:tcBorders>
            <w:vAlign w:val="top"/>
          </w:tcPr>
          <w:p w14:paraId="686B8209">
            <w:pPr>
              <w:rPr>
                <w:rFonts w:ascii="Arial"/>
                <w:color w:val="auto"/>
                <w:sz w:val="21"/>
                <w:highlight w:val="none"/>
              </w:rPr>
            </w:pPr>
          </w:p>
        </w:tc>
        <w:tc>
          <w:tcPr>
            <w:tcW w:w="4261" w:type="dxa"/>
            <w:tcBorders>
              <w:bottom w:val="single" w:color="000000" w:sz="10" w:space="0"/>
              <w:right w:val="single" w:color="000000" w:sz="10" w:space="0"/>
            </w:tcBorders>
            <w:vAlign w:val="top"/>
          </w:tcPr>
          <w:p w14:paraId="03751770">
            <w:pPr>
              <w:rPr>
                <w:rFonts w:ascii="Arial"/>
                <w:color w:val="auto"/>
                <w:sz w:val="21"/>
                <w:highlight w:val="none"/>
              </w:rPr>
            </w:pPr>
          </w:p>
        </w:tc>
      </w:tr>
    </w:tbl>
    <w:p w14:paraId="37DA835B">
      <w:pPr>
        <w:pStyle w:val="3"/>
        <w:rPr>
          <w:color w:val="auto"/>
          <w:highlight w:val="none"/>
        </w:rPr>
      </w:pPr>
    </w:p>
    <w:p w14:paraId="71D6A729">
      <w:pPr>
        <w:rPr>
          <w:color w:val="auto"/>
          <w:highlight w:val="none"/>
        </w:rPr>
        <w:sectPr>
          <w:footerReference r:id="rId163" w:type="default"/>
          <w:pgSz w:w="11905" w:h="16839"/>
          <w:pgMar w:top="400" w:right="1027" w:bottom="1004" w:left="1032" w:header="0" w:footer="828" w:gutter="0"/>
          <w:pgNumType w:fmt="decimal"/>
          <w:cols w:space="720" w:num="1"/>
        </w:sectPr>
      </w:pPr>
    </w:p>
    <w:p w14:paraId="5707E793">
      <w:pPr>
        <w:pStyle w:val="3"/>
        <w:spacing w:line="276" w:lineRule="auto"/>
        <w:rPr>
          <w:color w:val="auto"/>
          <w:highlight w:val="none"/>
        </w:rPr>
      </w:pPr>
    </w:p>
    <w:p w14:paraId="09861F85">
      <w:pPr>
        <w:pStyle w:val="3"/>
        <w:spacing w:line="276" w:lineRule="auto"/>
        <w:rPr>
          <w:color w:val="auto"/>
          <w:highlight w:val="none"/>
        </w:rPr>
      </w:pPr>
    </w:p>
    <w:p w14:paraId="043B199D">
      <w:pPr>
        <w:pStyle w:val="3"/>
        <w:spacing w:line="276" w:lineRule="auto"/>
        <w:rPr>
          <w:color w:val="auto"/>
          <w:highlight w:val="none"/>
        </w:rPr>
      </w:pPr>
    </w:p>
    <w:p w14:paraId="690B2CCE">
      <w:pPr>
        <w:pStyle w:val="3"/>
        <w:spacing w:line="276" w:lineRule="auto"/>
        <w:rPr>
          <w:color w:val="auto"/>
          <w:highlight w:val="none"/>
        </w:rPr>
      </w:pPr>
    </w:p>
    <w:p w14:paraId="6CED38CD">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47"/>
          <w:sz w:val="24"/>
          <w:szCs w:val="24"/>
          <w:highlight w:val="none"/>
        </w:rPr>
        <w:t xml:space="preserve"> </w:t>
      </w:r>
      <w:r>
        <w:rPr>
          <w:rFonts w:ascii="Times New Roman" w:hAnsi="Times New Roman" w:eastAsia="Times New Roman" w:cs="Times New Roman"/>
          <w:color w:val="auto"/>
          <w:spacing w:val="-11"/>
          <w:sz w:val="24"/>
          <w:szCs w:val="24"/>
          <w:highlight w:val="none"/>
        </w:rPr>
        <w:t>8</w:t>
      </w:r>
      <w:r>
        <w:rPr>
          <w:rFonts w:ascii="宋体" w:hAnsi="宋体" w:eastAsia="宋体" w:cs="宋体"/>
          <w:color w:val="auto"/>
          <w:spacing w:val="-11"/>
          <w:sz w:val="24"/>
          <w:szCs w:val="24"/>
          <w:highlight w:val="none"/>
        </w:rPr>
        <w:t>：</w:t>
      </w:r>
    </w:p>
    <w:p w14:paraId="61D8C4C6">
      <w:pPr>
        <w:spacing w:before="243" w:line="225" w:lineRule="auto"/>
        <w:ind w:left="3338"/>
        <w:rPr>
          <w:rFonts w:ascii="黑体" w:hAnsi="黑体" w:eastAsia="黑体" w:cs="黑体"/>
          <w:color w:val="auto"/>
          <w:sz w:val="27"/>
          <w:szCs w:val="27"/>
          <w:highlight w:val="none"/>
        </w:rPr>
      </w:pPr>
      <w:bookmarkStart w:id="1284" w:name="bookmark230"/>
      <w:bookmarkEnd w:id="1284"/>
      <w:r>
        <w:rPr>
          <w:rFonts w:ascii="黑体" w:hAnsi="黑体" w:eastAsia="黑体" w:cs="黑体"/>
          <w:color w:val="auto"/>
          <w:spacing w:val="7"/>
          <w:sz w:val="27"/>
          <w:szCs w:val="27"/>
          <w:highlight w:val="none"/>
        </w:rPr>
        <w:t>履约担保格式</w:t>
      </w:r>
    </w:p>
    <w:p w14:paraId="63922B21">
      <w:pPr>
        <w:spacing w:before="142" w:line="221" w:lineRule="auto"/>
        <w:ind w:left="655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14:paraId="52265A04">
      <w:pPr>
        <w:spacing w:before="157" w:line="412" w:lineRule="exact"/>
        <w:ind w:left="45"/>
        <w:rPr>
          <w:rFonts w:ascii="宋体" w:hAnsi="宋体" w:eastAsia="宋体" w:cs="宋体"/>
          <w:color w:val="auto"/>
          <w:sz w:val="21"/>
          <w:szCs w:val="21"/>
          <w:highlight w:val="none"/>
        </w:rPr>
      </w:pPr>
      <w:r>
        <w:rPr>
          <w:rFonts w:ascii="宋体" w:hAnsi="宋体" w:eastAsia="宋体" w:cs="宋体"/>
          <w:color w:val="auto"/>
          <w:spacing w:val="-15"/>
          <w:position w:val="15"/>
          <w:sz w:val="21"/>
          <w:szCs w:val="21"/>
          <w:highlight w:val="none"/>
        </w:rPr>
        <w:t>申请人：</w:t>
      </w:r>
    </w:p>
    <w:p w14:paraId="0A76EEC7">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3DD41F3A">
      <w:pPr>
        <w:spacing w:before="146" w:line="223"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受益人：</w:t>
      </w:r>
    </w:p>
    <w:p w14:paraId="1E33C94A">
      <w:pPr>
        <w:spacing w:before="155" w:line="23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5547196C">
      <w:pPr>
        <w:spacing w:before="146" w:line="222" w:lineRule="auto"/>
        <w:ind w:left="1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开立人：</w:t>
      </w:r>
    </w:p>
    <w:p w14:paraId="1B9866F0">
      <w:pPr>
        <w:spacing w:before="156" w:line="23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0B98F0FD">
      <w:pPr>
        <w:pStyle w:val="3"/>
        <w:spacing w:line="241" w:lineRule="auto"/>
        <w:rPr>
          <w:color w:val="auto"/>
          <w:highlight w:val="none"/>
        </w:rPr>
      </w:pPr>
    </w:p>
    <w:p w14:paraId="66CAB080">
      <w:pPr>
        <w:pStyle w:val="3"/>
        <w:spacing w:line="241" w:lineRule="auto"/>
        <w:rPr>
          <w:color w:val="auto"/>
          <w:highlight w:val="none"/>
        </w:rPr>
      </w:pPr>
    </w:p>
    <w:p w14:paraId="06EDEB90">
      <w:pPr>
        <w:tabs>
          <w:tab w:val="left" w:pos="1483"/>
        </w:tabs>
        <w:spacing w:before="69" w:line="223"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3"/>
          <w:sz w:val="21"/>
          <w:szCs w:val="21"/>
          <w:highlight w:val="none"/>
        </w:rPr>
        <w:t>（受益人名称</w:t>
      </w:r>
      <w:r>
        <w:rPr>
          <w:rFonts w:ascii="宋体" w:hAnsi="宋体" w:eastAsia="宋体" w:cs="宋体"/>
          <w:color w:val="auto"/>
          <w:spacing w:val="-20"/>
          <w:sz w:val="21"/>
          <w:szCs w:val="21"/>
          <w:highlight w:val="none"/>
        </w:rPr>
        <w:t>）：</w:t>
      </w:r>
    </w:p>
    <w:p w14:paraId="275F4349">
      <w:pPr>
        <w:spacing w:before="153" w:line="360" w:lineRule="auto"/>
        <w:ind w:left="17" w:right="1" w:firstLine="42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鉴于</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1"/>
          <w:sz w:val="21"/>
          <w:szCs w:val="21"/>
          <w:highlight w:val="none"/>
        </w:rPr>
        <w:t xml:space="preserve"> </w:t>
      </w:r>
      <w:r>
        <w:rPr>
          <w:rFonts w:ascii="宋体" w:hAnsi="宋体" w:eastAsia="宋体" w:cs="宋体"/>
          <w:color w:val="auto"/>
          <w:spacing w:val="-5"/>
          <w:sz w:val="21"/>
          <w:szCs w:val="21"/>
          <w:highlight w:val="none"/>
        </w:rPr>
        <w:t>工程（以下简称“本工程”）的《中标通知书》及</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（以下简</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称“受益人”）与</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（以下简称“</w:t>
      </w:r>
      <w:r>
        <w:rPr>
          <w:rFonts w:ascii="宋体" w:hAnsi="宋体" w:eastAsia="宋体" w:cs="宋体"/>
          <w:color w:val="auto"/>
          <w:spacing w:val="-75"/>
          <w:sz w:val="21"/>
          <w:szCs w:val="21"/>
          <w:highlight w:val="none"/>
        </w:rPr>
        <w:t xml:space="preserve"> </w:t>
      </w:r>
      <w:r>
        <w:rPr>
          <w:rFonts w:ascii="宋体" w:hAnsi="宋体" w:eastAsia="宋体" w:cs="宋体"/>
          <w:color w:val="auto"/>
          <w:spacing w:val="-3"/>
          <w:sz w:val="21"/>
          <w:szCs w:val="21"/>
          <w:highlight w:val="none"/>
        </w:rPr>
        <w:t>申请人</w:t>
      </w:r>
      <w:r>
        <w:rPr>
          <w:rFonts w:ascii="宋体" w:hAnsi="宋体" w:eastAsia="宋体" w:cs="宋体"/>
          <w:color w:val="auto"/>
          <w:spacing w:val="-77"/>
          <w:sz w:val="21"/>
          <w:szCs w:val="21"/>
          <w:highlight w:val="none"/>
        </w:rPr>
        <w:t xml:space="preserve"> </w:t>
      </w:r>
      <w:r>
        <w:rPr>
          <w:rFonts w:ascii="宋体" w:hAnsi="宋体" w:eastAsia="宋体" w:cs="宋体"/>
          <w:color w:val="auto"/>
          <w:spacing w:val="-3"/>
          <w:sz w:val="21"/>
          <w:szCs w:val="21"/>
          <w:highlight w:val="none"/>
        </w:rPr>
        <w:t>”）关于本工程签订/拟签订的</w:t>
      </w:r>
      <w:r>
        <w:rPr>
          <w:rFonts w:ascii="宋体" w:hAnsi="宋体" w:eastAsia="宋体" w:cs="宋体"/>
          <w:color w:val="auto"/>
          <w:spacing w:val="-4"/>
          <w:sz w:val="21"/>
          <w:szCs w:val="21"/>
          <w:highlight w:val="none"/>
        </w:rPr>
        <w:t>合同（以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下均简称“基础合同”）和有关事项，我方（即“</w:t>
      </w:r>
      <w:r>
        <w:rPr>
          <w:rFonts w:ascii="宋体" w:hAnsi="宋体" w:eastAsia="宋体" w:cs="宋体"/>
          <w:color w:val="auto"/>
          <w:spacing w:val="-3"/>
          <w:sz w:val="21"/>
          <w:szCs w:val="21"/>
          <w:highlight w:val="none"/>
        </w:rPr>
        <w:t>开立人”）根据基础合同了解到申请人为</w:t>
      </w:r>
      <w:r>
        <w:rPr>
          <w:rFonts w:ascii="宋体" w:hAnsi="宋体" w:eastAsia="宋体" w:cs="宋体"/>
          <w:color w:val="auto"/>
          <w:sz w:val="21"/>
          <w:szCs w:val="21"/>
          <w:highlight w:val="none"/>
        </w:rPr>
        <w:t xml:space="preserve"> 基础合同项下之承包人，受益人为基础合同项下之发包人， 基于申请人的请求，我方同意</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就申请人履行与贵方签订的基础合同项下的义务，向贵方提供不可撤销、不可转让的见索</w:t>
      </w:r>
    </w:p>
    <w:p w14:paraId="1C7C3F6A">
      <w:pPr>
        <w:spacing w:before="1" w:line="219" w:lineRule="auto"/>
        <w:ind w:left="33"/>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即付独立保函（以下简称“本保函”）。</w:t>
      </w:r>
    </w:p>
    <w:p w14:paraId="5C98D949">
      <w:pPr>
        <w:spacing w:before="158" w:line="408" w:lineRule="exact"/>
        <w:ind w:right="12"/>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一、本保函担保范围： 承包人未按照基础合同的约定履行义务， 应当向贵方承担的违</w:t>
      </w:r>
    </w:p>
    <w:p w14:paraId="0F788EA7">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约责任和赔偿因此造成的损失、利息、律师费、诉讼费用等实现债权的费用。</w:t>
      </w:r>
    </w:p>
    <w:p w14:paraId="23FFEDA9">
      <w:pPr>
        <w:spacing w:before="157"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二、本保函担保金额最高不超过人民币（大写）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
          <w:sz w:val="21"/>
          <w:szCs w:val="21"/>
          <w:highlight w:val="none"/>
        </w:rPr>
        <w:t>元(¥</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74"/>
          <w:sz w:val="21"/>
          <w:szCs w:val="21"/>
          <w:highlight w:val="none"/>
        </w:rPr>
        <w:t xml:space="preserve"> </w:t>
      </w:r>
      <w:r>
        <w:rPr>
          <w:rFonts w:ascii="宋体" w:hAnsi="宋体" w:eastAsia="宋体" w:cs="宋体"/>
          <w:color w:val="auto"/>
          <w:spacing w:val="-1"/>
          <w:sz w:val="21"/>
          <w:szCs w:val="21"/>
          <w:highlight w:val="none"/>
        </w:rPr>
        <w:t>)。</w:t>
      </w:r>
    </w:p>
    <w:p w14:paraId="4E9550D0">
      <w:pPr>
        <w:spacing w:before="158" w:line="359"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三、本保函有效期自开立之日起至基础合同约定的缺陷责</w:t>
      </w:r>
      <w:r>
        <w:rPr>
          <w:rFonts w:ascii="宋体" w:hAnsi="宋体" w:eastAsia="宋体" w:cs="宋体"/>
          <w:color w:val="auto"/>
          <w:spacing w:val="-2"/>
          <w:sz w:val="21"/>
          <w:szCs w:val="21"/>
          <w:highlight w:val="none"/>
        </w:rPr>
        <w:t>任期后</w:t>
      </w:r>
      <w:r>
        <w:rPr>
          <w:rFonts w:ascii="宋体" w:hAnsi="宋体" w:eastAsia="宋体" w:cs="宋体"/>
          <w:color w:val="auto"/>
          <w:spacing w:val="-105"/>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2"/>
          <w:sz w:val="21"/>
          <w:szCs w:val="21"/>
          <w:highlight w:val="none"/>
        </w:rPr>
        <w:t>日止，最迟不超过</w:t>
      </w:r>
    </w:p>
    <w:p w14:paraId="6D224A0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6"/>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6"/>
          <w:sz w:val="21"/>
          <w:szCs w:val="21"/>
          <w:highlight w:val="none"/>
        </w:rPr>
        <w:t>日。</w:t>
      </w:r>
    </w:p>
    <w:p w14:paraId="4D709EB0">
      <w:pPr>
        <w:spacing w:before="157" w:line="363" w:lineRule="auto"/>
        <w:ind w:right="3"/>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四、我方承诺，在收到受益人发来的书面付款通知后的</w:t>
      </w:r>
      <w:r>
        <w:rPr>
          <w:rFonts w:ascii="宋体" w:hAnsi="宋体" w:eastAsia="宋体" w:cs="宋体"/>
          <w:color w:val="auto"/>
          <w:spacing w:val="-100"/>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2"/>
          <w:sz w:val="21"/>
          <w:szCs w:val="21"/>
          <w:highlight w:val="none"/>
        </w:rPr>
        <w:t>日内无条件支付，前述书</w:t>
      </w:r>
    </w:p>
    <w:p w14:paraId="020E8C7E">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面付款通知即为付款要求之单据，且应满足以下要求：</w:t>
      </w:r>
    </w:p>
    <w:p w14:paraId="08E9F2E2">
      <w:pPr>
        <w:spacing w:before="158"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（1）付款通知到达的日期在本保函的有效期内；</w:t>
      </w:r>
    </w:p>
    <w:p w14:paraId="1C0C4FE4">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（2）载明要求支付的金额；</w:t>
      </w:r>
    </w:p>
    <w:p w14:paraId="6B77D84D">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（3）载明申请人违反合同义务的条款和内</w:t>
      </w:r>
      <w:r>
        <w:rPr>
          <w:rFonts w:ascii="宋体" w:hAnsi="宋体" w:eastAsia="宋体" w:cs="宋体"/>
          <w:color w:val="auto"/>
          <w:spacing w:val="-3"/>
          <w:sz w:val="21"/>
          <w:szCs w:val="21"/>
          <w:highlight w:val="none"/>
        </w:rPr>
        <w:t>容；</w:t>
      </w:r>
    </w:p>
    <w:p w14:paraId="6B517B4B">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（4）声明不存在合同文件约定或我国法律规定免除申请人或开立人支付责任的情形；</w:t>
      </w:r>
    </w:p>
    <w:p w14:paraId="3844E12A">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（5）付款通知应在本保函有效期内到达的地</w:t>
      </w:r>
      <w:r>
        <w:rPr>
          <w:rFonts w:ascii="宋体" w:hAnsi="宋体" w:eastAsia="宋体" w:cs="宋体"/>
          <w:color w:val="auto"/>
          <w:spacing w:val="-3"/>
          <w:sz w:val="21"/>
          <w:szCs w:val="21"/>
          <w:highlight w:val="none"/>
        </w:rPr>
        <w:t>址是：</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2ED73223">
      <w:pPr>
        <w:spacing w:before="158"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受益人发出的书面付款通知应由其为鉴明受益人法定代表人（负责人）或授权代</w:t>
      </w:r>
      <w:r>
        <w:rPr>
          <w:rFonts w:ascii="宋体" w:hAnsi="宋体" w:eastAsia="宋体" w:cs="宋体"/>
          <w:color w:val="auto"/>
          <w:spacing w:val="2"/>
          <w:position w:val="15"/>
          <w:sz w:val="21"/>
          <w:szCs w:val="21"/>
          <w:highlight w:val="none"/>
        </w:rPr>
        <w:t>理人</w:t>
      </w:r>
    </w:p>
    <w:p w14:paraId="6368D6E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签字并加盖公章。</w:t>
      </w:r>
    </w:p>
    <w:p w14:paraId="59D8CA38">
      <w:pPr>
        <w:spacing w:before="158" w:line="413" w:lineRule="exact"/>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五、</w:t>
      </w:r>
      <w:r>
        <w:rPr>
          <w:rFonts w:ascii="宋体" w:hAnsi="宋体" w:eastAsia="宋体" w:cs="宋体"/>
          <w:color w:val="auto"/>
          <w:spacing w:val="-16"/>
          <w:position w:val="15"/>
          <w:sz w:val="21"/>
          <w:szCs w:val="21"/>
          <w:highlight w:val="none"/>
        </w:rPr>
        <w:t xml:space="preserve"> </w:t>
      </w:r>
      <w:r>
        <w:rPr>
          <w:rFonts w:ascii="宋体" w:hAnsi="宋体" w:eastAsia="宋体" w:cs="宋体"/>
          <w:color w:val="auto"/>
          <w:spacing w:val="-3"/>
          <w:position w:val="15"/>
          <w:sz w:val="21"/>
          <w:szCs w:val="21"/>
          <w:highlight w:val="none"/>
        </w:rPr>
        <w:t>本保函项下的权利不得转让，不得设定担保。贵方未经我方书面同意转</w:t>
      </w:r>
      <w:r>
        <w:rPr>
          <w:rFonts w:ascii="宋体" w:hAnsi="宋体" w:eastAsia="宋体" w:cs="宋体"/>
          <w:color w:val="auto"/>
          <w:spacing w:val="33"/>
          <w:position w:val="15"/>
          <w:sz w:val="21"/>
          <w:szCs w:val="21"/>
          <w:highlight w:val="none"/>
        </w:rPr>
        <w:t xml:space="preserve"> </w:t>
      </w:r>
      <w:r>
        <w:rPr>
          <w:rFonts w:ascii="宋体" w:hAnsi="宋体" w:eastAsia="宋体" w:cs="宋体"/>
          <w:color w:val="auto"/>
          <w:spacing w:val="-3"/>
          <w:position w:val="15"/>
          <w:sz w:val="21"/>
          <w:szCs w:val="21"/>
          <w:highlight w:val="none"/>
        </w:rPr>
        <w:t>让本保函</w:t>
      </w:r>
    </w:p>
    <w:p w14:paraId="3B3F3FB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或其项下任何权利， 对我方不发生法律效力。</w:t>
      </w:r>
    </w:p>
    <w:p w14:paraId="3E64802B">
      <w:pPr>
        <w:spacing w:line="220" w:lineRule="auto"/>
        <w:rPr>
          <w:rFonts w:ascii="宋体" w:hAnsi="宋体" w:eastAsia="宋体" w:cs="宋体"/>
          <w:color w:val="auto"/>
          <w:sz w:val="21"/>
          <w:szCs w:val="21"/>
          <w:highlight w:val="none"/>
        </w:rPr>
        <w:sectPr>
          <w:footerReference r:id="rId164" w:type="default"/>
          <w:pgSz w:w="11905" w:h="16839"/>
          <w:pgMar w:top="400" w:right="1785" w:bottom="1004" w:left="1785" w:header="0" w:footer="828" w:gutter="0"/>
          <w:pgNumType w:fmt="decimal"/>
          <w:cols w:space="720" w:num="1"/>
        </w:sectPr>
      </w:pPr>
    </w:p>
    <w:p w14:paraId="64A1FCCA">
      <w:pPr>
        <w:pStyle w:val="3"/>
        <w:spacing w:line="248" w:lineRule="auto"/>
        <w:rPr>
          <w:color w:val="auto"/>
          <w:highlight w:val="none"/>
        </w:rPr>
      </w:pPr>
    </w:p>
    <w:p w14:paraId="766D2FBE">
      <w:pPr>
        <w:pStyle w:val="3"/>
        <w:spacing w:line="249" w:lineRule="auto"/>
        <w:rPr>
          <w:color w:val="auto"/>
          <w:highlight w:val="none"/>
        </w:rPr>
      </w:pPr>
    </w:p>
    <w:p w14:paraId="794D4F21">
      <w:pPr>
        <w:pStyle w:val="3"/>
        <w:spacing w:line="249" w:lineRule="auto"/>
        <w:rPr>
          <w:color w:val="auto"/>
          <w:highlight w:val="none"/>
        </w:rPr>
      </w:pPr>
    </w:p>
    <w:p w14:paraId="733F50B2">
      <w:pPr>
        <w:pStyle w:val="3"/>
        <w:spacing w:line="249" w:lineRule="auto"/>
        <w:rPr>
          <w:color w:val="auto"/>
          <w:highlight w:val="none"/>
        </w:rPr>
      </w:pPr>
    </w:p>
    <w:p w14:paraId="1B9A04EF">
      <w:pPr>
        <w:spacing w:before="69" w:line="408" w:lineRule="exact"/>
        <w:ind w:right="4"/>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六、与本保函有关的基础合同不成立、不生效、无效、被撤销、被解除，不影响本保</w:t>
      </w:r>
    </w:p>
    <w:p w14:paraId="5704748B">
      <w:pPr>
        <w:spacing w:line="221" w:lineRule="auto"/>
        <w:ind w:left="3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函的独立有效。</w:t>
      </w:r>
    </w:p>
    <w:p w14:paraId="31F2AA70">
      <w:pPr>
        <w:spacing w:before="156" w:line="359" w:lineRule="auto"/>
        <w:ind w:left="20" w:right="5"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七、</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贵方应在本保函到期后的七日内将本保函正本退回我方注销，但是不论贵方是否</w:t>
      </w:r>
      <w:r>
        <w:rPr>
          <w:rFonts w:ascii="宋体" w:hAnsi="宋体" w:eastAsia="宋体" w:cs="宋体"/>
          <w:color w:val="auto"/>
          <w:sz w:val="21"/>
          <w:szCs w:val="21"/>
          <w:highlight w:val="none"/>
        </w:rPr>
        <w:t xml:space="preserve"> 按此要求将本保函正本退回我方， 我方在本保函项下的义务和责任均在保函有效期到期后</w:t>
      </w:r>
    </w:p>
    <w:p w14:paraId="2FCB6600">
      <w:pPr>
        <w:spacing w:line="221" w:lineRule="auto"/>
        <w:ind w:left="5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自动消灭。</w:t>
      </w:r>
    </w:p>
    <w:p w14:paraId="1B7E1EED">
      <w:pPr>
        <w:spacing w:before="161"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6"/>
          <w:position w:val="15"/>
          <w:sz w:val="21"/>
          <w:szCs w:val="21"/>
          <w:highlight w:val="none"/>
        </w:rPr>
        <w:t>八、 本保函适用的法律为中华人民共和国法律，</w:t>
      </w:r>
      <w:r>
        <w:rPr>
          <w:rFonts w:ascii="宋体" w:hAnsi="宋体" w:eastAsia="宋体" w:cs="宋体"/>
          <w:color w:val="auto"/>
          <w:spacing w:val="98"/>
          <w:position w:val="15"/>
          <w:sz w:val="21"/>
          <w:szCs w:val="21"/>
          <w:highlight w:val="none"/>
        </w:rPr>
        <w:t xml:space="preserve"> </w:t>
      </w:r>
      <w:r>
        <w:rPr>
          <w:rFonts w:ascii="宋体" w:hAnsi="宋体" w:eastAsia="宋体" w:cs="宋体"/>
          <w:color w:val="auto"/>
          <w:spacing w:val="6"/>
          <w:position w:val="15"/>
          <w:sz w:val="21"/>
          <w:szCs w:val="21"/>
          <w:highlight w:val="none"/>
        </w:rPr>
        <w:t>争议裁判管辖地为中华人民共和</w:t>
      </w:r>
    </w:p>
    <w:p w14:paraId="7DE52B90">
      <w:pPr>
        <w:spacing w:line="223" w:lineRule="auto"/>
        <w:ind w:left="39"/>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国</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p>
    <w:p w14:paraId="2EC4F5DB">
      <w:pPr>
        <w:spacing w:before="154" w:line="220"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九、</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本保函自我方法定代表人或授权代表签字并加</w:t>
      </w:r>
      <w:r>
        <w:rPr>
          <w:rFonts w:ascii="宋体" w:hAnsi="宋体" w:eastAsia="宋体" w:cs="宋体"/>
          <w:color w:val="auto"/>
          <w:spacing w:val="-4"/>
          <w:sz w:val="21"/>
          <w:szCs w:val="21"/>
          <w:highlight w:val="none"/>
        </w:rPr>
        <w:t>盖公章之日起生效。</w:t>
      </w:r>
    </w:p>
    <w:p w14:paraId="74BF1FD6">
      <w:pPr>
        <w:spacing w:before="157"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开 立</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rPr>
        <w:t>人</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公章）</w:t>
      </w:r>
    </w:p>
    <w:p w14:paraId="096A553C">
      <w:pPr>
        <w:spacing w:before="157" w:line="221"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法定代表人（或授权代表</w:t>
      </w:r>
      <w:r>
        <w:rPr>
          <w:rFonts w:ascii="宋体" w:hAnsi="宋体" w:eastAsia="宋体" w:cs="宋体"/>
          <w:color w:val="auto"/>
          <w:spacing w:val="-19"/>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9"/>
          <w:sz w:val="21"/>
          <w:szCs w:val="21"/>
          <w:highlight w:val="none"/>
        </w:rPr>
        <w:t>（</w:t>
      </w:r>
      <w:r>
        <w:rPr>
          <w:rFonts w:ascii="宋体" w:hAnsi="宋体" w:eastAsia="宋体" w:cs="宋体"/>
          <w:color w:val="auto"/>
          <w:spacing w:val="-5"/>
          <w:sz w:val="21"/>
          <w:szCs w:val="21"/>
          <w:highlight w:val="none"/>
        </w:rPr>
        <w:t>签字）</w:t>
      </w:r>
    </w:p>
    <w:p w14:paraId="39391A5F">
      <w:pPr>
        <w:spacing w:before="157" w:line="408" w:lineRule="exact"/>
        <w:ind w:left="441"/>
        <w:rPr>
          <w:rFonts w:ascii="宋体" w:hAnsi="宋体" w:eastAsia="宋体" w:cs="宋体"/>
          <w:color w:val="auto"/>
          <w:sz w:val="21"/>
          <w:szCs w:val="21"/>
          <w:highlight w:val="none"/>
        </w:rPr>
      </w:pPr>
      <w:r>
        <w:rPr>
          <w:rFonts w:ascii="宋体" w:hAnsi="宋体" w:eastAsia="宋体" w:cs="宋体"/>
          <w:color w:val="auto"/>
          <w:spacing w:val="-12"/>
          <w:position w:val="14"/>
          <w:sz w:val="21"/>
          <w:szCs w:val="21"/>
          <w:highlight w:val="none"/>
        </w:rPr>
        <w:t>地</w:t>
      </w:r>
      <w:r>
        <w:rPr>
          <w:rFonts w:ascii="宋体" w:hAnsi="宋体" w:eastAsia="宋体" w:cs="宋体"/>
          <w:color w:val="auto"/>
          <w:spacing w:val="2"/>
          <w:position w:val="14"/>
          <w:sz w:val="21"/>
          <w:szCs w:val="21"/>
          <w:highlight w:val="none"/>
        </w:rPr>
        <w:t xml:space="preserve">    </w:t>
      </w:r>
      <w:r>
        <w:rPr>
          <w:rFonts w:ascii="宋体" w:hAnsi="宋体" w:eastAsia="宋体" w:cs="宋体"/>
          <w:color w:val="auto"/>
          <w:spacing w:val="-12"/>
          <w:position w:val="14"/>
          <w:sz w:val="21"/>
          <w:szCs w:val="21"/>
          <w:highlight w:val="none"/>
        </w:rPr>
        <w:t>址：</w:t>
      </w:r>
    </w:p>
    <w:p w14:paraId="3E0A8547">
      <w:pPr>
        <w:spacing w:before="1" w:line="220" w:lineRule="auto"/>
        <w:ind w:left="45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邮政编码：</w:t>
      </w:r>
    </w:p>
    <w:p w14:paraId="2D49F3CC">
      <w:pPr>
        <w:spacing w:before="157" w:line="223"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2"/>
          <w:sz w:val="21"/>
          <w:szCs w:val="21"/>
          <w:highlight w:val="none"/>
        </w:rPr>
        <w:t xml:space="preserve">    </w:t>
      </w:r>
      <w:r>
        <w:rPr>
          <w:rFonts w:ascii="宋体" w:hAnsi="宋体" w:eastAsia="宋体" w:cs="宋体"/>
          <w:color w:val="auto"/>
          <w:spacing w:val="-20"/>
          <w:sz w:val="21"/>
          <w:szCs w:val="21"/>
          <w:highlight w:val="none"/>
        </w:rPr>
        <w:t>话：</w:t>
      </w:r>
    </w:p>
    <w:p w14:paraId="1FCCA0D3">
      <w:pPr>
        <w:spacing w:before="155"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真：</w:t>
      </w:r>
    </w:p>
    <w:p w14:paraId="5EEBB07D">
      <w:pPr>
        <w:spacing w:before="162" w:line="221" w:lineRule="auto"/>
        <w:ind w:left="442"/>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开立时间：</w:t>
      </w:r>
      <w:r>
        <w:rPr>
          <w:rFonts w:ascii="宋体" w:hAnsi="宋体" w:eastAsia="宋体" w:cs="宋体"/>
          <w:color w:val="auto"/>
          <w:spacing w:val="8"/>
          <w:sz w:val="21"/>
          <w:szCs w:val="21"/>
          <w:highlight w:val="none"/>
        </w:rPr>
        <w:t xml:space="preserve">       </w:t>
      </w:r>
      <w:r>
        <w:rPr>
          <w:rFonts w:ascii="宋体" w:hAnsi="宋体" w:eastAsia="宋体" w:cs="宋体"/>
          <w:color w:val="auto"/>
          <w:spacing w:val="-16"/>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6"/>
          <w:sz w:val="21"/>
          <w:szCs w:val="21"/>
          <w:highlight w:val="none"/>
        </w:rPr>
        <w:t>月       日</w:t>
      </w:r>
    </w:p>
    <w:p w14:paraId="1714ED78">
      <w:pPr>
        <w:spacing w:line="221" w:lineRule="auto"/>
        <w:rPr>
          <w:rFonts w:ascii="宋体" w:hAnsi="宋体" w:eastAsia="宋体" w:cs="宋体"/>
          <w:color w:val="auto"/>
          <w:sz w:val="21"/>
          <w:szCs w:val="21"/>
          <w:highlight w:val="none"/>
        </w:rPr>
        <w:sectPr>
          <w:footerReference r:id="rId165" w:type="default"/>
          <w:pgSz w:w="11905" w:h="16839"/>
          <w:pgMar w:top="400" w:right="1785" w:bottom="1004" w:left="1785" w:header="0" w:footer="828" w:gutter="0"/>
          <w:pgNumType w:fmt="decimal"/>
          <w:cols w:space="720" w:num="1"/>
        </w:sectPr>
      </w:pPr>
    </w:p>
    <w:p w14:paraId="7ADB7084">
      <w:pPr>
        <w:pStyle w:val="3"/>
        <w:spacing w:line="248" w:lineRule="auto"/>
        <w:rPr>
          <w:color w:val="auto"/>
          <w:highlight w:val="none"/>
        </w:rPr>
      </w:pPr>
    </w:p>
    <w:p w14:paraId="1A88BE68">
      <w:pPr>
        <w:pStyle w:val="3"/>
        <w:spacing w:line="248" w:lineRule="auto"/>
        <w:rPr>
          <w:color w:val="auto"/>
          <w:highlight w:val="none"/>
        </w:rPr>
      </w:pPr>
    </w:p>
    <w:p w14:paraId="492123E6">
      <w:pPr>
        <w:pStyle w:val="3"/>
        <w:spacing w:line="248" w:lineRule="auto"/>
        <w:rPr>
          <w:color w:val="auto"/>
          <w:highlight w:val="none"/>
        </w:rPr>
      </w:pPr>
    </w:p>
    <w:p w14:paraId="68B9BC7A">
      <w:pPr>
        <w:pStyle w:val="3"/>
        <w:spacing w:line="248" w:lineRule="auto"/>
        <w:rPr>
          <w:color w:val="auto"/>
          <w:highlight w:val="none"/>
        </w:rPr>
      </w:pPr>
    </w:p>
    <w:p w14:paraId="28184C85">
      <w:pPr>
        <w:pStyle w:val="3"/>
        <w:spacing w:line="248" w:lineRule="auto"/>
        <w:rPr>
          <w:color w:val="auto"/>
          <w:highlight w:val="none"/>
        </w:rPr>
      </w:pPr>
    </w:p>
    <w:p w14:paraId="6280B5B9">
      <w:pPr>
        <w:pStyle w:val="3"/>
        <w:spacing w:line="249" w:lineRule="auto"/>
        <w:rPr>
          <w:color w:val="auto"/>
          <w:highlight w:val="none"/>
        </w:rPr>
      </w:pPr>
    </w:p>
    <w:p w14:paraId="64C2406E">
      <w:pPr>
        <w:pStyle w:val="3"/>
        <w:spacing w:line="249" w:lineRule="auto"/>
        <w:rPr>
          <w:color w:val="auto"/>
          <w:highlight w:val="none"/>
        </w:rPr>
      </w:pPr>
    </w:p>
    <w:p w14:paraId="2E9CC456">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附件</w:t>
      </w:r>
      <w:r>
        <w:rPr>
          <w:rFonts w:ascii="宋体" w:hAnsi="宋体" w:eastAsia="宋体" w:cs="宋体"/>
          <w:color w:val="auto"/>
          <w:spacing w:val="-53"/>
          <w:sz w:val="24"/>
          <w:szCs w:val="24"/>
          <w:highlight w:val="none"/>
        </w:rPr>
        <w:t xml:space="preserve"> </w:t>
      </w:r>
      <w:r>
        <w:rPr>
          <w:rFonts w:ascii="Times New Roman" w:hAnsi="Times New Roman" w:eastAsia="Times New Roman" w:cs="Times New Roman"/>
          <w:color w:val="auto"/>
          <w:spacing w:val="-7"/>
          <w:sz w:val="24"/>
          <w:szCs w:val="24"/>
          <w:highlight w:val="none"/>
        </w:rPr>
        <w:t xml:space="preserve">9 </w:t>
      </w:r>
      <w:r>
        <w:rPr>
          <w:rFonts w:ascii="宋体" w:hAnsi="宋体" w:eastAsia="宋体" w:cs="宋体"/>
          <w:color w:val="auto"/>
          <w:spacing w:val="-7"/>
          <w:sz w:val="24"/>
          <w:szCs w:val="24"/>
          <w:highlight w:val="none"/>
        </w:rPr>
        <w:t>：</w:t>
      </w:r>
    </w:p>
    <w:p w14:paraId="43DD72B9">
      <w:pPr>
        <w:spacing w:before="239" w:line="225" w:lineRule="auto"/>
        <w:ind w:left="3204"/>
        <w:rPr>
          <w:rFonts w:ascii="黑体" w:hAnsi="黑体" w:eastAsia="黑体" w:cs="黑体"/>
          <w:color w:val="auto"/>
          <w:sz w:val="27"/>
          <w:szCs w:val="27"/>
          <w:highlight w:val="none"/>
        </w:rPr>
      </w:pPr>
      <w:bookmarkStart w:id="1285" w:name="bookmark231"/>
      <w:bookmarkEnd w:id="1285"/>
      <w:r>
        <w:rPr>
          <w:rFonts w:ascii="黑体" w:hAnsi="黑体" w:eastAsia="黑体" w:cs="黑体"/>
          <w:color w:val="auto"/>
          <w:spacing w:val="6"/>
          <w:sz w:val="27"/>
          <w:szCs w:val="27"/>
          <w:highlight w:val="none"/>
        </w:rPr>
        <w:t>预付款担保格式</w:t>
      </w:r>
    </w:p>
    <w:p w14:paraId="64CED878">
      <w:pPr>
        <w:spacing w:before="146" w:line="221" w:lineRule="auto"/>
        <w:ind w:left="655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14:paraId="4CAEFBC8">
      <w:pPr>
        <w:pStyle w:val="3"/>
        <w:spacing w:line="246" w:lineRule="auto"/>
        <w:rPr>
          <w:color w:val="auto"/>
          <w:highlight w:val="none"/>
        </w:rPr>
      </w:pPr>
    </w:p>
    <w:p w14:paraId="3149F33B">
      <w:pPr>
        <w:pStyle w:val="3"/>
        <w:spacing w:line="247" w:lineRule="auto"/>
        <w:rPr>
          <w:color w:val="auto"/>
          <w:highlight w:val="none"/>
        </w:rPr>
      </w:pPr>
    </w:p>
    <w:p w14:paraId="1A6A9BB5">
      <w:pPr>
        <w:spacing w:before="69" w:line="408" w:lineRule="exact"/>
        <w:ind w:left="45"/>
        <w:rPr>
          <w:rFonts w:ascii="宋体" w:hAnsi="宋体" w:eastAsia="宋体" w:cs="宋体"/>
          <w:color w:val="auto"/>
          <w:sz w:val="21"/>
          <w:szCs w:val="21"/>
          <w:highlight w:val="none"/>
        </w:rPr>
      </w:pPr>
      <w:r>
        <w:rPr>
          <w:rFonts w:ascii="宋体" w:hAnsi="宋体" w:eastAsia="宋体" w:cs="宋体"/>
          <w:color w:val="auto"/>
          <w:spacing w:val="-15"/>
          <w:position w:val="15"/>
          <w:sz w:val="21"/>
          <w:szCs w:val="21"/>
          <w:highlight w:val="none"/>
        </w:rPr>
        <w:t>申请人：</w:t>
      </w:r>
    </w:p>
    <w:p w14:paraId="26E95AB0">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7C344E53">
      <w:pPr>
        <w:spacing w:before="151" w:line="408" w:lineRule="exact"/>
        <w:ind w:left="22"/>
        <w:rPr>
          <w:rFonts w:ascii="宋体" w:hAnsi="宋体" w:eastAsia="宋体" w:cs="宋体"/>
          <w:color w:val="auto"/>
          <w:sz w:val="21"/>
          <w:szCs w:val="21"/>
          <w:highlight w:val="none"/>
        </w:rPr>
      </w:pPr>
      <w:r>
        <w:rPr>
          <w:rFonts w:ascii="宋体" w:hAnsi="宋体" w:eastAsia="宋体" w:cs="宋体"/>
          <w:color w:val="auto"/>
          <w:spacing w:val="-11"/>
          <w:position w:val="14"/>
          <w:sz w:val="21"/>
          <w:szCs w:val="21"/>
          <w:highlight w:val="none"/>
        </w:rPr>
        <w:t>受益人：</w:t>
      </w:r>
    </w:p>
    <w:p w14:paraId="01B644FC">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4E6B0260">
      <w:pPr>
        <w:spacing w:before="146" w:line="409" w:lineRule="exact"/>
        <w:ind w:left="19"/>
        <w:rPr>
          <w:rFonts w:ascii="宋体" w:hAnsi="宋体" w:eastAsia="宋体" w:cs="宋体"/>
          <w:color w:val="auto"/>
          <w:sz w:val="21"/>
          <w:szCs w:val="21"/>
          <w:highlight w:val="none"/>
        </w:rPr>
      </w:pPr>
      <w:r>
        <w:rPr>
          <w:rFonts w:ascii="宋体" w:hAnsi="宋体" w:eastAsia="宋体" w:cs="宋体"/>
          <w:color w:val="auto"/>
          <w:spacing w:val="-11"/>
          <w:position w:val="15"/>
          <w:sz w:val="21"/>
          <w:szCs w:val="21"/>
          <w:highlight w:val="none"/>
        </w:rPr>
        <w:t>开立人：</w:t>
      </w:r>
    </w:p>
    <w:p w14:paraId="3880178C">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20F253C9">
      <w:pPr>
        <w:pStyle w:val="3"/>
        <w:spacing w:line="241" w:lineRule="auto"/>
        <w:rPr>
          <w:color w:val="auto"/>
          <w:highlight w:val="none"/>
        </w:rPr>
      </w:pPr>
    </w:p>
    <w:p w14:paraId="74272E81">
      <w:pPr>
        <w:pStyle w:val="3"/>
        <w:spacing w:line="241" w:lineRule="auto"/>
        <w:rPr>
          <w:color w:val="auto"/>
          <w:highlight w:val="none"/>
        </w:rPr>
      </w:pPr>
    </w:p>
    <w:p w14:paraId="2D500480">
      <w:pPr>
        <w:tabs>
          <w:tab w:val="left" w:pos="1483"/>
        </w:tabs>
        <w:spacing w:before="69" w:line="223"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48"/>
          <w:sz w:val="21"/>
          <w:szCs w:val="21"/>
          <w:highlight w:val="none"/>
        </w:rPr>
        <w:t xml:space="preserve"> </w:t>
      </w:r>
      <w:r>
        <w:rPr>
          <w:rFonts w:ascii="宋体" w:hAnsi="宋体" w:eastAsia="宋体" w:cs="宋体"/>
          <w:color w:val="auto"/>
          <w:spacing w:val="-26"/>
          <w:sz w:val="21"/>
          <w:szCs w:val="21"/>
          <w:highlight w:val="none"/>
        </w:rPr>
        <w:t>（受益人名称</w:t>
      </w:r>
      <w:r>
        <w:rPr>
          <w:rFonts w:ascii="宋体" w:hAnsi="宋体" w:eastAsia="宋体" w:cs="宋体"/>
          <w:color w:val="auto"/>
          <w:spacing w:val="-9"/>
          <w:sz w:val="21"/>
          <w:szCs w:val="21"/>
          <w:highlight w:val="none"/>
        </w:rPr>
        <w:t>）：</w:t>
      </w:r>
    </w:p>
    <w:p w14:paraId="7525C3F6">
      <w:pPr>
        <w:tabs>
          <w:tab w:val="left" w:pos="123"/>
        </w:tabs>
        <w:spacing w:before="153" w:line="360" w:lineRule="auto"/>
        <w:ind w:left="10" w:right="3" w:firstLine="433"/>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鉴于</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14"/>
          <w:sz w:val="21"/>
          <w:szCs w:val="21"/>
          <w:highlight w:val="none"/>
        </w:rPr>
        <w:t xml:space="preserve"> （以下简称“受益人”）与</w:t>
      </w:r>
      <w:r>
        <w:rPr>
          <w:rFonts w:ascii="宋体" w:hAnsi="宋体" w:eastAsia="宋体" w:cs="宋体"/>
          <w:color w:val="auto"/>
          <w:spacing w:val="-8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4"/>
          <w:sz w:val="21"/>
          <w:szCs w:val="21"/>
          <w:highlight w:val="none"/>
        </w:rPr>
        <w:t xml:space="preserve"> （以下简称“申请人”）于</w:t>
      </w:r>
      <w:r>
        <w:rPr>
          <w:rFonts w:ascii="宋体" w:hAnsi="宋体" w:eastAsia="宋体" w:cs="宋体"/>
          <w:color w:val="auto"/>
          <w:spacing w:val="-91"/>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月</w:t>
      </w:r>
      <w:r>
        <w:rPr>
          <w:rFonts w:ascii="宋体" w:hAnsi="宋体" w:eastAsia="宋体" w:cs="宋体"/>
          <w:color w:val="auto"/>
          <w:spacing w:val="-100"/>
          <w:sz w:val="21"/>
          <w:szCs w:val="21"/>
          <w:highlight w:val="none"/>
        </w:rPr>
        <w:t xml:space="preserve"> </w:t>
      </w:r>
      <w:r>
        <w:rPr>
          <w:rFonts w:ascii="宋体" w:hAnsi="宋体" w:eastAsia="宋体" w:cs="宋体"/>
          <w:color w:val="auto"/>
          <w:spacing w:val="32"/>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3"/>
          <w:sz w:val="21"/>
          <w:szCs w:val="21"/>
          <w:highlight w:val="none"/>
        </w:rPr>
        <w:t>日就</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3"/>
          <w:sz w:val="21"/>
          <w:szCs w:val="21"/>
          <w:highlight w:val="none"/>
        </w:rPr>
        <w:t>工程（以下简称“本工程”）施工和有关事项协商一致共同签订</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pacing w:val="-10"/>
          <w:sz w:val="21"/>
          <w:szCs w:val="21"/>
          <w:highlight w:val="none"/>
          <w:u w:val="single" w:color="auto"/>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0"/>
          <w:sz w:val="21"/>
          <w:szCs w:val="21"/>
          <w:highlight w:val="none"/>
          <w:u w:val="single" w:color="auto"/>
        </w:rPr>
        <w:t>》</w:t>
      </w:r>
      <w:r>
        <w:rPr>
          <w:rFonts w:ascii="宋体" w:hAnsi="宋体" w:eastAsia="宋体" w:cs="宋体"/>
          <w:color w:val="auto"/>
          <w:spacing w:val="-10"/>
          <w:sz w:val="21"/>
          <w:szCs w:val="21"/>
          <w:highlight w:val="none"/>
        </w:rPr>
        <w:t>（以下简称“基础合同”</w:t>
      </w:r>
      <w:r>
        <w:rPr>
          <w:rFonts w:ascii="宋体" w:hAnsi="宋体" w:eastAsia="宋体" w:cs="宋体"/>
          <w:color w:val="auto"/>
          <w:spacing w:val="-39"/>
          <w:w w:val="71"/>
          <w:sz w:val="21"/>
          <w:szCs w:val="21"/>
          <w:highlight w:val="none"/>
        </w:rPr>
        <w:t>），</w:t>
      </w:r>
      <w:r>
        <w:rPr>
          <w:rFonts w:ascii="宋体" w:hAnsi="宋体" w:eastAsia="宋体" w:cs="宋体"/>
          <w:color w:val="auto"/>
          <w:spacing w:val="-10"/>
          <w:sz w:val="21"/>
          <w:szCs w:val="21"/>
          <w:highlight w:val="none"/>
        </w:rPr>
        <w:t>我方（即“开立人”）根据主合同了解到申请人为</w:t>
      </w:r>
      <w:r>
        <w:rPr>
          <w:rFonts w:ascii="宋体" w:hAnsi="宋体" w:eastAsia="宋体" w:cs="宋体"/>
          <w:color w:val="auto"/>
          <w:spacing w:val="2"/>
          <w:sz w:val="21"/>
          <w:szCs w:val="21"/>
          <w:highlight w:val="none"/>
        </w:rPr>
        <w:t xml:space="preserve"> </w:t>
      </w:r>
      <w:r>
        <w:rPr>
          <w:rFonts w:ascii="宋体" w:hAnsi="宋体" w:eastAsia="宋体" w:cs="宋体"/>
          <w:color w:val="auto"/>
          <w:spacing w:val="-5"/>
          <w:sz w:val="21"/>
          <w:szCs w:val="21"/>
          <w:highlight w:val="none"/>
        </w:rPr>
        <w:t>主合同项下之承包人， 受益人为主合同项下之发包人，</w:t>
      </w:r>
      <w:r>
        <w:rPr>
          <w:rFonts w:ascii="宋体" w:hAnsi="宋体" w:eastAsia="宋体" w:cs="宋体"/>
          <w:color w:val="auto"/>
          <w:spacing w:val="25"/>
          <w:sz w:val="21"/>
          <w:szCs w:val="21"/>
          <w:highlight w:val="none"/>
        </w:rPr>
        <w:t xml:space="preserve"> </w:t>
      </w:r>
      <w:r>
        <w:rPr>
          <w:rFonts w:ascii="宋体" w:hAnsi="宋体" w:eastAsia="宋体" w:cs="宋体"/>
          <w:color w:val="auto"/>
          <w:spacing w:val="-5"/>
          <w:sz w:val="21"/>
          <w:szCs w:val="21"/>
          <w:highlight w:val="none"/>
        </w:rPr>
        <w:t>基</w:t>
      </w:r>
      <w:r>
        <w:rPr>
          <w:rFonts w:ascii="宋体" w:hAnsi="宋体" w:eastAsia="宋体" w:cs="宋体"/>
          <w:color w:val="auto"/>
          <w:spacing w:val="-6"/>
          <w:sz w:val="21"/>
          <w:szCs w:val="21"/>
          <w:highlight w:val="none"/>
        </w:rPr>
        <w:t>于申请人的请求， 我方同意就申</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请人按照合同约定正确和合理地为合同目的使用预付款，向贵方提供不可撤销、不可转让</w:t>
      </w:r>
    </w:p>
    <w:p w14:paraId="0A412652">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的见索即付独立保函（以下简称“本保函”）。</w:t>
      </w:r>
    </w:p>
    <w:p w14:paraId="4433F37F">
      <w:pPr>
        <w:spacing w:before="157" w:line="359" w:lineRule="auto"/>
        <w:ind w:left="18" w:right="11" w:firstLine="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一、本保函担保范围：</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申请人未按照合同约定正确和合理地为合同目的使用</w:t>
      </w:r>
      <w:r>
        <w:rPr>
          <w:rFonts w:ascii="宋体" w:hAnsi="宋体" w:eastAsia="宋体" w:cs="宋体"/>
          <w:color w:val="auto"/>
          <w:spacing w:val="-2"/>
          <w:sz w:val="21"/>
          <w:szCs w:val="21"/>
          <w:highlight w:val="none"/>
        </w:rPr>
        <w:t>预付款，</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应当向贵方承担的违约责任和赔偿因此造成的损失、利息、律师费、诉讼费</w:t>
      </w:r>
      <w:r>
        <w:rPr>
          <w:rFonts w:ascii="宋体" w:hAnsi="宋体" w:eastAsia="宋体" w:cs="宋体"/>
          <w:color w:val="auto"/>
          <w:spacing w:val="2"/>
          <w:sz w:val="21"/>
          <w:szCs w:val="21"/>
          <w:highlight w:val="none"/>
        </w:rPr>
        <w:t>用等实现债权</w:t>
      </w:r>
    </w:p>
    <w:p w14:paraId="6691C2B8">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的费用。</w:t>
      </w:r>
    </w:p>
    <w:p w14:paraId="61BA5165">
      <w:pPr>
        <w:spacing w:before="157"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二、本保函担保金额最高不超过人民币（大写）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
          <w:sz w:val="21"/>
          <w:szCs w:val="21"/>
          <w:highlight w:val="none"/>
        </w:rPr>
        <w:t>元(¥</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74"/>
          <w:sz w:val="21"/>
          <w:szCs w:val="21"/>
          <w:highlight w:val="none"/>
        </w:rPr>
        <w:t xml:space="preserve"> </w:t>
      </w:r>
      <w:r>
        <w:rPr>
          <w:rFonts w:ascii="宋体" w:hAnsi="宋体" w:eastAsia="宋体" w:cs="宋体"/>
          <w:color w:val="auto"/>
          <w:spacing w:val="-1"/>
          <w:sz w:val="21"/>
          <w:szCs w:val="21"/>
          <w:highlight w:val="none"/>
        </w:rPr>
        <w:t>)。</w:t>
      </w:r>
    </w:p>
    <w:p w14:paraId="7A592248">
      <w:pPr>
        <w:spacing w:before="158" w:line="359" w:lineRule="auto"/>
        <w:ind w:right="3"/>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三、本保函有效期自开立之日起至发包人全额扣回预付款后</w:t>
      </w:r>
      <w:r>
        <w:rPr>
          <w:rFonts w:ascii="宋体" w:hAnsi="宋体" w:eastAsia="宋体" w:cs="宋体"/>
          <w:color w:val="auto"/>
          <w:spacing w:val="-92"/>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6"/>
          <w:sz w:val="21"/>
          <w:szCs w:val="21"/>
          <w:highlight w:val="none"/>
        </w:rPr>
        <w:t>日止，最迟不超过</w:t>
      </w:r>
    </w:p>
    <w:p w14:paraId="73E8EE1F">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年</w:t>
      </w:r>
      <w:r>
        <w:rPr>
          <w:rFonts w:ascii="宋体" w:hAnsi="宋体" w:eastAsia="宋体" w:cs="宋体"/>
          <w:color w:val="auto"/>
          <w:spacing w:val="-10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5"/>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5"/>
          <w:sz w:val="21"/>
          <w:szCs w:val="21"/>
          <w:highlight w:val="none"/>
        </w:rPr>
        <w:t>日。</w:t>
      </w:r>
    </w:p>
    <w:p w14:paraId="790FF3D4">
      <w:pPr>
        <w:spacing w:before="157" w:line="363" w:lineRule="auto"/>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四、我方承诺，在收到受益人发来的书面付</w:t>
      </w:r>
      <w:r>
        <w:rPr>
          <w:rFonts w:ascii="宋体" w:hAnsi="宋体" w:eastAsia="宋体" w:cs="宋体"/>
          <w:color w:val="auto"/>
          <w:spacing w:val="-7"/>
          <w:sz w:val="21"/>
          <w:szCs w:val="21"/>
          <w:highlight w:val="none"/>
        </w:rPr>
        <w:t>款通知后的</w:t>
      </w:r>
      <w:r>
        <w:rPr>
          <w:rFonts w:ascii="宋体" w:hAnsi="宋体" w:eastAsia="宋体" w:cs="宋体"/>
          <w:color w:val="auto"/>
          <w:spacing w:val="-102"/>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日内无条件支付，</w:t>
      </w:r>
      <w:r>
        <w:rPr>
          <w:rFonts w:ascii="宋体" w:hAnsi="宋体" w:eastAsia="宋体" w:cs="宋体"/>
          <w:color w:val="auto"/>
          <w:spacing w:val="54"/>
          <w:sz w:val="21"/>
          <w:szCs w:val="21"/>
          <w:highlight w:val="none"/>
        </w:rPr>
        <w:t xml:space="preserve"> </w:t>
      </w:r>
      <w:r>
        <w:rPr>
          <w:rFonts w:ascii="宋体" w:hAnsi="宋体" w:eastAsia="宋体" w:cs="宋体"/>
          <w:color w:val="auto"/>
          <w:spacing w:val="-7"/>
          <w:sz w:val="21"/>
          <w:szCs w:val="21"/>
          <w:highlight w:val="none"/>
        </w:rPr>
        <w:t>前述书</w:t>
      </w:r>
    </w:p>
    <w:p w14:paraId="61C30DA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面付款通知即为付款要求之单据，且应满足以下要求：</w:t>
      </w:r>
    </w:p>
    <w:p w14:paraId="1015FAE9">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（1）付款通知到达的日期在本保函的有效期内；</w:t>
      </w:r>
    </w:p>
    <w:p w14:paraId="4A768E7B">
      <w:pPr>
        <w:spacing w:before="158"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（2）载明要求支付的金额；</w:t>
      </w:r>
    </w:p>
    <w:p w14:paraId="4DB255AA">
      <w:pPr>
        <w:spacing w:before="156"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（3）载明申请人违反合同义务的条款和内</w:t>
      </w:r>
      <w:r>
        <w:rPr>
          <w:rFonts w:ascii="宋体" w:hAnsi="宋体" w:eastAsia="宋体" w:cs="宋体"/>
          <w:color w:val="auto"/>
          <w:spacing w:val="-3"/>
          <w:sz w:val="21"/>
          <w:szCs w:val="21"/>
          <w:highlight w:val="none"/>
        </w:rPr>
        <w:t>容；</w:t>
      </w:r>
    </w:p>
    <w:p w14:paraId="643191ED">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（4）声明不存在合同文件约定或我国法律规定免除申请人或开立人支付责任的情形；</w:t>
      </w:r>
    </w:p>
    <w:p w14:paraId="19FAE966">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（5）付款通知应在本保函有效期内到达的地</w:t>
      </w:r>
      <w:r>
        <w:rPr>
          <w:rFonts w:ascii="宋体" w:hAnsi="宋体" w:eastAsia="宋体" w:cs="宋体"/>
          <w:color w:val="auto"/>
          <w:spacing w:val="-3"/>
          <w:sz w:val="21"/>
          <w:szCs w:val="21"/>
          <w:highlight w:val="none"/>
        </w:rPr>
        <w:t>址是：</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7F75F27C">
      <w:pPr>
        <w:spacing w:before="15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受益人发出的书面付款通知应由其为鉴明受益人法定代表人（负责人）或授权代</w:t>
      </w:r>
      <w:r>
        <w:rPr>
          <w:rFonts w:ascii="宋体" w:hAnsi="宋体" w:eastAsia="宋体" w:cs="宋体"/>
          <w:color w:val="auto"/>
          <w:spacing w:val="2"/>
          <w:sz w:val="21"/>
          <w:szCs w:val="21"/>
          <w:highlight w:val="none"/>
        </w:rPr>
        <w:t>理人</w:t>
      </w:r>
    </w:p>
    <w:p w14:paraId="6399E8C3">
      <w:pPr>
        <w:spacing w:line="220" w:lineRule="auto"/>
        <w:rPr>
          <w:rFonts w:ascii="宋体" w:hAnsi="宋体" w:eastAsia="宋体" w:cs="宋体"/>
          <w:color w:val="auto"/>
          <w:sz w:val="21"/>
          <w:szCs w:val="21"/>
          <w:highlight w:val="none"/>
        </w:rPr>
        <w:sectPr>
          <w:footerReference r:id="rId166" w:type="default"/>
          <w:pgSz w:w="11905" w:h="16839"/>
          <w:pgMar w:top="400" w:right="1785" w:bottom="1004" w:left="1785" w:header="0" w:footer="828" w:gutter="0"/>
          <w:pgNumType w:fmt="decimal"/>
          <w:cols w:space="720" w:num="1"/>
        </w:sectPr>
      </w:pPr>
    </w:p>
    <w:p w14:paraId="73FB1EE2">
      <w:pPr>
        <w:pStyle w:val="3"/>
        <w:spacing w:line="248" w:lineRule="auto"/>
        <w:rPr>
          <w:color w:val="auto"/>
          <w:highlight w:val="none"/>
        </w:rPr>
      </w:pPr>
    </w:p>
    <w:p w14:paraId="5E3DD1EF">
      <w:pPr>
        <w:pStyle w:val="3"/>
        <w:spacing w:line="249" w:lineRule="auto"/>
        <w:rPr>
          <w:color w:val="auto"/>
          <w:highlight w:val="none"/>
        </w:rPr>
      </w:pPr>
    </w:p>
    <w:p w14:paraId="0744E058">
      <w:pPr>
        <w:pStyle w:val="3"/>
        <w:spacing w:line="249" w:lineRule="auto"/>
        <w:rPr>
          <w:color w:val="auto"/>
          <w:highlight w:val="none"/>
        </w:rPr>
      </w:pPr>
    </w:p>
    <w:p w14:paraId="020E7FF3">
      <w:pPr>
        <w:pStyle w:val="3"/>
        <w:spacing w:line="249" w:lineRule="auto"/>
        <w:rPr>
          <w:color w:val="auto"/>
          <w:highlight w:val="none"/>
        </w:rPr>
      </w:pPr>
    </w:p>
    <w:p w14:paraId="15CF720B">
      <w:pPr>
        <w:spacing w:before="68"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签字并加盖公章。</w:t>
      </w:r>
    </w:p>
    <w:p w14:paraId="33C86A60">
      <w:pPr>
        <w:spacing w:before="157" w:line="40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五、本保函项下的权利不得转让，不得设定担保。贵方未经我方书面同意转</w:t>
      </w:r>
      <w:r>
        <w:rPr>
          <w:rFonts w:ascii="宋体" w:hAnsi="宋体" w:eastAsia="宋体" w:cs="宋体"/>
          <w:color w:val="auto"/>
          <w:spacing w:val="48"/>
          <w:position w:val="15"/>
          <w:sz w:val="21"/>
          <w:szCs w:val="21"/>
          <w:highlight w:val="none"/>
        </w:rPr>
        <w:t xml:space="preserve"> </w:t>
      </w:r>
      <w:r>
        <w:rPr>
          <w:rFonts w:ascii="宋体" w:hAnsi="宋体" w:eastAsia="宋体" w:cs="宋体"/>
          <w:color w:val="auto"/>
          <w:spacing w:val="-1"/>
          <w:position w:val="15"/>
          <w:sz w:val="21"/>
          <w:szCs w:val="21"/>
          <w:highlight w:val="none"/>
        </w:rPr>
        <w:t>让本保函</w:t>
      </w:r>
    </w:p>
    <w:p w14:paraId="370B866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或其项下任何权利， 对我方不发生法律效力。</w:t>
      </w:r>
    </w:p>
    <w:p w14:paraId="103D3888">
      <w:pPr>
        <w:spacing w:before="158"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六、与本保函有关的基础合同不成立、不生效、无效、被撤销、被解除，不影响本保</w:t>
      </w:r>
    </w:p>
    <w:p w14:paraId="38821684">
      <w:pPr>
        <w:spacing w:line="221" w:lineRule="auto"/>
        <w:ind w:left="3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函的独立有效。</w:t>
      </w:r>
    </w:p>
    <w:p w14:paraId="1B46B745">
      <w:pPr>
        <w:spacing w:before="161" w:line="359" w:lineRule="auto"/>
        <w:ind w:left="20" w:right="6" w:firstLine="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七、贵方应在本保函到期后的七日内将本保函正本退回我方注销，但是不论贵方是否 </w:t>
      </w:r>
      <w:r>
        <w:rPr>
          <w:rFonts w:ascii="宋体" w:hAnsi="宋体" w:eastAsia="宋体" w:cs="宋体"/>
          <w:color w:val="auto"/>
          <w:sz w:val="21"/>
          <w:szCs w:val="21"/>
          <w:highlight w:val="none"/>
        </w:rPr>
        <w:t>按此要求将本保函正本退回我方， 我方在本保函项下的义务和责任均在保函有效期到期后</w:t>
      </w:r>
    </w:p>
    <w:p w14:paraId="1FDDEE1E">
      <w:pPr>
        <w:spacing w:line="221" w:lineRule="auto"/>
        <w:ind w:left="5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自动消灭。</w:t>
      </w:r>
    </w:p>
    <w:p w14:paraId="0C39A5EF">
      <w:pPr>
        <w:spacing w:before="156"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10"/>
          <w:position w:val="15"/>
          <w:sz w:val="21"/>
          <w:szCs w:val="21"/>
          <w:highlight w:val="none"/>
        </w:rPr>
        <w:t>八、本保函适用的法律为中华人民共和国法律，</w:t>
      </w:r>
      <w:r>
        <w:rPr>
          <w:rFonts w:ascii="宋体" w:hAnsi="宋体" w:eastAsia="宋体" w:cs="宋体"/>
          <w:color w:val="auto"/>
          <w:spacing w:val="79"/>
          <w:position w:val="15"/>
          <w:sz w:val="21"/>
          <w:szCs w:val="21"/>
          <w:highlight w:val="none"/>
        </w:rPr>
        <w:t xml:space="preserve"> </w:t>
      </w:r>
      <w:r>
        <w:rPr>
          <w:rFonts w:ascii="宋体" w:hAnsi="宋体" w:eastAsia="宋体" w:cs="宋体"/>
          <w:color w:val="auto"/>
          <w:spacing w:val="10"/>
          <w:position w:val="15"/>
          <w:sz w:val="21"/>
          <w:szCs w:val="21"/>
          <w:highlight w:val="none"/>
        </w:rPr>
        <w:t>争议裁</w:t>
      </w:r>
      <w:r>
        <w:rPr>
          <w:rFonts w:ascii="宋体" w:hAnsi="宋体" w:eastAsia="宋体" w:cs="宋体"/>
          <w:color w:val="auto"/>
          <w:spacing w:val="9"/>
          <w:position w:val="15"/>
          <w:sz w:val="21"/>
          <w:szCs w:val="21"/>
          <w:highlight w:val="none"/>
        </w:rPr>
        <w:t>判管辖地为中华人民共和</w:t>
      </w:r>
    </w:p>
    <w:p w14:paraId="2AA51A5C">
      <w:pPr>
        <w:spacing w:before="1" w:line="223" w:lineRule="auto"/>
        <w:ind w:left="39"/>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国</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p>
    <w:p w14:paraId="088A3643">
      <w:pPr>
        <w:spacing w:before="154"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九、本保函自我方法定代表人或授权代表签字并加盖公章之日起生效。</w:t>
      </w:r>
    </w:p>
    <w:p w14:paraId="0672DE68">
      <w:pPr>
        <w:pStyle w:val="3"/>
        <w:spacing w:line="262" w:lineRule="auto"/>
        <w:rPr>
          <w:color w:val="auto"/>
          <w:highlight w:val="none"/>
        </w:rPr>
      </w:pPr>
    </w:p>
    <w:p w14:paraId="0288C67E">
      <w:pPr>
        <w:pStyle w:val="3"/>
        <w:spacing w:line="262" w:lineRule="auto"/>
        <w:rPr>
          <w:color w:val="auto"/>
          <w:highlight w:val="none"/>
        </w:rPr>
      </w:pPr>
    </w:p>
    <w:p w14:paraId="0E097EB7">
      <w:pPr>
        <w:pStyle w:val="3"/>
        <w:spacing w:line="262" w:lineRule="auto"/>
        <w:rPr>
          <w:color w:val="auto"/>
          <w:highlight w:val="none"/>
        </w:rPr>
      </w:pPr>
    </w:p>
    <w:p w14:paraId="5722E0E1">
      <w:pPr>
        <w:pStyle w:val="3"/>
        <w:spacing w:line="262" w:lineRule="auto"/>
        <w:rPr>
          <w:color w:val="auto"/>
          <w:highlight w:val="none"/>
        </w:rPr>
      </w:pPr>
    </w:p>
    <w:p w14:paraId="7A0788D4">
      <w:pPr>
        <w:pStyle w:val="3"/>
        <w:spacing w:line="262" w:lineRule="auto"/>
        <w:rPr>
          <w:color w:val="auto"/>
          <w:highlight w:val="none"/>
        </w:rPr>
      </w:pPr>
    </w:p>
    <w:p w14:paraId="6E6E27A2">
      <w:pPr>
        <w:spacing w:before="69" w:line="408" w:lineRule="exact"/>
        <w:ind w:left="442"/>
        <w:rPr>
          <w:rFonts w:ascii="宋体" w:hAnsi="宋体" w:eastAsia="宋体" w:cs="宋体"/>
          <w:color w:val="auto"/>
          <w:sz w:val="21"/>
          <w:szCs w:val="21"/>
          <w:highlight w:val="none"/>
        </w:rPr>
      </w:pPr>
      <w:r>
        <w:rPr>
          <w:color w:val="auto"/>
          <w:highlight w:val="none"/>
        </w:rPr>
        <w:pict>
          <v:shape id="_x0000_s2071" o:spid="_x0000_s2071" o:spt="202" type="#_x0000_t202" style="position:absolute;left:0pt;margin-left:21.1pt;margin-top:-18.15pt;height:14.65pt;width:51.9pt;z-index:251683840;mso-width-relative:page;mso-height-relative:page;" filled="f" stroked="f" coordsize="21600,21600">
            <v:path/>
            <v:fill on="f" focussize="0,0"/>
            <v:stroke on="f"/>
            <v:imagedata o:title=""/>
            <o:lock v:ext="edit" aspectratio="f"/>
            <v:textbox inset="0mm,0mm,0mm,0mm">
              <w:txbxContent>
                <w:p w14:paraId="1033BAEF">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rPr>
          <w:color w:val="auto"/>
          <w:highlight w:val="none"/>
        </w:rPr>
        <w:pict>
          <v:shape id="_x0000_s2072" o:spid="_x0000_s2072" o:spt="202" type="#_x0000_t202" style="position:absolute;left:0pt;margin-left:231.65pt;margin-top:-18.15pt;height:35.2pt;width:42.35pt;z-index:251682816;mso-width-relative:page;mso-height-relative:page;" filled="f" stroked="f" coordsize="21600,21600">
            <v:path/>
            <v:fill on="f" focussize="0,0"/>
            <v:stroke on="f"/>
            <v:imagedata o:title=""/>
            <o:lock v:ext="edit" aspectratio="f"/>
            <v:textbox inset="0mm,0mm,0mm,0mm">
              <w:txbxContent>
                <w:p w14:paraId="1841962B">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14:paraId="46C60C4B">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宋体" w:hAnsi="宋体" w:eastAsia="宋体" w:cs="宋体"/>
          <w:color w:val="auto"/>
          <w:spacing w:val="-8"/>
          <w:position w:val="14"/>
          <w:sz w:val="21"/>
          <w:szCs w:val="21"/>
          <w:highlight w:val="none"/>
        </w:rPr>
        <w:t>法定代表人（或授权代表</w:t>
      </w:r>
      <w:r>
        <w:rPr>
          <w:rFonts w:ascii="宋体" w:hAnsi="宋体" w:eastAsia="宋体" w:cs="宋体"/>
          <w:color w:val="auto"/>
          <w:spacing w:val="-19"/>
          <w:position w:val="14"/>
          <w:sz w:val="21"/>
          <w:szCs w:val="21"/>
          <w:highlight w:val="none"/>
        </w:rPr>
        <w:t>）：</w:t>
      </w:r>
    </w:p>
    <w:p w14:paraId="39CF8616">
      <w:pPr>
        <w:spacing w:before="1" w:line="229" w:lineRule="auto"/>
        <w:ind w:left="44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w:t>
      </w:r>
      <w:r>
        <w:rPr>
          <w:rFonts w:ascii="宋体" w:hAnsi="宋体" w:eastAsia="宋体" w:cs="宋体"/>
          <w:color w:val="auto"/>
          <w:spacing w:val="2"/>
          <w:sz w:val="21"/>
          <w:szCs w:val="21"/>
          <w:highlight w:val="none"/>
        </w:rPr>
        <w:t xml:space="preserve">    </w:t>
      </w:r>
      <w:r>
        <w:rPr>
          <w:rFonts w:ascii="宋体" w:hAnsi="宋体" w:eastAsia="宋体" w:cs="宋体"/>
          <w:color w:val="auto"/>
          <w:spacing w:val="-12"/>
          <w:sz w:val="21"/>
          <w:szCs w:val="21"/>
          <w:highlight w:val="none"/>
        </w:rPr>
        <w:t>址：</w:t>
      </w:r>
    </w:p>
    <w:p w14:paraId="35FFDA53">
      <w:pPr>
        <w:spacing w:before="147" w:line="408" w:lineRule="exact"/>
        <w:ind w:left="456"/>
        <w:rPr>
          <w:rFonts w:ascii="宋体" w:hAnsi="宋体" w:eastAsia="宋体" w:cs="宋体"/>
          <w:color w:val="auto"/>
          <w:sz w:val="21"/>
          <w:szCs w:val="21"/>
          <w:highlight w:val="none"/>
        </w:rPr>
      </w:pPr>
      <w:r>
        <w:rPr>
          <w:rFonts w:ascii="宋体" w:hAnsi="宋体" w:eastAsia="宋体" w:cs="宋体"/>
          <w:color w:val="auto"/>
          <w:spacing w:val="-11"/>
          <w:position w:val="14"/>
          <w:sz w:val="21"/>
          <w:szCs w:val="21"/>
          <w:highlight w:val="none"/>
        </w:rPr>
        <w:t>邮政编码：</w:t>
      </w:r>
    </w:p>
    <w:p w14:paraId="16FAD7BF">
      <w:pPr>
        <w:spacing w:before="1" w:line="222"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2"/>
          <w:sz w:val="21"/>
          <w:szCs w:val="21"/>
          <w:highlight w:val="none"/>
        </w:rPr>
        <w:t xml:space="preserve">    </w:t>
      </w:r>
      <w:r>
        <w:rPr>
          <w:rFonts w:ascii="宋体" w:hAnsi="宋体" w:eastAsia="宋体" w:cs="宋体"/>
          <w:color w:val="auto"/>
          <w:spacing w:val="-20"/>
          <w:sz w:val="21"/>
          <w:szCs w:val="21"/>
          <w:highlight w:val="none"/>
        </w:rPr>
        <w:t>话：</w:t>
      </w:r>
    </w:p>
    <w:p w14:paraId="196C7D1E">
      <w:pPr>
        <w:spacing w:before="154"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真：</w:t>
      </w:r>
    </w:p>
    <w:p w14:paraId="5D1E34A5">
      <w:pPr>
        <w:spacing w:before="157" w:line="221" w:lineRule="auto"/>
        <w:ind w:left="4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开立时间：</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5"/>
          <w:sz w:val="21"/>
          <w:szCs w:val="21"/>
          <w:highlight w:val="none"/>
        </w:rPr>
        <w:t xml:space="preserve">        </w:t>
      </w:r>
      <w:r>
        <w:rPr>
          <w:rFonts w:ascii="宋体" w:hAnsi="宋体" w:eastAsia="宋体" w:cs="宋体"/>
          <w:color w:val="auto"/>
          <w:spacing w:val="-13"/>
          <w:sz w:val="21"/>
          <w:szCs w:val="21"/>
          <w:highlight w:val="none"/>
        </w:rPr>
        <w:t>日</w:t>
      </w:r>
    </w:p>
    <w:p w14:paraId="38686E7F">
      <w:pPr>
        <w:spacing w:line="221" w:lineRule="auto"/>
        <w:rPr>
          <w:rFonts w:ascii="宋体" w:hAnsi="宋体" w:eastAsia="宋体" w:cs="宋体"/>
          <w:color w:val="auto"/>
          <w:sz w:val="21"/>
          <w:szCs w:val="21"/>
          <w:highlight w:val="none"/>
        </w:rPr>
        <w:sectPr>
          <w:footerReference r:id="rId167" w:type="default"/>
          <w:pgSz w:w="11905" w:h="16839"/>
          <w:pgMar w:top="400" w:right="1785" w:bottom="1004" w:left="1785" w:header="0" w:footer="828" w:gutter="0"/>
          <w:pgNumType w:fmt="decimal"/>
          <w:cols w:space="720" w:num="1"/>
        </w:sectPr>
      </w:pPr>
    </w:p>
    <w:p w14:paraId="3AF5F383">
      <w:pPr>
        <w:pStyle w:val="3"/>
        <w:spacing w:line="276" w:lineRule="auto"/>
        <w:rPr>
          <w:color w:val="auto"/>
          <w:highlight w:val="none"/>
        </w:rPr>
      </w:pPr>
    </w:p>
    <w:p w14:paraId="4FEF853F">
      <w:pPr>
        <w:pStyle w:val="3"/>
        <w:spacing w:line="276" w:lineRule="auto"/>
        <w:rPr>
          <w:color w:val="auto"/>
          <w:highlight w:val="none"/>
        </w:rPr>
      </w:pPr>
    </w:p>
    <w:p w14:paraId="22790F59">
      <w:pPr>
        <w:pStyle w:val="3"/>
        <w:spacing w:line="276" w:lineRule="auto"/>
        <w:rPr>
          <w:color w:val="auto"/>
          <w:highlight w:val="none"/>
        </w:rPr>
      </w:pPr>
    </w:p>
    <w:p w14:paraId="1B583837">
      <w:pPr>
        <w:pStyle w:val="3"/>
        <w:spacing w:line="276" w:lineRule="auto"/>
        <w:rPr>
          <w:color w:val="auto"/>
          <w:highlight w:val="none"/>
        </w:rPr>
      </w:pPr>
    </w:p>
    <w:p w14:paraId="375827C2">
      <w:pPr>
        <w:spacing w:before="78" w:line="219" w:lineRule="auto"/>
        <w:ind w:left="38"/>
        <w:rPr>
          <w:rFonts w:ascii="Times New Roman" w:hAnsi="Times New Roman" w:eastAsia="Times New Roman" w:cs="Times New Roman"/>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30"/>
          <w:sz w:val="24"/>
          <w:szCs w:val="24"/>
          <w:highlight w:val="none"/>
        </w:rPr>
        <w:t xml:space="preserve"> </w:t>
      </w:r>
      <w:r>
        <w:rPr>
          <w:rFonts w:ascii="Times New Roman" w:hAnsi="Times New Roman" w:eastAsia="Times New Roman" w:cs="Times New Roman"/>
          <w:color w:val="auto"/>
          <w:spacing w:val="-11"/>
          <w:sz w:val="24"/>
          <w:szCs w:val="24"/>
          <w:highlight w:val="none"/>
        </w:rPr>
        <w:t>10:</w:t>
      </w:r>
    </w:p>
    <w:p w14:paraId="7933E426">
      <w:pPr>
        <w:spacing w:before="243" w:line="227" w:lineRule="auto"/>
        <w:ind w:left="3626"/>
        <w:rPr>
          <w:rFonts w:ascii="黑体" w:hAnsi="黑体" w:eastAsia="黑体" w:cs="黑体"/>
          <w:color w:val="auto"/>
          <w:sz w:val="27"/>
          <w:szCs w:val="27"/>
          <w:highlight w:val="none"/>
        </w:rPr>
      </w:pPr>
      <w:bookmarkStart w:id="1286" w:name="bookmark232"/>
      <w:bookmarkEnd w:id="1286"/>
      <w:r>
        <w:rPr>
          <w:rFonts w:ascii="黑体" w:hAnsi="黑体" w:eastAsia="黑体" w:cs="黑体"/>
          <w:color w:val="auto"/>
          <w:spacing w:val="3"/>
          <w:sz w:val="27"/>
          <w:szCs w:val="27"/>
          <w:highlight w:val="none"/>
        </w:rPr>
        <w:t>支付担保</w:t>
      </w:r>
    </w:p>
    <w:p w14:paraId="1B600C02">
      <w:pPr>
        <w:tabs>
          <w:tab w:val="left" w:pos="1378"/>
        </w:tabs>
        <w:spacing w:before="283"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6"/>
          <w:w w:val="95"/>
          <w:sz w:val="21"/>
          <w:szCs w:val="21"/>
          <w:highlight w:val="none"/>
        </w:rPr>
        <w:t>（承包人</w:t>
      </w:r>
      <w:r>
        <w:rPr>
          <w:rFonts w:ascii="宋体" w:hAnsi="宋体" w:eastAsia="宋体" w:cs="宋体"/>
          <w:color w:val="auto"/>
          <w:spacing w:val="-26"/>
          <w:sz w:val="21"/>
          <w:szCs w:val="21"/>
          <w:highlight w:val="none"/>
        </w:rPr>
        <w:t>）：</w:t>
      </w:r>
    </w:p>
    <w:p w14:paraId="304F5AF3">
      <w:pPr>
        <w:pStyle w:val="3"/>
        <w:spacing w:line="416" w:lineRule="auto"/>
        <w:rPr>
          <w:color w:val="auto"/>
          <w:highlight w:val="none"/>
        </w:rPr>
      </w:pPr>
    </w:p>
    <w:p w14:paraId="25E5CDC8">
      <w:pPr>
        <w:spacing w:before="69" w:line="359" w:lineRule="auto"/>
        <w:ind w:left="21" w:right="5" w:firstLine="42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鉴于你方作为承包人已经与</w:t>
      </w:r>
      <w:r>
        <w:rPr>
          <w:rFonts w:ascii="宋体" w:hAnsi="宋体" w:eastAsia="宋体" w:cs="宋体"/>
          <w:color w:val="auto"/>
          <w:spacing w:val="-103"/>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 xml:space="preserve"> （发包人名称</w:t>
      </w:r>
      <w:r>
        <w:rPr>
          <w:rFonts w:ascii="宋体" w:hAnsi="宋体" w:eastAsia="宋体" w:cs="宋体"/>
          <w:color w:val="auto"/>
          <w:spacing w:val="-61"/>
          <w:sz w:val="21"/>
          <w:szCs w:val="21"/>
          <w:highlight w:val="none"/>
        </w:rPr>
        <w:t>）（</w:t>
      </w:r>
      <w:r>
        <w:rPr>
          <w:rFonts w:ascii="宋体" w:hAnsi="宋体" w:eastAsia="宋体" w:cs="宋体"/>
          <w:color w:val="auto"/>
          <w:spacing w:val="-7"/>
          <w:sz w:val="21"/>
          <w:szCs w:val="21"/>
          <w:highlight w:val="none"/>
        </w:rPr>
        <w:t>以下称“发包人</w:t>
      </w:r>
      <w:r>
        <w:rPr>
          <w:rFonts w:ascii="宋体" w:hAnsi="宋体" w:eastAsia="宋体" w:cs="宋体"/>
          <w:color w:val="auto"/>
          <w:spacing w:val="-77"/>
          <w:sz w:val="21"/>
          <w:szCs w:val="21"/>
          <w:highlight w:val="none"/>
        </w:rPr>
        <w:t xml:space="preserve"> </w:t>
      </w:r>
      <w:r>
        <w:rPr>
          <w:rFonts w:ascii="宋体" w:hAnsi="宋体" w:eastAsia="宋体" w:cs="宋体"/>
          <w:color w:val="auto"/>
          <w:spacing w:val="-7"/>
          <w:sz w:val="21"/>
          <w:szCs w:val="21"/>
          <w:highlight w:val="none"/>
        </w:rPr>
        <w:t>”）于</w:t>
      </w:r>
      <w:r>
        <w:rPr>
          <w:rFonts w:ascii="宋体" w:hAnsi="宋体" w:eastAsia="宋体" w:cs="宋体"/>
          <w:color w:val="auto"/>
          <w:spacing w:val="-9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9"/>
          <w:sz w:val="21"/>
          <w:szCs w:val="21"/>
          <w:highlight w:val="none"/>
        </w:rPr>
        <w:t>月</w:t>
      </w:r>
      <w:r>
        <w:rPr>
          <w:rFonts w:ascii="宋体" w:hAnsi="宋体" w:eastAsia="宋体" w:cs="宋体"/>
          <w:color w:val="auto"/>
          <w:spacing w:val="-10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9"/>
          <w:sz w:val="21"/>
          <w:szCs w:val="21"/>
          <w:highlight w:val="none"/>
        </w:rPr>
        <w:t>日签订了</w:t>
      </w:r>
      <w:r>
        <w:rPr>
          <w:rFonts w:ascii="宋体" w:hAnsi="宋体" w:eastAsia="宋体" w:cs="宋体"/>
          <w:color w:val="auto"/>
          <w:spacing w:val="-105"/>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
          <w:sz w:val="21"/>
          <w:szCs w:val="21"/>
          <w:highlight w:val="none"/>
        </w:rPr>
        <w:t xml:space="preserve"> （工程名称）《建设工程施工合同》（以下称“主合同</w:t>
      </w:r>
      <w:r>
        <w:rPr>
          <w:rFonts w:ascii="宋体" w:hAnsi="宋体" w:eastAsia="宋体" w:cs="宋体"/>
          <w:color w:val="auto"/>
          <w:spacing w:val="-81"/>
          <w:sz w:val="21"/>
          <w:szCs w:val="21"/>
          <w:highlight w:val="none"/>
        </w:rPr>
        <w:t xml:space="preserve"> </w:t>
      </w:r>
      <w:r>
        <w:rPr>
          <w:rFonts w:ascii="宋体" w:hAnsi="宋体" w:eastAsia="宋体" w:cs="宋体"/>
          <w:color w:val="auto"/>
          <w:spacing w:val="-9"/>
          <w:sz w:val="21"/>
          <w:szCs w:val="21"/>
          <w:highlight w:val="none"/>
        </w:rPr>
        <w:t>”</w:t>
      </w:r>
      <w:r>
        <w:rPr>
          <w:rFonts w:ascii="宋体" w:hAnsi="宋体" w:eastAsia="宋体" w:cs="宋体"/>
          <w:color w:val="auto"/>
          <w:spacing w:val="-37"/>
          <w:w w:val="68"/>
          <w:sz w:val="21"/>
          <w:szCs w:val="21"/>
          <w:highlight w:val="none"/>
        </w:rPr>
        <w:t>），</w:t>
      </w:r>
      <w:r>
        <w:rPr>
          <w:rFonts w:ascii="宋体" w:hAnsi="宋体" w:eastAsia="宋体" w:cs="宋体"/>
          <w:color w:val="auto"/>
          <w:spacing w:val="-9"/>
          <w:sz w:val="21"/>
          <w:szCs w:val="21"/>
          <w:highlight w:val="none"/>
        </w:rPr>
        <w:t>应</w:t>
      </w:r>
      <w:r>
        <w:rPr>
          <w:rFonts w:ascii="宋体" w:hAnsi="宋体" w:eastAsia="宋体" w:cs="宋体"/>
          <w:color w:val="auto"/>
          <w:sz w:val="21"/>
          <w:szCs w:val="21"/>
          <w:highlight w:val="none"/>
        </w:rPr>
        <w:t xml:space="preserve"> 发包人的申请，我方愿就发包人履行主合同约定的工程款支付义务</w:t>
      </w:r>
      <w:r>
        <w:rPr>
          <w:rFonts w:ascii="宋体" w:hAnsi="宋体" w:eastAsia="宋体" w:cs="宋体"/>
          <w:color w:val="auto"/>
          <w:spacing w:val="-1"/>
          <w:sz w:val="21"/>
          <w:szCs w:val="21"/>
          <w:highlight w:val="none"/>
        </w:rPr>
        <w:t>以保证的方式向你方提</w:t>
      </w:r>
    </w:p>
    <w:p w14:paraId="163B1CC4">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供如下担保：</w:t>
      </w:r>
    </w:p>
    <w:p w14:paraId="4AE1DC6C">
      <w:pPr>
        <w:spacing w:before="157" w:line="220" w:lineRule="auto"/>
        <w:ind w:left="444"/>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一、保证的范围及保证金额</w:t>
      </w:r>
    </w:p>
    <w:p w14:paraId="2B67BFC9">
      <w:pPr>
        <w:spacing w:before="9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 </w:t>
      </w:r>
      <w:r>
        <w:rPr>
          <w:rFonts w:ascii="宋体" w:hAnsi="宋体" w:eastAsia="宋体" w:cs="宋体"/>
          <w:color w:val="auto"/>
          <w:spacing w:val="-2"/>
          <w:sz w:val="21"/>
          <w:szCs w:val="21"/>
          <w:highlight w:val="none"/>
        </w:rPr>
        <w:t>我方的保证范围是主合同约定的工程款。</w:t>
      </w:r>
    </w:p>
    <w:p w14:paraId="5F78C958">
      <w:pPr>
        <w:spacing w:before="157" w:line="408"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2. </w:t>
      </w:r>
      <w:r>
        <w:rPr>
          <w:rFonts w:ascii="宋体" w:hAnsi="宋体" w:eastAsia="宋体" w:cs="宋体"/>
          <w:color w:val="auto"/>
          <w:position w:val="15"/>
          <w:sz w:val="21"/>
          <w:szCs w:val="21"/>
          <w:highlight w:val="none"/>
        </w:rPr>
        <w:t>本保函所称主合同约定的工程款是指主合同约定的除工程质量保证金以外的合</w:t>
      </w:r>
      <w:r>
        <w:rPr>
          <w:rFonts w:ascii="宋体" w:hAnsi="宋体" w:eastAsia="宋体" w:cs="宋体"/>
          <w:color w:val="auto"/>
          <w:spacing w:val="-1"/>
          <w:position w:val="15"/>
          <w:sz w:val="21"/>
          <w:szCs w:val="21"/>
          <w:highlight w:val="none"/>
        </w:rPr>
        <w:t>同价</w:t>
      </w:r>
    </w:p>
    <w:p w14:paraId="6A26B1B7">
      <w:pPr>
        <w:spacing w:line="222"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款。</w:t>
      </w:r>
    </w:p>
    <w:p w14:paraId="2F6D68ED">
      <w:pPr>
        <w:spacing w:before="160" w:line="35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我方保证的金额是主合同约定的工程款的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1"/>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，数额最高不超过人民币元（大</w:t>
      </w:r>
    </w:p>
    <w:p w14:paraId="40731C17">
      <w:pPr>
        <w:spacing w:before="1" w:line="222" w:lineRule="auto"/>
        <w:ind w:left="24"/>
        <w:rPr>
          <w:rFonts w:ascii="宋体" w:hAnsi="宋体" w:eastAsia="宋体" w:cs="宋体"/>
          <w:color w:val="auto"/>
          <w:sz w:val="21"/>
          <w:szCs w:val="21"/>
          <w:highlight w:val="none"/>
        </w:rPr>
      </w:pPr>
      <w:r>
        <w:rPr>
          <w:rFonts w:ascii="宋体" w:hAnsi="宋体" w:eastAsia="宋体" w:cs="宋体"/>
          <w:color w:val="auto"/>
          <w:spacing w:val="-42"/>
          <w:sz w:val="21"/>
          <w:szCs w:val="21"/>
          <w:highlight w:val="none"/>
        </w:rPr>
        <w:t>写</w:t>
      </w:r>
      <w:r>
        <w:rPr>
          <w:rFonts w:ascii="宋体" w:hAnsi="宋体" w:eastAsia="宋体" w:cs="宋体"/>
          <w:color w:val="auto"/>
          <w:spacing w:val="-26"/>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6"/>
          <w:sz w:val="21"/>
          <w:szCs w:val="21"/>
          <w:highlight w:val="none"/>
        </w:rPr>
        <w:t>）</w:t>
      </w:r>
      <w:r>
        <w:rPr>
          <w:rFonts w:ascii="宋体" w:hAnsi="宋体" w:eastAsia="宋体" w:cs="宋体"/>
          <w:color w:val="auto"/>
          <w:spacing w:val="-42"/>
          <w:sz w:val="21"/>
          <w:szCs w:val="21"/>
          <w:highlight w:val="none"/>
        </w:rPr>
        <w:t>。</w:t>
      </w:r>
    </w:p>
    <w:p w14:paraId="092B2650">
      <w:pPr>
        <w:spacing w:before="155" w:line="219" w:lineRule="auto"/>
        <w:ind w:left="444"/>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二、</w:t>
      </w:r>
      <w:r>
        <w:rPr>
          <w:rFonts w:ascii="黑体" w:hAnsi="黑体" w:eastAsia="黑体" w:cs="黑体"/>
          <w:color w:val="auto"/>
          <w:spacing w:val="-29"/>
          <w:sz w:val="21"/>
          <w:szCs w:val="21"/>
          <w:highlight w:val="none"/>
        </w:rPr>
        <w:t xml:space="preserve"> </w:t>
      </w:r>
      <w:r>
        <w:rPr>
          <w:rFonts w:ascii="黑体" w:hAnsi="黑体" w:eastAsia="黑体" w:cs="黑体"/>
          <w:color w:val="auto"/>
          <w:spacing w:val="-7"/>
          <w:sz w:val="21"/>
          <w:szCs w:val="21"/>
          <w:highlight w:val="none"/>
        </w:rPr>
        <w:t>保证的方式及保证期间</w:t>
      </w:r>
    </w:p>
    <w:p w14:paraId="5A55F900">
      <w:pPr>
        <w:spacing w:before="9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 </w:t>
      </w:r>
      <w:r>
        <w:rPr>
          <w:rFonts w:ascii="宋体" w:hAnsi="宋体" w:eastAsia="宋体" w:cs="宋体"/>
          <w:color w:val="auto"/>
          <w:spacing w:val="-3"/>
          <w:sz w:val="21"/>
          <w:szCs w:val="21"/>
          <w:highlight w:val="none"/>
        </w:rPr>
        <w:t>我方保证的方式为：连带责任保证。</w:t>
      </w:r>
    </w:p>
    <w:p w14:paraId="3129DA19">
      <w:pPr>
        <w:spacing w:before="157" w:line="35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我方保证的期间为：自本合同生效之日起至主合同约定的工程款支付</w:t>
      </w:r>
      <w:r>
        <w:rPr>
          <w:rFonts w:ascii="宋体" w:hAnsi="宋体" w:eastAsia="宋体" w:cs="宋体"/>
          <w:color w:val="auto"/>
          <w:spacing w:val="-1"/>
          <w:sz w:val="21"/>
          <w:szCs w:val="21"/>
          <w:highlight w:val="none"/>
        </w:rPr>
        <w:t>完毕之日后</w:t>
      </w:r>
      <w:r>
        <w:rPr>
          <w:rFonts w:ascii="宋体" w:hAnsi="宋体" w:eastAsia="宋体" w:cs="宋体"/>
          <w:color w:val="auto"/>
          <w:spacing w:val="-1"/>
          <w:sz w:val="21"/>
          <w:szCs w:val="21"/>
          <w:highlight w:val="none"/>
          <w:u w:val="single" w:color="auto"/>
        </w:rPr>
        <w:t xml:space="preserve">  </w:t>
      </w:r>
    </w:p>
    <w:p w14:paraId="5EA2159B">
      <w:pPr>
        <w:spacing w:line="220" w:lineRule="auto"/>
        <w:ind w:left="54"/>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日内。</w:t>
      </w:r>
    </w:p>
    <w:p w14:paraId="1F6FEFEB">
      <w:pPr>
        <w:spacing w:before="157" w:line="40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3. </w:t>
      </w:r>
      <w:r>
        <w:rPr>
          <w:rFonts w:ascii="宋体" w:hAnsi="宋体" w:eastAsia="宋体" w:cs="宋体"/>
          <w:color w:val="auto"/>
          <w:position w:val="15"/>
          <w:sz w:val="21"/>
          <w:szCs w:val="21"/>
          <w:highlight w:val="none"/>
        </w:rPr>
        <w:t>你方与发包人协议变更工程款支付日期的，经我方书面同意后，保证</w:t>
      </w:r>
      <w:r>
        <w:rPr>
          <w:rFonts w:ascii="宋体" w:hAnsi="宋体" w:eastAsia="宋体" w:cs="宋体"/>
          <w:color w:val="auto"/>
          <w:spacing w:val="-1"/>
          <w:position w:val="15"/>
          <w:sz w:val="21"/>
          <w:szCs w:val="21"/>
          <w:highlight w:val="none"/>
        </w:rPr>
        <w:t>期间按照变更</w:t>
      </w:r>
    </w:p>
    <w:p w14:paraId="718B973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后的支付日期做相应调整。</w:t>
      </w:r>
    </w:p>
    <w:p w14:paraId="6B8CA6E8">
      <w:pPr>
        <w:spacing w:before="158" w:line="219" w:lineRule="auto"/>
        <w:ind w:left="445"/>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三、</w:t>
      </w:r>
      <w:r>
        <w:rPr>
          <w:rFonts w:ascii="黑体" w:hAnsi="黑体" w:eastAsia="黑体" w:cs="黑体"/>
          <w:color w:val="auto"/>
          <w:spacing w:val="-36"/>
          <w:sz w:val="21"/>
          <w:szCs w:val="21"/>
          <w:highlight w:val="none"/>
        </w:rPr>
        <w:t xml:space="preserve"> </w:t>
      </w:r>
      <w:r>
        <w:rPr>
          <w:rFonts w:ascii="黑体" w:hAnsi="黑体" w:eastAsia="黑体" w:cs="黑体"/>
          <w:color w:val="auto"/>
          <w:spacing w:val="-7"/>
          <w:sz w:val="21"/>
          <w:szCs w:val="21"/>
          <w:highlight w:val="none"/>
        </w:rPr>
        <w:t>承担保证责任的形式</w:t>
      </w:r>
    </w:p>
    <w:p w14:paraId="70C94720">
      <w:pPr>
        <w:spacing w:before="96" w:line="413" w:lineRule="exact"/>
        <w:ind w:left="442"/>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我方承担保证责任的形式是代为支付。发包人未按主合同约定向你方</w:t>
      </w:r>
      <w:r>
        <w:rPr>
          <w:rFonts w:ascii="宋体" w:hAnsi="宋体" w:eastAsia="宋体" w:cs="宋体"/>
          <w:color w:val="auto"/>
          <w:spacing w:val="-1"/>
          <w:position w:val="15"/>
          <w:sz w:val="21"/>
          <w:szCs w:val="21"/>
          <w:highlight w:val="none"/>
        </w:rPr>
        <w:t>支付工程款的，</w:t>
      </w:r>
    </w:p>
    <w:p w14:paraId="193C0675">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由我方在保证金额内代为支付。</w:t>
      </w:r>
    </w:p>
    <w:p w14:paraId="34F82A5D">
      <w:pPr>
        <w:spacing w:before="156" w:line="221" w:lineRule="auto"/>
        <w:ind w:left="453"/>
        <w:rPr>
          <w:rFonts w:ascii="黑体" w:hAnsi="黑体" w:eastAsia="黑体" w:cs="黑体"/>
          <w:color w:val="auto"/>
          <w:sz w:val="21"/>
          <w:szCs w:val="21"/>
          <w:highlight w:val="none"/>
        </w:rPr>
      </w:pPr>
      <w:r>
        <w:rPr>
          <w:rFonts w:ascii="黑体" w:hAnsi="黑体" w:eastAsia="黑体" w:cs="黑体"/>
          <w:color w:val="auto"/>
          <w:spacing w:val="-12"/>
          <w:sz w:val="21"/>
          <w:szCs w:val="21"/>
          <w:highlight w:val="none"/>
        </w:rPr>
        <w:t>四、</w:t>
      </w:r>
      <w:r>
        <w:rPr>
          <w:rFonts w:ascii="黑体" w:hAnsi="黑体" w:eastAsia="黑体" w:cs="黑体"/>
          <w:color w:val="auto"/>
          <w:spacing w:val="-38"/>
          <w:sz w:val="21"/>
          <w:szCs w:val="21"/>
          <w:highlight w:val="none"/>
        </w:rPr>
        <w:t xml:space="preserve"> </w:t>
      </w:r>
      <w:r>
        <w:rPr>
          <w:rFonts w:ascii="黑体" w:hAnsi="黑体" w:eastAsia="黑体" w:cs="黑体"/>
          <w:color w:val="auto"/>
          <w:spacing w:val="-12"/>
          <w:sz w:val="21"/>
          <w:szCs w:val="21"/>
          <w:highlight w:val="none"/>
        </w:rPr>
        <w:t>代偿的安排</w:t>
      </w:r>
    </w:p>
    <w:p w14:paraId="3F6D6019">
      <w:pPr>
        <w:spacing w:before="95" w:line="40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1. </w:t>
      </w:r>
      <w:r>
        <w:rPr>
          <w:rFonts w:ascii="宋体" w:hAnsi="宋体" w:eastAsia="宋体" w:cs="宋体"/>
          <w:color w:val="auto"/>
          <w:spacing w:val="-1"/>
          <w:position w:val="15"/>
          <w:sz w:val="21"/>
          <w:szCs w:val="21"/>
          <w:highlight w:val="none"/>
        </w:rPr>
        <w:t>你方要求我方承担保证责任的，应向我方发出书面索赔通知及发包人未支付主合同</w:t>
      </w:r>
    </w:p>
    <w:p w14:paraId="0949C302">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约定工程款的证明材料。索赔通知应写明要求索赔的金额，支</w:t>
      </w:r>
      <w:r>
        <w:rPr>
          <w:rFonts w:ascii="宋体" w:hAnsi="宋体" w:eastAsia="宋体" w:cs="宋体"/>
          <w:color w:val="auto"/>
          <w:spacing w:val="-1"/>
          <w:sz w:val="21"/>
          <w:szCs w:val="21"/>
          <w:highlight w:val="none"/>
        </w:rPr>
        <w:t>付款项应到达的账号。</w:t>
      </w:r>
    </w:p>
    <w:p w14:paraId="0CB7EAB5">
      <w:pPr>
        <w:spacing w:before="15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在出现你方与发包人因工程质量发生争议，发包人拒绝向你方支付工程款的</w:t>
      </w:r>
      <w:r>
        <w:rPr>
          <w:rFonts w:ascii="宋体" w:hAnsi="宋体" w:eastAsia="宋体" w:cs="宋体"/>
          <w:color w:val="auto"/>
          <w:spacing w:val="-1"/>
          <w:sz w:val="21"/>
          <w:szCs w:val="21"/>
          <w:highlight w:val="none"/>
        </w:rPr>
        <w:t>情形</w:t>
      </w:r>
    </w:p>
    <w:p w14:paraId="2BB77D31">
      <w:pPr>
        <w:spacing w:before="157" w:line="408" w:lineRule="exact"/>
        <w:ind w:left="28"/>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时，你方要求我方履行保证责任代为支付的，需提供</w:t>
      </w:r>
      <w:r>
        <w:rPr>
          <w:rFonts w:ascii="宋体" w:hAnsi="宋体" w:eastAsia="宋体" w:cs="宋体"/>
          <w:color w:val="auto"/>
          <w:spacing w:val="-1"/>
          <w:position w:val="14"/>
          <w:sz w:val="21"/>
          <w:szCs w:val="21"/>
          <w:highlight w:val="none"/>
        </w:rPr>
        <w:t>符合相应条件要求的工程质量检测机</w:t>
      </w:r>
    </w:p>
    <w:p w14:paraId="1B2A30B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构出具的质量说明材料。</w:t>
      </w:r>
    </w:p>
    <w:p w14:paraId="607D1410">
      <w:pPr>
        <w:spacing w:before="158"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我方收到你方的书面索赔通知及相应的证明材料后7天内无条件支付。</w:t>
      </w:r>
    </w:p>
    <w:p w14:paraId="470BFA5C">
      <w:pPr>
        <w:spacing w:before="158" w:line="219" w:lineRule="auto"/>
        <w:ind w:left="446"/>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五、保证责任的解除</w:t>
      </w:r>
    </w:p>
    <w:p w14:paraId="0FEA0F26">
      <w:pPr>
        <w:spacing w:before="101" w:line="40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1. </w:t>
      </w:r>
      <w:r>
        <w:rPr>
          <w:rFonts w:ascii="宋体" w:hAnsi="宋体" w:eastAsia="宋体" w:cs="宋体"/>
          <w:color w:val="auto"/>
          <w:spacing w:val="-1"/>
          <w:position w:val="15"/>
          <w:sz w:val="21"/>
          <w:szCs w:val="21"/>
          <w:highlight w:val="none"/>
        </w:rPr>
        <w:t>在本保函承诺的保证期间内，你方未书面向我方主张保证责任的，自保证期间届满</w:t>
      </w:r>
    </w:p>
    <w:p w14:paraId="26253889">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次日起，我方保证责任解除。</w:t>
      </w:r>
    </w:p>
    <w:p w14:paraId="1C32BBD6">
      <w:pPr>
        <w:spacing w:before="157"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发包人按主合同约定履行了工程款的全部支付义务的，自本保函承诺的保证期</w:t>
      </w:r>
      <w:r>
        <w:rPr>
          <w:rFonts w:ascii="宋体" w:hAnsi="宋体" w:eastAsia="宋体" w:cs="宋体"/>
          <w:color w:val="auto"/>
          <w:spacing w:val="-1"/>
          <w:sz w:val="21"/>
          <w:szCs w:val="21"/>
          <w:highlight w:val="none"/>
        </w:rPr>
        <w:t>间届</w:t>
      </w:r>
    </w:p>
    <w:p w14:paraId="324BD342">
      <w:pPr>
        <w:spacing w:line="220" w:lineRule="auto"/>
        <w:rPr>
          <w:rFonts w:ascii="宋体" w:hAnsi="宋体" w:eastAsia="宋体" w:cs="宋体"/>
          <w:color w:val="auto"/>
          <w:sz w:val="21"/>
          <w:szCs w:val="21"/>
          <w:highlight w:val="none"/>
        </w:rPr>
        <w:sectPr>
          <w:footerReference r:id="rId168" w:type="default"/>
          <w:pgSz w:w="11905" w:h="16839"/>
          <w:pgMar w:top="400" w:right="1785" w:bottom="1004" w:left="1785" w:header="0" w:footer="828" w:gutter="0"/>
          <w:pgNumType w:fmt="decimal"/>
          <w:cols w:space="720" w:num="1"/>
        </w:sectPr>
      </w:pPr>
    </w:p>
    <w:p w14:paraId="35CBCEAD">
      <w:pPr>
        <w:pStyle w:val="3"/>
        <w:spacing w:line="248" w:lineRule="auto"/>
        <w:rPr>
          <w:color w:val="auto"/>
          <w:highlight w:val="none"/>
        </w:rPr>
      </w:pPr>
    </w:p>
    <w:p w14:paraId="68495599">
      <w:pPr>
        <w:pStyle w:val="3"/>
        <w:spacing w:line="249" w:lineRule="auto"/>
        <w:rPr>
          <w:color w:val="auto"/>
          <w:highlight w:val="none"/>
        </w:rPr>
      </w:pPr>
    </w:p>
    <w:p w14:paraId="32FE5D96">
      <w:pPr>
        <w:pStyle w:val="3"/>
        <w:spacing w:line="249" w:lineRule="auto"/>
        <w:rPr>
          <w:color w:val="auto"/>
          <w:highlight w:val="none"/>
        </w:rPr>
      </w:pPr>
    </w:p>
    <w:p w14:paraId="492B99A4">
      <w:pPr>
        <w:pStyle w:val="3"/>
        <w:spacing w:line="249" w:lineRule="auto"/>
        <w:rPr>
          <w:color w:val="auto"/>
          <w:highlight w:val="none"/>
        </w:rPr>
      </w:pPr>
    </w:p>
    <w:p w14:paraId="2790E9EC">
      <w:pPr>
        <w:spacing w:before="68" w:line="221" w:lineRule="auto"/>
        <w:ind w:left="18"/>
        <w:rPr>
          <w:rFonts w:ascii="宋体" w:hAnsi="宋体" w:eastAsia="宋体" w:cs="宋体"/>
          <w:color w:val="auto"/>
          <w:sz w:val="21"/>
          <w:szCs w:val="21"/>
          <w:highlight w:val="none"/>
        </w:rPr>
      </w:pPr>
      <w:bookmarkStart w:id="1287" w:name="bookmark233"/>
      <w:bookmarkEnd w:id="1287"/>
      <w:r>
        <w:rPr>
          <w:rFonts w:ascii="宋体" w:hAnsi="宋体" w:eastAsia="宋体" w:cs="宋体"/>
          <w:color w:val="auto"/>
          <w:spacing w:val="-12"/>
          <w:sz w:val="21"/>
          <w:szCs w:val="21"/>
          <w:highlight w:val="none"/>
        </w:rPr>
        <w:t>满次日起，</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我方保证责任解除。</w:t>
      </w:r>
    </w:p>
    <w:p w14:paraId="31204135">
      <w:pPr>
        <w:spacing w:before="157" w:line="40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3. </w:t>
      </w:r>
      <w:r>
        <w:rPr>
          <w:rFonts w:ascii="宋体" w:hAnsi="宋体" w:eastAsia="宋体" w:cs="宋体"/>
          <w:color w:val="auto"/>
          <w:position w:val="15"/>
          <w:sz w:val="21"/>
          <w:szCs w:val="21"/>
          <w:highlight w:val="none"/>
        </w:rPr>
        <w:t>我方按照本保函向你方履行保证责任所支付金额达到本保函保</w:t>
      </w:r>
      <w:r>
        <w:rPr>
          <w:rFonts w:ascii="宋体" w:hAnsi="宋体" w:eastAsia="宋体" w:cs="宋体"/>
          <w:color w:val="auto"/>
          <w:spacing w:val="-1"/>
          <w:position w:val="15"/>
          <w:sz w:val="21"/>
          <w:szCs w:val="21"/>
          <w:highlight w:val="none"/>
        </w:rPr>
        <w:t>证金额时，自我方向</w:t>
      </w:r>
    </w:p>
    <w:p w14:paraId="1F96757E">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你方支付（支付款项从我方账户划出） 之日起， 保证责任即解除。</w:t>
      </w:r>
    </w:p>
    <w:p w14:paraId="017E5340">
      <w:pPr>
        <w:spacing w:before="157" w:line="408" w:lineRule="exact"/>
        <w:ind w:left="436"/>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4. </w:t>
      </w:r>
      <w:r>
        <w:rPr>
          <w:rFonts w:ascii="宋体" w:hAnsi="宋体" w:eastAsia="宋体" w:cs="宋体"/>
          <w:color w:val="auto"/>
          <w:position w:val="15"/>
          <w:sz w:val="21"/>
          <w:szCs w:val="21"/>
          <w:highlight w:val="none"/>
        </w:rPr>
        <w:t>按照法律法规的规定或出现应解除我方保证责任的其他情形的，我方在本保函项下</w:t>
      </w:r>
    </w:p>
    <w:p w14:paraId="1C5AC8ED">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的保证责任亦解除。</w:t>
      </w:r>
    </w:p>
    <w:p w14:paraId="3D6035A1">
      <w:pPr>
        <w:pStyle w:val="3"/>
        <w:spacing w:line="450" w:lineRule="auto"/>
        <w:rPr>
          <w:color w:val="auto"/>
          <w:highlight w:val="none"/>
        </w:rPr>
      </w:pPr>
    </w:p>
    <w:p w14:paraId="5642A014">
      <w:pPr>
        <w:spacing w:before="69" w:line="409" w:lineRule="exact"/>
        <w:ind w:right="21"/>
        <w:jc w:val="right"/>
        <w:rPr>
          <w:color w:val="auto"/>
          <w:sz w:val="21"/>
          <w:szCs w:val="21"/>
          <w:highlight w:val="none"/>
        </w:rPr>
      </w:pPr>
      <w:r>
        <w:rPr>
          <w:rFonts w:ascii="Times New Roman" w:hAnsi="Times New Roman" w:eastAsia="Times New Roman" w:cs="Times New Roman"/>
          <w:color w:val="auto"/>
          <w:spacing w:val="-3"/>
          <w:position w:val="15"/>
          <w:sz w:val="21"/>
          <w:szCs w:val="21"/>
          <w:highlight w:val="none"/>
        </w:rPr>
        <w:t xml:space="preserve">5. </w:t>
      </w:r>
      <w:r>
        <w:rPr>
          <w:rFonts w:ascii="宋体" w:hAnsi="宋体" w:eastAsia="宋体" w:cs="宋体"/>
          <w:color w:val="auto"/>
          <w:spacing w:val="-3"/>
          <w:position w:val="15"/>
          <w:sz w:val="21"/>
          <w:szCs w:val="21"/>
          <w:highlight w:val="none"/>
        </w:rPr>
        <w:t>我方解除保证责任后，你方应自我方保证责任解除之日起 个工作日内， 将本保函原</w:t>
      </w:r>
      <w:r>
        <w:rPr>
          <w:color w:val="auto"/>
          <w:position w:val="12"/>
          <w:sz w:val="21"/>
          <w:szCs w:val="21"/>
          <w:highlight w:val="none"/>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56"/>
                    <a:stretch>
                      <a:fillRect/>
                    </a:stretch>
                  </pic:blipFill>
                  <pic:spPr>
                    <a:xfrm>
                      <a:off x="0" y="0"/>
                      <a:ext cx="0" cy="6095"/>
                    </a:xfrm>
                    <a:prstGeom prst="rect">
                      <a:avLst/>
                    </a:prstGeom>
                  </pic:spPr>
                </pic:pic>
              </a:graphicData>
            </a:graphic>
          </wp:inline>
        </w:drawing>
      </w:r>
    </w:p>
    <w:p w14:paraId="7C783353">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件返还我方。</w:t>
      </w:r>
    </w:p>
    <w:p w14:paraId="48CA274D">
      <w:pPr>
        <w:spacing w:before="158" w:line="219" w:lineRule="auto"/>
        <w:ind w:left="447"/>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六、</w:t>
      </w:r>
      <w:r>
        <w:rPr>
          <w:rFonts w:ascii="黑体" w:hAnsi="黑体" w:eastAsia="黑体" w:cs="黑体"/>
          <w:color w:val="auto"/>
          <w:spacing w:val="-33"/>
          <w:sz w:val="21"/>
          <w:szCs w:val="21"/>
          <w:highlight w:val="none"/>
        </w:rPr>
        <w:t xml:space="preserve"> </w:t>
      </w:r>
      <w:r>
        <w:rPr>
          <w:rFonts w:ascii="黑体" w:hAnsi="黑体" w:eastAsia="黑体" w:cs="黑体"/>
          <w:color w:val="auto"/>
          <w:spacing w:val="-14"/>
          <w:sz w:val="21"/>
          <w:szCs w:val="21"/>
          <w:highlight w:val="none"/>
        </w:rPr>
        <w:t>免责条款</w:t>
      </w:r>
    </w:p>
    <w:p w14:paraId="201C6E3E">
      <w:pPr>
        <w:spacing w:before="95"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Times New Roman" w:hAnsi="Times New Roman" w:eastAsia="Times New Roman" w:cs="Times New Roman"/>
          <w:color w:val="auto"/>
          <w:spacing w:val="38"/>
          <w:w w:val="101"/>
          <w:sz w:val="21"/>
          <w:szCs w:val="21"/>
          <w:highlight w:val="none"/>
        </w:rPr>
        <w:t xml:space="preserve"> </w:t>
      </w:r>
      <w:r>
        <w:rPr>
          <w:rFonts w:ascii="宋体" w:hAnsi="宋体" w:eastAsia="宋体" w:cs="宋体"/>
          <w:color w:val="auto"/>
          <w:spacing w:val="-2"/>
          <w:sz w:val="21"/>
          <w:szCs w:val="21"/>
          <w:highlight w:val="none"/>
        </w:rPr>
        <w:t>因你方违约致使发包人不能履行义务的，我方不承担保证责任。</w:t>
      </w:r>
    </w:p>
    <w:p w14:paraId="1BAD7C65">
      <w:pPr>
        <w:spacing w:before="158" w:line="412"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5"/>
          <w:sz w:val="21"/>
          <w:szCs w:val="21"/>
          <w:highlight w:val="none"/>
        </w:rPr>
        <w:t xml:space="preserve">2. </w:t>
      </w:r>
      <w:r>
        <w:rPr>
          <w:rFonts w:ascii="宋体" w:hAnsi="宋体" w:eastAsia="宋体" w:cs="宋体"/>
          <w:color w:val="auto"/>
          <w:spacing w:val="-2"/>
          <w:position w:val="15"/>
          <w:sz w:val="21"/>
          <w:szCs w:val="21"/>
          <w:highlight w:val="none"/>
        </w:rPr>
        <w:t>依照法律法规的规定或你方与发包人的另行约定，</w:t>
      </w:r>
      <w:r>
        <w:rPr>
          <w:rFonts w:ascii="宋体" w:hAnsi="宋体" w:eastAsia="宋体" w:cs="宋体"/>
          <w:color w:val="auto"/>
          <w:spacing w:val="-22"/>
          <w:position w:val="15"/>
          <w:sz w:val="21"/>
          <w:szCs w:val="21"/>
          <w:highlight w:val="none"/>
        </w:rPr>
        <w:t xml:space="preserve"> </w:t>
      </w:r>
      <w:r>
        <w:rPr>
          <w:rFonts w:ascii="宋体" w:hAnsi="宋体" w:eastAsia="宋体" w:cs="宋体"/>
          <w:color w:val="auto"/>
          <w:spacing w:val="-2"/>
          <w:position w:val="15"/>
          <w:sz w:val="21"/>
          <w:szCs w:val="21"/>
          <w:highlight w:val="none"/>
        </w:rPr>
        <w:t>免除发包人部分</w:t>
      </w:r>
      <w:r>
        <w:rPr>
          <w:rFonts w:ascii="宋体" w:hAnsi="宋体" w:eastAsia="宋体" w:cs="宋体"/>
          <w:color w:val="auto"/>
          <w:spacing w:val="-3"/>
          <w:position w:val="15"/>
          <w:sz w:val="21"/>
          <w:szCs w:val="21"/>
          <w:highlight w:val="none"/>
        </w:rPr>
        <w:t>或全部义务的，</w:t>
      </w:r>
    </w:p>
    <w:p w14:paraId="06F762D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我方亦免除其相应的保证责任。</w:t>
      </w:r>
    </w:p>
    <w:p w14:paraId="03A61A53">
      <w:pPr>
        <w:spacing w:before="157" w:line="359" w:lineRule="auto"/>
        <w:ind w:left="20" w:right="29"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3. </w:t>
      </w:r>
      <w:r>
        <w:rPr>
          <w:rFonts w:ascii="宋体" w:hAnsi="宋体" w:eastAsia="宋体" w:cs="宋体"/>
          <w:color w:val="auto"/>
          <w:spacing w:val="-4"/>
          <w:sz w:val="21"/>
          <w:szCs w:val="21"/>
          <w:highlight w:val="none"/>
        </w:rPr>
        <w:t>你方与发包人协议变更主合同的，如加重发包人责任致使我方保证责任加重的，</w:t>
      </w:r>
      <w:r>
        <w:rPr>
          <w:rFonts w:ascii="宋体" w:hAnsi="宋体" w:eastAsia="宋体" w:cs="宋体"/>
          <w:color w:val="auto"/>
          <w:spacing w:val="42"/>
          <w:sz w:val="21"/>
          <w:szCs w:val="21"/>
          <w:highlight w:val="none"/>
        </w:rPr>
        <w:t xml:space="preserve"> </w:t>
      </w:r>
      <w:r>
        <w:rPr>
          <w:rFonts w:ascii="宋体" w:hAnsi="宋体" w:eastAsia="宋体" w:cs="宋体"/>
          <w:color w:val="auto"/>
          <w:spacing w:val="-4"/>
          <w:sz w:val="21"/>
          <w:szCs w:val="21"/>
          <w:highlight w:val="none"/>
        </w:rPr>
        <w:t>需</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征得我方书面同意， 否则我方不再承担因此</w:t>
      </w:r>
      <w:r>
        <w:rPr>
          <w:rFonts w:ascii="宋体" w:hAnsi="宋体" w:eastAsia="宋体" w:cs="宋体"/>
          <w:color w:val="auto"/>
          <w:spacing w:val="-4"/>
          <w:sz w:val="21"/>
          <w:szCs w:val="21"/>
          <w:highlight w:val="none"/>
        </w:rPr>
        <w:t>而加重部分的保证责任，但主合同第</w:t>
      </w:r>
      <w:r>
        <w:rPr>
          <w:rFonts w:ascii="宋体" w:hAnsi="宋体" w:eastAsia="宋体" w:cs="宋体"/>
          <w:color w:val="auto"/>
          <w:spacing w:val="-2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10 </w:t>
      </w:r>
      <w:r>
        <w:rPr>
          <w:rFonts w:ascii="宋体" w:hAnsi="宋体" w:eastAsia="宋体" w:cs="宋体"/>
          <w:color w:val="auto"/>
          <w:spacing w:val="-4"/>
          <w:sz w:val="21"/>
          <w:szCs w:val="21"/>
          <w:highlight w:val="none"/>
        </w:rPr>
        <w:t>条〔变</w:t>
      </w:r>
    </w:p>
    <w:p w14:paraId="5528DA0F">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更〕约定的变更不受本款限制。</w:t>
      </w:r>
    </w:p>
    <w:p w14:paraId="6ACEE29C">
      <w:pPr>
        <w:spacing w:before="15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4.</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1"/>
          <w:sz w:val="21"/>
          <w:szCs w:val="21"/>
          <w:highlight w:val="none"/>
        </w:rPr>
        <w:t>因不可抗力造成发包人不能履行义务的，我方不承担保证责任。</w:t>
      </w:r>
    </w:p>
    <w:p w14:paraId="3444C2A9">
      <w:pPr>
        <w:spacing w:before="158" w:line="220" w:lineRule="auto"/>
        <w:ind w:left="440"/>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七、</w:t>
      </w:r>
      <w:r>
        <w:rPr>
          <w:rFonts w:ascii="黑体" w:hAnsi="黑体" w:eastAsia="黑体" w:cs="黑体"/>
          <w:color w:val="auto"/>
          <w:spacing w:val="-26"/>
          <w:sz w:val="21"/>
          <w:szCs w:val="21"/>
          <w:highlight w:val="none"/>
        </w:rPr>
        <w:t xml:space="preserve"> </w:t>
      </w:r>
      <w:r>
        <w:rPr>
          <w:rFonts w:ascii="黑体" w:hAnsi="黑体" w:eastAsia="黑体" w:cs="黑体"/>
          <w:color w:val="auto"/>
          <w:spacing w:val="-14"/>
          <w:sz w:val="21"/>
          <w:szCs w:val="21"/>
          <w:highlight w:val="none"/>
        </w:rPr>
        <w:t>争议解决</w:t>
      </w:r>
    </w:p>
    <w:p w14:paraId="282733F4">
      <w:pPr>
        <w:spacing w:before="95"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因本保函或本保函相关事项发生的纠纷， 可由双方协商解决，协商不成的， 按下列第</w:t>
      </w:r>
    </w:p>
    <w:p w14:paraId="241314F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种方式解决：</w:t>
      </w:r>
    </w:p>
    <w:p w14:paraId="6C7EC3FB">
      <w:pPr>
        <w:spacing w:before="277" w:line="359"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）向</w:t>
      </w:r>
      <w:r>
        <w:rPr>
          <w:rFonts w:ascii="宋体" w:hAnsi="宋体" w:eastAsia="宋体" w:cs="宋体"/>
          <w:color w:val="auto"/>
          <w:spacing w:val="-7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8"/>
          <w:sz w:val="21"/>
          <w:szCs w:val="21"/>
          <w:highlight w:val="none"/>
        </w:rPr>
        <w:t xml:space="preserve"> </w:t>
      </w:r>
      <w:r>
        <w:rPr>
          <w:rFonts w:ascii="宋体" w:hAnsi="宋体" w:eastAsia="宋体" w:cs="宋体"/>
          <w:color w:val="auto"/>
          <w:spacing w:val="-5"/>
          <w:sz w:val="21"/>
          <w:szCs w:val="21"/>
          <w:highlight w:val="none"/>
        </w:rPr>
        <w:t>仲裁委员会申请仲裁；</w:t>
      </w:r>
    </w:p>
    <w:p w14:paraId="264B22FD">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）向</w:t>
      </w:r>
      <w:r>
        <w:rPr>
          <w:rFonts w:ascii="宋体" w:hAnsi="宋体" w:eastAsia="宋体" w:cs="宋体"/>
          <w:color w:val="auto"/>
          <w:spacing w:val="-78"/>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人民法院起诉。</w:t>
      </w:r>
    </w:p>
    <w:p w14:paraId="7CCD5278">
      <w:pPr>
        <w:spacing w:before="162" w:line="219" w:lineRule="auto"/>
        <w:ind w:left="441"/>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八、保函的生效</w:t>
      </w:r>
    </w:p>
    <w:p w14:paraId="337BFC06">
      <w:pPr>
        <w:spacing w:before="96"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本保函自我方法定代表人（或其授权代理人）签字并加盖公章</w:t>
      </w:r>
      <w:r>
        <w:rPr>
          <w:rFonts w:ascii="宋体" w:hAnsi="宋体" w:eastAsia="宋体" w:cs="宋体"/>
          <w:color w:val="auto"/>
          <w:spacing w:val="-1"/>
          <w:sz w:val="21"/>
          <w:szCs w:val="21"/>
          <w:highlight w:val="none"/>
        </w:rPr>
        <w:t>之日起生效。</w:t>
      </w:r>
    </w:p>
    <w:p w14:paraId="42621688">
      <w:pPr>
        <w:pStyle w:val="3"/>
        <w:spacing w:line="284" w:lineRule="auto"/>
        <w:rPr>
          <w:color w:val="auto"/>
          <w:highlight w:val="none"/>
        </w:rPr>
      </w:pPr>
    </w:p>
    <w:p w14:paraId="5034273D">
      <w:pPr>
        <w:pStyle w:val="3"/>
        <w:spacing w:line="284" w:lineRule="auto"/>
        <w:rPr>
          <w:color w:val="auto"/>
          <w:highlight w:val="none"/>
        </w:rPr>
      </w:pPr>
    </w:p>
    <w:p w14:paraId="7F5C42F3">
      <w:pPr>
        <w:pStyle w:val="3"/>
        <w:spacing w:line="284" w:lineRule="auto"/>
        <w:rPr>
          <w:color w:val="auto"/>
          <w:highlight w:val="none"/>
        </w:rPr>
      </w:pPr>
    </w:p>
    <w:p w14:paraId="1BD1E352">
      <w:pPr>
        <w:spacing w:before="69" w:line="220" w:lineRule="auto"/>
        <w:ind w:left="2646"/>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担保人</w:t>
      </w:r>
      <w:r>
        <w:rPr>
          <w:rFonts w:ascii="宋体" w:hAnsi="宋体" w:eastAsia="宋体" w:cs="宋体"/>
          <w:color w:val="auto"/>
          <w:spacing w:val="-13"/>
          <w:sz w:val="21"/>
          <w:szCs w:val="21"/>
          <w:highlight w:val="none"/>
        </w:rPr>
        <w:t>：</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6"/>
          <w:sz w:val="21"/>
          <w:szCs w:val="21"/>
          <w:highlight w:val="none"/>
        </w:rPr>
        <w:t>盖章）</w:t>
      </w:r>
    </w:p>
    <w:p w14:paraId="53569430">
      <w:pPr>
        <w:spacing w:before="157" w:line="221" w:lineRule="auto"/>
        <w:ind w:left="2646"/>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法定代表人或委托代理人</w:t>
      </w:r>
      <w:r>
        <w:rPr>
          <w:rFonts w:ascii="宋体" w:hAnsi="宋体" w:eastAsia="宋体" w:cs="宋体"/>
          <w:color w:val="auto"/>
          <w:spacing w:val="4"/>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13"/>
          <w:sz w:val="21"/>
          <w:szCs w:val="21"/>
          <w:highlight w:val="none"/>
        </w:rPr>
        <w:t>签字）</w:t>
      </w:r>
    </w:p>
    <w:p w14:paraId="33E530DD">
      <w:pPr>
        <w:spacing w:before="162" w:line="230" w:lineRule="auto"/>
        <w:ind w:left="2645"/>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2731CAE4">
      <w:pPr>
        <w:spacing w:before="146" w:line="221" w:lineRule="auto"/>
        <w:ind w:left="2661"/>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u w:val="single" w:color="auto"/>
        </w:rPr>
        <w:t xml:space="preserve">                                        </w:t>
      </w:r>
    </w:p>
    <w:p w14:paraId="73D0E184">
      <w:pPr>
        <w:spacing w:before="157" w:line="220" w:lineRule="auto"/>
        <w:ind w:left="2643"/>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0EDAF90">
      <w:pPr>
        <w:pStyle w:val="3"/>
        <w:spacing w:line="247" w:lineRule="auto"/>
        <w:rPr>
          <w:color w:val="auto"/>
          <w:highlight w:val="none"/>
        </w:rPr>
      </w:pPr>
    </w:p>
    <w:p w14:paraId="3B6F35B0">
      <w:pPr>
        <w:pStyle w:val="3"/>
        <w:spacing w:line="247" w:lineRule="auto"/>
        <w:rPr>
          <w:color w:val="auto"/>
          <w:highlight w:val="none"/>
        </w:rPr>
      </w:pPr>
    </w:p>
    <w:p w14:paraId="03C5B7E4">
      <w:pPr>
        <w:tabs>
          <w:tab w:val="left" w:pos="5580"/>
        </w:tabs>
        <w:spacing w:before="69" w:line="221" w:lineRule="auto"/>
        <w:ind w:left="40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7"/>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57"/>
          <w:sz w:val="21"/>
          <w:szCs w:val="21"/>
          <w:highlight w:val="none"/>
        </w:rPr>
        <w:t xml:space="preserve"> </w:t>
      </w:r>
      <w:r>
        <w:rPr>
          <w:rFonts w:ascii="宋体" w:hAnsi="宋体" w:eastAsia="宋体" w:cs="宋体"/>
          <w:color w:val="auto"/>
          <w:spacing w:val="-7"/>
          <w:sz w:val="21"/>
          <w:szCs w:val="21"/>
          <w:highlight w:val="none"/>
        </w:rPr>
        <w:t>日</w:t>
      </w:r>
    </w:p>
    <w:p w14:paraId="445D8AF9">
      <w:pPr>
        <w:spacing w:line="221" w:lineRule="auto"/>
        <w:rPr>
          <w:rFonts w:ascii="宋体" w:hAnsi="宋体" w:eastAsia="宋体" w:cs="宋体"/>
          <w:color w:val="auto"/>
          <w:sz w:val="21"/>
          <w:szCs w:val="21"/>
          <w:highlight w:val="none"/>
        </w:rPr>
        <w:sectPr>
          <w:footerReference r:id="rId169" w:type="default"/>
          <w:pgSz w:w="11905" w:h="16839"/>
          <w:pgMar w:top="400" w:right="1785" w:bottom="1004" w:left="1785" w:header="0" w:footer="828" w:gutter="0"/>
          <w:pgNumType w:fmt="decimal"/>
          <w:cols w:space="720" w:num="1"/>
        </w:sectPr>
      </w:pPr>
    </w:p>
    <w:p w14:paraId="36C1CEDB">
      <w:pPr>
        <w:pStyle w:val="3"/>
        <w:spacing w:line="276" w:lineRule="auto"/>
        <w:rPr>
          <w:color w:val="auto"/>
          <w:highlight w:val="none"/>
        </w:rPr>
      </w:pPr>
    </w:p>
    <w:p w14:paraId="62D77E4E">
      <w:pPr>
        <w:pStyle w:val="3"/>
        <w:spacing w:line="276" w:lineRule="auto"/>
        <w:rPr>
          <w:color w:val="auto"/>
          <w:highlight w:val="none"/>
        </w:rPr>
      </w:pPr>
    </w:p>
    <w:p w14:paraId="69463B2A">
      <w:pPr>
        <w:pStyle w:val="3"/>
        <w:spacing w:line="276" w:lineRule="auto"/>
        <w:rPr>
          <w:color w:val="auto"/>
          <w:highlight w:val="none"/>
        </w:rPr>
      </w:pPr>
    </w:p>
    <w:p w14:paraId="26F40750">
      <w:pPr>
        <w:pStyle w:val="3"/>
        <w:spacing w:line="276" w:lineRule="auto"/>
        <w:rPr>
          <w:color w:val="auto"/>
          <w:highlight w:val="none"/>
        </w:rPr>
      </w:pPr>
    </w:p>
    <w:p w14:paraId="0BED0902">
      <w:pPr>
        <w:spacing w:before="78" w:line="219" w:lineRule="auto"/>
        <w:ind w:left="143"/>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附件</w:t>
      </w:r>
      <w:r>
        <w:rPr>
          <w:rFonts w:ascii="宋体" w:hAnsi="宋体" w:eastAsia="宋体" w:cs="宋体"/>
          <w:color w:val="auto"/>
          <w:spacing w:val="-31"/>
          <w:sz w:val="24"/>
          <w:szCs w:val="24"/>
          <w:highlight w:val="none"/>
        </w:rPr>
        <w:t xml:space="preserve"> </w:t>
      </w:r>
      <w:r>
        <w:rPr>
          <w:rFonts w:ascii="Times New Roman" w:hAnsi="Times New Roman" w:eastAsia="Times New Roman" w:cs="Times New Roman"/>
          <w:color w:val="auto"/>
          <w:spacing w:val="-14"/>
          <w:sz w:val="24"/>
          <w:szCs w:val="24"/>
          <w:highlight w:val="none"/>
        </w:rPr>
        <w:t>11</w:t>
      </w:r>
      <w:r>
        <w:rPr>
          <w:rFonts w:ascii="宋体" w:hAnsi="宋体" w:eastAsia="宋体" w:cs="宋体"/>
          <w:color w:val="auto"/>
          <w:spacing w:val="-14"/>
          <w:sz w:val="24"/>
          <w:szCs w:val="24"/>
          <w:highlight w:val="none"/>
        </w:rPr>
        <w:t>：</w:t>
      </w:r>
    </w:p>
    <w:p w14:paraId="4098D095">
      <w:pPr>
        <w:spacing w:before="243" w:line="225" w:lineRule="auto"/>
        <w:ind w:left="3072"/>
        <w:rPr>
          <w:rFonts w:ascii="黑体" w:hAnsi="黑体" w:eastAsia="黑体" w:cs="黑体"/>
          <w:color w:val="auto"/>
          <w:sz w:val="27"/>
          <w:szCs w:val="27"/>
          <w:highlight w:val="none"/>
        </w:rPr>
      </w:pPr>
      <w:bookmarkStart w:id="1288" w:name="bookmark234"/>
      <w:bookmarkEnd w:id="1288"/>
      <w:r>
        <w:rPr>
          <w:rFonts w:ascii="Times New Roman" w:hAnsi="Times New Roman" w:eastAsia="Times New Roman" w:cs="Times New Roman"/>
          <w:color w:val="auto"/>
          <w:spacing w:val="-1"/>
          <w:sz w:val="27"/>
          <w:szCs w:val="27"/>
          <w:highlight w:val="none"/>
        </w:rPr>
        <w:t>11-</w:t>
      </w:r>
      <w:r>
        <w:rPr>
          <w:rFonts w:ascii="Times New Roman" w:hAnsi="Times New Roman" w:eastAsia="Times New Roman" w:cs="Times New Roman"/>
          <w:color w:val="auto"/>
          <w:spacing w:val="-29"/>
          <w:sz w:val="27"/>
          <w:szCs w:val="27"/>
          <w:highlight w:val="none"/>
        </w:rPr>
        <w:t xml:space="preserve"> </w:t>
      </w:r>
      <w:r>
        <w:rPr>
          <w:rFonts w:ascii="Times New Roman" w:hAnsi="Times New Roman" w:eastAsia="Times New Roman" w:cs="Times New Roman"/>
          <w:color w:val="auto"/>
          <w:spacing w:val="-1"/>
          <w:sz w:val="27"/>
          <w:szCs w:val="27"/>
          <w:highlight w:val="none"/>
        </w:rPr>
        <w:t>1</w:t>
      </w:r>
      <w:r>
        <w:rPr>
          <w:rFonts w:ascii="黑体" w:hAnsi="黑体" w:eastAsia="黑体" w:cs="黑体"/>
          <w:color w:val="auto"/>
          <w:spacing w:val="-1"/>
          <w:sz w:val="27"/>
          <w:szCs w:val="27"/>
          <w:highlight w:val="none"/>
        </w:rPr>
        <w:t>：材料暂估价表</w:t>
      </w:r>
    </w:p>
    <w:p w14:paraId="7C3C15C5">
      <w:pPr>
        <w:spacing w:line="112" w:lineRule="exact"/>
        <w:rPr>
          <w:color w:val="auto"/>
          <w:highlight w:val="none"/>
        </w:rPr>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2C955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15B0873C">
            <w:pPr>
              <w:pStyle w:val="11"/>
              <w:spacing w:before="178" w:line="222" w:lineRule="auto"/>
              <w:ind w:left="290"/>
              <w:rPr>
                <w:color w:val="auto"/>
                <w:highlight w:val="none"/>
              </w:rPr>
            </w:pPr>
            <w:r>
              <w:rPr>
                <w:color w:val="auto"/>
                <w:spacing w:val="-2"/>
                <w:highlight w:val="none"/>
              </w:rPr>
              <w:t>序号</w:t>
            </w:r>
          </w:p>
        </w:tc>
        <w:tc>
          <w:tcPr>
            <w:tcW w:w="1983" w:type="dxa"/>
            <w:tcBorders>
              <w:top w:val="single" w:color="000000" w:sz="10" w:space="0"/>
            </w:tcBorders>
            <w:vAlign w:val="top"/>
          </w:tcPr>
          <w:p w14:paraId="553FB04C">
            <w:pPr>
              <w:pStyle w:val="11"/>
              <w:spacing w:before="177" w:line="223" w:lineRule="auto"/>
              <w:ind w:left="781"/>
              <w:rPr>
                <w:color w:val="auto"/>
                <w:highlight w:val="none"/>
              </w:rPr>
            </w:pPr>
            <w:r>
              <w:rPr>
                <w:color w:val="auto"/>
                <w:spacing w:val="-3"/>
                <w:highlight w:val="none"/>
              </w:rPr>
              <w:t>名称</w:t>
            </w:r>
          </w:p>
        </w:tc>
        <w:tc>
          <w:tcPr>
            <w:tcW w:w="847" w:type="dxa"/>
            <w:tcBorders>
              <w:top w:val="single" w:color="000000" w:sz="10" w:space="0"/>
            </w:tcBorders>
            <w:vAlign w:val="top"/>
          </w:tcPr>
          <w:p w14:paraId="79BC949E">
            <w:pPr>
              <w:pStyle w:val="11"/>
              <w:spacing w:before="178" w:line="221" w:lineRule="auto"/>
              <w:ind w:left="219"/>
              <w:rPr>
                <w:color w:val="auto"/>
                <w:highlight w:val="none"/>
              </w:rPr>
            </w:pPr>
            <w:r>
              <w:rPr>
                <w:color w:val="auto"/>
                <w:spacing w:val="-2"/>
                <w:highlight w:val="none"/>
              </w:rPr>
              <w:t>单位</w:t>
            </w:r>
          </w:p>
        </w:tc>
        <w:tc>
          <w:tcPr>
            <w:tcW w:w="771" w:type="dxa"/>
            <w:tcBorders>
              <w:top w:val="single" w:color="000000" w:sz="10" w:space="0"/>
            </w:tcBorders>
            <w:vAlign w:val="top"/>
          </w:tcPr>
          <w:p w14:paraId="4B51680E">
            <w:pPr>
              <w:pStyle w:val="11"/>
              <w:spacing w:before="177" w:line="221" w:lineRule="auto"/>
              <w:ind w:left="183"/>
              <w:rPr>
                <w:color w:val="auto"/>
                <w:highlight w:val="none"/>
              </w:rPr>
            </w:pPr>
            <w:r>
              <w:rPr>
                <w:color w:val="auto"/>
                <w:spacing w:val="-2"/>
                <w:highlight w:val="none"/>
              </w:rPr>
              <w:t>数量</w:t>
            </w:r>
          </w:p>
        </w:tc>
        <w:tc>
          <w:tcPr>
            <w:tcW w:w="1350" w:type="dxa"/>
            <w:tcBorders>
              <w:top w:val="single" w:color="000000" w:sz="10" w:space="0"/>
            </w:tcBorders>
            <w:vAlign w:val="top"/>
          </w:tcPr>
          <w:p w14:paraId="5E634793">
            <w:pPr>
              <w:pStyle w:val="11"/>
              <w:spacing w:before="178" w:line="219" w:lineRule="auto"/>
              <w:ind w:left="156"/>
              <w:rPr>
                <w:color w:val="auto"/>
                <w:highlight w:val="none"/>
              </w:rPr>
            </w:pPr>
            <w:r>
              <w:rPr>
                <w:color w:val="auto"/>
                <w:spacing w:val="-3"/>
                <w:highlight w:val="none"/>
              </w:rPr>
              <w:t>单价（元）</w:t>
            </w:r>
          </w:p>
        </w:tc>
        <w:tc>
          <w:tcPr>
            <w:tcW w:w="1413" w:type="dxa"/>
            <w:tcBorders>
              <w:top w:val="single" w:color="000000" w:sz="10" w:space="0"/>
            </w:tcBorders>
            <w:vAlign w:val="top"/>
          </w:tcPr>
          <w:p w14:paraId="68114270">
            <w:pPr>
              <w:pStyle w:val="11"/>
              <w:spacing w:before="178" w:line="219" w:lineRule="auto"/>
              <w:ind w:left="193"/>
              <w:rPr>
                <w:color w:val="auto"/>
                <w:highlight w:val="none"/>
              </w:rPr>
            </w:pPr>
            <w:r>
              <w:rPr>
                <w:color w:val="auto"/>
                <w:spacing w:val="-3"/>
                <w:highlight w:val="none"/>
              </w:rPr>
              <w:t>合价（元）</w:t>
            </w:r>
          </w:p>
        </w:tc>
        <w:tc>
          <w:tcPr>
            <w:tcW w:w="1717" w:type="dxa"/>
            <w:tcBorders>
              <w:top w:val="single" w:color="000000" w:sz="10" w:space="0"/>
              <w:right w:val="single" w:color="000000" w:sz="10" w:space="0"/>
            </w:tcBorders>
            <w:vAlign w:val="top"/>
          </w:tcPr>
          <w:p w14:paraId="3883CDB0">
            <w:pPr>
              <w:pStyle w:val="11"/>
              <w:spacing w:before="178" w:line="222" w:lineRule="auto"/>
              <w:ind w:left="659"/>
              <w:rPr>
                <w:color w:val="auto"/>
                <w:highlight w:val="none"/>
              </w:rPr>
            </w:pPr>
            <w:r>
              <w:rPr>
                <w:color w:val="auto"/>
                <w:spacing w:val="-3"/>
                <w:highlight w:val="none"/>
              </w:rPr>
              <w:t>备注</w:t>
            </w:r>
          </w:p>
        </w:tc>
      </w:tr>
      <w:tr w14:paraId="02554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379C512B">
            <w:pPr>
              <w:rPr>
                <w:rFonts w:ascii="Arial"/>
                <w:color w:val="auto"/>
                <w:sz w:val="21"/>
                <w:highlight w:val="none"/>
              </w:rPr>
            </w:pPr>
          </w:p>
        </w:tc>
        <w:tc>
          <w:tcPr>
            <w:tcW w:w="1983" w:type="dxa"/>
            <w:vAlign w:val="top"/>
          </w:tcPr>
          <w:p w14:paraId="22758E39">
            <w:pPr>
              <w:rPr>
                <w:rFonts w:ascii="Arial"/>
                <w:color w:val="auto"/>
                <w:sz w:val="21"/>
                <w:highlight w:val="none"/>
              </w:rPr>
            </w:pPr>
          </w:p>
        </w:tc>
        <w:tc>
          <w:tcPr>
            <w:tcW w:w="847" w:type="dxa"/>
            <w:vAlign w:val="top"/>
          </w:tcPr>
          <w:p w14:paraId="13E402B8">
            <w:pPr>
              <w:rPr>
                <w:rFonts w:ascii="Arial"/>
                <w:color w:val="auto"/>
                <w:sz w:val="21"/>
                <w:highlight w:val="none"/>
              </w:rPr>
            </w:pPr>
          </w:p>
        </w:tc>
        <w:tc>
          <w:tcPr>
            <w:tcW w:w="771" w:type="dxa"/>
            <w:vAlign w:val="top"/>
          </w:tcPr>
          <w:p w14:paraId="4A3BAD80">
            <w:pPr>
              <w:rPr>
                <w:rFonts w:ascii="Arial"/>
                <w:color w:val="auto"/>
                <w:sz w:val="21"/>
                <w:highlight w:val="none"/>
              </w:rPr>
            </w:pPr>
          </w:p>
        </w:tc>
        <w:tc>
          <w:tcPr>
            <w:tcW w:w="1350" w:type="dxa"/>
            <w:vAlign w:val="top"/>
          </w:tcPr>
          <w:p w14:paraId="33C417F3">
            <w:pPr>
              <w:rPr>
                <w:rFonts w:ascii="Arial"/>
                <w:color w:val="auto"/>
                <w:sz w:val="21"/>
                <w:highlight w:val="none"/>
              </w:rPr>
            </w:pPr>
          </w:p>
        </w:tc>
        <w:tc>
          <w:tcPr>
            <w:tcW w:w="1413" w:type="dxa"/>
            <w:vAlign w:val="top"/>
          </w:tcPr>
          <w:p w14:paraId="0331C21D">
            <w:pPr>
              <w:rPr>
                <w:rFonts w:ascii="Arial"/>
                <w:color w:val="auto"/>
                <w:sz w:val="21"/>
                <w:highlight w:val="none"/>
              </w:rPr>
            </w:pPr>
          </w:p>
        </w:tc>
        <w:tc>
          <w:tcPr>
            <w:tcW w:w="1717" w:type="dxa"/>
            <w:tcBorders>
              <w:right w:val="single" w:color="000000" w:sz="10" w:space="0"/>
            </w:tcBorders>
            <w:vAlign w:val="top"/>
          </w:tcPr>
          <w:p w14:paraId="2376227A">
            <w:pPr>
              <w:rPr>
                <w:rFonts w:ascii="Arial"/>
                <w:color w:val="auto"/>
                <w:sz w:val="21"/>
                <w:highlight w:val="none"/>
              </w:rPr>
            </w:pPr>
          </w:p>
        </w:tc>
      </w:tr>
      <w:tr w14:paraId="7F2FE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3B1124D">
            <w:pPr>
              <w:rPr>
                <w:rFonts w:ascii="Arial"/>
                <w:color w:val="auto"/>
                <w:sz w:val="21"/>
                <w:highlight w:val="none"/>
              </w:rPr>
            </w:pPr>
          </w:p>
        </w:tc>
        <w:tc>
          <w:tcPr>
            <w:tcW w:w="1983" w:type="dxa"/>
            <w:vAlign w:val="top"/>
          </w:tcPr>
          <w:p w14:paraId="5FD57C06">
            <w:pPr>
              <w:rPr>
                <w:rFonts w:ascii="Arial"/>
                <w:color w:val="auto"/>
                <w:sz w:val="21"/>
                <w:highlight w:val="none"/>
              </w:rPr>
            </w:pPr>
          </w:p>
        </w:tc>
        <w:tc>
          <w:tcPr>
            <w:tcW w:w="847" w:type="dxa"/>
            <w:vAlign w:val="top"/>
          </w:tcPr>
          <w:p w14:paraId="2289637E">
            <w:pPr>
              <w:rPr>
                <w:rFonts w:ascii="Arial"/>
                <w:color w:val="auto"/>
                <w:sz w:val="21"/>
                <w:highlight w:val="none"/>
              </w:rPr>
            </w:pPr>
          </w:p>
        </w:tc>
        <w:tc>
          <w:tcPr>
            <w:tcW w:w="771" w:type="dxa"/>
            <w:vAlign w:val="top"/>
          </w:tcPr>
          <w:p w14:paraId="2266A933">
            <w:pPr>
              <w:rPr>
                <w:rFonts w:ascii="Arial"/>
                <w:color w:val="auto"/>
                <w:sz w:val="21"/>
                <w:highlight w:val="none"/>
              </w:rPr>
            </w:pPr>
          </w:p>
        </w:tc>
        <w:tc>
          <w:tcPr>
            <w:tcW w:w="1350" w:type="dxa"/>
            <w:vAlign w:val="top"/>
          </w:tcPr>
          <w:p w14:paraId="25F6807D">
            <w:pPr>
              <w:rPr>
                <w:rFonts w:ascii="Arial"/>
                <w:color w:val="auto"/>
                <w:sz w:val="21"/>
                <w:highlight w:val="none"/>
              </w:rPr>
            </w:pPr>
          </w:p>
        </w:tc>
        <w:tc>
          <w:tcPr>
            <w:tcW w:w="1413" w:type="dxa"/>
            <w:vAlign w:val="top"/>
          </w:tcPr>
          <w:p w14:paraId="79F0E70D">
            <w:pPr>
              <w:rPr>
                <w:rFonts w:ascii="Arial"/>
                <w:color w:val="auto"/>
                <w:sz w:val="21"/>
                <w:highlight w:val="none"/>
              </w:rPr>
            </w:pPr>
          </w:p>
        </w:tc>
        <w:tc>
          <w:tcPr>
            <w:tcW w:w="1717" w:type="dxa"/>
            <w:tcBorders>
              <w:right w:val="single" w:color="000000" w:sz="10" w:space="0"/>
            </w:tcBorders>
            <w:vAlign w:val="top"/>
          </w:tcPr>
          <w:p w14:paraId="31747D07">
            <w:pPr>
              <w:rPr>
                <w:rFonts w:ascii="Arial"/>
                <w:color w:val="auto"/>
                <w:sz w:val="21"/>
                <w:highlight w:val="none"/>
              </w:rPr>
            </w:pPr>
          </w:p>
        </w:tc>
      </w:tr>
      <w:tr w14:paraId="3EA4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3F4359D">
            <w:pPr>
              <w:rPr>
                <w:rFonts w:ascii="Arial"/>
                <w:color w:val="auto"/>
                <w:sz w:val="21"/>
                <w:highlight w:val="none"/>
              </w:rPr>
            </w:pPr>
          </w:p>
        </w:tc>
        <w:tc>
          <w:tcPr>
            <w:tcW w:w="1983" w:type="dxa"/>
            <w:vAlign w:val="top"/>
          </w:tcPr>
          <w:p w14:paraId="1C360DBE">
            <w:pPr>
              <w:rPr>
                <w:rFonts w:ascii="Arial"/>
                <w:color w:val="auto"/>
                <w:sz w:val="21"/>
                <w:highlight w:val="none"/>
              </w:rPr>
            </w:pPr>
          </w:p>
        </w:tc>
        <w:tc>
          <w:tcPr>
            <w:tcW w:w="847" w:type="dxa"/>
            <w:vAlign w:val="top"/>
          </w:tcPr>
          <w:p w14:paraId="688EFAB4">
            <w:pPr>
              <w:rPr>
                <w:rFonts w:ascii="Arial"/>
                <w:color w:val="auto"/>
                <w:sz w:val="21"/>
                <w:highlight w:val="none"/>
              </w:rPr>
            </w:pPr>
          </w:p>
        </w:tc>
        <w:tc>
          <w:tcPr>
            <w:tcW w:w="771" w:type="dxa"/>
            <w:vAlign w:val="top"/>
          </w:tcPr>
          <w:p w14:paraId="28CF16B0">
            <w:pPr>
              <w:rPr>
                <w:rFonts w:ascii="Arial"/>
                <w:color w:val="auto"/>
                <w:sz w:val="21"/>
                <w:highlight w:val="none"/>
              </w:rPr>
            </w:pPr>
          </w:p>
        </w:tc>
        <w:tc>
          <w:tcPr>
            <w:tcW w:w="1350" w:type="dxa"/>
            <w:vAlign w:val="top"/>
          </w:tcPr>
          <w:p w14:paraId="0DAC6F7F">
            <w:pPr>
              <w:rPr>
                <w:rFonts w:ascii="Arial"/>
                <w:color w:val="auto"/>
                <w:sz w:val="21"/>
                <w:highlight w:val="none"/>
              </w:rPr>
            </w:pPr>
          </w:p>
        </w:tc>
        <w:tc>
          <w:tcPr>
            <w:tcW w:w="1413" w:type="dxa"/>
            <w:vAlign w:val="top"/>
          </w:tcPr>
          <w:p w14:paraId="737A070C">
            <w:pPr>
              <w:rPr>
                <w:rFonts w:ascii="Arial"/>
                <w:color w:val="auto"/>
                <w:sz w:val="21"/>
                <w:highlight w:val="none"/>
              </w:rPr>
            </w:pPr>
          </w:p>
        </w:tc>
        <w:tc>
          <w:tcPr>
            <w:tcW w:w="1717" w:type="dxa"/>
            <w:tcBorders>
              <w:right w:val="single" w:color="000000" w:sz="10" w:space="0"/>
            </w:tcBorders>
            <w:vAlign w:val="top"/>
          </w:tcPr>
          <w:p w14:paraId="4ECEFE30">
            <w:pPr>
              <w:rPr>
                <w:rFonts w:ascii="Arial"/>
                <w:color w:val="auto"/>
                <w:sz w:val="21"/>
                <w:highlight w:val="none"/>
              </w:rPr>
            </w:pPr>
          </w:p>
        </w:tc>
      </w:tr>
      <w:tr w14:paraId="565B0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EDF549C">
            <w:pPr>
              <w:rPr>
                <w:rFonts w:ascii="Arial"/>
                <w:color w:val="auto"/>
                <w:sz w:val="21"/>
                <w:highlight w:val="none"/>
              </w:rPr>
            </w:pPr>
          </w:p>
        </w:tc>
        <w:tc>
          <w:tcPr>
            <w:tcW w:w="1983" w:type="dxa"/>
            <w:vAlign w:val="top"/>
          </w:tcPr>
          <w:p w14:paraId="57B5CDB7">
            <w:pPr>
              <w:rPr>
                <w:rFonts w:ascii="Arial"/>
                <w:color w:val="auto"/>
                <w:sz w:val="21"/>
                <w:highlight w:val="none"/>
              </w:rPr>
            </w:pPr>
          </w:p>
        </w:tc>
        <w:tc>
          <w:tcPr>
            <w:tcW w:w="847" w:type="dxa"/>
            <w:vAlign w:val="top"/>
          </w:tcPr>
          <w:p w14:paraId="52BE6774">
            <w:pPr>
              <w:rPr>
                <w:rFonts w:ascii="Arial"/>
                <w:color w:val="auto"/>
                <w:sz w:val="21"/>
                <w:highlight w:val="none"/>
              </w:rPr>
            </w:pPr>
          </w:p>
        </w:tc>
        <w:tc>
          <w:tcPr>
            <w:tcW w:w="771" w:type="dxa"/>
            <w:vAlign w:val="top"/>
          </w:tcPr>
          <w:p w14:paraId="512D594A">
            <w:pPr>
              <w:rPr>
                <w:rFonts w:ascii="Arial"/>
                <w:color w:val="auto"/>
                <w:sz w:val="21"/>
                <w:highlight w:val="none"/>
              </w:rPr>
            </w:pPr>
          </w:p>
        </w:tc>
        <w:tc>
          <w:tcPr>
            <w:tcW w:w="1350" w:type="dxa"/>
            <w:vAlign w:val="top"/>
          </w:tcPr>
          <w:p w14:paraId="10CAD159">
            <w:pPr>
              <w:rPr>
                <w:rFonts w:ascii="Arial"/>
                <w:color w:val="auto"/>
                <w:sz w:val="21"/>
                <w:highlight w:val="none"/>
              </w:rPr>
            </w:pPr>
          </w:p>
        </w:tc>
        <w:tc>
          <w:tcPr>
            <w:tcW w:w="1413" w:type="dxa"/>
            <w:vAlign w:val="top"/>
          </w:tcPr>
          <w:p w14:paraId="2D908422">
            <w:pPr>
              <w:rPr>
                <w:rFonts w:ascii="Arial"/>
                <w:color w:val="auto"/>
                <w:sz w:val="21"/>
                <w:highlight w:val="none"/>
              </w:rPr>
            </w:pPr>
          </w:p>
        </w:tc>
        <w:tc>
          <w:tcPr>
            <w:tcW w:w="1717" w:type="dxa"/>
            <w:tcBorders>
              <w:right w:val="single" w:color="000000" w:sz="10" w:space="0"/>
            </w:tcBorders>
            <w:vAlign w:val="top"/>
          </w:tcPr>
          <w:p w14:paraId="0C725656">
            <w:pPr>
              <w:rPr>
                <w:rFonts w:ascii="Arial"/>
                <w:color w:val="auto"/>
                <w:sz w:val="21"/>
                <w:highlight w:val="none"/>
              </w:rPr>
            </w:pPr>
          </w:p>
        </w:tc>
      </w:tr>
      <w:tr w14:paraId="097C2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48F7D97">
            <w:pPr>
              <w:rPr>
                <w:rFonts w:ascii="Arial"/>
                <w:color w:val="auto"/>
                <w:sz w:val="21"/>
                <w:highlight w:val="none"/>
              </w:rPr>
            </w:pPr>
          </w:p>
        </w:tc>
        <w:tc>
          <w:tcPr>
            <w:tcW w:w="1983" w:type="dxa"/>
            <w:vAlign w:val="top"/>
          </w:tcPr>
          <w:p w14:paraId="00CE689D">
            <w:pPr>
              <w:rPr>
                <w:rFonts w:ascii="Arial"/>
                <w:color w:val="auto"/>
                <w:sz w:val="21"/>
                <w:highlight w:val="none"/>
              </w:rPr>
            </w:pPr>
          </w:p>
        </w:tc>
        <w:tc>
          <w:tcPr>
            <w:tcW w:w="847" w:type="dxa"/>
            <w:vAlign w:val="top"/>
          </w:tcPr>
          <w:p w14:paraId="7BE15F2C">
            <w:pPr>
              <w:rPr>
                <w:rFonts w:ascii="Arial"/>
                <w:color w:val="auto"/>
                <w:sz w:val="21"/>
                <w:highlight w:val="none"/>
              </w:rPr>
            </w:pPr>
          </w:p>
        </w:tc>
        <w:tc>
          <w:tcPr>
            <w:tcW w:w="771" w:type="dxa"/>
            <w:vAlign w:val="top"/>
          </w:tcPr>
          <w:p w14:paraId="69200239">
            <w:pPr>
              <w:rPr>
                <w:rFonts w:ascii="Arial"/>
                <w:color w:val="auto"/>
                <w:sz w:val="21"/>
                <w:highlight w:val="none"/>
              </w:rPr>
            </w:pPr>
          </w:p>
        </w:tc>
        <w:tc>
          <w:tcPr>
            <w:tcW w:w="1350" w:type="dxa"/>
            <w:vAlign w:val="top"/>
          </w:tcPr>
          <w:p w14:paraId="6A2B3A4A">
            <w:pPr>
              <w:rPr>
                <w:rFonts w:ascii="Arial"/>
                <w:color w:val="auto"/>
                <w:sz w:val="21"/>
                <w:highlight w:val="none"/>
              </w:rPr>
            </w:pPr>
          </w:p>
        </w:tc>
        <w:tc>
          <w:tcPr>
            <w:tcW w:w="1413" w:type="dxa"/>
            <w:vAlign w:val="top"/>
          </w:tcPr>
          <w:p w14:paraId="2577C31A">
            <w:pPr>
              <w:rPr>
                <w:rFonts w:ascii="Arial"/>
                <w:color w:val="auto"/>
                <w:sz w:val="21"/>
                <w:highlight w:val="none"/>
              </w:rPr>
            </w:pPr>
          </w:p>
        </w:tc>
        <w:tc>
          <w:tcPr>
            <w:tcW w:w="1717" w:type="dxa"/>
            <w:tcBorders>
              <w:right w:val="single" w:color="000000" w:sz="10" w:space="0"/>
            </w:tcBorders>
            <w:vAlign w:val="top"/>
          </w:tcPr>
          <w:p w14:paraId="34656A4F">
            <w:pPr>
              <w:rPr>
                <w:rFonts w:ascii="Arial"/>
                <w:color w:val="auto"/>
                <w:sz w:val="21"/>
                <w:highlight w:val="none"/>
              </w:rPr>
            </w:pPr>
          </w:p>
        </w:tc>
      </w:tr>
      <w:tr w14:paraId="35BAA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FA2F981">
            <w:pPr>
              <w:rPr>
                <w:rFonts w:ascii="Arial"/>
                <w:color w:val="auto"/>
                <w:sz w:val="21"/>
                <w:highlight w:val="none"/>
              </w:rPr>
            </w:pPr>
          </w:p>
        </w:tc>
        <w:tc>
          <w:tcPr>
            <w:tcW w:w="1983" w:type="dxa"/>
            <w:vAlign w:val="top"/>
          </w:tcPr>
          <w:p w14:paraId="3B9D66C5">
            <w:pPr>
              <w:rPr>
                <w:rFonts w:ascii="Arial"/>
                <w:color w:val="auto"/>
                <w:sz w:val="21"/>
                <w:highlight w:val="none"/>
              </w:rPr>
            </w:pPr>
          </w:p>
        </w:tc>
        <w:tc>
          <w:tcPr>
            <w:tcW w:w="847" w:type="dxa"/>
            <w:vAlign w:val="top"/>
          </w:tcPr>
          <w:p w14:paraId="7CA9BF54">
            <w:pPr>
              <w:rPr>
                <w:rFonts w:ascii="Arial"/>
                <w:color w:val="auto"/>
                <w:sz w:val="21"/>
                <w:highlight w:val="none"/>
              </w:rPr>
            </w:pPr>
          </w:p>
        </w:tc>
        <w:tc>
          <w:tcPr>
            <w:tcW w:w="771" w:type="dxa"/>
            <w:vAlign w:val="top"/>
          </w:tcPr>
          <w:p w14:paraId="1AD3490A">
            <w:pPr>
              <w:rPr>
                <w:rFonts w:ascii="Arial"/>
                <w:color w:val="auto"/>
                <w:sz w:val="21"/>
                <w:highlight w:val="none"/>
              </w:rPr>
            </w:pPr>
          </w:p>
        </w:tc>
        <w:tc>
          <w:tcPr>
            <w:tcW w:w="1350" w:type="dxa"/>
            <w:vAlign w:val="top"/>
          </w:tcPr>
          <w:p w14:paraId="6BD02DBC">
            <w:pPr>
              <w:rPr>
                <w:rFonts w:ascii="Arial"/>
                <w:color w:val="auto"/>
                <w:sz w:val="21"/>
                <w:highlight w:val="none"/>
              </w:rPr>
            </w:pPr>
          </w:p>
        </w:tc>
        <w:tc>
          <w:tcPr>
            <w:tcW w:w="1413" w:type="dxa"/>
            <w:vAlign w:val="top"/>
          </w:tcPr>
          <w:p w14:paraId="3DAC4875">
            <w:pPr>
              <w:rPr>
                <w:rFonts w:ascii="Arial"/>
                <w:color w:val="auto"/>
                <w:sz w:val="21"/>
                <w:highlight w:val="none"/>
              </w:rPr>
            </w:pPr>
          </w:p>
        </w:tc>
        <w:tc>
          <w:tcPr>
            <w:tcW w:w="1717" w:type="dxa"/>
            <w:tcBorders>
              <w:right w:val="single" w:color="000000" w:sz="10" w:space="0"/>
            </w:tcBorders>
            <w:vAlign w:val="top"/>
          </w:tcPr>
          <w:p w14:paraId="1B53269F">
            <w:pPr>
              <w:rPr>
                <w:rFonts w:ascii="Arial"/>
                <w:color w:val="auto"/>
                <w:sz w:val="21"/>
                <w:highlight w:val="none"/>
              </w:rPr>
            </w:pPr>
          </w:p>
        </w:tc>
      </w:tr>
      <w:tr w14:paraId="67430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932358B">
            <w:pPr>
              <w:rPr>
                <w:rFonts w:ascii="Arial"/>
                <w:color w:val="auto"/>
                <w:sz w:val="21"/>
                <w:highlight w:val="none"/>
              </w:rPr>
            </w:pPr>
          </w:p>
        </w:tc>
        <w:tc>
          <w:tcPr>
            <w:tcW w:w="1983" w:type="dxa"/>
            <w:vAlign w:val="top"/>
          </w:tcPr>
          <w:p w14:paraId="5945A62C">
            <w:pPr>
              <w:rPr>
                <w:rFonts w:ascii="Arial"/>
                <w:color w:val="auto"/>
                <w:sz w:val="21"/>
                <w:highlight w:val="none"/>
              </w:rPr>
            </w:pPr>
          </w:p>
        </w:tc>
        <w:tc>
          <w:tcPr>
            <w:tcW w:w="847" w:type="dxa"/>
            <w:vAlign w:val="top"/>
          </w:tcPr>
          <w:p w14:paraId="7701426C">
            <w:pPr>
              <w:rPr>
                <w:rFonts w:ascii="Arial"/>
                <w:color w:val="auto"/>
                <w:sz w:val="21"/>
                <w:highlight w:val="none"/>
              </w:rPr>
            </w:pPr>
          </w:p>
        </w:tc>
        <w:tc>
          <w:tcPr>
            <w:tcW w:w="771" w:type="dxa"/>
            <w:vAlign w:val="top"/>
          </w:tcPr>
          <w:p w14:paraId="216535A5">
            <w:pPr>
              <w:rPr>
                <w:rFonts w:ascii="Arial"/>
                <w:color w:val="auto"/>
                <w:sz w:val="21"/>
                <w:highlight w:val="none"/>
              </w:rPr>
            </w:pPr>
          </w:p>
        </w:tc>
        <w:tc>
          <w:tcPr>
            <w:tcW w:w="1350" w:type="dxa"/>
            <w:vAlign w:val="top"/>
          </w:tcPr>
          <w:p w14:paraId="7D606D26">
            <w:pPr>
              <w:rPr>
                <w:rFonts w:ascii="Arial"/>
                <w:color w:val="auto"/>
                <w:sz w:val="21"/>
                <w:highlight w:val="none"/>
              </w:rPr>
            </w:pPr>
          </w:p>
        </w:tc>
        <w:tc>
          <w:tcPr>
            <w:tcW w:w="1413" w:type="dxa"/>
            <w:vAlign w:val="top"/>
          </w:tcPr>
          <w:p w14:paraId="5DE0D9D3">
            <w:pPr>
              <w:rPr>
                <w:rFonts w:ascii="Arial"/>
                <w:color w:val="auto"/>
                <w:sz w:val="21"/>
                <w:highlight w:val="none"/>
              </w:rPr>
            </w:pPr>
          </w:p>
        </w:tc>
        <w:tc>
          <w:tcPr>
            <w:tcW w:w="1717" w:type="dxa"/>
            <w:tcBorders>
              <w:right w:val="single" w:color="000000" w:sz="10" w:space="0"/>
            </w:tcBorders>
            <w:vAlign w:val="top"/>
          </w:tcPr>
          <w:p w14:paraId="073A073E">
            <w:pPr>
              <w:rPr>
                <w:rFonts w:ascii="Arial"/>
                <w:color w:val="auto"/>
                <w:sz w:val="21"/>
                <w:highlight w:val="none"/>
              </w:rPr>
            </w:pPr>
          </w:p>
        </w:tc>
      </w:tr>
      <w:tr w14:paraId="63958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628D6EE">
            <w:pPr>
              <w:rPr>
                <w:rFonts w:ascii="Arial"/>
                <w:color w:val="auto"/>
                <w:sz w:val="21"/>
                <w:highlight w:val="none"/>
              </w:rPr>
            </w:pPr>
          </w:p>
        </w:tc>
        <w:tc>
          <w:tcPr>
            <w:tcW w:w="1983" w:type="dxa"/>
            <w:vAlign w:val="top"/>
          </w:tcPr>
          <w:p w14:paraId="3E7EB3DF">
            <w:pPr>
              <w:rPr>
                <w:rFonts w:ascii="Arial"/>
                <w:color w:val="auto"/>
                <w:sz w:val="21"/>
                <w:highlight w:val="none"/>
              </w:rPr>
            </w:pPr>
          </w:p>
        </w:tc>
        <w:tc>
          <w:tcPr>
            <w:tcW w:w="847" w:type="dxa"/>
            <w:vAlign w:val="top"/>
          </w:tcPr>
          <w:p w14:paraId="3DE65A6F">
            <w:pPr>
              <w:rPr>
                <w:rFonts w:ascii="Arial"/>
                <w:color w:val="auto"/>
                <w:sz w:val="21"/>
                <w:highlight w:val="none"/>
              </w:rPr>
            </w:pPr>
          </w:p>
        </w:tc>
        <w:tc>
          <w:tcPr>
            <w:tcW w:w="771" w:type="dxa"/>
            <w:vAlign w:val="top"/>
          </w:tcPr>
          <w:p w14:paraId="2932F04E">
            <w:pPr>
              <w:rPr>
                <w:rFonts w:ascii="Arial"/>
                <w:color w:val="auto"/>
                <w:sz w:val="21"/>
                <w:highlight w:val="none"/>
              </w:rPr>
            </w:pPr>
          </w:p>
        </w:tc>
        <w:tc>
          <w:tcPr>
            <w:tcW w:w="1350" w:type="dxa"/>
            <w:vAlign w:val="top"/>
          </w:tcPr>
          <w:p w14:paraId="563A1FCE">
            <w:pPr>
              <w:rPr>
                <w:rFonts w:ascii="Arial"/>
                <w:color w:val="auto"/>
                <w:sz w:val="21"/>
                <w:highlight w:val="none"/>
              </w:rPr>
            </w:pPr>
          </w:p>
        </w:tc>
        <w:tc>
          <w:tcPr>
            <w:tcW w:w="1413" w:type="dxa"/>
            <w:vAlign w:val="top"/>
          </w:tcPr>
          <w:p w14:paraId="2CDDF926">
            <w:pPr>
              <w:rPr>
                <w:rFonts w:ascii="Arial"/>
                <w:color w:val="auto"/>
                <w:sz w:val="21"/>
                <w:highlight w:val="none"/>
              </w:rPr>
            </w:pPr>
          </w:p>
        </w:tc>
        <w:tc>
          <w:tcPr>
            <w:tcW w:w="1717" w:type="dxa"/>
            <w:tcBorders>
              <w:right w:val="single" w:color="000000" w:sz="10" w:space="0"/>
            </w:tcBorders>
            <w:vAlign w:val="top"/>
          </w:tcPr>
          <w:p w14:paraId="7D60C1B8">
            <w:pPr>
              <w:rPr>
                <w:rFonts w:ascii="Arial"/>
                <w:color w:val="auto"/>
                <w:sz w:val="21"/>
                <w:highlight w:val="none"/>
              </w:rPr>
            </w:pPr>
          </w:p>
        </w:tc>
      </w:tr>
      <w:tr w14:paraId="06DDC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2B18358">
            <w:pPr>
              <w:rPr>
                <w:rFonts w:ascii="Arial"/>
                <w:color w:val="auto"/>
                <w:sz w:val="21"/>
                <w:highlight w:val="none"/>
              </w:rPr>
            </w:pPr>
          </w:p>
        </w:tc>
        <w:tc>
          <w:tcPr>
            <w:tcW w:w="1983" w:type="dxa"/>
            <w:vAlign w:val="top"/>
          </w:tcPr>
          <w:p w14:paraId="7B6B93FA">
            <w:pPr>
              <w:rPr>
                <w:rFonts w:ascii="Arial"/>
                <w:color w:val="auto"/>
                <w:sz w:val="21"/>
                <w:highlight w:val="none"/>
              </w:rPr>
            </w:pPr>
          </w:p>
        </w:tc>
        <w:tc>
          <w:tcPr>
            <w:tcW w:w="847" w:type="dxa"/>
            <w:vAlign w:val="top"/>
          </w:tcPr>
          <w:p w14:paraId="7FE03041">
            <w:pPr>
              <w:rPr>
                <w:rFonts w:ascii="Arial"/>
                <w:color w:val="auto"/>
                <w:sz w:val="21"/>
                <w:highlight w:val="none"/>
              </w:rPr>
            </w:pPr>
          </w:p>
        </w:tc>
        <w:tc>
          <w:tcPr>
            <w:tcW w:w="771" w:type="dxa"/>
            <w:vAlign w:val="top"/>
          </w:tcPr>
          <w:p w14:paraId="78D87333">
            <w:pPr>
              <w:rPr>
                <w:rFonts w:ascii="Arial"/>
                <w:color w:val="auto"/>
                <w:sz w:val="21"/>
                <w:highlight w:val="none"/>
              </w:rPr>
            </w:pPr>
          </w:p>
        </w:tc>
        <w:tc>
          <w:tcPr>
            <w:tcW w:w="1350" w:type="dxa"/>
            <w:vAlign w:val="top"/>
          </w:tcPr>
          <w:p w14:paraId="7A5EA668">
            <w:pPr>
              <w:rPr>
                <w:rFonts w:ascii="Arial"/>
                <w:color w:val="auto"/>
                <w:sz w:val="21"/>
                <w:highlight w:val="none"/>
              </w:rPr>
            </w:pPr>
          </w:p>
        </w:tc>
        <w:tc>
          <w:tcPr>
            <w:tcW w:w="1413" w:type="dxa"/>
            <w:vAlign w:val="top"/>
          </w:tcPr>
          <w:p w14:paraId="160CA6F9">
            <w:pPr>
              <w:rPr>
                <w:rFonts w:ascii="Arial"/>
                <w:color w:val="auto"/>
                <w:sz w:val="21"/>
                <w:highlight w:val="none"/>
              </w:rPr>
            </w:pPr>
          </w:p>
        </w:tc>
        <w:tc>
          <w:tcPr>
            <w:tcW w:w="1717" w:type="dxa"/>
            <w:tcBorders>
              <w:right w:val="single" w:color="000000" w:sz="10" w:space="0"/>
            </w:tcBorders>
            <w:vAlign w:val="top"/>
          </w:tcPr>
          <w:p w14:paraId="5CD93570">
            <w:pPr>
              <w:rPr>
                <w:rFonts w:ascii="Arial"/>
                <w:color w:val="auto"/>
                <w:sz w:val="21"/>
                <w:highlight w:val="none"/>
              </w:rPr>
            </w:pPr>
          </w:p>
        </w:tc>
      </w:tr>
      <w:tr w14:paraId="0DCEF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CF42EED">
            <w:pPr>
              <w:rPr>
                <w:rFonts w:ascii="Arial"/>
                <w:color w:val="auto"/>
                <w:sz w:val="21"/>
                <w:highlight w:val="none"/>
              </w:rPr>
            </w:pPr>
          </w:p>
        </w:tc>
        <w:tc>
          <w:tcPr>
            <w:tcW w:w="1983" w:type="dxa"/>
            <w:vAlign w:val="top"/>
          </w:tcPr>
          <w:p w14:paraId="7BE50964">
            <w:pPr>
              <w:rPr>
                <w:rFonts w:ascii="Arial"/>
                <w:color w:val="auto"/>
                <w:sz w:val="21"/>
                <w:highlight w:val="none"/>
              </w:rPr>
            </w:pPr>
          </w:p>
        </w:tc>
        <w:tc>
          <w:tcPr>
            <w:tcW w:w="847" w:type="dxa"/>
            <w:vAlign w:val="top"/>
          </w:tcPr>
          <w:p w14:paraId="18E904C8">
            <w:pPr>
              <w:rPr>
                <w:rFonts w:ascii="Arial"/>
                <w:color w:val="auto"/>
                <w:sz w:val="21"/>
                <w:highlight w:val="none"/>
              </w:rPr>
            </w:pPr>
          </w:p>
        </w:tc>
        <w:tc>
          <w:tcPr>
            <w:tcW w:w="771" w:type="dxa"/>
            <w:vAlign w:val="top"/>
          </w:tcPr>
          <w:p w14:paraId="2B1DF343">
            <w:pPr>
              <w:rPr>
                <w:rFonts w:ascii="Arial"/>
                <w:color w:val="auto"/>
                <w:sz w:val="21"/>
                <w:highlight w:val="none"/>
              </w:rPr>
            </w:pPr>
          </w:p>
        </w:tc>
        <w:tc>
          <w:tcPr>
            <w:tcW w:w="1350" w:type="dxa"/>
            <w:vAlign w:val="top"/>
          </w:tcPr>
          <w:p w14:paraId="50862946">
            <w:pPr>
              <w:rPr>
                <w:rFonts w:ascii="Arial"/>
                <w:color w:val="auto"/>
                <w:sz w:val="21"/>
                <w:highlight w:val="none"/>
              </w:rPr>
            </w:pPr>
          </w:p>
        </w:tc>
        <w:tc>
          <w:tcPr>
            <w:tcW w:w="1413" w:type="dxa"/>
            <w:vAlign w:val="top"/>
          </w:tcPr>
          <w:p w14:paraId="52CF9D17">
            <w:pPr>
              <w:rPr>
                <w:rFonts w:ascii="Arial"/>
                <w:color w:val="auto"/>
                <w:sz w:val="21"/>
                <w:highlight w:val="none"/>
              </w:rPr>
            </w:pPr>
          </w:p>
        </w:tc>
        <w:tc>
          <w:tcPr>
            <w:tcW w:w="1717" w:type="dxa"/>
            <w:tcBorders>
              <w:right w:val="single" w:color="000000" w:sz="10" w:space="0"/>
            </w:tcBorders>
            <w:vAlign w:val="top"/>
          </w:tcPr>
          <w:p w14:paraId="019E9CA8">
            <w:pPr>
              <w:rPr>
                <w:rFonts w:ascii="Arial"/>
                <w:color w:val="auto"/>
                <w:sz w:val="21"/>
                <w:highlight w:val="none"/>
              </w:rPr>
            </w:pPr>
          </w:p>
        </w:tc>
      </w:tr>
      <w:tr w14:paraId="22152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5EB5BBE">
            <w:pPr>
              <w:rPr>
                <w:rFonts w:ascii="Arial"/>
                <w:color w:val="auto"/>
                <w:sz w:val="21"/>
                <w:highlight w:val="none"/>
              </w:rPr>
            </w:pPr>
          </w:p>
        </w:tc>
        <w:tc>
          <w:tcPr>
            <w:tcW w:w="1983" w:type="dxa"/>
            <w:vAlign w:val="top"/>
          </w:tcPr>
          <w:p w14:paraId="6AD8B0E1">
            <w:pPr>
              <w:rPr>
                <w:rFonts w:ascii="Arial"/>
                <w:color w:val="auto"/>
                <w:sz w:val="21"/>
                <w:highlight w:val="none"/>
              </w:rPr>
            </w:pPr>
          </w:p>
        </w:tc>
        <w:tc>
          <w:tcPr>
            <w:tcW w:w="847" w:type="dxa"/>
            <w:vAlign w:val="top"/>
          </w:tcPr>
          <w:p w14:paraId="7F60148B">
            <w:pPr>
              <w:rPr>
                <w:rFonts w:ascii="Arial"/>
                <w:color w:val="auto"/>
                <w:sz w:val="21"/>
                <w:highlight w:val="none"/>
              </w:rPr>
            </w:pPr>
          </w:p>
        </w:tc>
        <w:tc>
          <w:tcPr>
            <w:tcW w:w="771" w:type="dxa"/>
            <w:vAlign w:val="top"/>
          </w:tcPr>
          <w:p w14:paraId="0F048050">
            <w:pPr>
              <w:rPr>
                <w:rFonts w:ascii="Arial"/>
                <w:color w:val="auto"/>
                <w:sz w:val="21"/>
                <w:highlight w:val="none"/>
              </w:rPr>
            </w:pPr>
          </w:p>
        </w:tc>
        <w:tc>
          <w:tcPr>
            <w:tcW w:w="1350" w:type="dxa"/>
            <w:vAlign w:val="top"/>
          </w:tcPr>
          <w:p w14:paraId="2F33D042">
            <w:pPr>
              <w:rPr>
                <w:rFonts w:ascii="Arial"/>
                <w:color w:val="auto"/>
                <w:sz w:val="21"/>
                <w:highlight w:val="none"/>
              </w:rPr>
            </w:pPr>
          </w:p>
        </w:tc>
        <w:tc>
          <w:tcPr>
            <w:tcW w:w="1413" w:type="dxa"/>
            <w:vAlign w:val="top"/>
          </w:tcPr>
          <w:p w14:paraId="42685B00">
            <w:pPr>
              <w:rPr>
                <w:rFonts w:ascii="Arial"/>
                <w:color w:val="auto"/>
                <w:sz w:val="21"/>
                <w:highlight w:val="none"/>
              </w:rPr>
            </w:pPr>
          </w:p>
        </w:tc>
        <w:tc>
          <w:tcPr>
            <w:tcW w:w="1717" w:type="dxa"/>
            <w:tcBorders>
              <w:right w:val="single" w:color="000000" w:sz="10" w:space="0"/>
            </w:tcBorders>
            <w:vAlign w:val="top"/>
          </w:tcPr>
          <w:p w14:paraId="0275792C">
            <w:pPr>
              <w:rPr>
                <w:rFonts w:ascii="Arial"/>
                <w:color w:val="auto"/>
                <w:sz w:val="21"/>
                <w:highlight w:val="none"/>
              </w:rPr>
            </w:pPr>
          </w:p>
        </w:tc>
      </w:tr>
      <w:tr w14:paraId="125FB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CAB5A46">
            <w:pPr>
              <w:rPr>
                <w:rFonts w:ascii="Arial"/>
                <w:color w:val="auto"/>
                <w:sz w:val="21"/>
                <w:highlight w:val="none"/>
              </w:rPr>
            </w:pPr>
          </w:p>
        </w:tc>
        <w:tc>
          <w:tcPr>
            <w:tcW w:w="1983" w:type="dxa"/>
            <w:vAlign w:val="top"/>
          </w:tcPr>
          <w:p w14:paraId="4A64D355">
            <w:pPr>
              <w:rPr>
                <w:rFonts w:ascii="Arial"/>
                <w:color w:val="auto"/>
                <w:sz w:val="21"/>
                <w:highlight w:val="none"/>
              </w:rPr>
            </w:pPr>
          </w:p>
        </w:tc>
        <w:tc>
          <w:tcPr>
            <w:tcW w:w="847" w:type="dxa"/>
            <w:vAlign w:val="top"/>
          </w:tcPr>
          <w:p w14:paraId="7B46632A">
            <w:pPr>
              <w:rPr>
                <w:rFonts w:ascii="Arial"/>
                <w:color w:val="auto"/>
                <w:sz w:val="21"/>
                <w:highlight w:val="none"/>
              </w:rPr>
            </w:pPr>
          </w:p>
        </w:tc>
        <w:tc>
          <w:tcPr>
            <w:tcW w:w="771" w:type="dxa"/>
            <w:vAlign w:val="top"/>
          </w:tcPr>
          <w:p w14:paraId="50519B49">
            <w:pPr>
              <w:rPr>
                <w:rFonts w:ascii="Arial"/>
                <w:color w:val="auto"/>
                <w:sz w:val="21"/>
                <w:highlight w:val="none"/>
              </w:rPr>
            </w:pPr>
          </w:p>
        </w:tc>
        <w:tc>
          <w:tcPr>
            <w:tcW w:w="1350" w:type="dxa"/>
            <w:vAlign w:val="top"/>
          </w:tcPr>
          <w:p w14:paraId="6D91B6FC">
            <w:pPr>
              <w:rPr>
                <w:rFonts w:ascii="Arial"/>
                <w:color w:val="auto"/>
                <w:sz w:val="21"/>
                <w:highlight w:val="none"/>
              </w:rPr>
            </w:pPr>
          </w:p>
        </w:tc>
        <w:tc>
          <w:tcPr>
            <w:tcW w:w="1413" w:type="dxa"/>
            <w:vAlign w:val="top"/>
          </w:tcPr>
          <w:p w14:paraId="1FDD8D5F">
            <w:pPr>
              <w:rPr>
                <w:rFonts w:ascii="Arial"/>
                <w:color w:val="auto"/>
                <w:sz w:val="21"/>
                <w:highlight w:val="none"/>
              </w:rPr>
            </w:pPr>
          </w:p>
        </w:tc>
        <w:tc>
          <w:tcPr>
            <w:tcW w:w="1717" w:type="dxa"/>
            <w:tcBorders>
              <w:right w:val="single" w:color="000000" w:sz="10" w:space="0"/>
            </w:tcBorders>
            <w:vAlign w:val="top"/>
          </w:tcPr>
          <w:p w14:paraId="40DB7316">
            <w:pPr>
              <w:rPr>
                <w:rFonts w:ascii="Arial"/>
                <w:color w:val="auto"/>
                <w:sz w:val="21"/>
                <w:highlight w:val="none"/>
              </w:rPr>
            </w:pPr>
          </w:p>
        </w:tc>
      </w:tr>
      <w:tr w14:paraId="1B302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D8EB452">
            <w:pPr>
              <w:rPr>
                <w:rFonts w:ascii="Arial"/>
                <w:color w:val="auto"/>
                <w:sz w:val="21"/>
                <w:highlight w:val="none"/>
              </w:rPr>
            </w:pPr>
          </w:p>
        </w:tc>
        <w:tc>
          <w:tcPr>
            <w:tcW w:w="1983" w:type="dxa"/>
            <w:vAlign w:val="top"/>
          </w:tcPr>
          <w:p w14:paraId="11BA98F1">
            <w:pPr>
              <w:rPr>
                <w:rFonts w:ascii="Arial"/>
                <w:color w:val="auto"/>
                <w:sz w:val="21"/>
                <w:highlight w:val="none"/>
              </w:rPr>
            </w:pPr>
          </w:p>
        </w:tc>
        <w:tc>
          <w:tcPr>
            <w:tcW w:w="847" w:type="dxa"/>
            <w:vAlign w:val="top"/>
          </w:tcPr>
          <w:p w14:paraId="090D0270">
            <w:pPr>
              <w:rPr>
                <w:rFonts w:ascii="Arial"/>
                <w:color w:val="auto"/>
                <w:sz w:val="21"/>
                <w:highlight w:val="none"/>
              </w:rPr>
            </w:pPr>
          </w:p>
        </w:tc>
        <w:tc>
          <w:tcPr>
            <w:tcW w:w="771" w:type="dxa"/>
            <w:vAlign w:val="top"/>
          </w:tcPr>
          <w:p w14:paraId="268E8EA9">
            <w:pPr>
              <w:rPr>
                <w:rFonts w:ascii="Arial"/>
                <w:color w:val="auto"/>
                <w:sz w:val="21"/>
                <w:highlight w:val="none"/>
              </w:rPr>
            </w:pPr>
          </w:p>
        </w:tc>
        <w:tc>
          <w:tcPr>
            <w:tcW w:w="1350" w:type="dxa"/>
            <w:vAlign w:val="top"/>
          </w:tcPr>
          <w:p w14:paraId="16F280F8">
            <w:pPr>
              <w:rPr>
                <w:rFonts w:ascii="Arial"/>
                <w:color w:val="auto"/>
                <w:sz w:val="21"/>
                <w:highlight w:val="none"/>
              </w:rPr>
            </w:pPr>
          </w:p>
        </w:tc>
        <w:tc>
          <w:tcPr>
            <w:tcW w:w="1413" w:type="dxa"/>
            <w:vAlign w:val="top"/>
          </w:tcPr>
          <w:p w14:paraId="75D17046">
            <w:pPr>
              <w:rPr>
                <w:rFonts w:ascii="Arial"/>
                <w:color w:val="auto"/>
                <w:sz w:val="21"/>
                <w:highlight w:val="none"/>
              </w:rPr>
            </w:pPr>
          </w:p>
        </w:tc>
        <w:tc>
          <w:tcPr>
            <w:tcW w:w="1717" w:type="dxa"/>
            <w:tcBorders>
              <w:right w:val="single" w:color="000000" w:sz="10" w:space="0"/>
            </w:tcBorders>
            <w:vAlign w:val="top"/>
          </w:tcPr>
          <w:p w14:paraId="02633195">
            <w:pPr>
              <w:rPr>
                <w:rFonts w:ascii="Arial"/>
                <w:color w:val="auto"/>
                <w:sz w:val="21"/>
                <w:highlight w:val="none"/>
              </w:rPr>
            </w:pPr>
          </w:p>
        </w:tc>
      </w:tr>
      <w:tr w14:paraId="1EC23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6E3AC23">
            <w:pPr>
              <w:rPr>
                <w:rFonts w:ascii="Arial"/>
                <w:color w:val="auto"/>
                <w:sz w:val="21"/>
                <w:highlight w:val="none"/>
              </w:rPr>
            </w:pPr>
          </w:p>
        </w:tc>
        <w:tc>
          <w:tcPr>
            <w:tcW w:w="1983" w:type="dxa"/>
            <w:vAlign w:val="top"/>
          </w:tcPr>
          <w:p w14:paraId="34D8A377">
            <w:pPr>
              <w:rPr>
                <w:rFonts w:ascii="Arial"/>
                <w:color w:val="auto"/>
                <w:sz w:val="21"/>
                <w:highlight w:val="none"/>
              </w:rPr>
            </w:pPr>
          </w:p>
        </w:tc>
        <w:tc>
          <w:tcPr>
            <w:tcW w:w="847" w:type="dxa"/>
            <w:vAlign w:val="top"/>
          </w:tcPr>
          <w:p w14:paraId="3C015185">
            <w:pPr>
              <w:rPr>
                <w:rFonts w:ascii="Arial"/>
                <w:color w:val="auto"/>
                <w:sz w:val="21"/>
                <w:highlight w:val="none"/>
              </w:rPr>
            </w:pPr>
          </w:p>
        </w:tc>
        <w:tc>
          <w:tcPr>
            <w:tcW w:w="771" w:type="dxa"/>
            <w:vAlign w:val="top"/>
          </w:tcPr>
          <w:p w14:paraId="5E946DF6">
            <w:pPr>
              <w:rPr>
                <w:rFonts w:ascii="Arial"/>
                <w:color w:val="auto"/>
                <w:sz w:val="21"/>
                <w:highlight w:val="none"/>
              </w:rPr>
            </w:pPr>
          </w:p>
        </w:tc>
        <w:tc>
          <w:tcPr>
            <w:tcW w:w="1350" w:type="dxa"/>
            <w:vAlign w:val="top"/>
          </w:tcPr>
          <w:p w14:paraId="51F0B696">
            <w:pPr>
              <w:rPr>
                <w:rFonts w:ascii="Arial"/>
                <w:color w:val="auto"/>
                <w:sz w:val="21"/>
                <w:highlight w:val="none"/>
              </w:rPr>
            </w:pPr>
          </w:p>
        </w:tc>
        <w:tc>
          <w:tcPr>
            <w:tcW w:w="1413" w:type="dxa"/>
            <w:vAlign w:val="top"/>
          </w:tcPr>
          <w:p w14:paraId="0C08BE35">
            <w:pPr>
              <w:rPr>
                <w:rFonts w:ascii="Arial"/>
                <w:color w:val="auto"/>
                <w:sz w:val="21"/>
                <w:highlight w:val="none"/>
              </w:rPr>
            </w:pPr>
          </w:p>
        </w:tc>
        <w:tc>
          <w:tcPr>
            <w:tcW w:w="1717" w:type="dxa"/>
            <w:tcBorders>
              <w:right w:val="single" w:color="000000" w:sz="10" w:space="0"/>
            </w:tcBorders>
            <w:vAlign w:val="top"/>
          </w:tcPr>
          <w:p w14:paraId="4FCE7822">
            <w:pPr>
              <w:rPr>
                <w:rFonts w:ascii="Arial"/>
                <w:color w:val="auto"/>
                <w:sz w:val="21"/>
                <w:highlight w:val="none"/>
              </w:rPr>
            </w:pPr>
          </w:p>
        </w:tc>
      </w:tr>
      <w:tr w14:paraId="4D395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14:paraId="389B5571">
            <w:pPr>
              <w:rPr>
                <w:rFonts w:ascii="Arial"/>
                <w:color w:val="auto"/>
                <w:sz w:val="21"/>
                <w:highlight w:val="none"/>
              </w:rPr>
            </w:pPr>
          </w:p>
        </w:tc>
        <w:tc>
          <w:tcPr>
            <w:tcW w:w="1983" w:type="dxa"/>
            <w:vAlign w:val="top"/>
          </w:tcPr>
          <w:p w14:paraId="38FAE689">
            <w:pPr>
              <w:rPr>
                <w:rFonts w:ascii="Arial"/>
                <w:color w:val="auto"/>
                <w:sz w:val="21"/>
                <w:highlight w:val="none"/>
              </w:rPr>
            </w:pPr>
          </w:p>
        </w:tc>
        <w:tc>
          <w:tcPr>
            <w:tcW w:w="847" w:type="dxa"/>
            <w:vAlign w:val="top"/>
          </w:tcPr>
          <w:p w14:paraId="3089A7B8">
            <w:pPr>
              <w:rPr>
                <w:rFonts w:ascii="Arial"/>
                <w:color w:val="auto"/>
                <w:sz w:val="21"/>
                <w:highlight w:val="none"/>
              </w:rPr>
            </w:pPr>
          </w:p>
        </w:tc>
        <w:tc>
          <w:tcPr>
            <w:tcW w:w="771" w:type="dxa"/>
            <w:vAlign w:val="top"/>
          </w:tcPr>
          <w:p w14:paraId="1F38EA0F">
            <w:pPr>
              <w:rPr>
                <w:rFonts w:ascii="Arial"/>
                <w:color w:val="auto"/>
                <w:sz w:val="21"/>
                <w:highlight w:val="none"/>
              </w:rPr>
            </w:pPr>
          </w:p>
        </w:tc>
        <w:tc>
          <w:tcPr>
            <w:tcW w:w="1350" w:type="dxa"/>
            <w:vAlign w:val="top"/>
          </w:tcPr>
          <w:p w14:paraId="39F6A996">
            <w:pPr>
              <w:rPr>
                <w:rFonts w:ascii="Arial"/>
                <w:color w:val="auto"/>
                <w:sz w:val="21"/>
                <w:highlight w:val="none"/>
              </w:rPr>
            </w:pPr>
          </w:p>
        </w:tc>
        <w:tc>
          <w:tcPr>
            <w:tcW w:w="1413" w:type="dxa"/>
            <w:vAlign w:val="top"/>
          </w:tcPr>
          <w:p w14:paraId="5967445B">
            <w:pPr>
              <w:rPr>
                <w:rFonts w:ascii="Arial"/>
                <w:color w:val="auto"/>
                <w:sz w:val="21"/>
                <w:highlight w:val="none"/>
              </w:rPr>
            </w:pPr>
          </w:p>
        </w:tc>
        <w:tc>
          <w:tcPr>
            <w:tcW w:w="1717" w:type="dxa"/>
            <w:tcBorders>
              <w:right w:val="single" w:color="000000" w:sz="10" w:space="0"/>
            </w:tcBorders>
            <w:vAlign w:val="top"/>
          </w:tcPr>
          <w:p w14:paraId="3499C544">
            <w:pPr>
              <w:rPr>
                <w:rFonts w:ascii="Arial"/>
                <w:color w:val="auto"/>
                <w:sz w:val="21"/>
                <w:highlight w:val="none"/>
              </w:rPr>
            </w:pPr>
          </w:p>
        </w:tc>
      </w:tr>
      <w:tr w14:paraId="6BD10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D90F053">
            <w:pPr>
              <w:rPr>
                <w:rFonts w:ascii="Arial"/>
                <w:color w:val="auto"/>
                <w:sz w:val="21"/>
                <w:highlight w:val="none"/>
              </w:rPr>
            </w:pPr>
          </w:p>
        </w:tc>
        <w:tc>
          <w:tcPr>
            <w:tcW w:w="1983" w:type="dxa"/>
            <w:vAlign w:val="top"/>
          </w:tcPr>
          <w:p w14:paraId="5ABD53D1">
            <w:pPr>
              <w:rPr>
                <w:rFonts w:ascii="Arial"/>
                <w:color w:val="auto"/>
                <w:sz w:val="21"/>
                <w:highlight w:val="none"/>
              </w:rPr>
            </w:pPr>
          </w:p>
        </w:tc>
        <w:tc>
          <w:tcPr>
            <w:tcW w:w="847" w:type="dxa"/>
            <w:vAlign w:val="top"/>
          </w:tcPr>
          <w:p w14:paraId="0ECB9314">
            <w:pPr>
              <w:rPr>
                <w:rFonts w:ascii="Arial"/>
                <w:color w:val="auto"/>
                <w:sz w:val="21"/>
                <w:highlight w:val="none"/>
              </w:rPr>
            </w:pPr>
          </w:p>
        </w:tc>
        <w:tc>
          <w:tcPr>
            <w:tcW w:w="771" w:type="dxa"/>
            <w:vAlign w:val="top"/>
          </w:tcPr>
          <w:p w14:paraId="7936EF11">
            <w:pPr>
              <w:rPr>
                <w:rFonts w:ascii="Arial"/>
                <w:color w:val="auto"/>
                <w:sz w:val="21"/>
                <w:highlight w:val="none"/>
              </w:rPr>
            </w:pPr>
          </w:p>
        </w:tc>
        <w:tc>
          <w:tcPr>
            <w:tcW w:w="1350" w:type="dxa"/>
            <w:vAlign w:val="top"/>
          </w:tcPr>
          <w:p w14:paraId="6F296F55">
            <w:pPr>
              <w:rPr>
                <w:rFonts w:ascii="Arial"/>
                <w:color w:val="auto"/>
                <w:sz w:val="21"/>
                <w:highlight w:val="none"/>
              </w:rPr>
            </w:pPr>
          </w:p>
        </w:tc>
        <w:tc>
          <w:tcPr>
            <w:tcW w:w="1413" w:type="dxa"/>
            <w:vAlign w:val="top"/>
          </w:tcPr>
          <w:p w14:paraId="111E82A5">
            <w:pPr>
              <w:rPr>
                <w:rFonts w:ascii="Arial"/>
                <w:color w:val="auto"/>
                <w:sz w:val="21"/>
                <w:highlight w:val="none"/>
              </w:rPr>
            </w:pPr>
          </w:p>
        </w:tc>
        <w:tc>
          <w:tcPr>
            <w:tcW w:w="1717" w:type="dxa"/>
            <w:tcBorders>
              <w:right w:val="single" w:color="000000" w:sz="10" w:space="0"/>
            </w:tcBorders>
            <w:vAlign w:val="top"/>
          </w:tcPr>
          <w:p w14:paraId="194971A3">
            <w:pPr>
              <w:rPr>
                <w:rFonts w:ascii="Arial"/>
                <w:color w:val="auto"/>
                <w:sz w:val="21"/>
                <w:highlight w:val="none"/>
              </w:rPr>
            </w:pPr>
          </w:p>
        </w:tc>
      </w:tr>
      <w:tr w14:paraId="2B754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237C3CB">
            <w:pPr>
              <w:rPr>
                <w:rFonts w:ascii="Arial"/>
                <w:color w:val="auto"/>
                <w:sz w:val="21"/>
                <w:highlight w:val="none"/>
              </w:rPr>
            </w:pPr>
          </w:p>
        </w:tc>
        <w:tc>
          <w:tcPr>
            <w:tcW w:w="1983" w:type="dxa"/>
            <w:vAlign w:val="top"/>
          </w:tcPr>
          <w:p w14:paraId="2A28C818">
            <w:pPr>
              <w:rPr>
                <w:rFonts w:ascii="Arial"/>
                <w:color w:val="auto"/>
                <w:sz w:val="21"/>
                <w:highlight w:val="none"/>
              </w:rPr>
            </w:pPr>
          </w:p>
        </w:tc>
        <w:tc>
          <w:tcPr>
            <w:tcW w:w="847" w:type="dxa"/>
            <w:vAlign w:val="top"/>
          </w:tcPr>
          <w:p w14:paraId="114A5AB1">
            <w:pPr>
              <w:rPr>
                <w:rFonts w:ascii="Arial"/>
                <w:color w:val="auto"/>
                <w:sz w:val="21"/>
                <w:highlight w:val="none"/>
              </w:rPr>
            </w:pPr>
          </w:p>
        </w:tc>
        <w:tc>
          <w:tcPr>
            <w:tcW w:w="771" w:type="dxa"/>
            <w:vAlign w:val="top"/>
          </w:tcPr>
          <w:p w14:paraId="0AEC5C6F">
            <w:pPr>
              <w:rPr>
                <w:rFonts w:ascii="Arial"/>
                <w:color w:val="auto"/>
                <w:sz w:val="21"/>
                <w:highlight w:val="none"/>
              </w:rPr>
            </w:pPr>
          </w:p>
        </w:tc>
        <w:tc>
          <w:tcPr>
            <w:tcW w:w="1350" w:type="dxa"/>
            <w:vAlign w:val="top"/>
          </w:tcPr>
          <w:p w14:paraId="249401F6">
            <w:pPr>
              <w:rPr>
                <w:rFonts w:ascii="Arial"/>
                <w:color w:val="auto"/>
                <w:sz w:val="21"/>
                <w:highlight w:val="none"/>
              </w:rPr>
            </w:pPr>
          </w:p>
        </w:tc>
        <w:tc>
          <w:tcPr>
            <w:tcW w:w="1413" w:type="dxa"/>
            <w:vAlign w:val="top"/>
          </w:tcPr>
          <w:p w14:paraId="1F993B27">
            <w:pPr>
              <w:rPr>
                <w:rFonts w:ascii="Arial"/>
                <w:color w:val="auto"/>
                <w:sz w:val="21"/>
                <w:highlight w:val="none"/>
              </w:rPr>
            </w:pPr>
          </w:p>
        </w:tc>
        <w:tc>
          <w:tcPr>
            <w:tcW w:w="1717" w:type="dxa"/>
            <w:tcBorders>
              <w:right w:val="single" w:color="000000" w:sz="10" w:space="0"/>
            </w:tcBorders>
            <w:vAlign w:val="top"/>
          </w:tcPr>
          <w:p w14:paraId="6616228F">
            <w:pPr>
              <w:rPr>
                <w:rFonts w:ascii="Arial"/>
                <w:color w:val="auto"/>
                <w:sz w:val="21"/>
                <w:highlight w:val="none"/>
              </w:rPr>
            </w:pPr>
          </w:p>
        </w:tc>
      </w:tr>
      <w:tr w14:paraId="15435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D9AFD7C">
            <w:pPr>
              <w:rPr>
                <w:rFonts w:ascii="Arial"/>
                <w:color w:val="auto"/>
                <w:sz w:val="21"/>
                <w:highlight w:val="none"/>
              </w:rPr>
            </w:pPr>
          </w:p>
        </w:tc>
        <w:tc>
          <w:tcPr>
            <w:tcW w:w="1983" w:type="dxa"/>
            <w:vAlign w:val="top"/>
          </w:tcPr>
          <w:p w14:paraId="0DBC2D58">
            <w:pPr>
              <w:rPr>
                <w:rFonts w:ascii="Arial"/>
                <w:color w:val="auto"/>
                <w:sz w:val="21"/>
                <w:highlight w:val="none"/>
              </w:rPr>
            </w:pPr>
          </w:p>
        </w:tc>
        <w:tc>
          <w:tcPr>
            <w:tcW w:w="847" w:type="dxa"/>
            <w:vAlign w:val="top"/>
          </w:tcPr>
          <w:p w14:paraId="54EC86A3">
            <w:pPr>
              <w:rPr>
                <w:rFonts w:ascii="Arial"/>
                <w:color w:val="auto"/>
                <w:sz w:val="21"/>
                <w:highlight w:val="none"/>
              </w:rPr>
            </w:pPr>
          </w:p>
        </w:tc>
        <w:tc>
          <w:tcPr>
            <w:tcW w:w="771" w:type="dxa"/>
            <w:vAlign w:val="top"/>
          </w:tcPr>
          <w:p w14:paraId="623A8FE2">
            <w:pPr>
              <w:rPr>
                <w:rFonts w:ascii="Arial"/>
                <w:color w:val="auto"/>
                <w:sz w:val="21"/>
                <w:highlight w:val="none"/>
              </w:rPr>
            </w:pPr>
          </w:p>
        </w:tc>
        <w:tc>
          <w:tcPr>
            <w:tcW w:w="1350" w:type="dxa"/>
            <w:vAlign w:val="top"/>
          </w:tcPr>
          <w:p w14:paraId="3BDD2C95">
            <w:pPr>
              <w:rPr>
                <w:rFonts w:ascii="Arial"/>
                <w:color w:val="auto"/>
                <w:sz w:val="21"/>
                <w:highlight w:val="none"/>
              </w:rPr>
            </w:pPr>
          </w:p>
        </w:tc>
        <w:tc>
          <w:tcPr>
            <w:tcW w:w="1413" w:type="dxa"/>
            <w:vAlign w:val="top"/>
          </w:tcPr>
          <w:p w14:paraId="557ABAF0">
            <w:pPr>
              <w:rPr>
                <w:rFonts w:ascii="Arial"/>
                <w:color w:val="auto"/>
                <w:sz w:val="21"/>
                <w:highlight w:val="none"/>
              </w:rPr>
            </w:pPr>
          </w:p>
        </w:tc>
        <w:tc>
          <w:tcPr>
            <w:tcW w:w="1717" w:type="dxa"/>
            <w:tcBorders>
              <w:right w:val="single" w:color="000000" w:sz="10" w:space="0"/>
            </w:tcBorders>
            <w:vAlign w:val="top"/>
          </w:tcPr>
          <w:p w14:paraId="3B1D02EB">
            <w:pPr>
              <w:rPr>
                <w:rFonts w:ascii="Arial"/>
                <w:color w:val="auto"/>
                <w:sz w:val="21"/>
                <w:highlight w:val="none"/>
              </w:rPr>
            </w:pPr>
          </w:p>
        </w:tc>
      </w:tr>
      <w:tr w14:paraId="581DE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4A96D181">
            <w:pPr>
              <w:rPr>
                <w:rFonts w:ascii="Arial"/>
                <w:color w:val="auto"/>
                <w:sz w:val="21"/>
                <w:highlight w:val="none"/>
              </w:rPr>
            </w:pPr>
          </w:p>
        </w:tc>
        <w:tc>
          <w:tcPr>
            <w:tcW w:w="1983" w:type="dxa"/>
            <w:vAlign w:val="top"/>
          </w:tcPr>
          <w:p w14:paraId="4095262E">
            <w:pPr>
              <w:rPr>
                <w:rFonts w:ascii="Arial"/>
                <w:color w:val="auto"/>
                <w:sz w:val="21"/>
                <w:highlight w:val="none"/>
              </w:rPr>
            </w:pPr>
          </w:p>
        </w:tc>
        <w:tc>
          <w:tcPr>
            <w:tcW w:w="847" w:type="dxa"/>
            <w:vAlign w:val="top"/>
          </w:tcPr>
          <w:p w14:paraId="21474F75">
            <w:pPr>
              <w:rPr>
                <w:rFonts w:ascii="Arial"/>
                <w:color w:val="auto"/>
                <w:sz w:val="21"/>
                <w:highlight w:val="none"/>
              </w:rPr>
            </w:pPr>
          </w:p>
        </w:tc>
        <w:tc>
          <w:tcPr>
            <w:tcW w:w="771" w:type="dxa"/>
            <w:vAlign w:val="top"/>
          </w:tcPr>
          <w:p w14:paraId="4680A929">
            <w:pPr>
              <w:rPr>
                <w:rFonts w:ascii="Arial"/>
                <w:color w:val="auto"/>
                <w:sz w:val="21"/>
                <w:highlight w:val="none"/>
              </w:rPr>
            </w:pPr>
          </w:p>
        </w:tc>
        <w:tc>
          <w:tcPr>
            <w:tcW w:w="1350" w:type="dxa"/>
            <w:vAlign w:val="top"/>
          </w:tcPr>
          <w:p w14:paraId="5570928D">
            <w:pPr>
              <w:rPr>
                <w:rFonts w:ascii="Arial"/>
                <w:color w:val="auto"/>
                <w:sz w:val="21"/>
                <w:highlight w:val="none"/>
              </w:rPr>
            </w:pPr>
          </w:p>
        </w:tc>
        <w:tc>
          <w:tcPr>
            <w:tcW w:w="1413" w:type="dxa"/>
            <w:vAlign w:val="top"/>
          </w:tcPr>
          <w:p w14:paraId="2CEE47B7">
            <w:pPr>
              <w:rPr>
                <w:rFonts w:ascii="Arial"/>
                <w:color w:val="auto"/>
                <w:sz w:val="21"/>
                <w:highlight w:val="none"/>
              </w:rPr>
            </w:pPr>
          </w:p>
        </w:tc>
        <w:tc>
          <w:tcPr>
            <w:tcW w:w="1717" w:type="dxa"/>
            <w:tcBorders>
              <w:right w:val="single" w:color="000000" w:sz="10" w:space="0"/>
            </w:tcBorders>
            <w:vAlign w:val="top"/>
          </w:tcPr>
          <w:p w14:paraId="3F85D9EC">
            <w:pPr>
              <w:rPr>
                <w:rFonts w:ascii="Arial"/>
                <w:color w:val="auto"/>
                <w:sz w:val="21"/>
                <w:highlight w:val="none"/>
              </w:rPr>
            </w:pPr>
          </w:p>
        </w:tc>
      </w:tr>
      <w:tr w14:paraId="2C2E5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09BE2D3">
            <w:pPr>
              <w:rPr>
                <w:rFonts w:ascii="Arial"/>
                <w:color w:val="auto"/>
                <w:sz w:val="21"/>
                <w:highlight w:val="none"/>
              </w:rPr>
            </w:pPr>
          </w:p>
        </w:tc>
        <w:tc>
          <w:tcPr>
            <w:tcW w:w="1983" w:type="dxa"/>
            <w:vAlign w:val="top"/>
          </w:tcPr>
          <w:p w14:paraId="69E18064">
            <w:pPr>
              <w:rPr>
                <w:rFonts w:ascii="Arial"/>
                <w:color w:val="auto"/>
                <w:sz w:val="21"/>
                <w:highlight w:val="none"/>
              </w:rPr>
            </w:pPr>
          </w:p>
        </w:tc>
        <w:tc>
          <w:tcPr>
            <w:tcW w:w="847" w:type="dxa"/>
            <w:vAlign w:val="top"/>
          </w:tcPr>
          <w:p w14:paraId="6AB0DDBA">
            <w:pPr>
              <w:rPr>
                <w:rFonts w:ascii="Arial"/>
                <w:color w:val="auto"/>
                <w:sz w:val="21"/>
                <w:highlight w:val="none"/>
              </w:rPr>
            </w:pPr>
          </w:p>
        </w:tc>
        <w:tc>
          <w:tcPr>
            <w:tcW w:w="771" w:type="dxa"/>
            <w:vAlign w:val="top"/>
          </w:tcPr>
          <w:p w14:paraId="597EB8D9">
            <w:pPr>
              <w:rPr>
                <w:rFonts w:ascii="Arial"/>
                <w:color w:val="auto"/>
                <w:sz w:val="21"/>
                <w:highlight w:val="none"/>
              </w:rPr>
            </w:pPr>
          </w:p>
        </w:tc>
        <w:tc>
          <w:tcPr>
            <w:tcW w:w="1350" w:type="dxa"/>
            <w:vAlign w:val="top"/>
          </w:tcPr>
          <w:p w14:paraId="7FE1414D">
            <w:pPr>
              <w:rPr>
                <w:rFonts w:ascii="Arial"/>
                <w:color w:val="auto"/>
                <w:sz w:val="21"/>
                <w:highlight w:val="none"/>
              </w:rPr>
            </w:pPr>
          </w:p>
        </w:tc>
        <w:tc>
          <w:tcPr>
            <w:tcW w:w="1413" w:type="dxa"/>
            <w:vAlign w:val="top"/>
          </w:tcPr>
          <w:p w14:paraId="01074B79">
            <w:pPr>
              <w:rPr>
                <w:rFonts w:ascii="Arial"/>
                <w:color w:val="auto"/>
                <w:sz w:val="21"/>
                <w:highlight w:val="none"/>
              </w:rPr>
            </w:pPr>
          </w:p>
        </w:tc>
        <w:tc>
          <w:tcPr>
            <w:tcW w:w="1717" w:type="dxa"/>
            <w:tcBorders>
              <w:right w:val="single" w:color="000000" w:sz="10" w:space="0"/>
            </w:tcBorders>
            <w:vAlign w:val="top"/>
          </w:tcPr>
          <w:p w14:paraId="5CF54E5A">
            <w:pPr>
              <w:rPr>
                <w:rFonts w:ascii="Arial"/>
                <w:color w:val="auto"/>
                <w:sz w:val="21"/>
                <w:highlight w:val="none"/>
              </w:rPr>
            </w:pPr>
          </w:p>
        </w:tc>
      </w:tr>
      <w:tr w14:paraId="20579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15547A4">
            <w:pPr>
              <w:rPr>
                <w:rFonts w:ascii="Arial"/>
                <w:color w:val="auto"/>
                <w:sz w:val="21"/>
                <w:highlight w:val="none"/>
              </w:rPr>
            </w:pPr>
          </w:p>
        </w:tc>
        <w:tc>
          <w:tcPr>
            <w:tcW w:w="1983" w:type="dxa"/>
            <w:vAlign w:val="top"/>
          </w:tcPr>
          <w:p w14:paraId="04C12EB0">
            <w:pPr>
              <w:rPr>
                <w:rFonts w:ascii="Arial"/>
                <w:color w:val="auto"/>
                <w:sz w:val="21"/>
                <w:highlight w:val="none"/>
              </w:rPr>
            </w:pPr>
          </w:p>
        </w:tc>
        <w:tc>
          <w:tcPr>
            <w:tcW w:w="847" w:type="dxa"/>
            <w:vAlign w:val="top"/>
          </w:tcPr>
          <w:p w14:paraId="3C5E777A">
            <w:pPr>
              <w:rPr>
                <w:rFonts w:ascii="Arial"/>
                <w:color w:val="auto"/>
                <w:sz w:val="21"/>
                <w:highlight w:val="none"/>
              </w:rPr>
            </w:pPr>
          </w:p>
        </w:tc>
        <w:tc>
          <w:tcPr>
            <w:tcW w:w="771" w:type="dxa"/>
            <w:vAlign w:val="top"/>
          </w:tcPr>
          <w:p w14:paraId="113DE714">
            <w:pPr>
              <w:rPr>
                <w:rFonts w:ascii="Arial"/>
                <w:color w:val="auto"/>
                <w:sz w:val="21"/>
                <w:highlight w:val="none"/>
              </w:rPr>
            </w:pPr>
          </w:p>
        </w:tc>
        <w:tc>
          <w:tcPr>
            <w:tcW w:w="1350" w:type="dxa"/>
            <w:vAlign w:val="top"/>
          </w:tcPr>
          <w:p w14:paraId="007DF16A">
            <w:pPr>
              <w:rPr>
                <w:rFonts w:ascii="Arial"/>
                <w:color w:val="auto"/>
                <w:sz w:val="21"/>
                <w:highlight w:val="none"/>
              </w:rPr>
            </w:pPr>
          </w:p>
        </w:tc>
        <w:tc>
          <w:tcPr>
            <w:tcW w:w="1413" w:type="dxa"/>
            <w:vAlign w:val="top"/>
          </w:tcPr>
          <w:p w14:paraId="77941036">
            <w:pPr>
              <w:rPr>
                <w:rFonts w:ascii="Arial"/>
                <w:color w:val="auto"/>
                <w:sz w:val="21"/>
                <w:highlight w:val="none"/>
              </w:rPr>
            </w:pPr>
          </w:p>
        </w:tc>
        <w:tc>
          <w:tcPr>
            <w:tcW w:w="1717" w:type="dxa"/>
            <w:tcBorders>
              <w:right w:val="single" w:color="000000" w:sz="10" w:space="0"/>
            </w:tcBorders>
            <w:vAlign w:val="top"/>
          </w:tcPr>
          <w:p w14:paraId="191824A0">
            <w:pPr>
              <w:rPr>
                <w:rFonts w:ascii="Arial"/>
                <w:color w:val="auto"/>
                <w:sz w:val="21"/>
                <w:highlight w:val="none"/>
              </w:rPr>
            </w:pPr>
          </w:p>
        </w:tc>
      </w:tr>
      <w:tr w14:paraId="78F26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9AA5F1F">
            <w:pPr>
              <w:rPr>
                <w:rFonts w:ascii="Arial"/>
                <w:color w:val="auto"/>
                <w:sz w:val="21"/>
                <w:highlight w:val="none"/>
              </w:rPr>
            </w:pPr>
          </w:p>
        </w:tc>
        <w:tc>
          <w:tcPr>
            <w:tcW w:w="1983" w:type="dxa"/>
            <w:vAlign w:val="top"/>
          </w:tcPr>
          <w:p w14:paraId="6E202DA6">
            <w:pPr>
              <w:rPr>
                <w:rFonts w:ascii="Arial"/>
                <w:color w:val="auto"/>
                <w:sz w:val="21"/>
                <w:highlight w:val="none"/>
              </w:rPr>
            </w:pPr>
          </w:p>
        </w:tc>
        <w:tc>
          <w:tcPr>
            <w:tcW w:w="847" w:type="dxa"/>
            <w:vAlign w:val="top"/>
          </w:tcPr>
          <w:p w14:paraId="75FEBE0F">
            <w:pPr>
              <w:rPr>
                <w:rFonts w:ascii="Arial"/>
                <w:color w:val="auto"/>
                <w:sz w:val="21"/>
                <w:highlight w:val="none"/>
              </w:rPr>
            </w:pPr>
          </w:p>
        </w:tc>
        <w:tc>
          <w:tcPr>
            <w:tcW w:w="771" w:type="dxa"/>
            <w:vAlign w:val="top"/>
          </w:tcPr>
          <w:p w14:paraId="578A0FA8">
            <w:pPr>
              <w:rPr>
                <w:rFonts w:ascii="Arial"/>
                <w:color w:val="auto"/>
                <w:sz w:val="21"/>
                <w:highlight w:val="none"/>
              </w:rPr>
            </w:pPr>
          </w:p>
        </w:tc>
        <w:tc>
          <w:tcPr>
            <w:tcW w:w="1350" w:type="dxa"/>
            <w:vAlign w:val="top"/>
          </w:tcPr>
          <w:p w14:paraId="783472FB">
            <w:pPr>
              <w:rPr>
                <w:rFonts w:ascii="Arial"/>
                <w:color w:val="auto"/>
                <w:sz w:val="21"/>
                <w:highlight w:val="none"/>
              </w:rPr>
            </w:pPr>
          </w:p>
        </w:tc>
        <w:tc>
          <w:tcPr>
            <w:tcW w:w="1413" w:type="dxa"/>
            <w:vAlign w:val="top"/>
          </w:tcPr>
          <w:p w14:paraId="3893F63E">
            <w:pPr>
              <w:rPr>
                <w:rFonts w:ascii="Arial"/>
                <w:color w:val="auto"/>
                <w:sz w:val="21"/>
                <w:highlight w:val="none"/>
              </w:rPr>
            </w:pPr>
          </w:p>
        </w:tc>
        <w:tc>
          <w:tcPr>
            <w:tcW w:w="1717" w:type="dxa"/>
            <w:tcBorders>
              <w:right w:val="single" w:color="000000" w:sz="10" w:space="0"/>
            </w:tcBorders>
            <w:vAlign w:val="top"/>
          </w:tcPr>
          <w:p w14:paraId="559E1F31">
            <w:pPr>
              <w:rPr>
                <w:rFonts w:ascii="Arial"/>
                <w:color w:val="auto"/>
                <w:sz w:val="21"/>
                <w:highlight w:val="none"/>
              </w:rPr>
            </w:pPr>
          </w:p>
        </w:tc>
      </w:tr>
      <w:tr w14:paraId="08A53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21E8B04F">
            <w:pPr>
              <w:rPr>
                <w:rFonts w:ascii="Arial"/>
                <w:color w:val="auto"/>
                <w:sz w:val="21"/>
                <w:highlight w:val="none"/>
              </w:rPr>
            </w:pPr>
          </w:p>
        </w:tc>
        <w:tc>
          <w:tcPr>
            <w:tcW w:w="1983" w:type="dxa"/>
            <w:tcBorders>
              <w:bottom w:val="single" w:color="000000" w:sz="10" w:space="0"/>
            </w:tcBorders>
            <w:vAlign w:val="top"/>
          </w:tcPr>
          <w:p w14:paraId="67720F17">
            <w:pPr>
              <w:rPr>
                <w:rFonts w:ascii="Arial"/>
                <w:color w:val="auto"/>
                <w:sz w:val="21"/>
                <w:highlight w:val="none"/>
              </w:rPr>
            </w:pPr>
          </w:p>
        </w:tc>
        <w:tc>
          <w:tcPr>
            <w:tcW w:w="847" w:type="dxa"/>
            <w:tcBorders>
              <w:bottom w:val="single" w:color="000000" w:sz="10" w:space="0"/>
            </w:tcBorders>
            <w:vAlign w:val="top"/>
          </w:tcPr>
          <w:p w14:paraId="33D72E10">
            <w:pPr>
              <w:rPr>
                <w:rFonts w:ascii="Arial"/>
                <w:color w:val="auto"/>
                <w:sz w:val="21"/>
                <w:highlight w:val="none"/>
              </w:rPr>
            </w:pPr>
          </w:p>
        </w:tc>
        <w:tc>
          <w:tcPr>
            <w:tcW w:w="771" w:type="dxa"/>
            <w:tcBorders>
              <w:bottom w:val="single" w:color="000000" w:sz="10" w:space="0"/>
            </w:tcBorders>
            <w:vAlign w:val="top"/>
          </w:tcPr>
          <w:p w14:paraId="08230344">
            <w:pPr>
              <w:rPr>
                <w:rFonts w:ascii="Arial"/>
                <w:color w:val="auto"/>
                <w:sz w:val="21"/>
                <w:highlight w:val="none"/>
              </w:rPr>
            </w:pPr>
          </w:p>
        </w:tc>
        <w:tc>
          <w:tcPr>
            <w:tcW w:w="1350" w:type="dxa"/>
            <w:tcBorders>
              <w:bottom w:val="single" w:color="000000" w:sz="10" w:space="0"/>
            </w:tcBorders>
            <w:vAlign w:val="top"/>
          </w:tcPr>
          <w:p w14:paraId="52D76DC2">
            <w:pPr>
              <w:rPr>
                <w:rFonts w:ascii="Arial"/>
                <w:color w:val="auto"/>
                <w:sz w:val="21"/>
                <w:highlight w:val="none"/>
              </w:rPr>
            </w:pPr>
          </w:p>
        </w:tc>
        <w:tc>
          <w:tcPr>
            <w:tcW w:w="1413" w:type="dxa"/>
            <w:tcBorders>
              <w:bottom w:val="single" w:color="000000" w:sz="10" w:space="0"/>
            </w:tcBorders>
            <w:vAlign w:val="top"/>
          </w:tcPr>
          <w:p w14:paraId="21943807">
            <w:pPr>
              <w:rPr>
                <w:rFonts w:ascii="Arial"/>
                <w:color w:val="auto"/>
                <w:sz w:val="21"/>
                <w:highlight w:val="none"/>
              </w:rPr>
            </w:pPr>
          </w:p>
        </w:tc>
        <w:tc>
          <w:tcPr>
            <w:tcW w:w="1717" w:type="dxa"/>
            <w:tcBorders>
              <w:bottom w:val="single" w:color="000000" w:sz="10" w:space="0"/>
              <w:right w:val="single" w:color="000000" w:sz="10" w:space="0"/>
            </w:tcBorders>
            <w:vAlign w:val="top"/>
          </w:tcPr>
          <w:p w14:paraId="6B0B0510">
            <w:pPr>
              <w:rPr>
                <w:rFonts w:ascii="Arial"/>
                <w:color w:val="auto"/>
                <w:sz w:val="21"/>
                <w:highlight w:val="none"/>
              </w:rPr>
            </w:pPr>
          </w:p>
        </w:tc>
      </w:tr>
    </w:tbl>
    <w:p w14:paraId="30CBEE96">
      <w:pPr>
        <w:pStyle w:val="3"/>
        <w:rPr>
          <w:color w:val="auto"/>
          <w:highlight w:val="none"/>
        </w:rPr>
      </w:pPr>
    </w:p>
    <w:p w14:paraId="24E984DF">
      <w:pPr>
        <w:rPr>
          <w:color w:val="auto"/>
          <w:highlight w:val="none"/>
        </w:rPr>
        <w:sectPr>
          <w:footerReference r:id="rId170" w:type="default"/>
          <w:pgSz w:w="11905" w:h="16839"/>
          <w:pgMar w:top="400" w:right="1114" w:bottom="1004" w:left="1680" w:header="0" w:footer="828" w:gutter="0"/>
          <w:pgNumType w:fmt="decimal"/>
          <w:cols w:space="720" w:num="1"/>
        </w:sectPr>
      </w:pPr>
    </w:p>
    <w:p w14:paraId="6EC41667">
      <w:pPr>
        <w:pStyle w:val="3"/>
        <w:spacing w:line="265" w:lineRule="auto"/>
        <w:rPr>
          <w:color w:val="auto"/>
          <w:highlight w:val="none"/>
        </w:rPr>
      </w:pPr>
    </w:p>
    <w:p w14:paraId="7567FA0B">
      <w:pPr>
        <w:pStyle w:val="3"/>
        <w:spacing w:line="265" w:lineRule="auto"/>
        <w:rPr>
          <w:color w:val="auto"/>
          <w:highlight w:val="none"/>
        </w:rPr>
      </w:pPr>
    </w:p>
    <w:p w14:paraId="03A02883">
      <w:pPr>
        <w:pStyle w:val="3"/>
        <w:spacing w:line="265" w:lineRule="auto"/>
        <w:rPr>
          <w:color w:val="auto"/>
          <w:highlight w:val="none"/>
        </w:rPr>
      </w:pPr>
    </w:p>
    <w:p w14:paraId="2BC20560">
      <w:pPr>
        <w:pStyle w:val="3"/>
        <w:spacing w:line="266" w:lineRule="auto"/>
        <w:rPr>
          <w:color w:val="auto"/>
          <w:highlight w:val="none"/>
        </w:rPr>
      </w:pPr>
    </w:p>
    <w:p w14:paraId="73234234">
      <w:pPr>
        <w:spacing w:before="88" w:line="225" w:lineRule="auto"/>
        <w:ind w:left="2847"/>
        <w:rPr>
          <w:rFonts w:ascii="黑体" w:hAnsi="黑体" w:eastAsia="黑体" w:cs="黑体"/>
          <w:color w:val="auto"/>
          <w:sz w:val="27"/>
          <w:szCs w:val="27"/>
          <w:highlight w:val="none"/>
        </w:rPr>
      </w:pPr>
      <w:bookmarkStart w:id="1289" w:name="bookmark235"/>
      <w:bookmarkEnd w:id="1289"/>
      <w:r>
        <w:rPr>
          <w:rFonts w:ascii="Times New Roman" w:hAnsi="Times New Roman" w:eastAsia="Times New Roman" w:cs="Times New Roman"/>
          <w:color w:val="auto"/>
          <w:spacing w:val="2"/>
          <w:sz w:val="24"/>
          <w:szCs w:val="24"/>
          <w:highlight w:val="none"/>
        </w:rPr>
        <w:t>11-2</w:t>
      </w:r>
      <w:r>
        <w:rPr>
          <w:rFonts w:ascii="宋体" w:hAnsi="宋体" w:eastAsia="宋体" w:cs="宋体"/>
          <w:color w:val="auto"/>
          <w:spacing w:val="2"/>
          <w:sz w:val="24"/>
          <w:szCs w:val="24"/>
          <w:highlight w:val="none"/>
        </w:rPr>
        <w:t>：</w:t>
      </w:r>
      <w:r>
        <w:rPr>
          <w:rFonts w:ascii="黑体" w:hAnsi="黑体" w:eastAsia="黑体" w:cs="黑体"/>
          <w:color w:val="auto"/>
          <w:spacing w:val="2"/>
          <w:sz w:val="27"/>
          <w:szCs w:val="27"/>
          <w:highlight w:val="none"/>
        </w:rPr>
        <w:t>工程设备暂估价表</w:t>
      </w:r>
    </w:p>
    <w:p w14:paraId="297D78D4">
      <w:pPr>
        <w:spacing w:line="117" w:lineRule="exact"/>
        <w:rPr>
          <w:color w:val="auto"/>
          <w:highlight w:val="none"/>
        </w:rPr>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75BF6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16A260B4">
            <w:pPr>
              <w:pStyle w:val="11"/>
              <w:spacing w:before="177" w:line="222" w:lineRule="auto"/>
              <w:ind w:left="290"/>
              <w:rPr>
                <w:color w:val="auto"/>
                <w:highlight w:val="none"/>
              </w:rPr>
            </w:pPr>
            <w:r>
              <w:rPr>
                <w:color w:val="auto"/>
                <w:spacing w:val="-2"/>
                <w:highlight w:val="none"/>
              </w:rPr>
              <w:t>序号</w:t>
            </w:r>
          </w:p>
        </w:tc>
        <w:tc>
          <w:tcPr>
            <w:tcW w:w="1983" w:type="dxa"/>
            <w:tcBorders>
              <w:top w:val="single" w:color="000000" w:sz="10" w:space="0"/>
            </w:tcBorders>
            <w:vAlign w:val="top"/>
          </w:tcPr>
          <w:p w14:paraId="51A8B273">
            <w:pPr>
              <w:pStyle w:val="11"/>
              <w:spacing w:before="177" w:line="223" w:lineRule="auto"/>
              <w:ind w:left="781"/>
              <w:rPr>
                <w:color w:val="auto"/>
                <w:highlight w:val="none"/>
              </w:rPr>
            </w:pPr>
            <w:r>
              <w:rPr>
                <w:color w:val="auto"/>
                <w:spacing w:val="-3"/>
                <w:highlight w:val="none"/>
              </w:rPr>
              <w:t>名称</w:t>
            </w:r>
          </w:p>
        </w:tc>
        <w:tc>
          <w:tcPr>
            <w:tcW w:w="847" w:type="dxa"/>
            <w:tcBorders>
              <w:top w:val="single" w:color="000000" w:sz="10" w:space="0"/>
            </w:tcBorders>
            <w:vAlign w:val="top"/>
          </w:tcPr>
          <w:p w14:paraId="4F411B43">
            <w:pPr>
              <w:pStyle w:val="11"/>
              <w:spacing w:before="177" w:line="221" w:lineRule="auto"/>
              <w:ind w:left="219"/>
              <w:rPr>
                <w:color w:val="auto"/>
                <w:highlight w:val="none"/>
              </w:rPr>
            </w:pPr>
            <w:r>
              <w:rPr>
                <w:color w:val="auto"/>
                <w:spacing w:val="-2"/>
                <w:highlight w:val="none"/>
              </w:rPr>
              <w:t>单位</w:t>
            </w:r>
          </w:p>
        </w:tc>
        <w:tc>
          <w:tcPr>
            <w:tcW w:w="771" w:type="dxa"/>
            <w:tcBorders>
              <w:top w:val="single" w:color="000000" w:sz="10" w:space="0"/>
            </w:tcBorders>
            <w:vAlign w:val="top"/>
          </w:tcPr>
          <w:p w14:paraId="24035889">
            <w:pPr>
              <w:pStyle w:val="11"/>
              <w:spacing w:before="177" w:line="221" w:lineRule="auto"/>
              <w:ind w:left="183"/>
              <w:rPr>
                <w:color w:val="auto"/>
                <w:highlight w:val="none"/>
              </w:rPr>
            </w:pPr>
            <w:r>
              <w:rPr>
                <w:color w:val="auto"/>
                <w:spacing w:val="-2"/>
                <w:highlight w:val="none"/>
              </w:rPr>
              <w:t>数量</w:t>
            </w:r>
          </w:p>
        </w:tc>
        <w:tc>
          <w:tcPr>
            <w:tcW w:w="1350" w:type="dxa"/>
            <w:tcBorders>
              <w:top w:val="single" w:color="000000" w:sz="10" w:space="0"/>
            </w:tcBorders>
            <w:vAlign w:val="top"/>
          </w:tcPr>
          <w:p w14:paraId="52166B03">
            <w:pPr>
              <w:pStyle w:val="11"/>
              <w:spacing w:before="177" w:line="219" w:lineRule="auto"/>
              <w:ind w:left="156"/>
              <w:rPr>
                <w:color w:val="auto"/>
                <w:highlight w:val="none"/>
              </w:rPr>
            </w:pPr>
            <w:r>
              <w:rPr>
                <w:color w:val="auto"/>
                <w:spacing w:val="-3"/>
                <w:highlight w:val="none"/>
              </w:rPr>
              <w:t>单价（元）</w:t>
            </w:r>
          </w:p>
        </w:tc>
        <w:tc>
          <w:tcPr>
            <w:tcW w:w="1413" w:type="dxa"/>
            <w:tcBorders>
              <w:top w:val="single" w:color="000000" w:sz="10" w:space="0"/>
            </w:tcBorders>
            <w:vAlign w:val="top"/>
          </w:tcPr>
          <w:p w14:paraId="61CAE009">
            <w:pPr>
              <w:pStyle w:val="11"/>
              <w:spacing w:before="177" w:line="219" w:lineRule="auto"/>
              <w:ind w:left="193"/>
              <w:rPr>
                <w:color w:val="auto"/>
                <w:highlight w:val="none"/>
              </w:rPr>
            </w:pPr>
            <w:r>
              <w:rPr>
                <w:color w:val="auto"/>
                <w:spacing w:val="-3"/>
                <w:highlight w:val="none"/>
              </w:rPr>
              <w:t>合价（元）</w:t>
            </w:r>
          </w:p>
        </w:tc>
        <w:tc>
          <w:tcPr>
            <w:tcW w:w="1717" w:type="dxa"/>
            <w:tcBorders>
              <w:top w:val="single" w:color="000000" w:sz="10" w:space="0"/>
              <w:right w:val="single" w:color="000000" w:sz="10" w:space="0"/>
            </w:tcBorders>
            <w:vAlign w:val="top"/>
          </w:tcPr>
          <w:p w14:paraId="297C7213">
            <w:pPr>
              <w:pStyle w:val="11"/>
              <w:spacing w:before="177" w:line="222" w:lineRule="auto"/>
              <w:ind w:left="659"/>
              <w:rPr>
                <w:color w:val="auto"/>
                <w:highlight w:val="none"/>
              </w:rPr>
            </w:pPr>
            <w:r>
              <w:rPr>
                <w:color w:val="auto"/>
                <w:spacing w:val="-3"/>
                <w:highlight w:val="none"/>
              </w:rPr>
              <w:t>备注</w:t>
            </w:r>
          </w:p>
        </w:tc>
      </w:tr>
      <w:tr w14:paraId="4FD17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71477B43">
            <w:pPr>
              <w:rPr>
                <w:rFonts w:ascii="Arial"/>
                <w:color w:val="auto"/>
                <w:sz w:val="21"/>
                <w:highlight w:val="none"/>
              </w:rPr>
            </w:pPr>
          </w:p>
        </w:tc>
        <w:tc>
          <w:tcPr>
            <w:tcW w:w="1983" w:type="dxa"/>
            <w:vAlign w:val="top"/>
          </w:tcPr>
          <w:p w14:paraId="26172C40">
            <w:pPr>
              <w:rPr>
                <w:rFonts w:ascii="Arial"/>
                <w:color w:val="auto"/>
                <w:sz w:val="21"/>
                <w:highlight w:val="none"/>
              </w:rPr>
            </w:pPr>
          </w:p>
        </w:tc>
        <w:tc>
          <w:tcPr>
            <w:tcW w:w="847" w:type="dxa"/>
            <w:vAlign w:val="top"/>
          </w:tcPr>
          <w:p w14:paraId="4B0489D5">
            <w:pPr>
              <w:rPr>
                <w:rFonts w:ascii="Arial"/>
                <w:color w:val="auto"/>
                <w:sz w:val="21"/>
                <w:highlight w:val="none"/>
              </w:rPr>
            </w:pPr>
          </w:p>
        </w:tc>
        <w:tc>
          <w:tcPr>
            <w:tcW w:w="771" w:type="dxa"/>
            <w:vAlign w:val="top"/>
          </w:tcPr>
          <w:p w14:paraId="64B81402">
            <w:pPr>
              <w:rPr>
                <w:rFonts w:ascii="Arial"/>
                <w:color w:val="auto"/>
                <w:sz w:val="21"/>
                <w:highlight w:val="none"/>
              </w:rPr>
            </w:pPr>
          </w:p>
        </w:tc>
        <w:tc>
          <w:tcPr>
            <w:tcW w:w="1350" w:type="dxa"/>
            <w:vAlign w:val="top"/>
          </w:tcPr>
          <w:p w14:paraId="0FC55789">
            <w:pPr>
              <w:rPr>
                <w:rFonts w:ascii="Arial"/>
                <w:color w:val="auto"/>
                <w:sz w:val="21"/>
                <w:highlight w:val="none"/>
              </w:rPr>
            </w:pPr>
          </w:p>
        </w:tc>
        <w:tc>
          <w:tcPr>
            <w:tcW w:w="1413" w:type="dxa"/>
            <w:vAlign w:val="top"/>
          </w:tcPr>
          <w:p w14:paraId="653DD43B">
            <w:pPr>
              <w:rPr>
                <w:rFonts w:ascii="Arial"/>
                <w:color w:val="auto"/>
                <w:sz w:val="21"/>
                <w:highlight w:val="none"/>
              </w:rPr>
            </w:pPr>
          </w:p>
        </w:tc>
        <w:tc>
          <w:tcPr>
            <w:tcW w:w="1717" w:type="dxa"/>
            <w:tcBorders>
              <w:right w:val="single" w:color="000000" w:sz="10" w:space="0"/>
            </w:tcBorders>
            <w:vAlign w:val="top"/>
          </w:tcPr>
          <w:p w14:paraId="2DEBC3FE">
            <w:pPr>
              <w:rPr>
                <w:rFonts w:ascii="Arial"/>
                <w:color w:val="auto"/>
                <w:sz w:val="21"/>
                <w:highlight w:val="none"/>
              </w:rPr>
            </w:pPr>
          </w:p>
        </w:tc>
      </w:tr>
      <w:tr w14:paraId="6EA5A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0C2C152B">
            <w:pPr>
              <w:rPr>
                <w:rFonts w:ascii="Arial"/>
                <w:color w:val="auto"/>
                <w:sz w:val="21"/>
                <w:highlight w:val="none"/>
              </w:rPr>
            </w:pPr>
          </w:p>
        </w:tc>
        <w:tc>
          <w:tcPr>
            <w:tcW w:w="1983" w:type="dxa"/>
            <w:vAlign w:val="top"/>
          </w:tcPr>
          <w:p w14:paraId="7A73469E">
            <w:pPr>
              <w:rPr>
                <w:rFonts w:ascii="Arial"/>
                <w:color w:val="auto"/>
                <w:sz w:val="21"/>
                <w:highlight w:val="none"/>
              </w:rPr>
            </w:pPr>
          </w:p>
        </w:tc>
        <w:tc>
          <w:tcPr>
            <w:tcW w:w="847" w:type="dxa"/>
            <w:vAlign w:val="top"/>
          </w:tcPr>
          <w:p w14:paraId="759FEA59">
            <w:pPr>
              <w:rPr>
                <w:rFonts w:ascii="Arial"/>
                <w:color w:val="auto"/>
                <w:sz w:val="21"/>
                <w:highlight w:val="none"/>
              </w:rPr>
            </w:pPr>
          </w:p>
        </w:tc>
        <w:tc>
          <w:tcPr>
            <w:tcW w:w="771" w:type="dxa"/>
            <w:vAlign w:val="top"/>
          </w:tcPr>
          <w:p w14:paraId="2D1D6D96">
            <w:pPr>
              <w:rPr>
                <w:rFonts w:ascii="Arial"/>
                <w:color w:val="auto"/>
                <w:sz w:val="21"/>
                <w:highlight w:val="none"/>
              </w:rPr>
            </w:pPr>
          </w:p>
        </w:tc>
        <w:tc>
          <w:tcPr>
            <w:tcW w:w="1350" w:type="dxa"/>
            <w:vAlign w:val="top"/>
          </w:tcPr>
          <w:p w14:paraId="4EC604EF">
            <w:pPr>
              <w:rPr>
                <w:rFonts w:ascii="Arial"/>
                <w:color w:val="auto"/>
                <w:sz w:val="21"/>
                <w:highlight w:val="none"/>
              </w:rPr>
            </w:pPr>
          </w:p>
        </w:tc>
        <w:tc>
          <w:tcPr>
            <w:tcW w:w="1413" w:type="dxa"/>
            <w:vAlign w:val="top"/>
          </w:tcPr>
          <w:p w14:paraId="0E6407CC">
            <w:pPr>
              <w:rPr>
                <w:rFonts w:ascii="Arial"/>
                <w:color w:val="auto"/>
                <w:sz w:val="21"/>
                <w:highlight w:val="none"/>
              </w:rPr>
            </w:pPr>
          </w:p>
        </w:tc>
        <w:tc>
          <w:tcPr>
            <w:tcW w:w="1717" w:type="dxa"/>
            <w:tcBorders>
              <w:right w:val="single" w:color="000000" w:sz="10" w:space="0"/>
            </w:tcBorders>
            <w:vAlign w:val="top"/>
          </w:tcPr>
          <w:p w14:paraId="1594EE6B">
            <w:pPr>
              <w:rPr>
                <w:rFonts w:ascii="Arial"/>
                <w:color w:val="auto"/>
                <w:sz w:val="21"/>
                <w:highlight w:val="none"/>
              </w:rPr>
            </w:pPr>
          </w:p>
        </w:tc>
      </w:tr>
      <w:tr w14:paraId="629AC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54E6EF6">
            <w:pPr>
              <w:rPr>
                <w:rFonts w:ascii="Arial"/>
                <w:color w:val="auto"/>
                <w:sz w:val="21"/>
                <w:highlight w:val="none"/>
              </w:rPr>
            </w:pPr>
          </w:p>
        </w:tc>
        <w:tc>
          <w:tcPr>
            <w:tcW w:w="1983" w:type="dxa"/>
            <w:vAlign w:val="top"/>
          </w:tcPr>
          <w:p w14:paraId="327F2B17">
            <w:pPr>
              <w:rPr>
                <w:rFonts w:ascii="Arial"/>
                <w:color w:val="auto"/>
                <w:sz w:val="21"/>
                <w:highlight w:val="none"/>
              </w:rPr>
            </w:pPr>
          </w:p>
        </w:tc>
        <w:tc>
          <w:tcPr>
            <w:tcW w:w="847" w:type="dxa"/>
            <w:vAlign w:val="top"/>
          </w:tcPr>
          <w:p w14:paraId="44E9C5C9">
            <w:pPr>
              <w:rPr>
                <w:rFonts w:ascii="Arial"/>
                <w:color w:val="auto"/>
                <w:sz w:val="21"/>
                <w:highlight w:val="none"/>
              </w:rPr>
            </w:pPr>
          </w:p>
        </w:tc>
        <w:tc>
          <w:tcPr>
            <w:tcW w:w="771" w:type="dxa"/>
            <w:vAlign w:val="top"/>
          </w:tcPr>
          <w:p w14:paraId="45786884">
            <w:pPr>
              <w:rPr>
                <w:rFonts w:ascii="Arial"/>
                <w:color w:val="auto"/>
                <w:sz w:val="21"/>
                <w:highlight w:val="none"/>
              </w:rPr>
            </w:pPr>
          </w:p>
        </w:tc>
        <w:tc>
          <w:tcPr>
            <w:tcW w:w="1350" w:type="dxa"/>
            <w:vAlign w:val="top"/>
          </w:tcPr>
          <w:p w14:paraId="3F13D3CF">
            <w:pPr>
              <w:rPr>
                <w:rFonts w:ascii="Arial"/>
                <w:color w:val="auto"/>
                <w:sz w:val="21"/>
                <w:highlight w:val="none"/>
              </w:rPr>
            </w:pPr>
          </w:p>
        </w:tc>
        <w:tc>
          <w:tcPr>
            <w:tcW w:w="1413" w:type="dxa"/>
            <w:vAlign w:val="top"/>
          </w:tcPr>
          <w:p w14:paraId="1434E60A">
            <w:pPr>
              <w:rPr>
                <w:rFonts w:ascii="Arial"/>
                <w:color w:val="auto"/>
                <w:sz w:val="21"/>
                <w:highlight w:val="none"/>
              </w:rPr>
            </w:pPr>
          </w:p>
        </w:tc>
        <w:tc>
          <w:tcPr>
            <w:tcW w:w="1717" w:type="dxa"/>
            <w:tcBorders>
              <w:right w:val="single" w:color="000000" w:sz="10" w:space="0"/>
            </w:tcBorders>
            <w:vAlign w:val="top"/>
          </w:tcPr>
          <w:p w14:paraId="30964802">
            <w:pPr>
              <w:rPr>
                <w:rFonts w:ascii="Arial"/>
                <w:color w:val="auto"/>
                <w:sz w:val="21"/>
                <w:highlight w:val="none"/>
              </w:rPr>
            </w:pPr>
          </w:p>
        </w:tc>
      </w:tr>
      <w:tr w14:paraId="01DE8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B71387C">
            <w:pPr>
              <w:rPr>
                <w:rFonts w:ascii="Arial"/>
                <w:color w:val="auto"/>
                <w:sz w:val="21"/>
                <w:highlight w:val="none"/>
              </w:rPr>
            </w:pPr>
          </w:p>
        </w:tc>
        <w:tc>
          <w:tcPr>
            <w:tcW w:w="1983" w:type="dxa"/>
            <w:vAlign w:val="top"/>
          </w:tcPr>
          <w:p w14:paraId="046676FE">
            <w:pPr>
              <w:rPr>
                <w:rFonts w:ascii="Arial"/>
                <w:color w:val="auto"/>
                <w:sz w:val="21"/>
                <w:highlight w:val="none"/>
              </w:rPr>
            </w:pPr>
          </w:p>
        </w:tc>
        <w:tc>
          <w:tcPr>
            <w:tcW w:w="847" w:type="dxa"/>
            <w:vAlign w:val="top"/>
          </w:tcPr>
          <w:p w14:paraId="12B7AF60">
            <w:pPr>
              <w:rPr>
                <w:rFonts w:ascii="Arial"/>
                <w:color w:val="auto"/>
                <w:sz w:val="21"/>
                <w:highlight w:val="none"/>
              </w:rPr>
            </w:pPr>
          </w:p>
        </w:tc>
        <w:tc>
          <w:tcPr>
            <w:tcW w:w="771" w:type="dxa"/>
            <w:vAlign w:val="top"/>
          </w:tcPr>
          <w:p w14:paraId="18EDD77B">
            <w:pPr>
              <w:rPr>
                <w:rFonts w:ascii="Arial"/>
                <w:color w:val="auto"/>
                <w:sz w:val="21"/>
                <w:highlight w:val="none"/>
              </w:rPr>
            </w:pPr>
          </w:p>
        </w:tc>
        <w:tc>
          <w:tcPr>
            <w:tcW w:w="1350" w:type="dxa"/>
            <w:vAlign w:val="top"/>
          </w:tcPr>
          <w:p w14:paraId="44CBA27C">
            <w:pPr>
              <w:rPr>
                <w:rFonts w:ascii="Arial"/>
                <w:color w:val="auto"/>
                <w:sz w:val="21"/>
                <w:highlight w:val="none"/>
              </w:rPr>
            </w:pPr>
          </w:p>
        </w:tc>
        <w:tc>
          <w:tcPr>
            <w:tcW w:w="1413" w:type="dxa"/>
            <w:vAlign w:val="top"/>
          </w:tcPr>
          <w:p w14:paraId="3EC66991">
            <w:pPr>
              <w:rPr>
                <w:rFonts w:ascii="Arial"/>
                <w:color w:val="auto"/>
                <w:sz w:val="21"/>
                <w:highlight w:val="none"/>
              </w:rPr>
            </w:pPr>
          </w:p>
        </w:tc>
        <w:tc>
          <w:tcPr>
            <w:tcW w:w="1717" w:type="dxa"/>
            <w:tcBorders>
              <w:right w:val="single" w:color="000000" w:sz="10" w:space="0"/>
            </w:tcBorders>
            <w:vAlign w:val="top"/>
          </w:tcPr>
          <w:p w14:paraId="55D62465">
            <w:pPr>
              <w:rPr>
                <w:rFonts w:ascii="Arial"/>
                <w:color w:val="auto"/>
                <w:sz w:val="21"/>
                <w:highlight w:val="none"/>
              </w:rPr>
            </w:pPr>
          </w:p>
        </w:tc>
      </w:tr>
      <w:tr w14:paraId="6F73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6CE4F1C">
            <w:pPr>
              <w:rPr>
                <w:rFonts w:ascii="Arial"/>
                <w:color w:val="auto"/>
                <w:sz w:val="21"/>
                <w:highlight w:val="none"/>
              </w:rPr>
            </w:pPr>
          </w:p>
        </w:tc>
        <w:tc>
          <w:tcPr>
            <w:tcW w:w="1983" w:type="dxa"/>
            <w:vAlign w:val="top"/>
          </w:tcPr>
          <w:p w14:paraId="6714D9E3">
            <w:pPr>
              <w:rPr>
                <w:rFonts w:ascii="Arial"/>
                <w:color w:val="auto"/>
                <w:sz w:val="21"/>
                <w:highlight w:val="none"/>
              </w:rPr>
            </w:pPr>
          </w:p>
        </w:tc>
        <w:tc>
          <w:tcPr>
            <w:tcW w:w="847" w:type="dxa"/>
            <w:vAlign w:val="top"/>
          </w:tcPr>
          <w:p w14:paraId="1C984763">
            <w:pPr>
              <w:rPr>
                <w:rFonts w:ascii="Arial"/>
                <w:color w:val="auto"/>
                <w:sz w:val="21"/>
                <w:highlight w:val="none"/>
              </w:rPr>
            </w:pPr>
          </w:p>
        </w:tc>
        <w:tc>
          <w:tcPr>
            <w:tcW w:w="771" w:type="dxa"/>
            <w:vAlign w:val="top"/>
          </w:tcPr>
          <w:p w14:paraId="0E0CDAD4">
            <w:pPr>
              <w:rPr>
                <w:rFonts w:ascii="Arial"/>
                <w:color w:val="auto"/>
                <w:sz w:val="21"/>
                <w:highlight w:val="none"/>
              </w:rPr>
            </w:pPr>
          </w:p>
        </w:tc>
        <w:tc>
          <w:tcPr>
            <w:tcW w:w="1350" w:type="dxa"/>
            <w:vAlign w:val="top"/>
          </w:tcPr>
          <w:p w14:paraId="391778F9">
            <w:pPr>
              <w:rPr>
                <w:rFonts w:ascii="Arial"/>
                <w:color w:val="auto"/>
                <w:sz w:val="21"/>
                <w:highlight w:val="none"/>
              </w:rPr>
            </w:pPr>
          </w:p>
        </w:tc>
        <w:tc>
          <w:tcPr>
            <w:tcW w:w="1413" w:type="dxa"/>
            <w:vAlign w:val="top"/>
          </w:tcPr>
          <w:p w14:paraId="7A54645A">
            <w:pPr>
              <w:rPr>
                <w:rFonts w:ascii="Arial"/>
                <w:color w:val="auto"/>
                <w:sz w:val="21"/>
                <w:highlight w:val="none"/>
              </w:rPr>
            </w:pPr>
          </w:p>
        </w:tc>
        <w:tc>
          <w:tcPr>
            <w:tcW w:w="1717" w:type="dxa"/>
            <w:tcBorders>
              <w:right w:val="single" w:color="000000" w:sz="10" w:space="0"/>
            </w:tcBorders>
            <w:vAlign w:val="top"/>
          </w:tcPr>
          <w:p w14:paraId="495C7AE9">
            <w:pPr>
              <w:rPr>
                <w:rFonts w:ascii="Arial"/>
                <w:color w:val="auto"/>
                <w:sz w:val="21"/>
                <w:highlight w:val="none"/>
              </w:rPr>
            </w:pPr>
          </w:p>
        </w:tc>
      </w:tr>
      <w:tr w14:paraId="111F1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3A3E6EC">
            <w:pPr>
              <w:rPr>
                <w:rFonts w:ascii="Arial"/>
                <w:color w:val="auto"/>
                <w:sz w:val="21"/>
                <w:highlight w:val="none"/>
              </w:rPr>
            </w:pPr>
          </w:p>
        </w:tc>
        <w:tc>
          <w:tcPr>
            <w:tcW w:w="1983" w:type="dxa"/>
            <w:vAlign w:val="top"/>
          </w:tcPr>
          <w:p w14:paraId="60CB05FE">
            <w:pPr>
              <w:rPr>
                <w:rFonts w:ascii="Arial"/>
                <w:color w:val="auto"/>
                <w:sz w:val="21"/>
                <w:highlight w:val="none"/>
              </w:rPr>
            </w:pPr>
          </w:p>
        </w:tc>
        <w:tc>
          <w:tcPr>
            <w:tcW w:w="847" w:type="dxa"/>
            <w:vAlign w:val="top"/>
          </w:tcPr>
          <w:p w14:paraId="4AF0C2F3">
            <w:pPr>
              <w:rPr>
                <w:rFonts w:ascii="Arial"/>
                <w:color w:val="auto"/>
                <w:sz w:val="21"/>
                <w:highlight w:val="none"/>
              </w:rPr>
            </w:pPr>
          </w:p>
        </w:tc>
        <w:tc>
          <w:tcPr>
            <w:tcW w:w="771" w:type="dxa"/>
            <w:vAlign w:val="top"/>
          </w:tcPr>
          <w:p w14:paraId="3C92F92A">
            <w:pPr>
              <w:rPr>
                <w:rFonts w:ascii="Arial"/>
                <w:color w:val="auto"/>
                <w:sz w:val="21"/>
                <w:highlight w:val="none"/>
              </w:rPr>
            </w:pPr>
          </w:p>
        </w:tc>
        <w:tc>
          <w:tcPr>
            <w:tcW w:w="1350" w:type="dxa"/>
            <w:vAlign w:val="top"/>
          </w:tcPr>
          <w:p w14:paraId="2C143E62">
            <w:pPr>
              <w:rPr>
                <w:rFonts w:ascii="Arial"/>
                <w:color w:val="auto"/>
                <w:sz w:val="21"/>
                <w:highlight w:val="none"/>
              </w:rPr>
            </w:pPr>
          </w:p>
        </w:tc>
        <w:tc>
          <w:tcPr>
            <w:tcW w:w="1413" w:type="dxa"/>
            <w:vAlign w:val="top"/>
          </w:tcPr>
          <w:p w14:paraId="66020DDB">
            <w:pPr>
              <w:rPr>
                <w:rFonts w:ascii="Arial"/>
                <w:color w:val="auto"/>
                <w:sz w:val="21"/>
                <w:highlight w:val="none"/>
              </w:rPr>
            </w:pPr>
          </w:p>
        </w:tc>
        <w:tc>
          <w:tcPr>
            <w:tcW w:w="1717" w:type="dxa"/>
            <w:tcBorders>
              <w:right w:val="single" w:color="000000" w:sz="10" w:space="0"/>
            </w:tcBorders>
            <w:vAlign w:val="top"/>
          </w:tcPr>
          <w:p w14:paraId="58A67BFD">
            <w:pPr>
              <w:rPr>
                <w:rFonts w:ascii="Arial"/>
                <w:color w:val="auto"/>
                <w:sz w:val="21"/>
                <w:highlight w:val="none"/>
              </w:rPr>
            </w:pPr>
          </w:p>
        </w:tc>
      </w:tr>
      <w:tr w14:paraId="4DF15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395C67A">
            <w:pPr>
              <w:rPr>
                <w:rFonts w:ascii="Arial"/>
                <w:color w:val="auto"/>
                <w:sz w:val="21"/>
                <w:highlight w:val="none"/>
              </w:rPr>
            </w:pPr>
          </w:p>
        </w:tc>
        <w:tc>
          <w:tcPr>
            <w:tcW w:w="1983" w:type="dxa"/>
            <w:vAlign w:val="top"/>
          </w:tcPr>
          <w:p w14:paraId="7247AF63">
            <w:pPr>
              <w:rPr>
                <w:rFonts w:ascii="Arial"/>
                <w:color w:val="auto"/>
                <w:sz w:val="21"/>
                <w:highlight w:val="none"/>
              </w:rPr>
            </w:pPr>
          </w:p>
        </w:tc>
        <w:tc>
          <w:tcPr>
            <w:tcW w:w="847" w:type="dxa"/>
            <w:vAlign w:val="top"/>
          </w:tcPr>
          <w:p w14:paraId="758ED350">
            <w:pPr>
              <w:rPr>
                <w:rFonts w:ascii="Arial"/>
                <w:color w:val="auto"/>
                <w:sz w:val="21"/>
                <w:highlight w:val="none"/>
              </w:rPr>
            </w:pPr>
          </w:p>
        </w:tc>
        <w:tc>
          <w:tcPr>
            <w:tcW w:w="771" w:type="dxa"/>
            <w:vAlign w:val="top"/>
          </w:tcPr>
          <w:p w14:paraId="0883005D">
            <w:pPr>
              <w:rPr>
                <w:rFonts w:ascii="Arial"/>
                <w:color w:val="auto"/>
                <w:sz w:val="21"/>
                <w:highlight w:val="none"/>
              </w:rPr>
            </w:pPr>
          </w:p>
        </w:tc>
        <w:tc>
          <w:tcPr>
            <w:tcW w:w="1350" w:type="dxa"/>
            <w:vAlign w:val="top"/>
          </w:tcPr>
          <w:p w14:paraId="3BA625A5">
            <w:pPr>
              <w:rPr>
                <w:rFonts w:ascii="Arial"/>
                <w:color w:val="auto"/>
                <w:sz w:val="21"/>
                <w:highlight w:val="none"/>
              </w:rPr>
            </w:pPr>
          </w:p>
        </w:tc>
        <w:tc>
          <w:tcPr>
            <w:tcW w:w="1413" w:type="dxa"/>
            <w:vAlign w:val="top"/>
          </w:tcPr>
          <w:p w14:paraId="3DE81FBD">
            <w:pPr>
              <w:rPr>
                <w:rFonts w:ascii="Arial"/>
                <w:color w:val="auto"/>
                <w:sz w:val="21"/>
                <w:highlight w:val="none"/>
              </w:rPr>
            </w:pPr>
          </w:p>
        </w:tc>
        <w:tc>
          <w:tcPr>
            <w:tcW w:w="1717" w:type="dxa"/>
            <w:tcBorders>
              <w:right w:val="single" w:color="000000" w:sz="10" w:space="0"/>
            </w:tcBorders>
            <w:vAlign w:val="top"/>
          </w:tcPr>
          <w:p w14:paraId="1542411D">
            <w:pPr>
              <w:rPr>
                <w:rFonts w:ascii="Arial"/>
                <w:color w:val="auto"/>
                <w:sz w:val="21"/>
                <w:highlight w:val="none"/>
              </w:rPr>
            </w:pPr>
          </w:p>
        </w:tc>
      </w:tr>
      <w:tr w14:paraId="37ECD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3AEF7FB">
            <w:pPr>
              <w:rPr>
                <w:rFonts w:ascii="Arial"/>
                <w:color w:val="auto"/>
                <w:sz w:val="21"/>
                <w:highlight w:val="none"/>
              </w:rPr>
            </w:pPr>
          </w:p>
        </w:tc>
        <w:tc>
          <w:tcPr>
            <w:tcW w:w="1983" w:type="dxa"/>
            <w:vAlign w:val="top"/>
          </w:tcPr>
          <w:p w14:paraId="181FE521">
            <w:pPr>
              <w:rPr>
                <w:rFonts w:ascii="Arial"/>
                <w:color w:val="auto"/>
                <w:sz w:val="21"/>
                <w:highlight w:val="none"/>
              </w:rPr>
            </w:pPr>
          </w:p>
        </w:tc>
        <w:tc>
          <w:tcPr>
            <w:tcW w:w="847" w:type="dxa"/>
            <w:vAlign w:val="top"/>
          </w:tcPr>
          <w:p w14:paraId="40D4B591">
            <w:pPr>
              <w:rPr>
                <w:rFonts w:ascii="Arial"/>
                <w:color w:val="auto"/>
                <w:sz w:val="21"/>
                <w:highlight w:val="none"/>
              </w:rPr>
            </w:pPr>
          </w:p>
        </w:tc>
        <w:tc>
          <w:tcPr>
            <w:tcW w:w="771" w:type="dxa"/>
            <w:vAlign w:val="top"/>
          </w:tcPr>
          <w:p w14:paraId="439A7C05">
            <w:pPr>
              <w:rPr>
                <w:rFonts w:ascii="Arial"/>
                <w:color w:val="auto"/>
                <w:sz w:val="21"/>
                <w:highlight w:val="none"/>
              </w:rPr>
            </w:pPr>
          </w:p>
        </w:tc>
        <w:tc>
          <w:tcPr>
            <w:tcW w:w="1350" w:type="dxa"/>
            <w:vAlign w:val="top"/>
          </w:tcPr>
          <w:p w14:paraId="18F9DE7D">
            <w:pPr>
              <w:rPr>
                <w:rFonts w:ascii="Arial"/>
                <w:color w:val="auto"/>
                <w:sz w:val="21"/>
                <w:highlight w:val="none"/>
              </w:rPr>
            </w:pPr>
          </w:p>
        </w:tc>
        <w:tc>
          <w:tcPr>
            <w:tcW w:w="1413" w:type="dxa"/>
            <w:vAlign w:val="top"/>
          </w:tcPr>
          <w:p w14:paraId="3EEDD548">
            <w:pPr>
              <w:rPr>
                <w:rFonts w:ascii="Arial"/>
                <w:color w:val="auto"/>
                <w:sz w:val="21"/>
                <w:highlight w:val="none"/>
              </w:rPr>
            </w:pPr>
          </w:p>
        </w:tc>
        <w:tc>
          <w:tcPr>
            <w:tcW w:w="1717" w:type="dxa"/>
            <w:tcBorders>
              <w:right w:val="single" w:color="000000" w:sz="10" w:space="0"/>
            </w:tcBorders>
            <w:vAlign w:val="top"/>
          </w:tcPr>
          <w:p w14:paraId="05071D36">
            <w:pPr>
              <w:rPr>
                <w:rFonts w:ascii="Arial"/>
                <w:color w:val="auto"/>
                <w:sz w:val="21"/>
                <w:highlight w:val="none"/>
              </w:rPr>
            </w:pPr>
          </w:p>
        </w:tc>
      </w:tr>
      <w:tr w14:paraId="61C05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266C4070">
            <w:pPr>
              <w:rPr>
                <w:rFonts w:ascii="Arial"/>
                <w:color w:val="auto"/>
                <w:sz w:val="21"/>
                <w:highlight w:val="none"/>
              </w:rPr>
            </w:pPr>
          </w:p>
        </w:tc>
        <w:tc>
          <w:tcPr>
            <w:tcW w:w="1983" w:type="dxa"/>
            <w:vAlign w:val="top"/>
          </w:tcPr>
          <w:p w14:paraId="3DD45FBA">
            <w:pPr>
              <w:rPr>
                <w:rFonts w:ascii="Arial"/>
                <w:color w:val="auto"/>
                <w:sz w:val="21"/>
                <w:highlight w:val="none"/>
              </w:rPr>
            </w:pPr>
          </w:p>
        </w:tc>
        <w:tc>
          <w:tcPr>
            <w:tcW w:w="847" w:type="dxa"/>
            <w:vAlign w:val="top"/>
          </w:tcPr>
          <w:p w14:paraId="4ABBF274">
            <w:pPr>
              <w:rPr>
                <w:rFonts w:ascii="Arial"/>
                <w:color w:val="auto"/>
                <w:sz w:val="21"/>
                <w:highlight w:val="none"/>
              </w:rPr>
            </w:pPr>
          </w:p>
        </w:tc>
        <w:tc>
          <w:tcPr>
            <w:tcW w:w="771" w:type="dxa"/>
            <w:vAlign w:val="top"/>
          </w:tcPr>
          <w:p w14:paraId="6EED4221">
            <w:pPr>
              <w:rPr>
                <w:rFonts w:ascii="Arial"/>
                <w:color w:val="auto"/>
                <w:sz w:val="21"/>
                <w:highlight w:val="none"/>
              </w:rPr>
            </w:pPr>
          </w:p>
        </w:tc>
        <w:tc>
          <w:tcPr>
            <w:tcW w:w="1350" w:type="dxa"/>
            <w:vAlign w:val="top"/>
          </w:tcPr>
          <w:p w14:paraId="26727011">
            <w:pPr>
              <w:rPr>
                <w:rFonts w:ascii="Arial"/>
                <w:color w:val="auto"/>
                <w:sz w:val="21"/>
                <w:highlight w:val="none"/>
              </w:rPr>
            </w:pPr>
          </w:p>
        </w:tc>
        <w:tc>
          <w:tcPr>
            <w:tcW w:w="1413" w:type="dxa"/>
            <w:vAlign w:val="top"/>
          </w:tcPr>
          <w:p w14:paraId="5DB80334">
            <w:pPr>
              <w:rPr>
                <w:rFonts w:ascii="Arial"/>
                <w:color w:val="auto"/>
                <w:sz w:val="21"/>
                <w:highlight w:val="none"/>
              </w:rPr>
            </w:pPr>
          </w:p>
        </w:tc>
        <w:tc>
          <w:tcPr>
            <w:tcW w:w="1717" w:type="dxa"/>
            <w:tcBorders>
              <w:right w:val="single" w:color="000000" w:sz="10" w:space="0"/>
            </w:tcBorders>
            <w:vAlign w:val="top"/>
          </w:tcPr>
          <w:p w14:paraId="739D9C0B">
            <w:pPr>
              <w:rPr>
                <w:rFonts w:ascii="Arial"/>
                <w:color w:val="auto"/>
                <w:sz w:val="21"/>
                <w:highlight w:val="none"/>
              </w:rPr>
            </w:pPr>
          </w:p>
        </w:tc>
      </w:tr>
      <w:tr w14:paraId="115FA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68C0535">
            <w:pPr>
              <w:rPr>
                <w:rFonts w:ascii="Arial"/>
                <w:color w:val="auto"/>
                <w:sz w:val="21"/>
                <w:highlight w:val="none"/>
              </w:rPr>
            </w:pPr>
          </w:p>
        </w:tc>
        <w:tc>
          <w:tcPr>
            <w:tcW w:w="1983" w:type="dxa"/>
            <w:vAlign w:val="top"/>
          </w:tcPr>
          <w:p w14:paraId="2DCCC6EA">
            <w:pPr>
              <w:rPr>
                <w:rFonts w:ascii="Arial"/>
                <w:color w:val="auto"/>
                <w:sz w:val="21"/>
                <w:highlight w:val="none"/>
              </w:rPr>
            </w:pPr>
          </w:p>
        </w:tc>
        <w:tc>
          <w:tcPr>
            <w:tcW w:w="847" w:type="dxa"/>
            <w:vAlign w:val="top"/>
          </w:tcPr>
          <w:p w14:paraId="1CC98177">
            <w:pPr>
              <w:rPr>
                <w:rFonts w:ascii="Arial"/>
                <w:color w:val="auto"/>
                <w:sz w:val="21"/>
                <w:highlight w:val="none"/>
              </w:rPr>
            </w:pPr>
          </w:p>
        </w:tc>
        <w:tc>
          <w:tcPr>
            <w:tcW w:w="771" w:type="dxa"/>
            <w:vAlign w:val="top"/>
          </w:tcPr>
          <w:p w14:paraId="206B8AAD">
            <w:pPr>
              <w:rPr>
                <w:rFonts w:ascii="Arial"/>
                <w:color w:val="auto"/>
                <w:sz w:val="21"/>
                <w:highlight w:val="none"/>
              </w:rPr>
            </w:pPr>
          </w:p>
        </w:tc>
        <w:tc>
          <w:tcPr>
            <w:tcW w:w="1350" w:type="dxa"/>
            <w:vAlign w:val="top"/>
          </w:tcPr>
          <w:p w14:paraId="249CA2F3">
            <w:pPr>
              <w:rPr>
                <w:rFonts w:ascii="Arial"/>
                <w:color w:val="auto"/>
                <w:sz w:val="21"/>
                <w:highlight w:val="none"/>
              </w:rPr>
            </w:pPr>
          </w:p>
        </w:tc>
        <w:tc>
          <w:tcPr>
            <w:tcW w:w="1413" w:type="dxa"/>
            <w:vAlign w:val="top"/>
          </w:tcPr>
          <w:p w14:paraId="1BECCB48">
            <w:pPr>
              <w:rPr>
                <w:rFonts w:ascii="Arial"/>
                <w:color w:val="auto"/>
                <w:sz w:val="21"/>
                <w:highlight w:val="none"/>
              </w:rPr>
            </w:pPr>
          </w:p>
        </w:tc>
        <w:tc>
          <w:tcPr>
            <w:tcW w:w="1717" w:type="dxa"/>
            <w:tcBorders>
              <w:right w:val="single" w:color="000000" w:sz="10" w:space="0"/>
            </w:tcBorders>
            <w:vAlign w:val="top"/>
          </w:tcPr>
          <w:p w14:paraId="5FCDFD82">
            <w:pPr>
              <w:rPr>
                <w:rFonts w:ascii="Arial"/>
                <w:color w:val="auto"/>
                <w:sz w:val="21"/>
                <w:highlight w:val="none"/>
              </w:rPr>
            </w:pPr>
          </w:p>
        </w:tc>
      </w:tr>
      <w:tr w14:paraId="0A1F6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0A21CA8">
            <w:pPr>
              <w:rPr>
                <w:rFonts w:ascii="Arial"/>
                <w:color w:val="auto"/>
                <w:sz w:val="21"/>
                <w:highlight w:val="none"/>
              </w:rPr>
            </w:pPr>
          </w:p>
        </w:tc>
        <w:tc>
          <w:tcPr>
            <w:tcW w:w="1983" w:type="dxa"/>
            <w:vAlign w:val="top"/>
          </w:tcPr>
          <w:p w14:paraId="5B3C8A3A">
            <w:pPr>
              <w:rPr>
                <w:rFonts w:ascii="Arial"/>
                <w:color w:val="auto"/>
                <w:sz w:val="21"/>
                <w:highlight w:val="none"/>
              </w:rPr>
            </w:pPr>
          </w:p>
        </w:tc>
        <w:tc>
          <w:tcPr>
            <w:tcW w:w="847" w:type="dxa"/>
            <w:vAlign w:val="top"/>
          </w:tcPr>
          <w:p w14:paraId="10757D63">
            <w:pPr>
              <w:rPr>
                <w:rFonts w:ascii="Arial"/>
                <w:color w:val="auto"/>
                <w:sz w:val="21"/>
                <w:highlight w:val="none"/>
              </w:rPr>
            </w:pPr>
          </w:p>
        </w:tc>
        <w:tc>
          <w:tcPr>
            <w:tcW w:w="771" w:type="dxa"/>
            <w:vAlign w:val="top"/>
          </w:tcPr>
          <w:p w14:paraId="1A906AE5">
            <w:pPr>
              <w:rPr>
                <w:rFonts w:ascii="Arial"/>
                <w:color w:val="auto"/>
                <w:sz w:val="21"/>
                <w:highlight w:val="none"/>
              </w:rPr>
            </w:pPr>
          </w:p>
        </w:tc>
        <w:tc>
          <w:tcPr>
            <w:tcW w:w="1350" w:type="dxa"/>
            <w:vAlign w:val="top"/>
          </w:tcPr>
          <w:p w14:paraId="7D5C416B">
            <w:pPr>
              <w:rPr>
                <w:rFonts w:ascii="Arial"/>
                <w:color w:val="auto"/>
                <w:sz w:val="21"/>
                <w:highlight w:val="none"/>
              </w:rPr>
            </w:pPr>
          </w:p>
        </w:tc>
        <w:tc>
          <w:tcPr>
            <w:tcW w:w="1413" w:type="dxa"/>
            <w:vAlign w:val="top"/>
          </w:tcPr>
          <w:p w14:paraId="081FD00D">
            <w:pPr>
              <w:rPr>
                <w:rFonts w:ascii="Arial"/>
                <w:color w:val="auto"/>
                <w:sz w:val="21"/>
                <w:highlight w:val="none"/>
              </w:rPr>
            </w:pPr>
          </w:p>
        </w:tc>
        <w:tc>
          <w:tcPr>
            <w:tcW w:w="1717" w:type="dxa"/>
            <w:tcBorders>
              <w:right w:val="single" w:color="000000" w:sz="10" w:space="0"/>
            </w:tcBorders>
            <w:vAlign w:val="top"/>
          </w:tcPr>
          <w:p w14:paraId="182F4BBF">
            <w:pPr>
              <w:rPr>
                <w:rFonts w:ascii="Arial"/>
                <w:color w:val="auto"/>
                <w:sz w:val="21"/>
                <w:highlight w:val="none"/>
              </w:rPr>
            </w:pPr>
          </w:p>
        </w:tc>
      </w:tr>
      <w:tr w14:paraId="24C3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6743C54">
            <w:pPr>
              <w:rPr>
                <w:rFonts w:ascii="Arial"/>
                <w:color w:val="auto"/>
                <w:sz w:val="21"/>
                <w:highlight w:val="none"/>
              </w:rPr>
            </w:pPr>
          </w:p>
        </w:tc>
        <w:tc>
          <w:tcPr>
            <w:tcW w:w="1983" w:type="dxa"/>
            <w:vAlign w:val="top"/>
          </w:tcPr>
          <w:p w14:paraId="6372982E">
            <w:pPr>
              <w:rPr>
                <w:rFonts w:ascii="Arial"/>
                <w:color w:val="auto"/>
                <w:sz w:val="21"/>
                <w:highlight w:val="none"/>
              </w:rPr>
            </w:pPr>
          </w:p>
        </w:tc>
        <w:tc>
          <w:tcPr>
            <w:tcW w:w="847" w:type="dxa"/>
            <w:vAlign w:val="top"/>
          </w:tcPr>
          <w:p w14:paraId="066DCA37">
            <w:pPr>
              <w:rPr>
                <w:rFonts w:ascii="Arial"/>
                <w:color w:val="auto"/>
                <w:sz w:val="21"/>
                <w:highlight w:val="none"/>
              </w:rPr>
            </w:pPr>
          </w:p>
        </w:tc>
        <w:tc>
          <w:tcPr>
            <w:tcW w:w="771" w:type="dxa"/>
            <w:vAlign w:val="top"/>
          </w:tcPr>
          <w:p w14:paraId="5522F68D">
            <w:pPr>
              <w:rPr>
                <w:rFonts w:ascii="Arial"/>
                <w:color w:val="auto"/>
                <w:sz w:val="21"/>
                <w:highlight w:val="none"/>
              </w:rPr>
            </w:pPr>
          </w:p>
        </w:tc>
        <w:tc>
          <w:tcPr>
            <w:tcW w:w="1350" w:type="dxa"/>
            <w:vAlign w:val="top"/>
          </w:tcPr>
          <w:p w14:paraId="0A0C3E2F">
            <w:pPr>
              <w:rPr>
                <w:rFonts w:ascii="Arial"/>
                <w:color w:val="auto"/>
                <w:sz w:val="21"/>
                <w:highlight w:val="none"/>
              </w:rPr>
            </w:pPr>
          </w:p>
        </w:tc>
        <w:tc>
          <w:tcPr>
            <w:tcW w:w="1413" w:type="dxa"/>
            <w:vAlign w:val="top"/>
          </w:tcPr>
          <w:p w14:paraId="54A2EA81">
            <w:pPr>
              <w:rPr>
                <w:rFonts w:ascii="Arial"/>
                <w:color w:val="auto"/>
                <w:sz w:val="21"/>
                <w:highlight w:val="none"/>
              </w:rPr>
            </w:pPr>
          </w:p>
        </w:tc>
        <w:tc>
          <w:tcPr>
            <w:tcW w:w="1717" w:type="dxa"/>
            <w:tcBorders>
              <w:right w:val="single" w:color="000000" w:sz="10" w:space="0"/>
            </w:tcBorders>
            <w:vAlign w:val="top"/>
          </w:tcPr>
          <w:p w14:paraId="02254F39">
            <w:pPr>
              <w:rPr>
                <w:rFonts w:ascii="Arial"/>
                <w:color w:val="auto"/>
                <w:sz w:val="21"/>
                <w:highlight w:val="none"/>
              </w:rPr>
            </w:pPr>
          </w:p>
        </w:tc>
      </w:tr>
      <w:tr w14:paraId="0872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F17BD6B">
            <w:pPr>
              <w:rPr>
                <w:rFonts w:ascii="Arial"/>
                <w:color w:val="auto"/>
                <w:sz w:val="21"/>
                <w:highlight w:val="none"/>
              </w:rPr>
            </w:pPr>
          </w:p>
        </w:tc>
        <w:tc>
          <w:tcPr>
            <w:tcW w:w="1983" w:type="dxa"/>
            <w:vAlign w:val="top"/>
          </w:tcPr>
          <w:p w14:paraId="256E6E49">
            <w:pPr>
              <w:rPr>
                <w:rFonts w:ascii="Arial"/>
                <w:color w:val="auto"/>
                <w:sz w:val="21"/>
                <w:highlight w:val="none"/>
              </w:rPr>
            </w:pPr>
          </w:p>
        </w:tc>
        <w:tc>
          <w:tcPr>
            <w:tcW w:w="847" w:type="dxa"/>
            <w:vAlign w:val="top"/>
          </w:tcPr>
          <w:p w14:paraId="3C4F0C42">
            <w:pPr>
              <w:rPr>
                <w:rFonts w:ascii="Arial"/>
                <w:color w:val="auto"/>
                <w:sz w:val="21"/>
                <w:highlight w:val="none"/>
              </w:rPr>
            </w:pPr>
          </w:p>
        </w:tc>
        <w:tc>
          <w:tcPr>
            <w:tcW w:w="771" w:type="dxa"/>
            <w:vAlign w:val="top"/>
          </w:tcPr>
          <w:p w14:paraId="2610C1E2">
            <w:pPr>
              <w:rPr>
                <w:rFonts w:ascii="Arial"/>
                <w:color w:val="auto"/>
                <w:sz w:val="21"/>
                <w:highlight w:val="none"/>
              </w:rPr>
            </w:pPr>
          </w:p>
        </w:tc>
        <w:tc>
          <w:tcPr>
            <w:tcW w:w="1350" w:type="dxa"/>
            <w:vAlign w:val="top"/>
          </w:tcPr>
          <w:p w14:paraId="646F22B1">
            <w:pPr>
              <w:rPr>
                <w:rFonts w:ascii="Arial"/>
                <w:color w:val="auto"/>
                <w:sz w:val="21"/>
                <w:highlight w:val="none"/>
              </w:rPr>
            </w:pPr>
          </w:p>
        </w:tc>
        <w:tc>
          <w:tcPr>
            <w:tcW w:w="1413" w:type="dxa"/>
            <w:vAlign w:val="top"/>
          </w:tcPr>
          <w:p w14:paraId="04EAB497">
            <w:pPr>
              <w:rPr>
                <w:rFonts w:ascii="Arial"/>
                <w:color w:val="auto"/>
                <w:sz w:val="21"/>
                <w:highlight w:val="none"/>
              </w:rPr>
            </w:pPr>
          </w:p>
        </w:tc>
        <w:tc>
          <w:tcPr>
            <w:tcW w:w="1717" w:type="dxa"/>
            <w:tcBorders>
              <w:right w:val="single" w:color="000000" w:sz="10" w:space="0"/>
            </w:tcBorders>
            <w:vAlign w:val="top"/>
          </w:tcPr>
          <w:p w14:paraId="3F1C5364">
            <w:pPr>
              <w:rPr>
                <w:rFonts w:ascii="Arial"/>
                <w:color w:val="auto"/>
                <w:sz w:val="21"/>
                <w:highlight w:val="none"/>
              </w:rPr>
            </w:pPr>
          </w:p>
        </w:tc>
      </w:tr>
      <w:tr w14:paraId="24DAB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B039874">
            <w:pPr>
              <w:rPr>
                <w:rFonts w:ascii="Arial"/>
                <w:color w:val="auto"/>
                <w:sz w:val="21"/>
                <w:highlight w:val="none"/>
              </w:rPr>
            </w:pPr>
          </w:p>
        </w:tc>
        <w:tc>
          <w:tcPr>
            <w:tcW w:w="1983" w:type="dxa"/>
            <w:vAlign w:val="top"/>
          </w:tcPr>
          <w:p w14:paraId="22942A84">
            <w:pPr>
              <w:rPr>
                <w:rFonts w:ascii="Arial"/>
                <w:color w:val="auto"/>
                <w:sz w:val="21"/>
                <w:highlight w:val="none"/>
              </w:rPr>
            </w:pPr>
          </w:p>
        </w:tc>
        <w:tc>
          <w:tcPr>
            <w:tcW w:w="847" w:type="dxa"/>
            <w:vAlign w:val="top"/>
          </w:tcPr>
          <w:p w14:paraId="6C386774">
            <w:pPr>
              <w:rPr>
                <w:rFonts w:ascii="Arial"/>
                <w:color w:val="auto"/>
                <w:sz w:val="21"/>
                <w:highlight w:val="none"/>
              </w:rPr>
            </w:pPr>
          </w:p>
        </w:tc>
        <w:tc>
          <w:tcPr>
            <w:tcW w:w="771" w:type="dxa"/>
            <w:vAlign w:val="top"/>
          </w:tcPr>
          <w:p w14:paraId="7AFD7195">
            <w:pPr>
              <w:rPr>
                <w:rFonts w:ascii="Arial"/>
                <w:color w:val="auto"/>
                <w:sz w:val="21"/>
                <w:highlight w:val="none"/>
              </w:rPr>
            </w:pPr>
          </w:p>
        </w:tc>
        <w:tc>
          <w:tcPr>
            <w:tcW w:w="1350" w:type="dxa"/>
            <w:vAlign w:val="top"/>
          </w:tcPr>
          <w:p w14:paraId="66CB7343">
            <w:pPr>
              <w:rPr>
                <w:rFonts w:ascii="Arial"/>
                <w:color w:val="auto"/>
                <w:sz w:val="21"/>
                <w:highlight w:val="none"/>
              </w:rPr>
            </w:pPr>
          </w:p>
        </w:tc>
        <w:tc>
          <w:tcPr>
            <w:tcW w:w="1413" w:type="dxa"/>
            <w:vAlign w:val="top"/>
          </w:tcPr>
          <w:p w14:paraId="7FA62771">
            <w:pPr>
              <w:rPr>
                <w:rFonts w:ascii="Arial"/>
                <w:color w:val="auto"/>
                <w:sz w:val="21"/>
                <w:highlight w:val="none"/>
              </w:rPr>
            </w:pPr>
          </w:p>
        </w:tc>
        <w:tc>
          <w:tcPr>
            <w:tcW w:w="1717" w:type="dxa"/>
            <w:tcBorders>
              <w:right w:val="single" w:color="000000" w:sz="10" w:space="0"/>
            </w:tcBorders>
            <w:vAlign w:val="top"/>
          </w:tcPr>
          <w:p w14:paraId="62A95FB4">
            <w:pPr>
              <w:rPr>
                <w:rFonts w:ascii="Arial"/>
                <w:color w:val="auto"/>
                <w:sz w:val="21"/>
                <w:highlight w:val="none"/>
              </w:rPr>
            </w:pPr>
          </w:p>
        </w:tc>
      </w:tr>
      <w:tr w14:paraId="59748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56516E6">
            <w:pPr>
              <w:rPr>
                <w:rFonts w:ascii="Arial"/>
                <w:color w:val="auto"/>
                <w:sz w:val="21"/>
                <w:highlight w:val="none"/>
              </w:rPr>
            </w:pPr>
          </w:p>
        </w:tc>
        <w:tc>
          <w:tcPr>
            <w:tcW w:w="1983" w:type="dxa"/>
            <w:vAlign w:val="top"/>
          </w:tcPr>
          <w:p w14:paraId="2BAFB119">
            <w:pPr>
              <w:rPr>
                <w:rFonts w:ascii="Arial"/>
                <w:color w:val="auto"/>
                <w:sz w:val="21"/>
                <w:highlight w:val="none"/>
              </w:rPr>
            </w:pPr>
          </w:p>
        </w:tc>
        <w:tc>
          <w:tcPr>
            <w:tcW w:w="847" w:type="dxa"/>
            <w:vAlign w:val="top"/>
          </w:tcPr>
          <w:p w14:paraId="5A04D0FE">
            <w:pPr>
              <w:rPr>
                <w:rFonts w:ascii="Arial"/>
                <w:color w:val="auto"/>
                <w:sz w:val="21"/>
                <w:highlight w:val="none"/>
              </w:rPr>
            </w:pPr>
          </w:p>
        </w:tc>
        <w:tc>
          <w:tcPr>
            <w:tcW w:w="771" w:type="dxa"/>
            <w:vAlign w:val="top"/>
          </w:tcPr>
          <w:p w14:paraId="3F642F2A">
            <w:pPr>
              <w:rPr>
                <w:rFonts w:ascii="Arial"/>
                <w:color w:val="auto"/>
                <w:sz w:val="21"/>
                <w:highlight w:val="none"/>
              </w:rPr>
            </w:pPr>
          </w:p>
        </w:tc>
        <w:tc>
          <w:tcPr>
            <w:tcW w:w="1350" w:type="dxa"/>
            <w:vAlign w:val="top"/>
          </w:tcPr>
          <w:p w14:paraId="3ED37DA0">
            <w:pPr>
              <w:rPr>
                <w:rFonts w:ascii="Arial"/>
                <w:color w:val="auto"/>
                <w:sz w:val="21"/>
                <w:highlight w:val="none"/>
              </w:rPr>
            </w:pPr>
          </w:p>
        </w:tc>
        <w:tc>
          <w:tcPr>
            <w:tcW w:w="1413" w:type="dxa"/>
            <w:vAlign w:val="top"/>
          </w:tcPr>
          <w:p w14:paraId="1ECB9B81">
            <w:pPr>
              <w:rPr>
                <w:rFonts w:ascii="Arial"/>
                <w:color w:val="auto"/>
                <w:sz w:val="21"/>
                <w:highlight w:val="none"/>
              </w:rPr>
            </w:pPr>
          </w:p>
        </w:tc>
        <w:tc>
          <w:tcPr>
            <w:tcW w:w="1717" w:type="dxa"/>
            <w:tcBorders>
              <w:right w:val="single" w:color="000000" w:sz="10" w:space="0"/>
            </w:tcBorders>
            <w:vAlign w:val="top"/>
          </w:tcPr>
          <w:p w14:paraId="4652CD6D">
            <w:pPr>
              <w:rPr>
                <w:rFonts w:ascii="Arial"/>
                <w:color w:val="auto"/>
                <w:sz w:val="21"/>
                <w:highlight w:val="none"/>
              </w:rPr>
            </w:pPr>
          </w:p>
        </w:tc>
      </w:tr>
      <w:tr w14:paraId="0978B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65C631B">
            <w:pPr>
              <w:rPr>
                <w:rFonts w:ascii="Arial"/>
                <w:color w:val="auto"/>
                <w:sz w:val="21"/>
                <w:highlight w:val="none"/>
              </w:rPr>
            </w:pPr>
          </w:p>
        </w:tc>
        <w:tc>
          <w:tcPr>
            <w:tcW w:w="1983" w:type="dxa"/>
            <w:vAlign w:val="top"/>
          </w:tcPr>
          <w:p w14:paraId="5EFED994">
            <w:pPr>
              <w:rPr>
                <w:rFonts w:ascii="Arial"/>
                <w:color w:val="auto"/>
                <w:sz w:val="21"/>
                <w:highlight w:val="none"/>
              </w:rPr>
            </w:pPr>
          </w:p>
        </w:tc>
        <w:tc>
          <w:tcPr>
            <w:tcW w:w="847" w:type="dxa"/>
            <w:vAlign w:val="top"/>
          </w:tcPr>
          <w:p w14:paraId="7C0BE703">
            <w:pPr>
              <w:rPr>
                <w:rFonts w:ascii="Arial"/>
                <w:color w:val="auto"/>
                <w:sz w:val="21"/>
                <w:highlight w:val="none"/>
              </w:rPr>
            </w:pPr>
          </w:p>
        </w:tc>
        <w:tc>
          <w:tcPr>
            <w:tcW w:w="771" w:type="dxa"/>
            <w:vAlign w:val="top"/>
          </w:tcPr>
          <w:p w14:paraId="5402BCEE">
            <w:pPr>
              <w:rPr>
                <w:rFonts w:ascii="Arial"/>
                <w:color w:val="auto"/>
                <w:sz w:val="21"/>
                <w:highlight w:val="none"/>
              </w:rPr>
            </w:pPr>
          </w:p>
        </w:tc>
        <w:tc>
          <w:tcPr>
            <w:tcW w:w="1350" w:type="dxa"/>
            <w:vAlign w:val="top"/>
          </w:tcPr>
          <w:p w14:paraId="2C7117DC">
            <w:pPr>
              <w:rPr>
                <w:rFonts w:ascii="Arial"/>
                <w:color w:val="auto"/>
                <w:sz w:val="21"/>
                <w:highlight w:val="none"/>
              </w:rPr>
            </w:pPr>
          </w:p>
        </w:tc>
        <w:tc>
          <w:tcPr>
            <w:tcW w:w="1413" w:type="dxa"/>
            <w:vAlign w:val="top"/>
          </w:tcPr>
          <w:p w14:paraId="381BA837">
            <w:pPr>
              <w:rPr>
                <w:rFonts w:ascii="Arial"/>
                <w:color w:val="auto"/>
                <w:sz w:val="21"/>
                <w:highlight w:val="none"/>
              </w:rPr>
            </w:pPr>
          </w:p>
        </w:tc>
        <w:tc>
          <w:tcPr>
            <w:tcW w:w="1717" w:type="dxa"/>
            <w:tcBorders>
              <w:right w:val="single" w:color="000000" w:sz="10" w:space="0"/>
            </w:tcBorders>
            <w:vAlign w:val="top"/>
          </w:tcPr>
          <w:p w14:paraId="7E285D9C">
            <w:pPr>
              <w:rPr>
                <w:rFonts w:ascii="Arial"/>
                <w:color w:val="auto"/>
                <w:sz w:val="21"/>
                <w:highlight w:val="none"/>
              </w:rPr>
            </w:pPr>
          </w:p>
        </w:tc>
      </w:tr>
      <w:tr w14:paraId="27D07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5E80DD8A">
            <w:pPr>
              <w:rPr>
                <w:rFonts w:ascii="Arial"/>
                <w:color w:val="auto"/>
                <w:sz w:val="21"/>
                <w:highlight w:val="none"/>
              </w:rPr>
            </w:pPr>
          </w:p>
        </w:tc>
        <w:tc>
          <w:tcPr>
            <w:tcW w:w="1983" w:type="dxa"/>
            <w:vAlign w:val="top"/>
          </w:tcPr>
          <w:p w14:paraId="6A00E8BA">
            <w:pPr>
              <w:rPr>
                <w:rFonts w:ascii="Arial"/>
                <w:color w:val="auto"/>
                <w:sz w:val="21"/>
                <w:highlight w:val="none"/>
              </w:rPr>
            </w:pPr>
          </w:p>
        </w:tc>
        <w:tc>
          <w:tcPr>
            <w:tcW w:w="847" w:type="dxa"/>
            <w:vAlign w:val="top"/>
          </w:tcPr>
          <w:p w14:paraId="7F40D73D">
            <w:pPr>
              <w:rPr>
                <w:rFonts w:ascii="Arial"/>
                <w:color w:val="auto"/>
                <w:sz w:val="21"/>
                <w:highlight w:val="none"/>
              </w:rPr>
            </w:pPr>
          </w:p>
        </w:tc>
        <w:tc>
          <w:tcPr>
            <w:tcW w:w="771" w:type="dxa"/>
            <w:vAlign w:val="top"/>
          </w:tcPr>
          <w:p w14:paraId="1CB039A6">
            <w:pPr>
              <w:rPr>
                <w:rFonts w:ascii="Arial"/>
                <w:color w:val="auto"/>
                <w:sz w:val="21"/>
                <w:highlight w:val="none"/>
              </w:rPr>
            </w:pPr>
          </w:p>
        </w:tc>
        <w:tc>
          <w:tcPr>
            <w:tcW w:w="1350" w:type="dxa"/>
            <w:vAlign w:val="top"/>
          </w:tcPr>
          <w:p w14:paraId="790ECA8D">
            <w:pPr>
              <w:rPr>
                <w:rFonts w:ascii="Arial"/>
                <w:color w:val="auto"/>
                <w:sz w:val="21"/>
                <w:highlight w:val="none"/>
              </w:rPr>
            </w:pPr>
          </w:p>
        </w:tc>
        <w:tc>
          <w:tcPr>
            <w:tcW w:w="1413" w:type="dxa"/>
            <w:vAlign w:val="top"/>
          </w:tcPr>
          <w:p w14:paraId="759B07DD">
            <w:pPr>
              <w:rPr>
                <w:rFonts w:ascii="Arial"/>
                <w:color w:val="auto"/>
                <w:sz w:val="21"/>
                <w:highlight w:val="none"/>
              </w:rPr>
            </w:pPr>
          </w:p>
        </w:tc>
        <w:tc>
          <w:tcPr>
            <w:tcW w:w="1717" w:type="dxa"/>
            <w:tcBorders>
              <w:right w:val="single" w:color="000000" w:sz="10" w:space="0"/>
            </w:tcBorders>
            <w:vAlign w:val="top"/>
          </w:tcPr>
          <w:p w14:paraId="0261165D">
            <w:pPr>
              <w:rPr>
                <w:rFonts w:ascii="Arial"/>
                <w:color w:val="auto"/>
                <w:sz w:val="21"/>
                <w:highlight w:val="none"/>
              </w:rPr>
            </w:pPr>
          </w:p>
        </w:tc>
      </w:tr>
      <w:tr w14:paraId="5E534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B500C92">
            <w:pPr>
              <w:rPr>
                <w:rFonts w:ascii="Arial"/>
                <w:color w:val="auto"/>
                <w:sz w:val="21"/>
                <w:highlight w:val="none"/>
              </w:rPr>
            </w:pPr>
          </w:p>
        </w:tc>
        <w:tc>
          <w:tcPr>
            <w:tcW w:w="1983" w:type="dxa"/>
            <w:vAlign w:val="top"/>
          </w:tcPr>
          <w:p w14:paraId="2910105C">
            <w:pPr>
              <w:rPr>
                <w:rFonts w:ascii="Arial"/>
                <w:color w:val="auto"/>
                <w:sz w:val="21"/>
                <w:highlight w:val="none"/>
              </w:rPr>
            </w:pPr>
          </w:p>
        </w:tc>
        <w:tc>
          <w:tcPr>
            <w:tcW w:w="847" w:type="dxa"/>
            <w:vAlign w:val="top"/>
          </w:tcPr>
          <w:p w14:paraId="7A1DC3FD">
            <w:pPr>
              <w:rPr>
                <w:rFonts w:ascii="Arial"/>
                <w:color w:val="auto"/>
                <w:sz w:val="21"/>
                <w:highlight w:val="none"/>
              </w:rPr>
            </w:pPr>
          </w:p>
        </w:tc>
        <w:tc>
          <w:tcPr>
            <w:tcW w:w="771" w:type="dxa"/>
            <w:vAlign w:val="top"/>
          </w:tcPr>
          <w:p w14:paraId="5560DCC3">
            <w:pPr>
              <w:rPr>
                <w:rFonts w:ascii="Arial"/>
                <w:color w:val="auto"/>
                <w:sz w:val="21"/>
                <w:highlight w:val="none"/>
              </w:rPr>
            </w:pPr>
          </w:p>
        </w:tc>
        <w:tc>
          <w:tcPr>
            <w:tcW w:w="1350" w:type="dxa"/>
            <w:vAlign w:val="top"/>
          </w:tcPr>
          <w:p w14:paraId="3A6131AF">
            <w:pPr>
              <w:rPr>
                <w:rFonts w:ascii="Arial"/>
                <w:color w:val="auto"/>
                <w:sz w:val="21"/>
                <w:highlight w:val="none"/>
              </w:rPr>
            </w:pPr>
          </w:p>
        </w:tc>
        <w:tc>
          <w:tcPr>
            <w:tcW w:w="1413" w:type="dxa"/>
            <w:vAlign w:val="top"/>
          </w:tcPr>
          <w:p w14:paraId="06D4B863">
            <w:pPr>
              <w:rPr>
                <w:rFonts w:ascii="Arial"/>
                <w:color w:val="auto"/>
                <w:sz w:val="21"/>
                <w:highlight w:val="none"/>
              </w:rPr>
            </w:pPr>
          </w:p>
        </w:tc>
        <w:tc>
          <w:tcPr>
            <w:tcW w:w="1717" w:type="dxa"/>
            <w:tcBorders>
              <w:right w:val="single" w:color="000000" w:sz="10" w:space="0"/>
            </w:tcBorders>
            <w:vAlign w:val="top"/>
          </w:tcPr>
          <w:p w14:paraId="2290CE46">
            <w:pPr>
              <w:rPr>
                <w:rFonts w:ascii="Arial"/>
                <w:color w:val="auto"/>
                <w:sz w:val="21"/>
                <w:highlight w:val="none"/>
              </w:rPr>
            </w:pPr>
          </w:p>
        </w:tc>
      </w:tr>
      <w:tr w14:paraId="52315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6FC7253">
            <w:pPr>
              <w:rPr>
                <w:rFonts w:ascii="Arial"/>
                <w:color w:val="auto"/>
                <w:sz w:val="21"/>
                <w:highlight w:val="none"/>
              </w:rPr>
            </w:pPr>
          </w:p>
        </w:tc>
        <w:tc>
          <w:tcPr>
            <w:tcW w:w="1983" w:type="dxa"/>
            <w:vAlign w:val="top"/>
          </w:tcPr>
          <w:p w14:paraId="7E34C78A">
            <w:pPr>
              <w:rPr>
                <w:rFonts w:ascii="Arial"/>
                <w:color w:val="auto"/>
                <w:sz w:val="21"/>
                <w:highlight w:val="none"/>
              </w:rPr>
            </w:pPr>
          </w:p>
        </w:tc>
        <w:tc>
          <w:tcPr>
            <w:tcW w:w="847" w:type="dxa"/>
            <w:vAlign w:val="top"/>
          </w:tcPr>
          <w:p w14:paraId="39A60411">
            <w:pPr>
              <w:rPr>
                <w:rFonts w:ascii="Arial"/>
                <w:color w:val="auto"/>
                <w:sz w:val="21"/>
                <w:highlight w:val="none"/>
              </w:rPr>
            </w:pPr>
          </w:p>
        </w:tc>
        <w:tc>
          <w:tcPr>
            <w:tcW w:w="771" w:type="dxa"/>
            <w:vAlign w:val="top"/>
          </w:tcPr>
          <w:p w14:paraId="5F3C670B">
            <w:pPr>
              <w:rPr>
                <w:rFonts w:ascii="Arial"/>
                <w:color w:val="auto"/>
                <w:sz w:val="21"/>
                <w:highlight w:val="none"/>
              </w:rPr>
            </w:pPr>
          </w:p>
        </w:tc>
        <w:tc>
          <w:tcPr>
            <w:tcW w:w="1350" w:type="dxa"/>
            <w:vAlign w:val="top"/>
          </w:tcPr>
          <w:p w14:paraId="01DA483E">
            <w:pPr>
              <w:rPr>
                <w:rFonts w:ascii="Arial"/>
                <w:color w:val="auto"/>
                <w:sz w:val="21"/>
                <w:highlight w:val="none"/>
              </w:rPr>
            </w:pPr>
          </w:p>
        </w:tc>
        <w:tc>
          <w:tcPr>
            <w:tcW w:w="1413" w:type="dxa"/>
            <w:vAlign w:val="top"/>
          </w:tcPr>
          <w:p w14:paraId="74436BBA">
            <w:pPr>
              <w:rPr>
                <w:rFonts w:ascii="Arial"/>
                <w:color w:val="auto"/>
                <w:sz w:val="21"/>
                <w:highlight w:val="none"/>
              </w:rPr>
            </w:pPr>
          </w:p>
        </w:tc>
        <w:tc>
          <w:tcPr>
            <w:tcW w:w="1717" w:type="dxa"/>
            <w:tcBorders>
              <w:right w:val="single" w:color="000000" w:sz="10" w:space="0"/>
            </w:tcBorders>
            <w:vAlign w:val="top"/>
          </w:tcPr>
          <w:p w14:paraId="5D27395C">
            <w:pPr>
              <w:rPr>
                <w:rFonts w:ascii="Arial"/>
                <w:color w:val="auto"/>
                <w:sz w:val="21"/>
                <w:highlight w:val="none"/>
              </w:rPr>
            </w:pPr>
          </w:p>
        </w:tc>
      </w:tr>
      <w:tr w14:paraId="5A653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0A76547">
            <w:pPr>
              <w:rPr>
                <w:rFonts w:ascii="Arial"/>
                <w:color w:val="auto"/>
                <w:sz w:val="21"/>
                <w:highlight w:val="none"/>
              </w:rPr>
            </w:pPr>
          </w:p>
        </w:tc>
        <w:tc>
          <w:tcPr>
            <w:tcW w:w="1983" w:type="dxa"/>
            <w:vAlign w:val="top"/>
          </w:tcPr>
          <w:p w14:paraId="222908F6">
            <w:pPr>
              <w:rPr>
                <w:rFonts w:ascii="Arial"/>
                <w:color w:val="auto"/>
                <w:sz w:val="21"/>
                <w:highlight w:val="none"/>
              </w:rPr>
            </w:pPr>
          </w:p>
        </w:tc>
        <w:tc>
          <w:tcPr>
            <w:tcW w:w="847" w:type="dxa"/>
            <w:vAlign w:val="top"/>
          </w:tcPr>
          <w:p w14:paraId="6E12879E">
            <w:pPr>
              <w:rPr>
                <w:rFonts w:ascii="Arial"/>
                <w:color w:val="auto"/>
                <w:sz w:val="21"/>
                <w:highlight w:val="none"/>
              </w:rPr>
            </w:pPr>
          </w:p>
        </w:tc>
        <w:tc>
          <w:tcPr>
            <w:tcW w:w="771" w:type="dxa"/>
            <w:vAlign w:val="top"/>
          </w:tcPr>
          <w:p w14:paraId="7D955821">
            <w:pPr>
              <w:rPr>
                <w:rFonts w:ascii="Arial"/>
                <w:color w:val="auto"/>
                <w:sz w:val="21"/>
                <w:highlight w:val="none"/>
              </w:rPr>
            </w:pPr>
          </w:p>
        </w:tc>
        <w:tc>
          <w:tcPr>
            <w:tcW w:w="1350" w:type="dxa"/>
            <w:vAlign w:val="top"/>
          </w:tcPr>
          <w:p w14:paraId="7A2C6060">
            <w:pPr>
              <w:rPr>
                <w:rFonts w:ascii="Arial"/>
                <w:color w:val="auto"/>
                <w:sz w:val="21"/>
                <w:highlight w:val="none"/>
              </w:rPr>
            </w:pPr>
          </w:p>
        </w:tc>
        <w:tc>
          <w:tcPr>
            <w:tcW w:w="1413" w:type="dxa"/>
            <w:vAlign w:val="top"/>
          </w:tcPr>
          <w:p w14:paraId="325CDB76">
            <w:pPr>
              <w:rPr>
                <w:rFonts w:ascii="Arial"/>
                <w:color w:val="auto"/>
                <w:sz w:val="21"/>
                <w:highlight w:val="none"/>
              </w:rPr>
            </w:pPr>
          </w:p>
        </w:tc>
        <w:tc>
          <w:tcPr>
            <w:tcW w:w="1717" w:type="dxa"/>
            <w:tcBorders>
              <w:right w:val="single" w:color="000000" w:sz="10" w:space="0"/>
            </w:tcBorders>
            <w:vAlign w:val="top"/>
          </w:tcPr>
          <w:p w14:paraId="0424B8CF">
            <w:pPr>
              <w:rPr>
                <w:rFonts w:ascii="Arial"/>
                <w:color w:val="auto"/>
                <w:sz w:val="21"/>
                <w:highlight w:val="none"/>
              </w:rPr>
            </w:pPr>
          </w:p>
        </w:tc>
      </w:tr>
      <w:tr w14:paraId="5E3E5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5EFC2AD">
            <w:pPr>
              <w:rPr>
                <w:rFonts w:ascii="Arial"/>
                <w:color w:val="auto"/>
                <w:sz w:val="21"/>
                <w:highlight w:val="none"/>
              </w:rPr>
            </w:pPr>
          </w:p>
        </w:tc>
        <w:tc>
          <w:tcPr>
            <w:tcW w:w="1983" w:type="dxa"/>
            <w:vAlign w:val="top"/>
          </w:tcPr>
          <w:p w14:paraId="5EEB991C">
            <w:pPr>
              <w:rPr>
                <w:rFonts w:ascii="Arial"/>
                <w:color w:val="auto"/>
                <w:sz w:val="21"/>
                <w:highlight w:val="none"/>
              </w:rPr>
            </w:pPr>
          </w:p>
        </w:tc>
        <w:tc>
          <w:tcPr>
            <w:tcW w:w="847" w:type="dxa"/>
            <w:vAlign w:val="top"/>
          </w:tcPr>
          <w:p w14:paraId="51F62838">
            <w:pPr>
              <w:rPr>
                <w:rFonts w:ascii="Arial"/>
                <w:color w:val="auto"/>
                <w:sz w:val="21"/>
                <w:highlight w:val="none"/>
              </w:rPr>
            </w:pPr>
          </w:p>
        </w:tc>
        <w:tc>
          <w:tcPr>
            <w:tcW w:w="771" w:type="dxa"/>
            <w:vAlign w:val="top"/>
          </w:tcPr>
          <w:p w14:paraId="0C8B5A4C">
            <w:pPr>
              <w:rPr>
                <w:rFonts w:ascii="Arial"/>
                <w:color w:val="auto"/>
                <w:sz w:val="21"/>
                <w:highlight w:val="none"/>
              </w:rPr>
            </w:pPr>
          </w:p>
        </w:tc>
        <w:tc>
          <w:tcPr>
            <w:tcW w:w="1350" w:type="dxa"/>
            <w:vAlign w:val="top"/>
          </w:tcPr>
          <w:p w14:paraId="52E807F1">
            <w:pPr>
              <w:rPr>
                <w:rFonts w:ascii="Arial"/>
                <w:color w:val="auto"/>
                <w:sz w:val="21"/>
                <w:highlight w:val="none"/>
              </w:rPr>
            </w:pPr>
          </w:p>
        </w:tc>
        <w:tc>
          <w:tcPr>
            <w:tcW w:w="1413" w:type="dxa"/>
            <w:vAlign w:val="top"/>
          </w:tcPr>
          <w:p w14:paraId="4E361CFD">
            <w:pPr>
              <w:rPr>
                <w:rFonts w:ascii="Arial"/>
                <w:color w:val="auto"/>
                <w:sz w:val="21"/>
                <w:highlight w:val="none"/>
              </w:rPr>
            </w:pPr>
          </w:p>
        </w:tc>
        <w:tc>
          <w:tcPr>
            <w:tcW w:w="1717" w:type="dxa"/>
            <w:tcBorders>
              <w:right w:val="single" w:color="000000" w:sz="10" w:space="0"/>
            </w:tcBorders>
            <w:vAlign w:val="top"/>
          </w:tcPr>
          <w:p w14:paraId="770BC3C6">
            <w:pPr>
              <w:rPr>
                <w:rFonts w:ascii="Arial"/>
                <w:color w:val="auto"/>
                <w:sz w:val="21"/>
                <w:highlight w:val="none"/>
              </w:rPr>
            </w:pPr>
          </w:p>
        </w:tc>
      </w:tr>
      <w:tr w14:paraId="6B312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0AA684D">
            <w:pPr>
              <w:rPr>
                <w:rFonts w:ascii="Arial"/>
                <w:color w:val="auto"/>
                <w:sz w:val="21"/>
                <w:highlight w:val="none"/>
              </w:rPr>
            </w:pPr>
          </w:p>
        </w:tc>
        <w:tc>
          <w:tcPr>
            <w:tcW w:w="1983" w:type="dxa"/>
            <w:vAlign w:val="top"/>
          </w:tcPr>
          <w:p w14:paraId="526D3A85">
            <w:pPr>
              <w:rPr>
                <w:rFonts w:ascii="Arial"/>
                <w:color w:val="auto"/>
                <w:sz w:val="21"/>
                <w:highlight w:val="none"/>
              </w:rPr>
            </w:pPr>
          </w:p>
        </w:tc>
        <w:tc>
          <w:tcPr>
            <w:tcW w:w="847" w:type="dxa"/>
            <w:vAlign w:val="top"/>
          </w:tcPr>
          <w:p w14:paraId="3B38ADFD">
            <w:pPr>
              <w:rPr>
                <w:rFonts w:ascii="Arial"/>
                <w:color w:val="auto"/>
                <w:sz w:val="21"/>
                <w:highlight w:val="none"/>
              </w:rPr>
            </w:pPr>
          </w:p>
        </w:tc>
        <w:tc>
          <w:tcPr>
            <w:tcW w:w="771" w:type="dxa"/>
            <w:vAlign w:val="top"/>
          </w:tcPr>
          <w:p w14:paraId="46071EE1">
            <w:pPr>
              <w:rPr>
                <w:rFonts w:ascii="Arial"/>
                <w:color w:val="auto"/>
                <w:sz w:val="21"/>
                <w:highlight w:val="none"/>
              </w:rPr>
            </w:pPr>
          </w:p>
        </w:tc>
        <w:tc>
          <w:tcPr>
            <w:tcW w:w="1350" w:type="dxa"/>
            <w:vAlign w:val="top"/>
          </w:tcPr>
          <w:p w14:paraId="58B1E8AA">
            <w:pPr>
              <w:rPr>
                <w:rFonts w:ascii="Arial"/>
                <w:color w:val="auto"/>
                <w:sz w:val="21"/>
                <w:highlight w:val="none"/>
              </w:rPr>
            </w:pPr>
          </w:p>
        </w:tc>
        <w:tc>
          <w:tcPr>
            <w:tcW w:w="1413" w:type="dxa"/>
            <w:vAlign w:val="top"/>
          </w:tcPr>
          <w:p w14:paraId="6401B678">
            <w:pPr>
              <w:rPr>
                <w:rFonts w:ascii="Arial"/>
                <w:color w:val="auto"/>
                <w:sz w:val="21"/>
                <w:highlight w:val="none"/>
              </w:rPr>
            </w:pPr>
          </w:p>
        </w:tc>
        <w:tc>
          <w:tcPr>
            <w:tcW w:w="1717" w:type="dxa"/>
            <w:tcBorders>
              <w:right w:val="single" w:color="000000" w:sz="10" w:space="0"/>
            </w:tcBorders>
            <w:vAlign w:val="top"/>
          </w:tcPr>
          <w:p w14:paraId="00A12AC3">
            <w:pPr>
              <w:rPr>
                <w:rFonts w:ascii="Arial"/>
                <w:color w:val="auto"/>
                <w:sz w:val="21"/>
                <w:highlight w:val="none"/>
              </w:rPr>
            </w:pPr>
          </w:p>
        </w:tc>
      </w:tr>
      <w:tr w14:paraId="723D8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6D5EE4B">
            <w:pPr>
              <w:rPr>
                <w:rFonts w:ascii="Arial"/>
                <w:color w:val="auto"/>
                <w:sz w:val="21"/>
                <w:highlight w:val="none"/>
              </w:rPr>
            </w:pPr>
          </w:p>
        </w:tc>
        <w:tc>
          <w:tcPr>
            <w:tcW w:w="1983" w:type="dxa"/>
            <w:vAlign w:val="top"/>
          </w:tcPr>
          <w:p w14:paraId="0D195DDE">
            <w:pPr>
              <w:rPr>
                <w:rFonts w:ascii="Arial"/>
                <w:color w:val="auto"/>
                <w:sz w:val="21"/>
                <w:highlight w:val="none"/>
              </w:rPr>
            </w:pPr>
          </w:p>
        </w:tc>
        <w:tc>
          <w:tcPr>
            <w:tcW w:w="847" w:type="dxa"/>
            <w:vAlign w:val="top"/>
          </w:tcPr>
          <w:p w14:paraId="5A2E5E1C">
            <w:pPr>
              <w:rPr>
                <w:rFonts w:ascii="Arial"/>
                <w:color w:val="auto"/>
                <w:sz w:val="21"/>
                <w:highlight w:val="none"/>
              </w:rPr>
            </w:pPr>
          </w:p>
        </w:tc>
        <w:tc>
          <w:tcPr>
            <w:tcW w:w="771" w:type="dxa"/>
            <w:vAlign w:val="top"/>
          </w:tcPr>
          <w:p w14:paraId="16F8289A">
            <w:pPr>
              <w:rPr>
                <w:rFonts w:ascii="Arial"/>
                <w:color w:val="auto"/>
                <w:sz w:val="21"/>
                <w:highlight w:val="none"/>
              </w:rPr>
            </w:pPr>
          </w:p>
        </w:tc>
        <w:tc>
          <w:tcPr>
            <w:tcW w:w="1350" w:type="dxa"/>
            <w:vAlign w:val="top"/>
          </w:tcPr>
          <w:p w14:paraId="53B82006">
            <w:pPr>
              <w:rPr>
                <w:rFonts w:ascii="Arial"/>
                <w:color w:val="auto"/>
                <w:sz w:val="21"/>
                <w:highlight w:val="none"/>
              </w:rPr>
            </w:pPr>
          </w:p>
        </w:tc>
        <w:tc>
          <w:tcPr>
            <w:tcW w:w="1413" w:type="dxa"/>
            <w:vAlign w:val="top"/>
          </w:tcPr>
          <w:p w14:paraId="183F6D26">
            <w:pPr>
              <w:rPr>
                <w:rFonts w:ascii="Arial"/>
                <w:color w:val="auto"/>
                <w:sz w:val="21"/>
                <w:highlight w:val="none"/>
              </w:rPr>
            </w:pPr>
          </w:p>
        </w:tc>
        <w:tc>
          <w:tcPr>
            <w:tcW w:w="1717" w:type="dxa"/>
            <w:tcBorders>
              <w:right w:val="single" w:color="000000" w:sz="10" w:space="0"/>
            </w:tcBorders>
            <w:vAlign w:val="top"/>
          </w:tcPr>
          <w:p w14:paraId="5ACD2DCC">
            <w:pPr>
              <w:rPr>
                <w:rFonts w:ascii="Arial"/>
                <w:color w:val="auto"/>
                <w:sz w:val="21"/>
                <w:highlight w:val="none"/>
              </w:rPr>
            </w:pPr>
          </w:p>
        </w:tc>
      </w:tr>
      <w:tr w14:paraId="0B6E9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405DA743">
            <w:pPr>
              <w:rPr>
                <w:rFonts w:ascii="Arial"/>
                <w:color w:val="auto"/>
                <w:sz w:val="21"/>
                <w:highlight w:val="none"/>
              </w:rPr>
            </w:pPr>
          </w:p>
        </w:tc>
        <w:tc>
          <w:tcPr>
            <w:tcW w:w="1983" w:type="dxa"/>
            <w:vAlign w:val="top"/>
          </w:tcPr>
          <w:p w14:paraId="5DCED684">
            <w:pPr>
              <w:rPr>
                <w:rFonts w:ascii="Arial"/>
                <w:color w:val="auto"/>
                <w:sz w:val="21"/>
                <w:highlight w:val="none"/>
              </w:rPr>
            </w:pPr>
          </w:p>
        </w:tc>
        <w:tc>
          <w:tcPr>
            <w:tcW w:w="847" w:type="dxa"/>
            <w:vAlign w:val="top"/>
          </w:tcPr>
          <w:p w14:paraId="72F24032">
            <w:pPr>
              <w:rPr>
                <w:rFonts w:ascii="Arial"/>
                <w:color w:val="auto"/>
                <w:sz w:val="21"/>
                <w:highlight w:val="none"/>
              </w:rPr>
            </w:pPr>
          </w:p>
        </w:tc>
        <w:tc>
          <w:tcPr>
            <w:tcW w:w="771" w:type="dxa"/>
            <w:vAlign w:val="top"/>
          </w:tcPr>
          <w:p w14:paraId="4A936B3F">
            <w:pPr>
              <w:rPr>
                <w:rFonts w:ascii="Arial"/>
                <w:color w:val="auto"/>
                <w:sz w:val="21"/>
                <w:highlight w:val="none"/>
              </w:rPr>
            </w:pPr>
          </w:p>
        </w:tc>
        <w:tc>
          <w:tcPr>
            <w:tcW w:w="1350" w:type="dxa"/>
            <w:vAlign w:val="top"/>
          </w:tcPr>
          <w:p w14:paraId="2634F951">
            <w:pPr>
              <w:rPr>
                <w:rFonts w:ascii="Arial"/>
                <w:color w:val="auto"/>
                <w:sz w:val="21"/>
                <w:highlight w:val="none"/>
              </w:rPr>
            </w:pPr>
          </w:p>
        </w:tc>
        <w:tc>
          <w:tcPr>
            <w:tcW w:w="1413" w:type="dxa"/>
            <w:vAlign w:val="top"/>
          </w:tcPr>
          <w:p w14:paraId="505B1550">
            <w:pPr>
              <w:rPr>
                <w:rFonts w:ascii="Arial"/>
                <w:color w:val="auto"/>
                <w:sz w:val="21"/>
                <w:highlight w:val="none"/>
              </w:rPr>
            </w:pPr>
          </w:p>
        </w:tc>
        <w:tc>
          <w:tcPr>
            <w:tcW w:w="1717" w:type="dxa"/>
            <w:tcBorders>
              <w:right w:val="single" w:color="000000" w:sz="10" w:space="0"/>
            </w:tcBorders>
            <w:vAlign w:val="top"/>
          </w:tcPr>
          <w:p w14:paraId="76E3809D">
            <w:pPr>
              <w:rPr>
                <w:rFonts w:ascii="Arial"/>
                <w:color w:val="auto"/>
                <w:sz w:val="21"/>
                <w:highlight w:val="none"/>
              </w:rPr>
            </w:pPr>
          </w:p>
        </w:tc>
      </w:tr>
      <w:tr w14:paraId="33836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596FD0D0">
            <w:pPr>
              <w:rPr>
                <w:rFonts w:ascii="Arial"/>
                <w:color w:val="auto"/>
                <w:sz w:val="21"/>
                <w:highlight w:val="none"/>
              </w:rPr>
            </w:pPr>
          </w:p>
        </w:tc>
        <w:tc>
          <w:tcPr>
            <w:tcW w:w="1983" w:type="dxa"/>
            <w:tcBorders>
              <w:bottom w:val="single" w:color="000000" w:sz="10" w:space="0"/>
            </w:tcBorders>
            <w:vAlign w:val="top"/>
          </w:tcPr>
          <w:p w14:paraId="45519F4A">
            <w:pPr>
              <w:rPr>
                <w:rFonts w:ascii="Arial"/>
                <w:color w:val="auto"/>
                <w:sz w:val="21"/>
                <w:highlight w:val="none"/>
              </w:rPr>
            </w:pPr>
          </w:p>
        </w:tc>
        <w:tc>
          <w:tcPr>
            <w:tcW w:w="847" w:type="dxa"/>
            <w:tcBorders>
              <w:bottom w:val="single" w:color="000000" w:sz="10" w:space="0"/>
            </w:tcBorders>
            <w:vAlign w:val="top"/>
          </w:tcPr>
          <w:p w14:paraId="4FD14631">
            <w:pPr>
              <w:rPr>
                <w:rFonts w:ascii="Arial"/>
                <w:color w:val="auto"/>
                <w:sz w:val="21"/>
                <w:highlight w:val="none"/>
              </w:rPr>
            </w:pPr>
          </w:p>
        </w:tc>
        <w:tc>
          <w:tcPr>
            <w:tcW w:w="771" w:type="dxa"/>
            <w:tcBorders>
              <w:bottom w:val="single" w:color="000000" w:sz="10" w:space="0"/>
            </w:tcBorders>
            <w:vAlign w:val="top"/>
          </w:tcPr>
          <w:p w14:paraId="484117CD">
            <w:pPr>
              <w:rPr>
                <w:rFonts w:ascii="Arial"/>
                <w:color w:val="auto"/>
                <w:sz w:val="21"/>
                <w:highlight w:val="none"/>
              </w:rPr>
            </w:pPr>
          </w:p>
        </w:tc>
        <w:tc>
          <w:tcPr>
            <w:tcW w:w="1350" w:type="dxa"/>
            <w:tcBorders>
              <w:bottom w:val="single" w:color="000000" w:sz="10" w:space="0"/>
            </w:tcBorders>
            <w:vAlign w:val="top"/>
          </w:tcPr>
          <w:p w14:paraId="3A85AAF6">
            <w:pPr>
              <w:rPr>
                <w:rFonts w:ascii="Arial"/>
                <w:color w:val="auto"/>
                <w:sz w:val="21"/>
                <w:highlight w:val="none"/>
              </w:rPr>
            </w:pPr>
          </w:p>
        </w:tc>
        <w:tc>
          <w:tcPr>
            <w:tcW w:w="1413" w:type="dxa"/>
            <w:tcBorders>
              <w:bottom w:val="single" w:color="000000" w:sz="10" w:space="0"/>
            </w:tcBorders>
            <w:vAlign w:val="top"/>
          </w:tcPr>
          <w:p w14:paraId="0DEEBA85">
            <w:pPr>
              <w:rPr>
                <w:rFonts w:ascii="Arial"/>
                <w:color w:val="auto"/>
                <w:sz w:val="21"/>
                <w:highlight w:val="none"/>
              </w:rPr>
            </w:pPr>
          </w:p>
        </w:tc>
        <w:tc>
          <w:tcPr>
            <w:tcW w:w="1717" w:type="dxa"/>
            <w:tcBorders>
              <w:bottom w:val="single" w:color="000000" w:sz="10" w:space="0"/>
              <w:right w:val="single" w:color="000000" w:sz="10" w:space="0"/>
            </w:tcBorders>
            <w:vAlign w:val="top"/>
          </w:tcPr>
          <w:p w14:paraId="17C9579A">
            <w:pPr>
              <w:rPr>
                <w:rFonts w:ascii="Arial"/>
                <w:color w:val="auto"/>
                <w:sz w:val="21"/>
                <w:highlight w:val="none"/>
              </w:rPr>
            </w:pPr>
          </w:p>
        </w:tc>
      </w:tr>
    </w:tbl>
    <w:p w14:paraId="71396889">
      <w:pPr>
        <w:pStyle w:val="3"/>
        <w:rPr>
          <w:color w:val="auto"/>
          <w:highlight w:val="none"/>
        </w:rPr>
      </w:pPr>
    </w:p>
    <w:p w14:paraId="523D0814">
      <w:pPr>
        <w:rPr>
          <w:color w:val="auto"/>
          <w:highlight w:val="none"/>
        </w:rPr>
        <w:sectPr>
          <w:footerReference r:id="rId171" w:type="default"/>
          <w:pgSz w:w="11905" w:h="16839"/>
          <w:pgMar w:top="400" w:right="1114" w:bottom="1004" w:left="1680" w:header="0" w:footer="828" w:gutter="0"/>
          <w:pgNumType w:fmt="decimal"/>
          <w:cols w:space="720" w:num="1"/>
        </w:sectPr>
      </w:pPr>
    </w:p>
    <w:p w14:paraId="76ED6C4E">
      <w:pPr>
        <w:pStyle w:val="3"/>
        <w:spacing w:line="265" w:lineRule="auto"/>
        <w:rPr>
          <w:color w:val="auto"/>
          <w:highlight w:val="none"/>
        </w:rPr>
      </w:pPr>
    </w:p>
    <w:p w14:paraId="44B51CDC">
      <w:pPr>
        <w:pStyle w:val="3"/>
        <w:spacing w:line="265" w:lineRule="auto"/>
        <w:rPr>
          <w:color w:val="auto"/>
          <w:highlight w:val="none"/>
        </w:rPr>
      </w:pPr>
    </w:p>
    <w:p w14:paraId="51DFD9E5">
      <w:pPr>
        <w:pStyle w:val="3"/>
        <w:spacing w:line="265" w:lineRule="auto"/>
        <w:rPr>
          <w:color w:val="auto"/>
          <w:highlight w:val="none"/>
        </w:rPr>
      </w:pPr>
    </w:p>
    <w:p w14:paraId="25AAC75A">
      <w:pPr>
        <w:pStyle w:val="3"/>
        <w:spacing w:line="266" w:lineRule="auto"/>
        <w:rPr>
          <w:color w:val="auto"/>
          <w:highlight w:val="none"/>
        </w:rPr>
      </w:pPr>
    </w:p>
    <w:p w14:paraId="27BF3E3F">
      <w:pPr>
        <w:spacing w:before="88" w:line="225" w:lineRule="auto"/>
        <w:ind w:left="2742"/>
        <w:rPr>
          <w:rFonts w:ascii="黑体" w:hAnsi="黑体" w:eastAsia="黑体" w:cs="黑体"/>
          <w:color w:val="auto"/>
          <w:sz w:val="27"/>
          <w:szCs w:val="27"/>
          <w:highlight w:val="none"/>
        </w:rPr>
      </w:pPr>
      <w:bookmarkStart w:id="1290" w:name="bookmark236"/>
      <w:bookmarkEnd w:id="1290"/>
      <w:r>
        <w:rPr>
          <w:rFonts w:ascii="Times New Roman" w:hAnsi="Times New Roman" w:eastAsia="Times New Roman" w:cs="Times New Roman"/>
          <w:color w:val="auto"/>
          <w:spacing w:val="2"/>
          <w:sz w:val="24"/>
          <w:szCs w:val="24"/>
          <w:highlight w:val="none"/>
        </w:rPr>
        <w:t>11-3</w:t>
      </w:r>
      <w:r>
        <w:rPr>
          <w:rFonts w:ascii="宋体" w:hAnsi="宋体" w:eastAsia="宋体" w:cs="宋体"/>
          <w:color w:val="auto"/>
          <w:spacing w:val="2"/>
          <w:sz w:val="24"/>
          <w:szCs w:val="24"/>
          <w:highlight w:val="none"/>
        </w:rPr>
        <w:t>：</w:t>
      </w:r>
      <w:r>
        <w:rPr>
          <w:rFonts w:ascii="黑体" w:hAnsi="黑体" w:eastAsia="黑体" w:cs="黑体"/>
          <w:color w:val="auto"/>
          <w:spacing w:val="2"/>
          <w:sz w:val="27"/>
          <w:szCs w:val="27"/>
          <w:highlight w:val="none"/>
        </w:rPr>
        <w:t>专业工程暂估价表</w:t>
      </w:r>
    </w:p>
    <w:p w14:paraId="1D62A455">
      <w:pPr>
        <w:spacing w:line="117" w:lineRule="exact"/>
        <w:rPr>
          <w:color w:val="auto"/>
          <w:highlight w:val="none"/>
        </w:rPr>
      </w:pPr>
    </w:p>
    <w:tbl>
      <w:tblPr>
        <w:tblStyle w:val="10"/>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14:paraId="7A6A7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14:paraId="0B11E4A6">
            <w:pPr>
              <w:pStyle w:val="11"/>
              <w:spacing w:before="177" w:line="222" w:lineRule="auto"/>
              <w:ind w:left="227"/>
              <w:rPr>
                <w:color w:val="auto"/>
                <w:highlight w:val="none"/>
              </w:rPr>
            </w:pPr>
            <w:r>
              <w:rPr>
                <w:color w:val="auto"/>
                <w:spacing w:val="-2"/>
                <w:highlight w:val="none"/>
              </w:rPr>
              <w:t>序号</w:t>
            </w:r>
          </w:p>
        </w:tc>
        <w:tc>
          <w:tcPr>
            <w:tcW w:w="1983" w:type="dxa"/>
            <w:tcBorders>
              <w:top w:val="single" w:color="000000" w:sz="10" w:space="0"/>
            </w:tcBorders>
            <w:vAlign w:val="top"/>
          </w:tcPr>
          <w:p w14:paraId="1AA82C96">
            <w:pPr>
              <w:pStyle w:val="11"/>
              <w:spacing w:before="177" w:line="221" w:lineRule="auto"/>
              <w:ind w:left="362"/>
              <w:rPr>
                <w:color w:val="auto"/>
                <w:highlight w:val="none"/>
              </w:rPr>
            </w:pPr>
            <w:r>
              <w:rPr>
                <w:color w:val="auto"/>
                <w:spacing w:val="-1"/>
                <w:highlight w:val="none"/>
              </w:rPr>
              <w:t>专业工程名称</w:t>
            </w:r>
          </w:p>
        </w:tc>
        <w:tc>
          <w:tcPr>
            <w:tcW w:w="4664" w:type="dxa"/>
            <w:tcBorders>
              <w:top w:val="single" w:color="000000" w:sz="10" w:space="0"/>
            </w:tcBorders>
            <w:vAlign w:val="top"/>
          </w:tcPr>
          <w:p w14:paraId="44716059">
            <w:pPr>
              <w:pStyle w:val="11"/>
              <w:spacing w:before="177" w:line="221" w:lineRule="auto"/>
              <w:ind w:left="1924"/>
              <w:rPr>
                <w:color w:val="auto"/>
                <w:highlight w:val="none"/>
              </w:rPr>
            </w:pPr>
            <w:r>
              <w:rPr>
                <w:color w:val="auto"/>
                <w:spacing w:val="-2"/>
                <w:highlight w:val="none"/>
              </w:rPr>
              <w:t>工程内容</w:t>
            </w:r>
          </w:p>
        </w:tc>
        <w:tc>
          <w:tcPr>
            <w:tcW w:w="1290" w:type="dxa"/>
            <w:tcBorders>
              <w:top w:val="single" w:color="000000" w:sz="10" w:space="0"/>
              <w:right w:val="single" w:color="000000" w:sz="10" w:space="0"/>
            </w:tcBorders>
            <w:vAlign w:val="top"/>
          </w:tcPr>
          <w:p w14:paraId="66AA04D4">
            <w:pPr>
              <w:pStyle w:val="11"/>
              <w:spacing w:before="177" w:line="221" w:lineRule="auto"/>
              <w:ind w:left="443"/>
              <w:rPr>
                <w:color w:val="auto"/>
                <w:highlight w:val="none"/>
              </w:rPr>
            </w:pPr>
            <w:r>
              <w:rPr>
                <w:color w:val="auto"/>
                <w:spacing w:val="-2"/>
                <w:highlight w:val="none"/>
              </w:rPr>
              <w:t>金额</w:t>
            </w:r>
          </w:p>
        </w:tc>
      </w:tr>
      <w:tr w14:paraId="08D9F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14:paraId="3F007216">
            <w:pPr>
              <w:rPr>
                <w:rFonts w:ascii="Arial"/>
                <w:color w:val="auto"/>
                <w:sz w:val="21"/>
                <w:highlight w:val="none"/>
              </w:rPr>
            </w:pPr>
          </w:p>
        </w:tc>
        <w:tc>
          <w:tcPr>
            <w:tcW w:w="1983" w:type="dxa"/>
            <w:vAlign w:val="top"/>
          </w:tcPr>
          <w:p w14:paraId="5EB45CBA">
            <w:pPr>
              <w:rPr>
                <w:rFonts w:ascii="Arial"/>
                <w:color w:val="auto"/>
                <w:sz w:val="21"/>
                <w:highlight w:val="none"/>
              </w:rPr>
            </w:pPr>
          </w:p>
        </w:tc>
        <w:tc>
          <w:tcPr>
            <w:tcW w:w="4664" w:type="dxa"/>
            <w:vAlign w:val="top"/>
          </w:tcPr>
          <w:p w14:paraId="4C59A60B">
            <w:pPr>
              <w:rPr>
                <w:rFonts w:ascii="Arial"/>
                <w:color w:val="auto"/>
                <w:sz w:val="21"/>
                <w:highlight w:val="none"/>
              </w:rPr>
            </w:pPr>
          </w:p>
        </w:tc>
        <w:tc>
          <w:tcPr>
            <w:tcW w:w="1290" w:type="dxa"/>
            <w:tcBorders>
              <w:right w:val="single" w:color="000000" w:sz="10" w:space="0"/>
            </w:tcBorders>
            <w:vAlign w:val="top"/>
          </w:tcPr>
          <w:p w14:paraId="1F287651">
            <w:pPr>
              <w:rPr>
                <w:rFonts w:ascii="Arial"/>
                <w:color w:val="auto"/>
                <w:sz w:val="21"/>
                <w:highlight w:val="none"/>
              </w:rPr>
            </w:pPr>
          </w:p>
        </w:tc>
      </w:tr>
      <w:tr w14:paraId="1905A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1F1285F7">
            <w:pPr>
              <w:rPr>
                <w:rFonts w:ascii="Arial"/>
                <w:color w:val="auto"/>
                <w:sz w:val="21"/>
                <w:highlight w:val="none"/>
              </w:rPr>
            </w:pPr>
          </w:p>
        </w:tc>
        <w:tc>
          <w:tcPr>
            <w:tcW w:w="1983" w:type="dxa"/>
            <w:vAlign w:val="top"/>
          </w:tcPr>
          <w:p w14:paraId="65FF9DF2">
            <w:pPr>
              <w:rPr>
                <w:rFonts w:ascii="Arial"/>
                <w:color w:val="auto"/>
                <w:sz w:val="21"/>
                <w:highlight w:val="none"/>
              </w:rPr>
            </w:pPr>
          </w:p>
        </w:tc>
        <w:tc>
          <w:tcPr>
            <w:tcW w:w="4664" w:type="dxa"/>
            <w:vAlign w:val="top"/>
          </w:tcPr>
          <w:p w14:paraId="3FC212A9">
            <w:pPr>
              <w:rPr>
                <w:rFonts w:ascii="Arial"/>
                <w:color w:val="auto"/>
                <w:sz w:val="21"/>
                <w:highlight w:val="none"/>
              </w:rPr>
            </w:pPr>
          </w:p>
        </w:tc>
        <w:tc>
          <w:tcPr>
            <w:tcW w:w="1290" w:type="dxa"/>
            <w:tcBorders>
              <w:right w:val="single" w:color="000000" w:sz="10" w:space="0"/>
            </w:tcBorders>
            <w:vAlign w:val="top"/>
          </w:tcPr>
          <w:p w14:paraId="00495653">
            <w:pPr>
              <w:rPr>
                <w:rFonts w:ascii="Arial"/>
                <w:color w:val="auto"/>
                <w:sz w:val="21"/>
                <w:highlight w:val="none"/>
              </w:rPr>
            </w:pPr>
          </w:p>
        </w:tc>
      </w:tr>
      <w:tr w14:paraId="3F9CD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888" w:type="dxa"/>
            <w:tcBorders>
              <w:left w:val="single" w:color="000000" w:sz="10" w:space="0"/>
            </w:tcBorders>
            <w:vAlign w:val="top"/>
          </w:tcPr>
          <w:p w14:paraId="261667BA">
            <w:pPr>
              <w:rPr>
                <w:rFonts w:ascii="Arial"/>
                <w:color w:val="auto"/>
                <w:sz w:val="21"/>
                <w:highlight w:val="none"/>
              </w:rPr>
            </w:pPr>
          </w:p>
        </w:tc>
        <w:tc>
          <w:tcPr>
            <w:tcW w:w="1983" w:type="dxa"/>
            <w:vAlign w:val="top"/>
          </w:tcPr>
          <w:p w14:paraId="17B103BD">
            <w:pPr>
              <w:rPr>
                <w:rFonts w:ascii="Arial"/>
                <w:color w:val="auto"/>
                <w:sz w:val="21"/>
                <w:highlight w:val="none"/>
              </w:rPr>
            </w:pPr>
          </w:p>
        </w:tc>
        <w:tc>
          <w:tcPr>
            <w:tcW w:w="4664" w:type="dxa"/>
            <w:vAlign w:val="top"/>
          </w:tcPr>
          <w:p w14:paraId="0FAED6CA">
            <w:pPr>
              <w:rPr>
                <w:rFonts w:ascii="Arial"/>
                <w:color w:val="auto"/>
                <w:sz w:val="21"/>
                <w:highlight w:val="none"/>
              </w:rPr>
            </w:pPr>
          </w:p>
        </w:tc>
        <w:tc>
          <w:tcPr>
            <w:tcW w:w="1290" w:type="dxa"/>
            <w:tcBorders>
              <w:right w:val="single" w:color="000000" w:sz="10" w:space="0"/>
            </w:tcBorders>
            <w:vAlign w:val="top"/>
          </w:tcPr>
          <w:p w14:paraId="79F03282">
            <w:pPr>
              <w:rPr>
                <w:rFonts w:ascii="Arial"/>
                <w:color w:val="auto"/>
                <w:sz w:val="21"/>
                <w:highlight w:val="none"/>
              </w:rPr>
            </w:pPr>
          </w:p>
        </w:tc>
      </w:tr>
      <w:tr w14:paraId="7A1CC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7F3FB11">
            <w:pPr>
              <w:rPr>
                <w:rFonts w:ascii="Arial"/>
                <w:color w:val="auto"/>
                <w:sz w:val="21"/>
                <w:highlight w:val="none"/>
              </w:rPr>
            </w:pPr>
          </w:p>
        </w:tc>
        <w:tc>
          <w:tcPr>
            <w:tcW w:w="1983" w:type="dxa"/>
            <w:vAlign w:val="top"/>
          </w:tcPr>
          <w:p w14:paraId="29281B06">
            <w:pPr>
              <w:rPr>
                <w:rFonts w:ascii="Arial"/>
                <w:color w:val="auto"/>
                <w:sz w:val="21"/>
                <w:highlight w:val="none"/>
              </w:rPr>
            </w:pPr>
          </w:p>
        </w:tc>
        <w:tc>
          <w:tcPr>
            <w:tcW w:w="4664" w:type="dxa"/>
            <w:vAlign w:val="top"/>
          </w:tcPr>
          <w:p w14:paraId="4AEE2D6E">
            <w:pPr>
              <w:rPr>
                <w:rFonts w:ascii="Arial"/>
                <w:color w:val="auto"/>
                <w:sz w:val="21"/>
                <w:highlight w:val="none"/>
              </w:rPr>
            </w:pPr>
          </w:p>
        </w:tc>
        <w:tc>
          <w:tcPr>
            <w:tcW w:w="1290" w:type="dxa"/>
            <w:tcBorders>
              <w:right w:val="single" w:color="000000" w:sz="10" w:space="0"/>
            </w:tcBorders>
            <w:vAlign w:val="top"/>
          </w:tcPr>
          <w:p w14:paraId="695AAD9B">
            <w:pPr>
              <w:rPr>
                <w:rFonts w:ascii="Arial"/>
                <w:color w:val="auto"/>
                <w:sz w:val="21"/>
                <w:highlight w:val="none"/>
              </w:rPr>
            </w:pPr>
          </w:p>
        </w:tc>
      </w:tr>
      <w:tr w14:paraId="2D502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79F8A2B">
            <w:pPr>
              <w:rPr>
                <w:rFonts w:ascii="Arial"/>
                <w:color w:val="auto"/>
                <w:sz w:val="21"/>
                <w:highlight w:val="none"/>
              </w:rPr>
            </w:pPr>
          </w:p>
        </w:tc>
        <w:tc>
          <w:tcPr>
            <w:tcW w:w="1983" w:type="dxa"/>
            <w:vAlign w:val="top"/>
          </w:tcPr>
          <w:p w14:paraId="54E64013">
            <w:pPr>
              <w:rPr>
                <w:rFonts w:ascii="Arial"/>
                <w:color w:val="auto"/>
                <w:sz w:val="21"/>
                <w:highlight w:val="none"/>
              </w:rPr>
            </w:pPr>
          </w:p>
        </w:tc>
        <w:tc>
          <w:tcPr>
            <w:tcW w:w="4664" w:type="dxa"/>
            <w:vAlign w:val="top"/>
          </w:tcPr>
          <w:p w14:paraId="4304F8DD">
            <w:pPr>
              <w:rPr>
                <w:rFonts w:ascii="Arial"/>
                <w:color w:val="auto"/>
                <w:sz w:val="21"/>
                <w:highlight w:val="none"/>
              </w:rPr>
            </w:pPr>
          </w:p>
        </w:tc>
        <w:tc>
          <w:tcPr>
            <w:tcW w:w="1290" w:type="dxa"/>
            <w:tcBorders>
              <w:right w:val="single" w:color="000000" w:sz="10" w:space="0"/>
            </w:tcBorders>
            <w:vAlign w:val="top"/>
          </w:tcPr>
          <w:p w14:paraId="69F35FCA">
            <w:pPr>
              <w:rPr>
                <w:rFonts w:ascii="Arial"/>
                <w:color w:val="auto"/>
                <w:sz w:val="21"/>
                <w:highlight w:val="none"/>
              </w:rPr>
            </w:pPr>
          </w:p>
        </w:tc>
      </w:tr>
      <w:tr w14:paraId="08D55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D7D3D5A">
            <w:pPr>
              <w:rPr>
                <w:rFonts w:ascii="Arial"/>
                <w:color w:val="auto"/>
                <w:sz w:val="21"/>
                <w:highlight w:val="none"/>
              </w:rPr>
            </w:pPr>
          </w:p>
        </w:tc>
        <w:tc>
          <w:tcPr>
            <w:tcW w:w="1983" w:type="dxa"/>
            <w:vAlign w:val="top"/>
          </w:tcPr>
          <w:p w14:paraId="115CC456">
            <w:pPr>
              <w:rPr>
                <w:rFonts w:ascii="Arial"/>
                <w:color w:val="auto"/>
                <w:sz w:val="21"/>
                <w:highlight w:val="none"/>
              </w:rPr>
            </w:pPr>
          </w:p>
        </w:tc>
        <w:tc>
          <w:tcPr>
            <w:tcW w:w="4664" w:type="dxa"/>
            <w:vAlign w:val="top"/>
          </w:tcPr>
          <w:p w14:paraId="7E910D16">
            <w:pPr>
              <w:rPr>
                <w:rFonts w:ascii="Arial"/>
                <w:color w:val="auto"/>
                <w:sz w:val="21"/>
                <w:highlight w:val="none"/>
              </w:rPr>
            </w:pPr>
          </w:p>
        </w:tc>
        <w:tc>
          <w:tcPr>
            <w:tcW w:w="1290" w:type="dxa"/>
            <w:tcBorders>
              <w:right w:val="single" w:color="000000" w:sz="10" w:space="0"/>
            </w:tcBorders>
            <w:vAlign w:val="top"/>
          </w:tcPr>
          <w:p w14:paraId="24977A6A">
            <w:pPr>
              <w:rPr>
                <w:rFonts w:ascii="Arial"/>
                <w:color w:val="auto"/>
                <w:sz w:val="21"/>
                <w:highlight w:val="none"/>
              </w:rPr>
            </w:pPr>
          </w:p>
        </w:tc>
      </w:tr>
      <w:tr w14:paraId="2CE20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7315746">
            <w:pPr>
              <w:rPr>
                <w:rFonts w:ascii="Arial"/>
                <w:color w:val="auto"/>
                <w:sz w:val="21"/>
                <w:highlight w:val="none"/>
              </w:rPr>
            </w:pPr>
          </w:p>
        </w:tc>
        <w:tc>
          <w:tcPr>
            <w:tcW w:w="1983" w:type="dxa"/>
            <w:vAlign w:val="top"/>
          </w:tcPr>
          <w:p w14:paraId="59229003">
            <w:pPr>
              <w:rPr>
                <w:rFonts w:ascii="Arial"/>
                <w:color w:val="auto"/>
                <w:sz w:val="21"/>
                <w:highlight w:val="none"/>
              </w:rPr>
            </w:pPr>
          </w:p>
        </w:tc>
        <w:tc>
          <w:tcPr>
            <w:tcW w:w="4664" w:type="dxa"/>
            <w:vAlign w:val="top"/>
          </w:tcPr>
          <w:p w14:paraId="639DC460">
            <w:pPr>
              <w:rPr>
                <w:rFonts w:ascii="Arial"/>
                <w:color w:val="auto"/>
                <w:sz w:val="21"/>
                <w:highlight w:val="none"/>
              </w:rPr>
            </w:pPr>
          </w:p>
        </w:tc>
        <w:tc>
          <w:tcPr>
            <w:tcW w:w="1290" w:type="dxa"/>
            <w:tcBorders>
              <w:right w:val="single" w:color="000000" w:sz="10" w:space="0"/>
            </w:tcBorders>
            <w:vAlign w:val="top"/>
          </w:tcPr>
          <w:p w14:paraId="15C5960B">
            <w:pPr>
              <w:rPr>
                <w:rFonts w:ascii="Arial"/>
                <w:color w:val="auto"/>
                <w:sz w:val="21"/>
                <w:highlight w:val="none"/>
              </w:rPr>
            </w:pPr>
          </w:p>
        </w:tc>
      </w:tr>
      <w:tr w14:paraId="68A8D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00B39F89">
            <w:pPr>
              <w:rPr>
                <w:rFonts w:ascii="Arial"/>
                <w:color w:val="auto"/>
                <w:sz w:val="21"/>
                <w:highlight w:val="none"/>
              </w:rPr>
            </w:pPr>
          </w:p>
        </w:tc>
        <w:tc>
          <w:tcPr>
            <w:tcW w:w="1983" w:type="dxa"/>
            <w:vAlign w:val="top"/>
          </w:tcPr>
          <w:p w14:paraId="156ACA71">
            <w:pPr>
              <w:rPr>
                <w:rFonts w:ascii="Arial"/>
                <w:color w:val="auto"/>
                <w:sz w:val="21"/>
                <w:highlight w:val="none"/>
              </w:rPr>
            </w:pPr>
          </w:p>
        </w:tc>
        <w:tc>
          <w:tcPr>
            <w:tcW w:w="4664" w:type="dxa"/>
            <w:vAlign w:val="top"/>
          </w:tcPr>
          <w:p w14:paraId="4BDF934C">
            <w:pPr>
              <w:rPr>
                <w:rFonts w:ascii="Arial"/>
                <w:color w:val="auto"/>
                <w:sz w:val="21"/>
                <w:highlight w:val="none"/>
              </w:rPr>
            </w:pPr>
          </w:p>
        </w:tc>
        <w:tc>
          <w:tcPr>
            <w:tcW w:w="1290" w:type="dxa"/>
            <w:tcBorders>
              <w:right w:val="single" w:color="000000" w:sz="10" w:space="0"/>
            </w:tcBorders>
            <w:vAlign w:val="top"/>
          </w:tcPr>
          <w:p w14:paraId="685821DB">
            <w:pPr>
              <w:rPr>
                <w:rFonts w:ascii="Arial"/>
                <w:color w:val="auto"/>
                <w:sz w:val="21"/>
                <w:highlight w:val="none"/>
              </w:rPr>
            </w:pPr>
          </w:p>
        </w:tc>
      </w:tr>
      <w:tr w14:paraId="4124C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482BF388">
            <w:pPr>
              <w:rPr>
                <w:rFonts w:ascii="Arial"/>
                <w:color w:val="auto"/>
                <w:sz w:val="21"/>
                <w:highlight w:val="none"/>
              </w:rPr>
            </w:pPr>
          </w:p>
        </w:tc>
        <w:tc>
          <w:tcPr>
            <w:tcW w:w="1983" w:type="dxa"/>
            <w:vAlign w:val="top"/>
          </w:tcPr>
          <w:p w14:paraId="268F84C7">
            <w:pPr>
              <w:rPr>
                <w:rFonts w:ascii="Arial"/>
                <w:color w:val="auto"/>
                <w:sz w:val="21"/>
                <w:highlight w:val="none"/>
              </w:rPr>
            </w:pPr>
          </w:p>
        </w:tc>
        <w:tc>
          <w:tcPr>
            <w:tcW w:w="4664" w:type="dxa"/>
            <w:vAlign w:val="top"/>
          </w:tcPr>
          <w:p w14:paraId="34BCFB2A">
            <w:pPr>
              <w:rPr>
                <w:rFonts w:ascii="Arial"/>
                <w:color w:val="auto"/>
                <w:sz w:val="21"/>
                <w:highlight w:val="none"/>
              </w:rPr>
            </w:pPr>
          </w:p>
        </w:tc>
        <w:tc>
          <w:tcPr>
            <w:tcW w:w="1290" w:type="dxa"/>
            <w:tcBorders>
              <w:right w:val="single" w:color="000000" w:sz="10" w:space="0"/>
            </w:tcBorders>
            <w:vAlign w:val="top"/>
          </w:tcPr>
          <w:p w14:paraId="15E9EFC3">
            <w:pPr>
              <w:rPr>
                <w:rFonts w:ascii="Arial"/>
                <w:color w:val="auto"/>
                <w:sz w:val="21"/>
                <w:highlight w:val="none"/>
              </w:rPr>
            </w:pPr>
          </w:p>
        </w:tc>
      </w:tr>
      <w:tr w14:paraId="50447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3F21EC1">
            <w:pPr>
              <w:rPr>
                <w:rFonts w:ascii="Arial"/>
                <w:color w:val="auto"/>
                <w:sz w:val="21"/>
                <w:highlight w:val="none"/>
              </w:rPr>
            </w:pPr>
          </w:p>
        </w:tc>
        <w:tc>
          <w:tcPr>
            <w:tcW w:w="1983" w:type="dxa"/>
            <w:vAlign w:val="top"/>
          </w:tcPr>
          <w:p w14:paraId="015A808E">
            <w:pPr>
              <w:rPr>
                <w:rFonts w:ascii="Arial"/>
                <w:color w:val="auto"/>
                <w:sz w:val="21"/>
                <w:highlight w:val="none"/>
              </w:rPr>
            </w:pPr>
          </w:p>
        </w:tc>
        <w:tc>
          <w:tcPr>
            <w:tcW w:w="4664" w:type="dxa"/>
            <w:vAlign w:val="top"/>
          </w:tcPr>
          <w:p w14:paraId="2D11FBC2">
            <w:pPr>
              <w:rPr>
                <w:rFonts w:ascii="Arial"/>
                <w:color w:val="auto"/>
                <w:sz w:val="21"/>
                <w:highlight w:val="none"/>
              </w:rPr>
            </w:pPr>
          </w:p>
        </w:tc>
        <w:tc>
          <w:tcPr>
            <w:tcW w:w="1290" w:type="dxa"/>
            <w:tcBorders>
              <w:right w:val="single" w:color="000000" w:sz="10" w:space="0"/>
            </w:tcBorders>
            <w:vAlign w:val="top"/>
          </w:tcPr>
          <w:p w14:paraId="3742DBA3">
            <w:pPr>
              <w:rPr>
                <w:rFonts w:ascii="Arial"/>
                <w:color w:val="auto"/>
                <w:sz w:val="21"/>
                <w:highlight w:val="none"/>
              </w:rPr>
            </w:pPr>
          </w:p>
        </w:tc>
      </w:tr>
      <w:tr w14:paraId="5A75B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072CAD9">
            <w:pPr>
              <w:rPr>
                <w:rFonts w:ascii="Arial"/>
                <w:color w:val="auto"/>
                <w:sz w:val="21"/>
                <w:highlight w:val="none"/>
              </w:rPr>
            </w:pPr>
          </w:p>
        </w:tc>
        <w:tc>
          <w:tcPr>
            <w:tcW w:w="1983" w:type="dxa"/>
            <w:vAlign w:val="top"/>
          </w:tcPr>
          <w:p w14:paraId="18553165">
            <w:pPr>
              <w:rPr>
                <w:rFonts w:ascii="Arial"/>
                <w:color w:val="auto"/>
                <w:sz w:val="21"/>
                <w:highlight w:val="none"/>
              </w:rPr>
            </w:pPr>
          </w:p>
        </w:tc>
        <w:tc>
          <w:tcPr>
            <w:tcW w:w="4664" w:type="dxa"/>
            <w:vAlign w:val="top"/>
          </w:tcPr>
          <w:p w14:paraId="2EC72AE3">
            <w:pPr>
              <w:rPr>
                <w:rFonts w:ascii="Arial"/>
                <w:color w:val="auto"/>
                <w:sz w:val="21"/>
                <w:highlight w:val="none"/>
              </w:rPr>
            </w:pPr>
          </w:p>
        </w:tc>
        <w:tc>
          <w:tcPr>
            <w:tcW w:w="1290" w:type="dxa"/>
            <w:tcBorders>
              <w:right w:val="single" w:color="000000" w:sz="10" w:space="0"/>
            </w:tcBorders>
            <w:vAlign w:val="top"/>
          </w:tcPr>
          <w:p w14:paraId="6A1CD000">
            <w:pPr>
              <w:rPr>
                <w:rFonts w:ascii="Arial"/>
                <w:color w:val="auto"/>
                <w:sz w:val="21"/>
                <w:highlight w:val="none"/>
              </w:rPr>
            </w:pPr>
          </w:p>
        </w:tc>
      </w:tr>
      <w:tr w14:paraId="1E4EE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208EAEE5">
            <w:pPr>
              <w:rPr>
                <w:rFonts w:ascii="Arial"/>
                <w:color w:val="auto"/>
                <w:sz w:val="21"/>
                <w:highlight w:val="none"/>
              </w:rPr>
            </w:pPr>
          </w:p>
        </w:tc>
        <w:tc>
          <w:tcPr>
            <w:tcW w:w="1983" w:type="dxa"/>
            <w:vAlign w:val="top"/>
          </w:tcPr>
          <w:p w14:paraId="0D618D05">
            <w:pPr>
              <w:rPr>
                <w:rFonts w:ascii="Arial"/>
                <w:color w:val="auto"/>
                <w:sz w:val="21"/>
                <w:highlight w:val="none"/>
              </w:rPr>
            </w:pPr>
          </w:p>
        </w:tc>
        <w:tc>
          <w:tcPr>
            <w:tcW w:w="4664" w:type="dxa"/>
            <w:vAlign w:val="top"/>
          </w:tcPr>
          <w:p w14:paraId="72DF61C4">
            <w:pPr>
              <w:rPr>
                <w:rFonts w:ascii="Arial"/>
                <w:color w:val="auto"/>
                <w:sz w:val="21"/>
                <w:highlight w:val="none"/>
              </w:rPr>
            </w:pPr>
          </w:p>
        </w:tc>
        <w:tc>
          <w:tcPr>
            <w:tcW w:w="1290" w:type="dxa"/>
            <w:tcBorders>
              <w:right w:val="single" w:color="000000" w:sz="10" w:space="0"/>
            </w:tcBorders>
            <w:vAlign w:val="top"/>
          </w:tcPr>
          <w:p w14:paraId="01142771">
            <w:pPr>
              <w:rPr>
                <w:rFonts w:ascii="Arial"/>
                <w:color w:val="auto"/>
                <w:sz w:val="21"/>
                <w:highlight w:val="none"/>
              </w:rPr>
            </w:pPr>
          </w:p>
        </w:tc>
      </w:tr>
      <w:tr w14:paraId="7806A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52F8602">
            <w:pPr>
              <w:rPr>
                <w:rFonts w:ascii="Arial"/>
                <w:color w:val="auto"/>
                <w:sz w:val="21"/>
                <w:highlight w:val="none"/>
              </w:rPr>
            </w:pPr>
          </w:p>
        </w:tc>
        <w:tc>
          <w:tcPr>
            <w:tcW w:w="1983" w:type="dxa"/>
            <w:vAlign w:val="top"/>
          </w:tcPr>
          <w:p w14:paraId="6C348E63">
            <w:pPr>
              <w:rPr>
                <w:rFonts w:ascii="Arial"/>
                <w:color w:val="auto"/>
                <w:sz w:val="21"/>
                <w:highlight w:val="none"/>
              </w:rPr>
            </w:pPr>
          </w:p>
        </w:tc>
        <w:tc>
          <w:tcPr>
            <w:tcW w:w="4664" w:type="dxa"/>
            <w:vAlign w:val="top"/>
          </w:tcPr>
          <w:p w14:paraId="224C1D10">
            <w:pPr>
              <w:rPr>
                <w:rFonts w:ascii="Arial"/>
                <w:color w:val="auto"/>
                <w:sz w:val="21"/>
                <w:highlight w:val="none"/>
              </w:rPr>
            </w:pPr>
          </w:p>
        </w:tc>
        <w:tc>
          <w:tcPr>
            <w:tcW w:w="1290" w:type="dxa"/>
            <w:tcBorders>
              <w:right w:val="single" w:color="000000" w:sz="10" w:space="0"/>
            </w:tcBorders>
            <w:vAlign w:val="top"/>
          </w:tcPr>
          <w:p w14:paraId="5E79B946">
            <w:pPr>
              <w:rPr>
                <w:rFonts w:ascii="Arial"/>
                <w:color w:val="auto"/>
                <w:sz w:val="21"/>
                <w:highlight w:val="none"/>
              </w:rPr>
            </w:pPr>
          </w:p>
        </w:tc>
      </w:tr>
      <w:tr w14:paraId="78BDE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88ABFD8">
            <w:pPr>
              <w:rPr>
                <w:rFonts w:ascii="Arial"/>
                <w:color w:val="auto"/>
                <w:sz w:val="21"/>
                <w:highlight w:val="none"/>
              </w:rPr>
            </w:pPr>
          </w:p>
        </w:tc>
        <w:tc>
          <w:tcPr>
            <w:tcW w:w="1983" w:type="dxa"/>
            <w:vAlign w:val="top"/>
          </w:tcPr>
          <w:p w14:paraId="448B4DB6">
            <w:pPr>
              <w:rPr>
                <w:rFonts w:ascii="Arial"/>
                <w:color w:val="auto"/>
                <w:sz w:val="21"/>
                <w:highlight w:val="none"/>
              </w:rPr>
            </w:pPr>
          </w:p>
        </w:tc>
        <w:tc>
          <w:tcPr>
            <w:tcW w:w="4664" w:type="dxa"/>
            <w:vAlign w:val="top"/>
          </w:tcPr>
          <w:p w14:paraId="74A07F13">
            <w:pPr>
              <w:rPr>
                <w:rFonts w:ascii="Arial"/>
                <w:color w:val="auto"/>
                <w:sz w:val="21"/>
                <w:highlight w:val="none"/>
              </w:rPr>
            </w:pPr>
          </w:p>
        </w:tc>
        <w:tc>
          <w:tcPr>
            <w:tcW w:w="1290" w:type="dxa"/>
            <w:tcBorders>
              <w:right w:val="single" w:color="000000" w:sz="10" w:space="0"/>
            </w:tcBorders>
            <w:vAlign w:val="top"/>
          </w:tcPr>
          <w:p w14:paraId="56A94B3D">
            <w:pPr>
              <w:rPr>
                <w:rFonts w:ascii="Arial"/>
                <w:color w:val="auto"/>
                <w:sz w:val="21"/>
                <w:highlight w:val="none"/>
              </w:rPr>
            </w:pPr>
          </w:p>
        </w:tc>
      </w:tr>
      <w:tr w14:paraId="09C13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F4CF095">
            <w:pPr>
              <w:rPr>
                <w:rFonts w:ascii="Arial"/>
                <w:color w:val="auto"/>
                <w:sz w:val="21"/>
                <w:highlight w:val="none"/>
              </w:rPr>
            </w:pPr>
          </w:p>
        </w:tc>
        <w:tc>
          <w:tcPr>
            <w:tcW w:w="1983" w:type="dxa"/>
            <w:vAlign w:val="top"/>
          </w:tcPr>
          <w:p w14:paraId="1B461321">
            <w:pPr>
              <w:rPr>
                <w:rFonts w:ascii="Arial"/>
                <w:color w:val="auto"/>
                <w:sz w:val="21"/>
                <w:highlight w:val="none"/>
              </w:rPr>
            </w:pPr>
          </w:p>
        </w:tc>
        <w:tc>
          <w:tcPr>
            <w:tcW w:w="4664" w:type="dxa"/>
            <w:vAlign w:val="top"/>
          </w:tcPr>
          <w:p w14:paraId="7995C28A">
            <w:pPr>
              <w:rPr>
                <w:rFonts w:ascii="Arial"/>
                <w:color w:val="auto"/>
                <w:sz w:val="21"/>
                <w:highlight w:val="none"/>
              </w:rPr>
            </w:pPr>
          </w:p>
        </w:tc>
        <w:tc>
          <w:tcPr>
            <w:tcW w:w="1290" w:type="dxa"/>
            <w:tcBorders>
              <w:right w:val="single" w:color="000000" w:sz="10" w:space="0"/>
            </w:tcBorders>
            <w:vAlign w:val="top"/>
          </w:tcPr>
          <w:p w14:paraId="0186780E">
            <w:pPr>
              <w:rPr>
                <w:rFonts w:ascii="Arial"/>
                <w:color w:val="auto"/>
                <w:sz w:val="21"/>
                <w:highlight w:val="none"/>
              </w:rPr>
            </w:pPr>
          </w:p>
        </w:tc>
      </w:tr>
      <w:tr w14:paraId="192C0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25108910">
            <w:pPr>
              <w:rPr>
                <w:rFonts w:ascii="Arial"/>
                <w:color w:val="auto"/>
                <w:sz w:val="21"/>
                <w:highlight w:val="none"/>
              </w:rPr>
            </w:pPr>
          </w:p>
        </w:tc>
        <w:tc>
          <w:tcPr>
            <w:tcW w:w="1983" w:type="dxa"/>
            <w:vAlign w:val="top"/>
          </w:tcPr>
          <w:p w14:paraId="5A0F2AD6">
            <w:pPr>
              <w:rPr>
                <w:rFonts w:ascii="Arial"/>
                <w:color w:val="auto"/>
                <w:sz w:val="21"/>
                <w:highlight w:val="none"/>
              </w:rPr>
            </w:pPr>
          </w:p>
        </w:tc>
        <w:tc>
          <w:tcPr>
            <w:tcW w:w="4664" w:type="dxa"/>
            <w:vAlign w:val="top"/>
          </w:tcPr>
          <w:p w14:paraId="05698A3C">
            <w:pPr>
              <w:rPr>
                <w:rFonts w:ascii="Arial"/>
                <w:color w:val="auto"/>
                <w:sz w:val="21"/>
                <w:highlight w:val="none"/>
              </w:rPr>
            </w:pPr>
          </w:p>
        </w:tc>
        <w:tc>
          <w:tcPr>
            <w:tcW w:w="1290" w:type="dxa"/>
            <w:tcBorders>
              <w:right w:val="single" w:color="000000" w:sz="10" w:space="0"/>
            </w:tcBorders>
            <w:vAlign w:val="top"/>
          </w:tcPr>
          <w:p w14:paraId="0D98D83E">
            <w:pPr>
              <w:rPr>
                <w:rFonts w:ascii="Arial"/>
                <w:color w:val="auto"/>
                <w:sz w:val="21"/>
                <w:highlight w:val="none"/>
              </w:rPr>
            </w:pPr>
          </w:p>
        </w:tc>
      </w:tr>
      <w:tr w14:paraId="5E949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09BAA58A">
            <w:pPr>
              <w:rPr>
                <w:rFonts w:ascii="Arial"/>
                <w:color w:val="auto"/>
                <w:sz w:val="21"/>
                <w:highlight w:val="none"/>
              </w:rPr>
            </w:pPr>
          </w:p>
        </w:tc>
        <w:tc>
          <w:tcPr>
            <w:tcW w:w="1983" w:type="dxa"/>
            <w:vAlign w:val="top"/>
          </w:tcPr>
          <w:p w14:paraId="51950DC8">
            <w:pPr>
              <w:rPr>
                <w:rFonts w:ascii="Arial"/>
                <w:color w:val="auto"/>
                <w:sz w:val="21"/>
                <w:highlight w:val="none"/>
              </w:rPr>
            </w:pPr>
          </w:p>
        </w:tc>
        <w:tc>
          <w:tcPr>
            <w:tcW w:w="4664" w:type="dxa"/>
            <w:vAlign w:val="top"/>
          </w:tcPr>
          <w:p w14:paraId="35561A2D">
            <w:pPr>
              <w:rPr>
                <w:rFonts w:ascii="Arial"/>
                <w:color w:val="auto"/>
                <w:sz w:val="21"/>
                <w:highlight w:val="none"/>
              </w:rPr>
            </w:pPr>
          </w:p>
        </w:tc>
        <w:tc>
          <w:tcPr>
            <w:tcW w:w="1290" w:type="dxa"/>
            <w:tcBorders>
              <w:right w:val="single" w:color="000000" w:sz="10" w:space="0"/>
            </w:tcBorders>
            <w:vAlign w:val="top"/>
          </w:tcPr>
          <w:p w14:paraId="20D2CB29">
            <w:pPr>
              <w:rPr>
                <w:rFonts w:ascii="Arial"/>
                <w:color w:val="auto"/>
                <w:sz w:val="21"/>
                <w:highlight w:val="none"/>
              </w:rPr>
            </w:pPr>
          </w:p>
        </w:tc>
      </w:tr>
      <w:tr w14:paraId="50A3A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6F48F83">
            <w:pPr>
              <w:rPr>
                <w:rFonts w:ascii="Arial"/>
                <w:color w:val="auto"/>
                <w:sz w:val="21"/>
                <w:highlight w:val="none"/>
              </w:rPr>
            </w:pPr>
          </w:p>
        </w:tc>
        <w:tc>
          <w:tcPr>
            <w:tcW w:w="1983" w:type="dxa"/>
            <w:vAlign w:val="top"/>
          </w:tcPr>
          <w:p w14:paraId="2E4C2582">
            <w:pPr>
              <w:rPr>
                <w:rFonts w:ascii="Arial"/>
                <w:color w:val="auto"/>
                <w:sz w:val="21"/>
                <w:highlight w:val="none"/>
              </w:rPr>
            </w:pPr>
          </w:p>
        </w:tc>
        <w:tc>
          <w:tcPr>
            <w:tcW w:w="4664" w:type="dxa"/>
            <w:vAlign w:val="top"/>
          </w:tcPr>
          <w:p w14:paraId="5FC29018">
            <w:pPr>
              <w:rPr>
                <w:rFonts w:ascii="Arial"/>
                <w:color w:val="auto"/>
                <w:sz w:val="21"/>
                <w:highlight w:val="none"/>
              </w:rPr>
            </w:pPr>
          </w:p>
        </w:tc>
        <w:tc>
          <w:tcPr>
            <w:tcW w:w="1290" w:type="dxa"/>
            <w:tcBorders>
              <w:right w:val="single" w:color="000000" w:sz="10" w:space="0"/>
            </w:tcBorders>
            <w:vAlign w:val="top"/>
          </w:tcPr>
          <w:p w14:paraId="44D498A3">
            <w:pPr>
              <w:rPr>
                <w:rFonts w:ascii="Arial"/>
                <w:color w:val="auto"/>
                <w:sz w:val="21"/>
                <w:highlight w:val="none"/>
              </w:rPr>
            </w:pPr>
          </w:p>
        </w:tc>
      </w:tr>
      <w:tr w14:paraId="3784D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7CF7488">
            <w:pPr>
              <w:rPr>
                <w:rFonts w:ascii="Arial"/>
                <w:color w:val="auto"/>
                <w:sz w:val="21"/>
                <w:highlight w:val="none"/>
              </w:rPr>
            </w:pPr>
          </w:p>
        </w:tc>
        <w:tc>
          <w:tcPr>
            <w:tcW w:w="1983" w:type="dxa"/>
            <w:vAlign w:val="top"/>
          </w:tcPr>
          <w:p w14:paraId="72344F18">
            <w:pPr>
              <w:rPr>
                <w:rFonts w:ascii="Arial"/>
                <w:color w:val="auto"/>
                <w:sz w:val="21"/>
                <w:highlight w:val="none"/>
              </w:rPr>
            </w:pPr>
          </w:p>
        </w:tc>
        <w:tc>
          <w:tcPr>
            <w:tcW w:w="4664" w:type="dxa"/>
            <w:vAlign w:val="top"/>
          </w:tcPr>
          <w:p w14:paraId="4F09A06C">
            <w:pPr>
              <w:rPr>
                <w:rFonts w:ascii="Arial"/>
                <w:color w:val="auto"/>
                <w:sz w:val="21"/>
                <w:highlight w:val="none"/>
              </w:rPr>
            </w:pPr>
          </w:p>
        </w:tc>
        <w:tc>
          <w:tcPr>
            <w:tcW w:w="1290" w:type="dxa"/>
            <w:tcBorders>
              <w:right w:val="single" w:color="000000" w:sz="10" w:space="0"/>
            </w:tcBorders>
            <w:vAlign w:val="top"/>
          </w:tcPr>
          <w:p w14:paraId="71744439">
            <w:pPr>
              <w:rPr>
                <w:rFonts w:ascii="Arial"/>
                <w:color w:val="auto"/>
                <w:sz w:val="21"/>
                <w:highlight w:val="none"/>
              </w:rPr>
            </w:pPr>
          </w:p>
        </w:tc>
      </w:tr>
      <w:tr w14:paraId="5C9DB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651E2BA5">
            <w:pPr>
              <w:rPr>
                <w:rFonts w:ascii="Arial"/>
                <w:color w:val="auto"/>
                <w:sz w:val="21"/>
                <w:highlight w:val="none"/>
              </w:rPr>
            </w:pPr>
          </w:p>
        </w:tc>
        <w:tc>
          <w:tcPr>
            <w:tcW w:w="1983" w:type="dxa"/>
            <w:vAlign w:val="top"/>
          </w:tcPr>
          <w:p w14:paraId="742E89C5">
            <w:pPr>
              <w:rPr>
                <w:rFonts w:ascii="Arial"/>
                <w:color w:val="auto"/>
                <w:sz w:val="21"/>
                <w:highlight w:val="none"/>
              </w:rPr>
            </w:pPr>
          </w:p>
        </w:tc>
        <w:tc>
          <w:tcPr>
            <w:tcW w:w="4664" w:type="dxa"/>
            <w:vAlign w:val="top"/>
          </w:tcPr>
          <w:p w14:paraId="531C9B0F">
            <w:pPr>
              <w:rPr>
                <w:rFonts w:ascii="Arial"/>
                <w:color w:val="auto"/>
                <w:sz w:val="21"/>
                <w:highlight w:val="none"/>
              </w:rPr>
            </w:pPr>
          </w:p>
        </w:tc>
        <w:tc>
          <w:tcPr>
            <w:tcW w:w="1290" w:type="dxa"/>
            <w:tcBorders>
              <w:right w:val="single" w:color="000000" w:sz="10" w:space="0"/>
            </w:tcBorders>
            <w:vAlign w:val="top"/>
          </w:tcPr>
          <w:p w14:paraId="42F1C2BF">
            <w:pPr>
              <w:rPr>
                <w:rFonts w:ascii="Arial"/>
                <w:color w:val="auto"/>
                <w:sz w:val="21"/>
                <w:highlight w:val="none"/>
              </w:rPr>
            </w:pPr>
          </w:p>
        </w:tc>
      </w:tr>
      <w:tr w14:paraId="65A14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3F9D621D">
            <w:pPr>
              <w:rPr>
                <w:rFonts w:ascii="Arial"/>
                <w:color w:val="auto"/>
                <w:sz w:val="21"/>
                <w:highlight w:val="none"/>
              </w:rPr>
            </w:pPr>
          </w:p>
        </w:tc>
        <w:tc>
          <w:tcPr>
            <w:tcW w:w="1983" w:type="dxa"/>
            <w:vAlign w:val="top"/>
          </w:tcPr>
          <w:p w14:paraId="3B392C4C">
            <w:pPr>
              <w:rPr>
                <w:rFonts w:ascii="Arial"/>
                <w:color w:val="auto"/>
                <w:sz w:val="21"/>
                <w:highlight w:val="none"/>
              </w:rPr>
            </w:pPr>
          </w:p>
        </w:tc>
        <w:tc>
          <w:tcPr>
            <w:tcW w:w="4664" w:type="dxa"/>
            <w:vAlign w:val="top"/>
          </w:tcPr>
          <w:p w14:paraId="278645C5">
            <w:pPr>
              <w:rPr>
                <w:rFonts w:ascii="Arial"/>
                <w:color w:val="auto"/>
                <w:sz w:val="21"/>
                <w:highlight w:val="none"/>
              </w:rPr>
            </w:pPr>
          </w:p>
        </w:tc>
        <w:tc>
          <w:tcPr>
            <w:tcW w:w="1290" w:type="dxa"/>
            <w:tcBorders>
              <w:right w:val="single" w:color="000000" w:sz="10" w:space="0"/>
            </w:tcBorders>
            <w:vAlign w:val="top"/>
          </w:tcPr>
          <w:p w14:paraId="17B44339">
            <w:pPr>
              <w:rPr>
                <w:rFonts w:ascii="Arial"/>
                <w:color w:val="auto"/>
                <w:sz w:val="21"/>
                <w:highlight w:val="none"/>
              </w:rPr>
            </w:pPr>
          </w:p>
        </w:tc>
      </w:tr>
      <w:tr w14:paraId="19EEC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31C1DC6">
            <w:pPr>
              <w:rPr>
                <w:rFonts w:ascii="Arial"/>
                <w:color w:val="auto"/>
                <w:sz w:val="21"/>
                <w:highlight w:val="none"/>
              </w:rPr>
            </w:pPr>
          </w:p>
        </w:tc>
        <w:tc>
          <w:tcPr>
            <w:tcW w:w="1983" w:type="dxa"/>
            <w:vAlign w:val="top"/>
          </w:tcPr>
          <w:p w14:paraId="4AE6445F">
            <w:pPr>
              <w:rPr>
                <w:rFonts w:ascii="Arial"/>
                <w:color w:val="auto"/>
                <w:sz w:val="21"/>
                <w:highlight w:val="none"/>
              </w:rPr>
            </w:pPr>
          </w:p>
        </w:tc>
        <w:tc>
          <w:tcPr>
            <w:tcW w:w="4664" w:type="dxa"/>
            <w:vAlign w:val="top"/>
          </w:tcPr>
          <w:p w14:paraId="2210D948">
            <w:pPr>
              <w:rPr>
                <w:rFonts w:ascii="Arial"/>
                <w:color w:val="auto"/>
                <w:sz w:val="21"/>
                <w:highlight w:val="none"/>
              </w:rPr>
            </w:pPr>
          </w:p>
        </w:tc>
        <w:tc>
          <w:tcPr>
            <w:tcW w:w="1290" w:type="dxa"/>
            <w:tcBorders>
              <w:right w:val="single" w:color="000000" w:sz="10" w:space="0"/>
            </w:tcBorders>
            <w:vAlign w:val="top"/>
          </w:tcPr>
          <w:p w14:paraId="5555BE65">
            <w:pPr>
              <w:rPr>
                <w:rFonts w:ascii="Arial"/>
                <w:color w:val="auto"/>
                <w:sz w:val="21"/>
                <w:highlight w:val="none"/>
              </w:rPr>
            </w:pPr>
          </w:p>
        </w:tc>
      </w:tr>
      <w:tr w14:paraId="41A2C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074ED0A6">
            <w:pPr>
              <w:rPr>
                <w:rFonts w:ascii="Arial"/>
                <w:color w:val="auto"/>
                <w:sz w:val="21"/>
                <w:highlight w:val="none"/>
              </w:rPr>
            </w:pPr>
          </w:p>
        </w:tc>
        <w:tc>
          <w:tcPr>
            <w:tcW w:w="1983" w:type="dxa"/>
            <w:vAlign w:val="top"/>
          </w:tcPr>
          <w:p w14:paraId="163ED2FB">
            <w:pPr>
              <w:rPr>
                <w:rFonts w:ascii="Arial"/>
                <w:color w:val="auto"/>
                <w:sz w:val="21"/>
                <w:highlight w:val="none"/>
              </w:rPr>
            </w:pPr>
          </w:p>
        </w:tc>
        <w:tc>
          <w:tcPr>
            <w:tcW w:w="4664" w:type="dxa"/>
            <w:vAlign w:val="top"/>
          </w:tcPr>
          <w:p w14:paraId="10A96183">
            <w:pPr>
              <w:rPr>
                <w:rFonts w:ascii="Arial"/>
                <w:color w:val="auto"/>
                <w:sz w:val="21"/>
                <w:highlight w:val="none"/>
              </w:rPr>
            </w:pPr>
          </w:p>
        </w:tc>
        <w:tc>
          <w:tcPr>
            <w:tcW w:w="1290" w:type="dxa"/>
            <w:tcBorders>
              <w:right w:val="single" w:color="000000" w:sz="10" w:space="0"/>
            </w:tcBorders>
            <w:vAlign w:val="top"/>
          </w:tcPr>
          <w:p w14:paraId="086B696C">
            <w:pPr>
              <w:rPr>
                <w:rFonts w:ascii="Arial"/>
                <w:color w:val="auto"/>
                <w:sz w:val="21"/>
                <w:highlight w:val="none"/>
              </w:rPr>
            </w:pPr>
          </w:p>
        </w:tc>
      </w:tr>
      <w:tr w14:paraId="6A2EF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7FE45CFF">
            <w:pPr>
              <w:rPr>
                <w:rFonts w:ascii="Arial"/>
                <w:color w:val="auto"/>
                <w:sz w:val="21"/>
                <w:highlight w:val="none"/>
              </w:rPr>
            </w:pPr>
          </w:p>
        </w:tc>
        <w:tc>
          <w:tcPr>
            <w:tcW w:w="1983" w:type="dxa"/>
            <w:vAlign w:val="top"/>
          </w:tcPr>
          <w:p w14:paraId="3021E167">
            <w:pPr>
              <w:rPr>
                <w:rFonts w:ascii="Arial"/>
                <w:color w:val="auto"/>
                <w:sz w:val="21"/>
                <w:highlight w:val="none"/>
              </w:rPr>
            </w:pPr>
          </w:p>
        </w:tc>
        <w:tc>
          <w:tcPr>
            <w:tcW w:w="4664" w:type="dxa"/>
            <w:vAlign w:val="top"/>
          </w:tcPr>
          <w:p w14:paraId="10C0E48E">
            <w:pPr>
              <w:rPr>
                <w:rFonts w:ascii="Arial"/>
                <w:color w:val="auto"/>
                <w:sz w:val="21"/>
                <w:highlight w:val="none"/>
              </w:rPr>
            </w:pPr>
          </w:p>
        </w:tc>
        <w:tc>
          <w:tcPr>
            <w:tcW w:w="1290" w:type="dxa"/>
            <w:tcBorders>
              <w:right w:val="single" w:color="000000" w:sz="10" w:space="0"/>
            </w:tcBorders>
            <w:vAlign w:val="top"/>
          </w:tcPr>
          <w:p w14:paraId="55AD994A">
            <w:pPr>
              <w:rPr>
                <w:rFonts w:ascii="Arial"/>
                <w:color w:val="auto"/>
                <w:sz w:val="21"/>
                <w:highlight w:val="none"/>
              </w:rPr>
            </w:pPr>
          </w:p>
        </w:tc>
      </w:tr>
      <w:tr w14:paraId="05553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14:paraId="7DD4091B">
            <w:pPr>
              <w:pStyle w:val="11"/>
              <w:spacing w:before="195" w:line="222" w:lineRule="auto"/>
              <w:ind w:left="95"/>
              <w:rPr>
                <w:color w:val="auto"/>
                <w:highlight w:val="none"/>
              </w:rPr>
            </w:pPr>
            <w:r>
              <w:rPr>
                <w:color w:val="auto"/>
                <w:spacing w:val="-14"/>
                <w:highlight w:val="none"/>
              </w:rPr>
              <w:t>小计：</w:t>
            </w:r>
          </w:p>
        </w:tc>
      </w:tr>
    </w:tbl>
    <w:p w14:paraId="7CCAA1C1">
      <w:pPr>
        <w:pStyle w:val="3"/>
        <w:rPr>
          <w:color w:val="auto"/>
          <w:highlight w:val="none"/>
        </w:rPr>
      </w:pPr>
    </w:p>
    <w:p w14:paraId="22512820">
      <w:pPr>
        <w:rPr>
          <w:color w:val="auto"/>
          <w:highlight w:val="none"/>
        </w:rPr>
        <w:sectPr>
          <w:footerReference r:id="rId172" w:type="default"/>
          <w:pgSz w:w="11905" w:h="16839"/>
          <w:pgMar w:top="400" w:right="1258" w:bottom="1004" w:left="1785" w:header="0" w:footer="828" w:gutter="0"/>
          <w:pgNumType w:fmt="decimal"/>
          <w:cols w:space="720" w:num="1"/>
        </w:sectPr>
      </w:pPr>
    </w:p>
    <w:p w14:paraId="61440776">
      <w:pPr>
        <w:pStyle w:val="3"/>
        <w:spacing w:line="251" w:lineRule="auto"/>
        <w:rPr>
          <w:color w:val="auto"/>
          <w:highlight w:val="none"/>
        </w:rPr>
      </w:pPr>
    </w:p>
    <w:p w14:paraId="0B04EA99">
      <w:pPr>
        <w:pStyle w:val="3"/>
        <w:spacing w:line="251" w:lineRule="auto"/>
        <w:rPr>
          <w:color w:val="auto"/>
          <w:highlight w:val="none"/>
        </w:rPr>
      </w:pPr>
    </w:p>
    <w:p w14:paraId="52CE14AE">
      <w:pPr>
        <w:pStyle w:val="3"/>
        <w:spacing w:line="251" w:lineRule="auto"/>
        <w:rPr>
          <w:color w:val="auto"/>
          <w:highlight w:val="none"/>
        </w:rPr>
      </w:pPr>
    </w:p>
    <w:p w14:paraId="07FDDFFF">
      <w:pPr>
        <w:pStyle w:val="3"/>
        <w:spacing w:line="251" w:lineRule="auto"/>
        <w:rPr>
          <w:color w:val="auto"/>
          <w:highlight w:val="none"/>
        </w:rPr>
      </w:pPr>
    </w:p>
    <w:p w14:paraId="695686F8">
      <w:pPr>
        <w:pStyle w:val="3"/>
        <w:spacing w:line="251" w:lineRule="auto"/>
        <w:rPr>
          <w:color w:val="auto"/>
          <w:highlight w:val="none"/>
        </w:rPr>
      </w:pPr>
    </w:p>
    <w:p w14:paraId="0D895B7A">
      <w:pPr>
        <w:pStyle w:val="3"/>
        <w:spacing w:line="251" w:lineRule="auto"/>
        <w:rPr>
          <w:color w:val="auto"/>
          <w:highlight w:val="none"/>
        </w:rPr>
      </w:pPr>
    </w:p>
    <w:p w14:paraId="736928DD">
      <w:pPr>
        <w:pStyle w:val="3"/>
        <w:spacing w:line="251" w:lineRule="auto"/>
        <w:rPr>
          <w:color w:val="auto"/>
          <w:highlight w:val="none"/>
        </w:rPr>
      </w:pPr>
    </w:p>
    <w:p w14:paraId="2C61A553">
      <w:pPr>
        <w:pStyle w:val="3"/>
        <w:spacing w:line="251" w:lineRule="auto"/>
        <w:rPr>
          <w:color w:val="auto"/>
          <w:highlight w:val="none"/>
        </w:rPr>
      </w:pPr>
    </w:p>
    <w:p w14:paraId="25D5E89C">
      <w:pPr>
        <w:pStyle w:val="3"/>
        <w:spacing w:line="251" w:lineRule="auto"/>
        <w:rPr>
          <w:color w:val="auto"/>
          <w:highlight w:val="none"/>
        </w:rPr>
      </w:pPr>
    </w:p>
    <w:p w14:paraId="07FCA9B9">
      <w:pPr>
        <w:pStyle w:val="3"/>
        <w:spacing w:line="251" w:lineRule="auto"/>
        <w:rPr>
          <w:color w:val="auto"/>
          <w:highlight w:val="none"/>
        </w:rPr>
      </w:pPr>
    </w:p>
    <w:p w14:paraId="4A992AE0">
      <w:pPr>
        <w:pStyle w:val="3"/>
        <w:spacing w:line="251" w:lineRule="auto"/>
        <w:rPr>
          <w:color w:val="auto"/>
          <w:highlight w:val="none"/>
        </w:rPr>
      </w:pPr>
    </w:p>
    <w:p w14:paraId="650CCA37">
      <w:pPr>
        <w:pStyle w:val="3"/>
        <w:spacing w:line="251" w:lineRule="auto"/>
        <w:rPr>
          <w:color w:val="auto"/>
          <w:highlight w:val="none"/>
        </w:rPr>
      </w:pPr>
    </w:p>
    <w:p w14:paraId="3D198817">
      <w:pPr>
        <w:pStyle w:val="3"/>
        <w:spacing w:line="251" w:lineRule="auto"/>
        <w:rPr>
          <w:color w:val="auto"/>
          <w:highlight w:val="none"/>
        </w:rPr>
      </w:pPr>
    </w:p>
    <w:p w14:paraId="7A08E310">
      <w:pPr>
        <w:pStyle w:val="3"/>
        <w:spacing w:line="252" w:lineRule="auto"/>
        <w:rPr>
          <w:color w:val="auto"/>
          <w:highlight w:val="none"/>
        </w:rPr>
      </w:pPr>
    </w:p>
    <w:p w14:paraId="42891E6A">
      <w:pPr>
        <w:pStyle w:val="3"/>
        <w:spacing w:line="252" w:lineRule="auto"/>
        <w:rPr>
          <w:color w:val="auto"/>
          <w:highlight w:val="none"/>
        </w:rPr>
      </w:pPr>
    </w:p>
    <w:p w14:paraId="65ADEB59">
      <w:pPr>
        <w:pStyle w:val="3"/>
        <w:spacing w:line="252" w:lineRule="auto"/>
        <w:rPr>
          <w:color w:val="auto"/>
          <w:highlight w:val="none"/>
        </w:rPr>
      </w:pPr>
    </w:p>
    <w:p w14:paraId="7C806A4B">
      <w:pPr>
        <w:spacing w:before="104" w:line="220" w:lineRule="auto"/>
        <w:ind w:left="2740"/>
        <w:rPr>
          <w:rFonts w:ascii="黑体" w:hAnsi="黑体" w:eastAsia="黑体" w:cs="黑体"/>
          <w:color w:val="auto"/>
          <w:sz w:val="32"/>
          <w:szCs w:val="32"/>
          <w:highlight w:val="none"/>
        </w:rPr>
      </w:pPr>
      <w:bookmarkStart w:id="1291" w:name="bookmark237"/>
      <w:bookmarkEnd w:id="1291"/>
      <w:r>
        <w:rPr>
          <w:rFonts w:ascii="黑体" w:hAnsi="黑体" w:eastAsia="黑体" w:cs="黑体"/>
          <w:color w:val="auto"/>
          <w:spacing w:val="-1"/>
          <w:sz w:val="32"/>
          <w:szCs w:val="32"/>
          <w:highlight w:val="none"/>
        </w:rPr>
        <w:t>第五章  工程量清单</w:t>
      </w:r>
    </w:p>
    <w:p w14:paraId="68B7878F">
      <w:pPr>
        <w:spacing w:line="220" w:lineRule="auto"/>
        <w:rPr>
          <w:rFonts w:ascii="黑体" w:hAnsi="黑体" w:eastAsia="黑体" w:cs="黑体"/>
          <w:color w:val="auto"/>
          <w:sz w:val="32"/>
          <w:szCs w:val="32"/>
          <w:highlight w:val="none"/>
        </w:rPr>
        <w:sectPr>
          <w:footerReference r:id="rId173" w:type="default"/>
          <w:pgSz w:w="11905" w:h="16839"/>
          <w:pgMar w:top="400" w:right="1785" w:bottom="1004" w:left="1785" w:header="0" w:footer="828" w:gutter="0"/>
          <w:pgNumType w:fmt="decimal"/>
          <w:cols w:space="720" w:num="1"/>
        </w:sectPr>
      </w:pPr>
    </w:p>
    <w:p w14:paraId="7F6DA96C">
      <w:pPr>
        <w:pStyle w:val="3"/>
        <w:spacing w:line="252" w:lineRule="auto"/>
        <w:rPr>
          <w:color w:val="auto"/>
          <w:highlight w:val="none"/>
        </w:rPr>
      </w:pPr>
    </w:p>
    <w:p w14:paraId="38AF416F">
      <w:pPr>
        <w:pStyle w:val="3"/>
        <w:spacing w:line="252" w:lineRule="auto"/>
        <w:rPr>
          <w:color w:val="auto"/>
          <w:highlight w:val="none"/>
        </w:rPr>
      </w:pPr>
    </w:p>
    <w:p w14:paraId="100E1185">
      <w:pPr>
        <w:pStyle w:val="3"/>
        <w:spacing w:line="252" w:lineRule="auto"/>
        <w:rPr>
          <w:color w:val="auto"/>
          <w:highlight w:val="none"/>
        </w:rPr>
      </w:pPr>
    </w:p>
    <w:p w14:paraId="6D792532">
      <w:pPr>
        <w:pStyle w:val="3"/>
        <w:spacing w:line="253" w:lineRule="auto"/>
        <w:rPr>
          <w:color w:val="auto"/>
          <w:highlight w:val="none"/>
        </w:rPr>
      </w:pPr>
    </w:p>
    <w:p w14:paraId="22D290FE">
      <w:pPr>
        <w:spacing w:before="87" w:line="225" w:lineRule="auto"/>
        <w:ind w:left="3200"/>
        <w:outlineLvl w:val="0"/>
        <w:rPr>
          <w:rFonts w:ascii="黑体" w:hAnsi="黑体" w:eastAsia="黑体" w:cs="黑体"/>
          <w:color w:val="auto"/>
          <w:sz w:val="27"/>
          <w:szCs w:val="27"/>
          <w:highlight w:val="none"/>
        </w:rPr>
      </w:pPr>
      <w:bookmarkStart w:id="1292" w:name="bookmark238"/>
      <w:bookmarkEnd w:id="1292"/>
      <w:r>
        <w:rPr>
          <w:rFonts w:ascii="黑体" w:hAnsi="黑体" w:eastAsia="黑体" w:cs="黑体"/>
          <w:color w:val="auto"/>
          <w:spacing w:val="7"/>
          <w:sz w:val="27"/>
          <w:szCs w:val="27"/>
          <w:highlight w:val="none"/>
        </w:rPr>
        <w:t>第五章  工程量清单</w:t>
      </w:r>
    </w:p>
    <w:p w14:paraId="495D2C7B">
      <w:pPr>
        <w:pStyle w:val="3"/>
        <w:spacing w:line="382" w:lineRule="auto"/>
        <w:rPr>
          <w:color w:val="auto"/>
          <w:highlight w:val="none"/>
        </w:rPr>
      </w:pPr>
    </w:p>
    <w:p w14:paraId="4D30700A">
      <w:pPr>
        <w:spacing w:before="78"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、招标工程量清单说明</w:t>
      </w:r>
    </w:p>
    <w:p w14:paraId="51907649">
      <w:pPr>
        <w:spacing w:before="164" w:line="219" w:lineRule="auto"/>
        <w:jc w:val="right"/>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1.1    </w:t>
      </w:r>
      <w:r>
        <w:rPr>
          <w:rFonts w:ascii="宋体" w:hAnsi="宋体" w:eastAsia="宋体" w:cs="宋体"/>
          <w:color w:val="auto"/>
          <w:sz w:val="21"/>
          <w:szCs w:val="21"/>
          <w:highlight w:val="none"/>
        </w:rPr>
        <w:t>本招标工程量清单是依据中华人民共和国国家标准《建设工程</w:t>
      </w:r>
      <w:r>
        <w:rPr>
          <w:rFonts w:ascii="宋体" w:hAnsi="宋体" w:eastAsia="宋体" w:cs="宋体"/>
          <w:color w:val="auto"/>
          <w:spacing w:val="-1"/>
          <w:sz w:val="21"/>
          <w:szCs w:val="21"/>
          <w:highlight w:val="none"/>
        </w:rPr>
        <w:t>工程量清单计价规范》</w:t>
      </w:r>
    </w:p>
    <w:p w14:paraId="7A8CFB5E">
      <w:pPr>
        <w:spacing w:before="181" w:line="378" w:lineRule="auto"/>
        <w:ind w:left="783" w:right="196" w:firstLine="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GB/T50500-2024</w:t>
      </w:r>
      <w:r>
        <w:rPr>
          <w:rFonts w:ascii="宋体" w:hAnsi="宋体" w:eastAsia="宋体" w:cs="宋体"/>
          <w:color w:val="auto"/>
          <w:sz w:val="21"/>
          <w:szCs w:val="21"/>
          <w:highlight w:val="none"/>
        </w:rPr>
        <w:t>）和配套的工程量计算规范（</w:t>
      </w:r>
      <w:r>
        <w:rPr>
          <w:rFonts w:hint="eastAsia" w:ascii="宋体" w:hAnsi="宋体" w:eastAsia="宋体" w:cs="宋体"/>
          <w:color w:val="auto"/>
          <w:sz w:val="21"/>
          <w:szCs w:val="21"/>
          <w:highlight w:val="none"/>
          <w:lang w:eastAsia="zh-CN"/>
        </w:rPr>
        <w:t>GB/T50854-2024</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/T</w:t>
      </w:r>
      <w:r>
        <w:rPr>
          <w:rFonts w:ascii="宋体" w:hAnsi="宋体" w:eastAsia="宋体" w:cs="宋体"/>
          <w:color w:val="auto"/>
          <w:sz w:val="21"/>
          <w:szCs w:val="21"/>
          <w:highlight w:val="none"/>
        </w:rPr>
        <w:t>50862-20</w:t>
      </w:r>
      <w:r>
        <w:rPr>
          <w:rFonts w:hint="eastAsia" w:ascii="宋体" w:hAnsi="宋体" w:eastAsia="宋体" w:cs="宋体"/>
          <w:color w:val="auto"/>
          <w:sz w:val="21"/>
          <w:szCs w:val="21"/>
          <w:highlight w:val="none"/>
          <w:lang w:val="en-US" w:eastAsia="zh-CN"/>
        </w:rPr>
        <w:t>24</w:t>
      </w:r>
      <w:r>
        <w:rPr>
          <w:rFonts w:ascii="宋体" w:hAnsi="宋体" w:eastAsia="宋体" w:cs="宋体"/>
          <w:color w:val="auto"/>
          <w:sz w:val="21"/>
          <w:szCs w:val="21"/>
          <w:highlight w:val="none"/>
        </w:rPr>
        <w:t xml:space="preserve">）、 </w:t>
      </w:r>
      <w:r>
        <w:rPr>
          <w:rFonts w:hint="eastAsia" w:ascii="Times New Roman" w:hAnsi="Times New Roman" w:eastAsia="宋体" w:cs="Times New Roman"/>
          <w:color w:val="auto"/>
          <w:spacing w:val="-3"/>
          <w:sz w:val="21"/>
          <w:szCs w:val="21"/>
          <w:highlight w:val="none"/>
          <w:lang w:eastAsia="zh-CN"/>
        </w:rPr>
        <w:t>2024年辽宁省建设工程计价依据</w:t>
      </w:r>
      <w:r>
        <w:rPr>
          <w:rFonts w:ascii="宋体" w:hAnsi="宋体" w:eastAsia="宋体" w:cs="宋体"/>
          <w:color w:val="auto"/>
          <w:spacing w:val="-3"/>
          <w:sz w:val="21"/>
          <w:szCs w:val="21"/>
          <w:highlight w:val="none"/>
        </w:rPr>
        <w:t>（以下简称“计价规范”、“计量规范”或“计价</w:t>
      </w:r>
    </w:p>
    <w:p w14:paraId="0B8B38FE">
      <w:pPr>
        <w:spacing w:before="1" w:line="220" w:lineRule="auto"/>
        <w:ind w:left="78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计量规范”）以及招标文件中包括的图纸等编制。</w:t>
      </w:r>
    </w:p>
    <w:p w14:paraId="6C6F8BB7">
      <w:pPr>
        <w:spacing w:before="176" w:line="300" w:lineRule="auto"/>
        <w:ind w:left="777" w:right="228" w:hanging="74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1.2    </w:t>
      </w:r>
      <w:r>
        <w:rPr>
          <w:rFonts w:ascii="宋体" w:hAnsi="宋体" w:eastAsia="宋体" w:cs="宋体"/>
          <w:color w:val="auto"/>
          <w:spacing w:val="-1"/>
          <w:sz w:val="21"/>
          <w:szCs w:val="21"/>
          <w:highlight w:val="none"/>
        </w:rPr>
        <w:t>本招标工程量清单应与招标文件中的投标人须知、通用合同条款、专用合同条款、</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技术标准和要求及图纸等章节内容一起阅读和理解。</w:t>
      </w:r>
    </w:p>
    <w:p w14:paraId="1BC3E424">
      <w:pPr>
        <w:spacing w:before="182" w:line="220" w:lineRule="auto"/>
        <w:ind w:left="34"/>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黑体" w:hAnsi="黑体" w:eastAsia="黑体" w:cs="黑体"/>
          <w:color w:val="auto"/>
          <w:spacing w:val="-3"/>
          <w:sz w:val="21"/>
          <w:szCs w:val="21"/>
          <w:highlight w:val="none"/>
        </w:rPr>
        <w:t>.3</w:t>
      </w:r>
      <w:r>
        <w:rPr>
          <w:rFonts w:ascii="黑体" w:hAnsi="黑体" w:eastAsia="黑体" w:cs="黑体"/>
          <w:color w:val="auto"/>
          <w:spacing w:val="31"/>
          <w:sz w:val="21"/>
          <w:szCs w:val="21"/>
          <w:highlight w:val="none"/>
        </w:rPr>
        <w:t xml:space="preserve">  </w:t>
      </w:r>
      <w:r>
        <w:rPr>
          <w:rFonts w:ascii="宋体" w:hAnsi="宋体" w:eastAsia="宋体" w:cs="宋体"/>
          <w:color w:val="auto"/>
          <w:spacing w:val="-3"/>
          <w:sz w:val="21"/>
          <w:szCs w:val="21"/>
          <w:highlight w:val="none"/>
        </w:rPr>
        <w:t>本招标工程量清单作为招标文件的组成部分，</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其准确性和完整性应由招标人负责。</w:t>
      </w:r>
    </w:p>
    <w:p w14:paraId="16070174">
      <w:pPr>
        <w:spacing w:before="177" w:line="301" w:lineRule="auto"/>
        <w:ind w:left="735" w:right="197" w:hanging="70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1.4    </w:t>
      </w:r>
      <w:r>
        <w:rPr>
          <w:rFonts w:ascii="宋体" w:hAnsi="宋体" w:eastAsia="宋体" w:cs="宋体"/>
          <w:color w:val="auto"/>
          <w:sz w:val="21"/>
          <w:szCs w:val="21"/>
          <w:highlight w:val="none"/>
        </w:rPr>
        <w:t>分部分项工程和单价措施项目清单必须载明项目编码、项目名称、项目特征、计量</w:t>
      </w:r>
      <w:r>
        <w:rPr>
          <w:rFonts w:ascii="宋体" w:hAnsi="宋体" w:eastAsia="宋体" w:cs="宋体"/>
          <w:color w:val="auto"/>
          <w:spacing w:val="3"/>
          <w:sz w:val="21"/>
          <w:szCs w:val="21"/>
          <w:highlight w:val="none"/>
        </w:rPr>
        <w:t xml:space="preserve"> </w:t>
      </w:r>
      <w:r>
        <w:rPr>
          <w:rFonts w:ascii="宋体" w:hAnsi="宋体" w:eastAsia="宋体" w:cs="宋体"/>
          <w:color w:val="auto"/>
          <w:spacing w:val="-3"/>
          <w:sz w:val="21"/>
          <w:szCs w:val="21"/>
          <w:highlight w:val="none"/>
        </w:rPr>
        <w:t>单位和工程量。</w:t>
      </w:r>
    </w:p>
    <w:p w14:paraId="0BA9C2E0">
      <w:pPr>
        <w:spacing w:before="176" w:line="300" w:lineRule="auto"/>
        <w:ind w:left="805" w:right="197" w:hanging="772"/>
        <w:rPr>
          <w:rFonts w:ascii="宋体" w:hAnsi="宋体" w:eastAsia="宋体" w:cs="宋体"/>
          <w:color w:val="auto"/>
          <w:sz w:val="21"/>
          <w:szCs w:val="21"/>
          <w:highlight w:val="none"/>
        </w:rPr>
      </w:pPr>
      <w:r>
        <w:rPr>
          <w:rFonts w:ascii="宋体" w:hAnsi="宋体" w:eastAsia="宋体" w:cs="宋体"/>
          <w:color w:val="auto"/>
          <w:sz w:val="21"/>
          <w:szCs w:val="21"/>
          <w:highlight w:val="none"/>
        </w:rPr>
        <w:t>1</w:t>
      </w:r>
      <w:r>
        <w:rPr>
          <w:rFonts w:ascii="黑体" w:hAnsi="黑体" w:eastAsia="黑体" w:cs="黑体"/>
          <w:color w:val="auto"/>
          <w:sz w:val="21"/>
          <w:szCs w:val="21"/>
          <w:highlight w:val="none"/>
        </w:rPr>
        <w:t xml:space="preserve">.5    </w:t>
      </w:r>
      <w:r>
        <w:rPr>
          <w:rFonts w:ascii="宋体" w:hAnsi="宋体" w:eastAsia="宋体" w:cs="宋体"/>
          <w:color w:val="auto"/>
          <w:sz w:val="21"/>
          <w:szCs w:val="21"/>
          <w:highlight w:val="none"/>
        </w:rPr>
        <w:t>分部分项工程和单价措施项目清单必须根据相关工程现行国家及省计价计量规</w:t>
      </w:r>
      <w:r>
        <w:rPr>
          <w:rFonts w:ascii="宋体" w:hAnsi="宋体" w:eastAsia="宋体" w:cs="宋体"/>
          <w:color w:val="auto"/>
          <w:spacing w:val="-1"/>
          <w:sz w:val="21"/>
          <w:szCs w:val="21"/>
          <w:highlight w:val="none"/>
        </w:rPr>
        <w:t>范规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定的项目编码、项目名称、项目特征、计量单位和工程量计算规则进行编制。</w:t>
      </w:r>
    </w:p>
    <w:p w14:paraId="0F0F0128">
      <w:pPr>
        <w:spacing w:before="181" w:line="219" w:lineRule="auto"/>
        <w:ind w:left="3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w:t>
      </w:r>
      <w:r>
        <w:rPr>
          <w:rFonts w:ascii="黑体" w:hAnsi="黑体" w:eastAsia="黑体" w:cs="黑体"/>
          <w:color w:val="auto"/>
          <w:spacing w:val="-1"/>
          <w:sz w:val="21"/>
          <w:szCs w:val="21"/>
          <w:highlight w:val="none"/>
        </w:rPr>
        <w:t xml:space="preserve">.6    </w:t>
      </w:r>
      <w:r>
        <w:rPr>
          <w:rFonts w:ascii="宋体" w:hAnsi="宋体" w:eastAsia="宋体" w:cs="宋体"/>
          <w:color w:val="auto"/>
          <w:spacing w:val="-1"/>
          <w:sz w:val="21"/>
          <w:szCs w:val="21"/>
          <w:highlight w:val="none"/>
        </w:rPr>
        <w:t>总价措施项目清单必须根据相关工程现行国家及省计价计量规范的规定编制。</w:t>
      </w:r>
    </w:p>
    <w:p w14:paraId="5390631B">
      <w:pPr>
        <w:spacing w:before="178"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1.7    </w:t>
      </w:r>
      <w:r>
        <w:rPr>
          <w:rFonts w:ascii="宋体" w:hAnsi="宋体" w:eastAsia="宋体" w:cs="宋体"/>
          <w:color w:val="auto"/>
          <w:spacing w:val="-1"/>
          <w:sz w:val="21"/>
          <w:szCs w:val="21"/>
          <w:highlight w:val="none"/>
        </w:rPr>
        <w:t>其他项目、规费和税金项目清单应按照现行国家及省计价计量规范的规定编制。</w:t>
      </w:r>
    </w:p>
    <w:p w14:paraId="4472B1F2">
      <w:pPr>
        <w:spacing w:before="183" w:line="298" w:lineRule="auto"/>
        <w:ind w:left="753" w:right="206" w:hanging="724"/>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1.8    </w:t>
      </w:r>
      <w:r>
        <w:rPr>
          <w:rFonts w:ascii="宋体" w:hAnsi="宋体" w:eastAsia="宋体" w:cs="宋体"/>
          <w:color w:val="auto"/>
          <w:sz w:val="21"/>
          <w:szCs w:val="21"/>
          <w:highlight w:val="none"/>
        </w:rPr>
        <w:t>编制招标工程量清单出现相关工程现行国家计量规范附录中未包括的</w:t>
      </w:r>
      <w:r>
        <w:rPr>
          <w:rFonts w:ascii="宋体" w:hAnsi="宋体" w:eastAsia="宋体" w:cs="宋体"/>
          <w:color w:val="auto"/>
          <w:spacing w:val="-1"/>
          <w:sz w:val="21"/>
          <w:szCs w:val="21"/>
          <w:highlight w:val="none"/>
        </w:rPr>
        <w:t>项目，编制人</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应做补充。</w:t>
      </w:r>
    </w:p>
    <w:p w14:paraId="472615CC">
      <w:pPr>
        <w:spacing w:before="181" w:line="428" w:lineRule="exact"/>
        <w:ind w:left="758"/>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补充项目的编码规则按相关工程现行国家及省计价计量规范的规定编制，同一招标</w:t>
      </w:r>
    </w:p>
    <w:p w14:paraId="73F8EB0B">
      <w:pPr>
        <w:spacing w:before="1" w:line="220" w:lineRule="auto"/>
        <w:ind w:left="7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工程的同一个单位工程内项目不得重码。</w:t>
      </w:r>
    </w:p>
    <w:p w14:paraId="0D68F34E">
      <w:pPr>
        <w:spacing w:before="181" w:line="432" w:lineRule="exact"/>
        <w:ind w:right="14"/>
        <w:jc w:val="right"/>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补充的工程量清单需附有补充项目的名称、</w:t>
      </w:r>
      <w:r>
        <w:rPr>
          <w:rFonts w:ascii="宋体" w:hAnsi="宋体" w:eastAsia="宋体" w:cs="宋体"/>
          <w:color w:val="auto"/>
          <w:spacing w:val="-1"/>
          <w:position w:val="16"/>
          <w:sz w:val="21"/>
          <w:szCs w:val="21"/>
          <w:highlight w:val="none"/>
        </w:rPr>
        <w:t>项目特征、计量单位、工程量计算规则、</w:t>
      </w:r>
    </w:p>
    <w:p w14:paraId="68681D98">
      <w:pPr>
        <w:spacing w:before="1" w:line="219" w:lineRule="auto"/>
        <w:ind w:right="14"/>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工作内容。不能计量的措施项目，需附有补充项目的名称、工作内容及包含范围。</w:t>
      </w:r>
    </w:p>
    <w:p w14:paraId="112BE4F5">
      <w:pPr>
        <w:spacing w:before="176" w:line="339" w:lineRule="auto"/>
        <w:ind w:left="757" w:right="197" w:hanging="728"/>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1.9    </w:t>
      </w:r>
      <w:r>
        <w:rPr>
          <w:rFonts w:ascii="宋体" w:hAnsi="宋体" w:eastAsia="宋体" w:cs="宋体"/>
          <w:color w:val="auto"/>
          <w:sz w:val="21"/>
          <w:szCs w:val="21"/>
          <w:highlight w:val="none"/>
        </w:rPr>
        <w:t>本招标工程量清单仅是投标报价的共同基础，采用工程量清单方式招标形成的无论</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是单价合同还是总价合同，其工程量必须以承包人完成合同工程应予计量的工程量</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确定。 合同价格的确定以及价款支付应遵循合同条款（包括通用合同条款和专用合</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同条款）、技术标准和要求以及本章的有关约定。</w:t>
      </w:r>
    </w:p>
    <w:p w14:paraId="1E55A2FC">
      <w:pPr>
        <w:spacing w:before="182"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1.10   </w:t>
      </w:r>
      <w:r>
        <w:rPr>
          <w:rFonts w:ascii="宋体" w:hAnsi="宋体" w:eastAsia="宋体" w:cs="宋体"/>
          <w:color w:val="auto"/>
          <w:spacing w:val="-1"/>
          <w:sz w:val="21"/>
          <w:szCs w:val="21"/>
          <w:highlight w:val="none"/>
        </w:rPr>
        <w:t>除招标文件另有约定外，本条第</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1.1</w:t>
      </w:r>
      <w:r>
        <w:rPr>
          <w:rFonts w:ascii="宋体" w:hAnsi="宋体" w:eastAsia="宋体" w:cs="宋体"/>
          <w:color w:val="auto"/>
          <w:spacing w:val="-48"/>
          <w:sz w:val="21"/>
          <w:szCs w:val="21"/>
          <w:highlight w:val="none"/>
        </w:rPr>
        <w:t xml:space="preserve"> </w:t>
      </w:r>
      <w:r>
        <w:rPr>
          <w:rFonts w:ascii="宋体" w:hAnsi="宋体" w:eastAsia="宋体" w:cs="宋体"/>
          <w:color w:val="auto"/>
          <w:spacing w:val="-1"/>
          <w:sz w:val="21"/>
          <w:szCs w:val="21"/>
          <w:highlight w:val="none"/>
        </w:rPr>
        <w:t>款中约定的计量和计价规则适用于本招标工程</w:t>
      </w:r>
    </w:p>
    <w:p w14:paraId="014B5A0F">
      <w:pPr>
        <w:spacing w:before="180" w:line="378" w:lineRule="auto"/>
        <w:ind w:left="802" w:right="202" w:firstLine="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发承包及实施阶段的计价活动包括：招标工程量清单、最高投标</w:t>
      </w:r>
      <w:r>
        <w:rPr>
          <w:rFonts w:ascii="宋体" w:hAnsi="宋体" w:eastAsia="宋体" w:cs="宋体"/>
          <w:color w:val="auto"/>
          <w:spacing w:val="4"/>
          <w:sz w:val="21"/>
          <w:szCs w:val="21"/>
          <w:highlight w:val="none"/>
        </w:rPr>
        <w:t>限价、投标报价</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的编制，工程合同价款的约定，竣工结算的办理以及施工过程中的工程量计量、</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合同价款支付、施工索赔与现场签证、合同价款调整和合同价款争议</w:t>
      </w:r>
      <w:r>
        <w:rPr>
          <w:rFonts w:ascii="宋体" w:hAnsi="宋体" w:eastAsia="宋体" w:cs="宋体"/>
          <w:color w:val="auto"/>
          <w:spacing w:val="4"/>
          <w:sz w:val="21"/>
          <w:szCs w:val="21"/>
          <w:highlight w:val="none"/>
        </w:rPr>
        <w:t>的解决等活</w:t>
      </w:r>
    </w:p>
    <w:p w14:paraId="4A2740AD">
      <w:pPr>
        <w:spacing w:line="221" w:lineRule="auto"/>
        <w:ind w:left="80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动。</w:t>
      </w:r>
    </w:p>
    <w:p w14:paraId="5D4A780B">
      <w:pPr>
        <w:spacing w:before="176"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1.11   </w:t>
      </w:r>
      <w:r>
        <w:rPr>
          <w:rFonts w:ascii="宋体" w:hAnsi="宋体" w:eastAsia="宋体" w:cs="宋体"/>
          <w:color w:val="auto"/>
          <w:spacing w:val="-1"/>
          <w:sz w:val="21"/>
          <w:szCs w:val="21"/>
          <w:highlight w:val="none"/>
        </w:rPr>
        <w:t>本条与下述第</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条和第</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条的说明内容是构成合同文件的已标价工程量清单的组成</w:t>
      </w:r>
    </w:p>
    <w:p w14:paraId="0CC12CE9">
      <w:pPr>
        <w:spacing w:line="219" w:lineRule="auto"/>
        <w:rPr>
          <w:rFonts w:ascii="宋体" w:hAnsi="宋体" w:eastAsia="宋体" w:cs="宋体"/>
          <w:color w:val="auto"/>
          <w:sz w:val="21"/>
          <w:szCs w:val="21"/>
          <w:highlight w:val="none"/>
        </w:rPr>
        <w:sectPr>
          <w:footerReference r:id="rId174" w:type="default"/>
          <w:pgSz w:w="11905" w:h="16839"/>
          <w:pgMar w:top="400" w:right="1592" w:bottom="1004" w:left="1785" w:header="0" w:footer="828" w:gutter="0"/>
          <w:pgNumType w:fmt="decimal"/>
          <w:cols w:space="720" w:num="1"/>
        </w:sectPr>
      </w:pPr>
    </w:p>
    <w:p w14:paraId="44FF4F5A">
      <w:pPr>
        <w:pStyle w:val="3"/>
        <w:spacing w:line="282" w:lineRule="auto"/>
        <w:rPr>
          <w:color w:val="auto"/>
          <w:highlight w:val="none"/>
        </w:rPr>
      </w:pPr>
    </w:p>
    <w:p w14:paraId="2DEC3306">
      <w:pPr>
        <w:pStyle w:val="3"/>
        <w:spacing w:line="282" w:lineRule="auto"/>
        <w:rPr>
          <w:color w:val="auto"/>
          <w:highlight w:val="none"/>
        </w:rPr>
      </w:pPr>
    </w:p>
    <w:p w14:paraId="2405EF24">
      <w:pPr>
        <w:pStyle w:val="3"/>
        <w:spacing w:line="282" w:lineRule="auto"/>
        <w:rPr>
          <w:color w:val="auto"/>
          <w:highlight w:val="none"/>
        </w:rPr>
      </w:pPr>
    </w:p>
    <w:p w14:paraId="47A36346">
      <w:pPr>
        <w:pStyle w:val="3"/>
        <w:spacing w:line="282" w:lineRule="auto"/>
        <w:rPr>
          <w:color w:val="auto"/>
          <w:highlight w:val="none"/>
        </w:rPr>
      </w:pPr>
    </w:p>
    <w:p w14:paraId="292B3AF0">
      <w:pPr>
        <w:spacing w:before="69" w:line="221" w:lineRule="auto"/>
        <w:ind w:left="78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部分。</w:t>
      </w:r>
    </w:p>
    <w:p w14:paraId="1228BE82">
      <w:pPr>
        <w:spacing w:before="228" w:line="218" w:lineRule="auto"/>
        <w:ind w:left="15"/>
        <w:rPr>
          <w:rFonts w:ascii="黑体" w:hAnsi="黑体" w:eastAsia="黑体" w:cs="黑体"/>
          <w:color w:val="auto"/>
          <w:sz w:val="24"/>
          <w:szCs w:val="24"/>
          <w:highlight w:val="none"/>
        </w:rPr>
      </w:pPr>
      <w:bookmarkStart w:id="1293" w:name="bookmark239"/>
      <w:bookmarkEnd w:id="1293"/>
      <w:r>
        <w:rPr>
          <w:rFonts w:ascii="Times New Roman" w:hAnsi="Times New Roman" w:eastAsia="Times New Roman" w:cs="Times New Roman"/>
          <w:color w:val="auto"/>
          <w:spacing w:val="-4"/>
          <w:sz w:val="24"/>
          <w:szCs w:val="24"/>
          <w:highlight w:val="none"/>
        </w:rPr>
        <w:t>2</w:t>
      </w:r>
      <w:r>
        <w:rPr>
          <w:rFonts w:ascii="黑体" w:hAnsi="黑体" w:eastAsia="黑体" w:cs="黑体"/>
          <w:color w:val="auto"/>
          <w:spacing w:val="-4"/>
          <w:sz w:val="24"/>
          <w:szCs w:val="24"/>
          <w:highlight w:val="none"/>
        </w:rPr>
        <w:t>、投标报价说明</w:t>
      </w:r>
    </w:p>
    <w:p w14:paraId="147CB567">
      <w:pPr>
        <w:spacing w:before="164" w:line="432" w:lineRule="exact"/>
        <w:ind w:left="16"/>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 xml:space="preserve">2.1    </w:t>
      </w:r>
      <w:r>
        <w:rPr>
          <w:rFonts w:ascii="宋体" w:hAnsi="宋体" w:eastAsia="宋体" w:cs="宋体"/>
          <w:color w:val="auto"/>
          <w:spacing w:val="-1"/>
          <w:position w:val="16"/>
          <w:sz w:val="21"/>
          <w:szCs w:val="21"/>
          <w:highlight w:val="none"/>
        </w:rPr>
        <w:t>投标报价应根据招标文件中的有关计价要求，并按照下列依据自主报价。</w:t>
      </w:r>
    </w:p>
    <w:p w14:paraId="18F52184">
      <w:pPr>
        <w:spacing w:line="219" w:lineRule="auto"/>
        <w:ind w:left="758"/>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（1）</w:t>
      </w:r>
      <w:r>
        <w:rPr>
          <w:rFonts w:ascii="黑体" w:hAnsi="黑体" w:eastAsia="黑体" w:cs="黑体"/>
          <w:color w:val="auto"/>
          <w:spacing w:val="56"/>
          <w:sz w:val="21"/>
          <w:szCs w:val="21"/>
          <w:highlight w:val="none"/>
        </w:rPr>
        <w:t xml:space="preserve"> </w:t>
      </w:r>
      <w:r>
        <w:rPr>
          <w:rFonts w:ascii="宋体" w:hAnsi="宋体" w:eastAsia="宋体" w:cs="宋体"/>
          <w:color w:val="auto"/>
          <w:spacing w:val="-6"/>
          <w:sz w:val="21"/>
          <w:szCs w:val="21"/>
          <w:highlight w:val="none"/>
        </w:rPr>
        <w:t>《建设工程工程量清单计价规范》（</w:t>
      </w:r>
      <w:r>
        <w:rPr>
          <w:rFonts w:hint="eastAsia" w:ascii="宋体" w:hAnsi="宋体" w:eastAsia="宋体" w:cs="宋体"/>
          <w:color w:val="auto"/>
          <w:spacing w:val="-6"/>
          <w:sz w:val="21"/>
          <w:szCs w:val="21"/>
          <w:highlight w:val="none"/>
          <w:lang w:eastAsia="zh-CN"/>
        </w:rPr>
        <w:t>GB/T50500-2024</w:t>
      </w:r>
      <w:r>
        <w:rPr>
          <w:rFonts w:ascii="宋体" w:hAnsi="宋体" w:eastAsia="宋体" w:cs="宋体"/>
          <w:color w:val="auto"/>
          <w:spacing w:val="-37"/>
          <w:sz w:val="21"/>
          <w:szCs w:val="21"/>
          <w:highlight w:val="none"/>
        </w:rPr>
        <w:t>）；</w:t>
      </w:r>
    </w:p>
    <w:p w14:paraId="720B43FA">
      <w:pPr>
        <w:spacing w:before="182" w:line="219" w:lineRule="auto"/>
        <w:ind w:left="75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  </w:t>
      </w:r>
      <w:r>
        <w:rPr>
          <w:rFonts w:ascii="宋体" w:hAnsi="宋体" w:eastAsia="宋体" w:cs="宋体"/>
          <w:color w:val="auto"/>
          <w:spacing w:val="-2"/>
          <w:sz w:val="21"/>
          <w:szCs w:val="21"/>
          <w:highlight w:val="none"/>
        </w:rPr>
        <w:t>国家或省级、行业建设主管部门颁发的计价办法；</w:t>
      </w:r>
    </w:p>
    <w:p w14:paraId="67A1F237">
      <w:pPr>
        <w:spacing w:before="177" w:line="433" w:lineRule="exact"/>
        <w:ind w:left="758"/>
        <w:rPr>
          <w:rFonts w:ascii="宋体" w:hAnsi="宋体" w:eastAsia="宋体" w:cs="宋体"/>
          <w:color w:val="auto"/>
          <w:sz w:val="21"/>
          <w:szCs w:val="21"/>
          <w:highlight w:val="none"/>
        </w:rPr>
      </w:pPr>
      <w:r>
        <w:rPr>
          <w:rFonts w:ascii="黑体" w:hAnsi="黑体" w:eastAsia="黑体" w:cs="黑体"/>
          <w:color w:val="auto"/>
          <w:spacing w:val="-2"/>
          <w:position w:val="17"/>
          <w:sz w:val="21"/>
          <w:szCs w:val="21"/>
          <w:highlight w:val="none"/>
        </w:rPr>
        <w:t xml:space="preserve">（3）  </w:t>
      </w:r>
      <w:r>
        <w:rPr>
          <w:rFonts w:ascii="宋体" w:hAnsi="宋体" w:eastAsia="宋体" w:cs="宋体"/>
          <w:color w:val="auto"/>
          <w:spacing w:val="-2"/>
          <w:position w:val="17"/>
          <w:sz w:val="21"/>
          <w:szCs w:val="21"/>
          <w:highlight w:val="none"/>
        </w:rPr>
        <w:t>企业定额，国家或省级、行业建设主管部门颁发的计价定额和计价办法；</w:t>
      </w:r>
    </w:p>
    <w:p w14:paraId="7AFC00B8">
      <w:pPr>
        <w:spacing w:line="220" w:lineRule="auto"/>
        <w:ind w:left="75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（4）  </w:t>
      </w:r>
      <w:r>
        <w:rPr>
          <w:rFonts w:ascii="宋体" w:hAnsi="宋体" w:eastAsia="宋体" w:cs="宋体"/>
          <w:color w:val="auto"/>
          <w:spacing w:val="-1"/>
          <w:sz w:val="21"/>
          <w:szCs w:val="21"/>
          <w:highlight w:val="none"/>
        </w:rPr>
        <w:t>招标文件（包括招标工程量清单）及其澄清、修改文件；</w:t>
      </w:r>
    </w:p>
    <w:p w14:paraId="4B372214">
      <w:pPr>
        <w:spacing w:before="176" w:line="221" w:lineRule="auto"/>
        <w:ind w:left="75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 xml:space="preserve">（5）  </w:t>
      </w:r>
      <w:r>
        <w:rPr>
          <w:rFonts w:ascii="宋体" w:hAnsi="宋体" w:eastAsia="宋体" w:cs="宋体"/>
          <w:color w:val="auto"/>
          <w:spacing w:val="-3"/>
          <w:sz w:val="21"/>
          <w:szCs w:val="21"/>
          <w:highlight w:val="none"/>
        </w:rPr>
        <w:t>建设工程设计文件及相关资料；</w:t>
      </w:r>
    </w:p>
    <w:p w14:paraId="5958266F">
      <w:pPr>
        <w:spacing w:before="181" w:line="423" w:lineRule="exact"/>
        <w:ind w:left="758"/>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 xml:space="preserve">（6）  </w:t>
      </w:r>
      <w:r>
        <w:rPr>
          <w:rFonts w:ascii="宋体" w:hAnsi="宋体" w:eastAsia="宋体" w:cs="宋体"/>
          <w:color w:val="auto"/>
          <w:spacing w:val="-1"/>
          <w:position w:val="16"/>
          <w:sz w:val="21"/>
          <w:szCs w:val="21"/>
          <w:highlight w:val="none"/>
        </w:rPr>
        <w:t>施工现场情况、工程特点及投标时拟定的施</w:t>
      </w:r>
      <w:r>
        <w:rPr>
          <w:rFonts w:ascii="宋体" w:hAnsi="宋体" w:eastAsia="宋体" w:cs="宋体"/>
          <w:color w:val="auto"/>
          <w:spacing w:val="-2"/>
          <w:position w:val="16"/>
          <w:sz w:val="21"/>
          <w:szCs w:val="21"/>
          <w:highlight w:val="none"/>
        </w:rPr>
        <w:t>工组织设计或施工方案；</w:t>
      </w:r>
    </w:p>
    <w:p w14:paraId="5424FB7C">
      <w:pPr>
        <w:spacing w:line="220" w:lineRule="auto"/>
        <w:ind w:left="75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（7） </w:t>
      </w:r>
      <w:r>
        <w:rPr>
          <w:rFonts w:ascii="宋体" w:hAnsi="宋体" w:eastAsia="宋体" w:cs="宋体"/>
          <w:color w:val="auto"/>
          <w:spacing w:val="-1"/>
          <w:sz w:val="21"/>
          <w:szCs w:val="21"/>
          <w:highlight w:val="none"/>
        </w:rPr>
        <w:t>与建设项目相关的标准、规范等技术资料；</w:t>
      </w:r>
    </w:p>
    <w:p w14:paraId="3ED32F19">
      <w:pPr>
        <w:spacing w:before="172" w:line="418" w:lineRule="exact"/>
        <w:ind w:left="758"/>
        <w:rPr>
          <w:rFonts w:ascii="宋体" w:hAnsi="宋体" w:eastAsia="宋体" w:cs="宋体"/>
          <w:color w:val="auto"/>
          <w:sz w:val="21"/>
          <w:szCs w:val="21"/>
          <w:highlight w:val="none"/>
        </w:rPr>
      </w:pPr>
      <w:r>
        <w:rPr>
          <w:rFonts w:ascii="黑体" w:hAnsi="黑体" w:eastAsia="黑体" w:cs="黑体"/>
          <w:color w:val="auto"/>
          <w:spacing w:val="-1"/>
          <w:position w:val="15"/>
          <w:sz w:val="21"/>
          <w:szCs w:val="21"/>
          <w:highlight w:val="none"/>
        </w:rPr>
        <w:t xml:space="preserve">（8） </w:t>
      </w:r>
      <w:r>
        <w:rPr>
          <w:rFonts w:ascii="宋体" w:hAnsi="宋体" w:eastAsia="宋体" w:cs="宋体"/>
          <w:color w:val="auto"/>
          <w:spacing w:val="-1"/>
          <w:position w:val="15"/>
          <w:sz w:val="21"/>
          <w:szCs w:val="21"/>
          <w:highlight w:val="none"/>
        </w:rPr>
        <w:t>市场价格信息或官方机构发布的工程造价信息；</w:t>
      </w:r>
    </w:p>
    <w:p w14:paraId="5B9C5DCD">
      <w:pPr>
        <w:spacing w:line="221" w:lineRule="auto"/>
        <w:ind w:left="75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 xml:space="preserve">（9）  </w:t>
      </w:r>
      <w:r>
        <w:rPr>
          <w:rFonts w:ascii="宋体" w:hAnsi="宋体" w:eastAsia="宋体" w:cs="宋体"/>
          <w:color w:val="auto"/>
          <w:spacing w:val="-3"/>
          <w:sz w:val="21"/>
          <w:szCs w:val="21"/>
          <w:highlight w:val="none"/>
        </w:rPr>
        <w:t>其他的相关资料。</w:t>
      </w:r>
    </w:p>
    <w:p w14:paraId="1447112B">
      <w:pPr>
        <w:spacing w:before="172" w:line="294" w:lineRule="auto"/>
        <w:ind w:left="755" w:right="175" w:hanging="739"/>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2.2  </w:t>
      </w:r>
      <w:r>
        <w:rPr>
          <w:rFonts w:ascii="宋体" w:hAnsi="宋体" w:eastAsia="宋体" w:cs="宋体"/>
          <w:color w:val="auto"/>
          <w:sz w:val="21"/>
          <w:szCs w:val="21"/>
          <w:highlight w:val="none"/>
        </w:rPr>
        <w:t>投标人必须按招标工程量清单填报价格。项目编码、项目名称、项目特征、计量单位</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必须与招标工程量清单一致。</w:t>
      </w:r>
    </w:p>
    <w:p w14:paraId="51686E30">
      <w:pPr>
        <w:spacing w:before="169" w:line="340" w:lineRule="auto"/>
        <w:ind w:left="786" w:right="175" w:hanging="77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2.3  </w:t>
      </w:r>
      <w:r>
        <w:rPr>
          <w:rFonts w:ascii="宋体" w:hAnsi="宋体" w:eastAsia="宋体" w:cs="宋体"/>
          <w:color w:val="auto"/>
          <w:sz w:val="21"/>
          <w:szCs w:val="21"/>
          <w:highlight w:val="none"/>
        </w:rPr>
        <w:t>工程量清单应采用综合单价计价。综合单价中应包括招标文件中划分的应由投标人承</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担的风险范围及其费用，招标文件中没有明确的，</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应提请招标人</w:t>
      </w:r>
      <w:r>
        <w:rPr>
          <w:rFonts w:ascii="宋体" w:hAnsi="宋体" w:eastAsia="宋体" w:cs="宋体"/>
          <w:color w:val="auto"/>
          <w:spacing w:val="2"/>
          <w:sz w:val="21"/>
          <w:szCs w:val="21"/>
          <w:highlight w:val="none"/>
        </w:rPr>
        <w:t>明确。即工程量</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清单中标价的单价或金额，应包括所需人工费、材料费、施工机械使用费和企业</w:t>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管理费及利润，以及一定范围内的风险费用。所谓“一定范围内的风险”是指合</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同约定的风险。</w:t>
      </w:r>
    </w:p>
    <w:p w14:paraId="56B9010A">
      <w:pPr>
        <w:spacing w:before="167" w:line="332" w:lineRule="auto"/>
        <w:ind w:left="777" w:right="175" w:hanging="74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2.4  </w:t>
      </w:r>
      <w:r>
        <w:rPr>
          <w:rFonts w:ascii="宋体" w:hAnsi="宋体" w:eastAsia="宋体" w:cs="宋体"/>
          <w:color w:val="auto"/>
          <w:sz w:val="21"/>
          <w:szCs w:val="21"/>
          <w:highlight w:val="none"/>
        </w:rPr>
        <w:t>招标工程量清单与计价表中列明的所有需要填写单价和合价的项目，投标人均应填写</w:t>
      </w:r>
      <w:r>
        <w:rPr>
          <w:rFonts w:ascii="宋体" w:hAnsi="宋体" w:eastAsia="宋体" w:cs="宋体"/>
          <w:color w:val="auto"/>
          <w:spacing w:val="1"/>
          <w:sz w:val="21"/>
          <w:szCs w:val="21"/>
          <w:highlight w:val="none"/>
        </w:rPr>
        <w:t xml:space="preserve"> </w:t>
      </w:r>
      <w:r>
        <w:rPr>
          <w:rFonts w:ascii="宋体" w:hAnsi="宋体" w:eastAsia="宋体" w:cs="宋体"/>
          <w:color w:val="auto"/>
          <w:spacing w:val="6"/>
          <w:sz w:val="21"/>
          <w:szCs w:val="21"/>
          <w:highlight w:val="none"/>
        </w:rPr>
        <w:t>且只允许有一个报价。未填写单价和合价的项</w:t>
      </w:r>
      <w:r>
        <w:rPr>
          <w:rFonts w:ascii="宋体" w:hAnsi="宋体" w:eastAsia="宋体" w:cs="宋体"/>
          <w:color w:val="auto"/>
          <w:spacing w:val="5"/>
          <w:sz w:val="21"/>
          <w:szCs w:val="21"/>
          <w:highlight w:val="none"/>
        </w:rPr>
        <w:t>目，可视为此项费用已经包含在已</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标价工程量清单中其他项目的单价或合价之中</w:t>
      </w:r>
      <w:r>
        <w:rPr>
          <w:rFonts w:ascii="宋体" w:hAnsi="宋体" w:eastAsia="宋体" w:cs="宋体"/>
          <w:color w:val="auto"/>
          <w:spacing w:val="5"/>
          <w:sz w:val="21"/>
          <w:szCs w:val="21"/>
          <w:highlight w:val="none"/>
        </w:rPr>
        <w:t>。当竣工结算时，此项目不得重新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组价予以调整。</w:t>
      </w:r>
    </w:p>
    <w:p w14:paraId="242235FB">
      <w:pPr>
        <w:spacing w:before="168" w:line="320" w:lineRule="auto"/>
        <w:ind w:left="786" w:hanging="77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2.5  </w:t>
      </w:r>
      <w:r>
        <w:rPr>
          <w:rFonts w:ascii="宋体" w:hAnsi="宋体" w:eastAsia="宋体" w:cs="宋体"/>
          <w:color w:val="auto"/>
          <w:sz w:val="21"/>
          <w:szCs w:val="21"/>
          <w:highlight w:val="none"/>
        </w:rPr>
        <w:t xml:space="preserve">“投标报价汇总表”中的投标总价由分部分项工程费、措施项目费、其他项目费、规  </w:t>
      </w:r>
      <w:r>
        <w:rPr>
          <w:rFonts w:ascii="宋体" w:hAnsi="宋体" w:eastAsia="宋体" w:cs="宋体"/>
          <w:color w:val="auto"/>
          <w:spacing w:val="5"/>
          <w:sz w:val="21"/>
          <w:szCs w:val="21"/>
          <w:highlight w:val="none"/>
        </w:rPr>
        <w:t>费和税金组成，并且“投标报价汇总表”中的投标总价应当与构</w:t>
      </w:r>
      <w:r>
        <w:rPr>
          <w:rFonts w:ascii="宋体" w:hAnsi="宋体" w:eastAsia="宋体" w:cs="宋体"/>
          <w:color w:val="auto"/>
          <w:spacing w:val="4"/>
          <w:sz w:val="21"/>
          <w:szCs w:val="21"/>
          <w:highlight w:val="none"/>
        </w:rPr>
        <w:t>成已标价工程量  清单的分部分项工程费、措施项目费、其他项目费、规费、税金的合计金额一致。</w:t>
      </w:r>
    </w:p>
    <w:p w14:paraId="6D2A5AA7">
      <w:pPr>
        <w:spacing w:before="171"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  </w:t>
      </w:r>
      <w:r>
        <w:rPr>
          <w:rFonts w:ascii="宋体" w:hAnsi="宋体" w:eastAsia="宋体" w:cs="宋体"/>
          <w:color w:val="auto"/>
          <w:sz w:val="21"/>
          <w:szCs w:val="21"/>
          <w:highlight w:val="none"/>
        </w:rPr>
        <w:t>分部分项工程和单价措施项目按下列要</w:t>
      </w:r>
      <w:r>
        <w:rPr>
          <w:rFonts w:ascii="宋体" w:hAnsi="宋体" w:eastAsia="宋体" w:cs="宋体"/>
          <w:color w:val="auto"/>
          <w:spacing w:val="-1"/>
          <w:sz w:val="21"/>
          <w:szCs w:val="21"/>
          <w:highlight w:val="none"/>
        </w:rPr>
        <w:t>求报价：</w:t>
      </w:r>
    </w:p>
    <w:p w14:paraId="7CF50DAC">
      <w:pPr>
        <w:spacing w:before="170" w:line="295" w:lineRule="auto"/>
        <w:ind w:left="752" w:right="195" w:hanging="73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2.6.1</w:t>
      </w:r>
      <w:r>
        <w:rPr>
          <w:rFonts w:ascii="黑体" w:hAnsi="黑体" w:eastAsia="黑体" w:cs="黑体"/>
          <w:color w:val="auto"/>
          <w:spacing w:val="59"/>
          <w:sz w:val="21"/>
          <w:szCs w:val="21"/>
          <w:highlight w:val="none"/>
        </w:rPr>
        <w:t xml:space="preserve"> </w:t>
      </w:r>
      <w:r>
        <w:rPr>
          <w:rFonts w:ascii="宋体" w:hAnsi="宋体" w:eastAsia="宋体" w:cs="宋体"/>
          <w:color w:val="auto"/>
          <w:spacing w:val="1"/>
          <w:sz w:val="21"/>
          <w:szCs w:val="21"/>
          <w:highlight w:val="none"/>
        </w:rPr>
        <w:t>分部分项工程和单价措施项目，应根据招标文件和招标工程量清单中的项目特征描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述确定综合单价。</w:t>
      </w:r>
    </w:p>
    <w:p w14:paraId="1C9BF431">
      <w:pPr>
        <w:spacing w:before="169" w:line="295" w:lineRule="auto"/>
        <w:ind w:left="790" w:right="183" w:hanging="774"/>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2.6.2</w:t>
      </w:r>
      <w:r>
        <w:rPr>
          <w:rFonts w:ascii="黑体" w:hAnsi="黑体" w:eastAsia="黑体" w:cs="黑体"/>
          <w:color w:val="auto"/>
          <w:spacing w:val="71"/>
          <w:sz w:val="21"/>
          <w:szCs w:val="21"/>
          <w:highlight w:val="none"/>
        </w:rPr>
        <w:t xml:space="preserve"> </w:t>
      </w:r>
      <w:r>
        <w:rPr>
          <w:rFonts w:ascii="宋体" w:hAnsi="宋体" w:eastAsia="宋体" w:cs="宋体"/>
          <w:color w:val="auto"/>
          <w:spacing w:val="1"/>
          <w:sz w:val="21"/>
          <w:szCs w:val="21"/>
          <w:highlight w:val="none"/>
        </w:rPr>
        <w:t>如果分部分项工程和单价措施项目清单中涉及“材料（工程设备）暂估单价表”中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列出的材料和工程设备，则按照本节第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3.3.2 </w:t>
      </w:r>
      <w:r>
        <w:rPr>
          <w:rFonts w:ascii="宋体" w:hAnsi="宋体" w:eastAsia="宋体" w:cs="宋体"/>
          <w:color w:val="auto"/>
          <w:spacing w:val="-1"/>
          <w:sz w:val="21"/>
          <w:szCs w:val="21"/>
          <w:highlight w:val="none"/>
        </w:rPr>
        <w:t>项的报价原则计价。</w:t>
      </w:r>
    </w:p>
    <w:p w14:paraId="26A9D3C6">
      <w:pPr>
        <w:spacing w:before="168"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2.6.3  </w:t>
      </w:r>
      <w:r>
        <w:rPr>
          <w:rFonts w:ascii="宋体" w:hAnsi="宋体" w:eastAsia="宋体" w:cs="宋体"/>
          <w:color w:val="auto"/>
          <w:sz w:val="21"/>
          <w:szCs w:val="21"/>
          <w:highlight w:val="none"/>
        </w:rPr>
        <w:t>如果分部分项工程和单价措施项目清单中涉及“发包人提供的材料和工程设备一览</w:t>
      </w:r>
    </w:p>
    <w:p w14:paraId="3FCAABA7">
      <w:pPr>
        <w:spacing w:line="219" w:lineRule="auto"/>
        <w:rPr>
          <w:rFonts w:ascii="宋体" w:hAnsi="宋体" w:eastAsia="宋体" w:cs="宋体"/>
          <w:color w:val="auto"/>
          <w:sz w:val="21"/>
          <w:szCs w:val="21"/>
          <w:highlight w:val="none"/>
        </w:rPr>
        <w:sectPr>
          <w:footerReference r:id="rId175" w:type="default"/>
          <w:pgSz w:w="11905" w:h="16839"/>
          <w:pgMar w:top="400" w:right="1614" w:bottom="1004" w:left="1785" w:header="0" w:footer="828" w:gutter="0"/>
          <w:pgNumType w:fmt="decimal"/>
          <w:cols w:space="720" w:num="1"/>
        </w:sectPr>
      </w:pPr>
    </w:p>
    <w:p w14:paraId="07589E8A">
      <w:pPr>
        <w:pStyle w:val="3"/>
        <w:spacing w:line="281" w:lineRule="auto"/>
        <w:rPr>
          <w:color w:val="auto"/>
          <w:highlight w:val="none"/>
        </w:rPr>
      </w:pPr>
    </w:p>
    <w:p w14:paraId="01984048">
      <w:pPr>
        <w:pStyle w:val="3"/>
        <w:spacing w:line="281" w:lineRule="auto"/>
        <w:rPr>
          <w:color w:val="auto"/>
          <w:highlight w:val="none"/>
        </w:rPr>
      </w:pPr>
    </w:p>
    <w:p w14:paraId="5CA77618">
      <w:pPr>
        <w:pStyle w:val="3"/>
        <w:spacing w:line="281" w:lineRule="auto"/>
        <w:rPr>
          <w:color w:val="auto"/>
          <w:highlight w:val="none"/>
        </w:rPr>
      </w:pPr>
    </w:p>
    <w:p w14:paraId="74217461">
      <w:pPr>
        <w:pStyle w:val="3"/>
        <w:spacing w:line="281" w:lineRule="auto"/>
        <w:rPr>
          <w:color w:val="auto"/>
          <w:highlight w:val="none"/>
        </w:rPr>
      </w:pPr>
    </w:p>
    <w:p w14:paraId="29D2C82A">
      <w:pPr>
        <w:spacing w:before="68" w:line="220" w:lineRule="auto"/>
        <w:ind w:left="785"/>
        <w:rPr>
          <w:rFonts w:ascii="宋体" w:hAnsi="宋体" w:eastAsia="宋体" w:cs="宋体"/>
          <w:color w:val="auto"/>
          <w:sz w:val="21"/>
          <w:szCs w:val="21"/>
          <w:highlight w:val="none"/>
        </w:rPr>
      </w:pPr>
      <w:bookmarkStart w:id="1294" w:name="bookmark240"/>
      <w:bookmarkEnd w:id="1294"/>
      <w:r>
        <w:rPr>
          <w:rFonts w:ascii="宋体" w:hAnsi="宋体" w:eastAsia="宋体" w:cs="宋体"/>
          <w:color w:val="auto"/>
          <w:spacing w:val="-3"/>
          <w:sz w:val="21"/>
          <w:szCs w:val="21"/>
          <w:highlight w:val="none"/>
        </w:rPr>
        <w:t>表”</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列出的材料和工程设备。</w:t>
      </w:r>
    </w:p>
    <w:p w14:paraId="272C69D6">
      <w:pPr>
        <w:spacing w:before="167" w:line="423" w:lineRule="exact"/>
        <w:ind w:left="785"/>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采用一般计税方法的，甲供材不计入除税工程造价。</w:t>
      </w:r>
    </w:p>
    <w:p w14:paraId="20ED5D3B">
      <w:pPr>
        <w:spacing w:line="219" w:lineRule="auto"/>
        <w:ind w:left="752"/>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采用简易计税方法的，甲供材计入除税工程</w:t>
      </w:r>
      <w:r>
        <w:rPr>
          <w:rFonts w:ascii="宋体" w:hAnsi="宋体" w:eastAsia="宋体" w:cs="宋体"/>
          <w:color w:val="auto"/>
          <w:spacing w:val="-1"/>
          <w:sz w:val="21"/>
          <w:szCs w:val="21"/>
          <w:highlight w:val="none"/>
        </w:rPr>
        <w:t>造价。</w:t>
      </w:r>
    </w:p>
    <w:p w14:paraId="678EB4EC">
      <w:pPr>
        <w:spacing w:before="168"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2.6.4  </w:t>
      </w:r>
      <w:r>
        <w:rPr>
          <w:rFonts w:ascii="宋体" w:hAnsi="宋体" w:eastAsia="宋体" w:cs="宋体"/>
          <w:color w:val="auto"/>
          <w:sz w:val="21"/>
          <w:szCs w:val="21"/>
          <w:highlight w:val="none"/>
        </w:rPr>
        <w:t>“分部分项工程和单价措施项目清单与计价表”所列各项目的综合单价组成中</w:t>
      </w:r>
      <w:r>
        <w:rPr>
          <w:rFonts w:ascii="宋体" w:hAnsi="宋体" w:eastAsia="宋体" w:cs="宋体"/>
          <w:color w:val="auto"/>
          <w:spacing w:val="-1"/>
          <w:sz w:val="21"/>
          <w:szCs w:val="21"/>
          <w:highlight w:val="none"/>
        </w:rPr>
        <w:t>，各</w:t>
      </w:r>
    </w:p>
    <w:p w14:paraId="7D180F6B">
      <w:pPr>
        <w:spacing w:before="173" w:line="417" w:lineRule="exact"/>
        <w:ind w:right="8"/>
        <w:jc w:val="right"/>
        <w:rPr>
          <w:rFonts w:ascii="宋体" w:hAnsi="宋体" w:eastAsia="宋体" w:cs="宋体"/>
          <w:color w:val="auto"/>
          <w:sz w:val="21"/>
          <w:szCs w:val="21"/>
          <w:highlight w:val="none"/>
        </w:rPr>
      </w:pPr>
      <w:r>
        <w:rPr>
          <w:rFonts w:ascii="宋体" w:hAnsi="宋体" w:eastAsia="宋体" w:cs="宋体"/>
          <w:color w:val="auto"/>
          <w:spacing w:val="5"/>
          <w:position w:val="15"/>
          <w:sz w:val="21"/>
          <w:szCs w:val="21"/>
          <w:highlight w:val="none"/>
        </w:rPr>
        <w:t>项目的人工、材料和机械台班消耗量由投标人按照其自身情况做充分的竞争性考</w:t>
      </w:r>
    </w:p>
    <w:p w14:paraId="5017AC05">
      <w:pPr>
        <w:spacing w:before="1" w:line="219" w:lineRule="auto"/>
        <w:ind w:left="78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虑。材料消耗量包括损耗量。</w:t>
      </w:r>
    </w:p>
    <w:p w14:paraId="07AA375F">
      <w:pPr>
        <w:spacing w:before="172" w:line="418" w:lineRule="exact"/>
        <w:ind w:left="16"/>
        <w:rPr>
          <w:rFonts w:ascii="宋体" w:hAnsi="宋体" w:eastAsia="宋体" w:cs="宋体"/>
          <w:color w:val="auto"/>
          <w:sz w:val="21"/>
          <w:szCs w:val="21"/>
          <w:highlight w:val="none"/>
        </w:rPr>
      </w:pPr>
      <w:r>
        <w:rPr>
          <w:rFonts w:ascii="黑体" w:hAnsi="黑体" w:eastAsia="黑体" w:cs="黑体"/>
          <w:color w:val="auto"/>
          <w:spacing w:val="1"/>
          <w:position w:val="15"/>
          <w:sz w:val="21"/>
          <w:szCs w:val="21"/>
          <w:highlight w:val="none"/>
        </w:rPr>
        <w:t>2.6.5</w:t>
      </w:r>
      <w:r>
        <w:rPr>
          <w:rFonts w:ascii="黑体" w:hAnsi="黑体" w:eastAsia="黑体" w:cs="黑体"/>
          <w:color w:val="auto"/>
          <w:spacing w:val="71"/>
          <w:position w:val="15"/>
          <w:sz w:val="21"/>
          <w:szCs w:val="21"/>
          <w:highlight w:val="none"/>
        </w:rPr>
        <w:t xml:space="preserve"> </w:t>
      </w:r>
      <w:r>
        <w:rPr>
          <w:rFonts w:ascii="宋体" w:hAnsi="宋体" w:eastAsia="宋体" w:cs="宋体"/>
          <w:color w:val="auto"/>
          <w:spacing w:val="1"/>
          <w:position w:val="15"/>
          <w:sz w:val="21"/>
          <w:szCs w:val="21"/>
          <w:highlight w:val="none"/>
        </w:rPr>
        <w:t>投标人在投标文件中提交并构成合同文件的“承包人提供主要材料和工程设备一览</w:t>
      </w:r>
    </w:p>
    <w:p w14:paraId="7092F25F">
      <w:pPr>
        <w:spacing w:before="1" w:line="220" w:lineRule="auto"/>
        <w:ind w:left="78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表”应符合下列要求。</w:t>
      </w:r>
    </w:p>
    <w:p w14:paraId="6386AE29">
      <w:pPr>
        <w:spacing w:before="172" w:line="417" w:lineRule="exact"/>
        <w:ind w:left="752"/>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采用一般计税方法的，进入综合单价的材料和工程设备的价格为除</w:t>
      </w:r>
      <w:r>
        <w:rPr>
          <w:rFonts w:ascii="宋体" w:hAnsi="宋体" w:eastAsia="宋体" w:cs="宋体"/>
          <w:color w:val="auto"/>
          <w:spacing w:val="-1"/>
          <w:position w:val="15"/>
          <w:sz w:val="21"/>
          <w:szCs w:val="21"/>
          <w:highlight w:val="none"/>
        </w:rPr>
        <w:t>税价格。</w:t>
      </w:r>
    </w:p>
    <w:p w14:paraId="50D2E393">
      <w:pPr>
        <w:spacing w:line="219" w:lineRule="auto"/>
        <w:ind w:left="752"/>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采用简易计税方法的，进入综合单价的材料和工程设备的价格为含</w:t>
      </w:r>
      <w:r>
        <w:rPr>
          <w:rFonts w:ascii="宋体" w:hAnsi="宋体" w:eastAsia="宋体" w:cs="宋体"/>
          <w:color w:val="auto"/>
          <w:spacing w:val="-1"/>
          <w:sz w:val="21"/>
          <w:szCs w:val="21"/>
          <w:highlight w:val="none"/>
        </w:rPr>
        <w:t>税价格。</w:t>
      </w:r>
    </w:p>
    <w:p w14:paraId="1EE1932D">
      <w:pPr>
        <w:spacing w:before="174"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2.6.6   </w:t>
      </w:r>
      <w:r>
        <w:rPr>
          <w:rFonts w:ascii="宋体" w:hAnsi="宋体" w:eastAsia="宋体" w:cs="宋体"/>
          <w:color w:val="auto"/>
          <w:spacing w:val="-2"/>
          <w:sz w:val="21"/>
          <w:szCs w:val="21"/>
          <w:highlight w:val="none"/>
        </w:rPr>
        <w:t>投标人应对每一个分部分项工程和单价措施项目编制“综合单价分析表”</w:t>
      </w:r>
      <w:r>
        <w:rPr>
          <w:rFonts w:ascii="宋体" w:hAnsi="宋体" w:eastAsia="宋体" w:cs="宋体"/>
          <w:color w:val="auto"/>
          <w:spacing w:val="-3"/>
          <w:sz w:val="21"/>
          <w:szCs w:val="21"/>
          <w:highlight w:val="none"/>
        </w:rPr>
        <w:t>，并按分</w:t>
      </w:r>
    </w:p>
    <w:p w14:paraId="012E6B79">
      <w:pPr>
        <w:spacing w:before="169" w:line="369" w:lineRule="auto"/>
        <w:ind w:left="787" w:right="5" w:firstLine="1"/>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部分项工程和单价措施项目的顺序附在“分部分项工程和单价措施项目清单与计</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价表”之后，“综合单价分析表”中的综合单价应与“分部分项工程和单价措施项</w:t>
      </w:r>
    </w:p>
    <w:p w14:paraId="3D462AAA">
      <w:pPr>
        <w:spacing w:line="219" w:lineRule="auto"/>
        <w:ind w:left="8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目清单与计价表”中相应的综合单价一致。</w:t>
      </w:r>
    </w:p>
    <w:p w14:paraId="0BD16EF0">
      <w:pPr>
        <w:spacing w:before="135"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2.7  </w:t>
      </w:r>
      <w:r>
        <w:rPr>
          <w:rFonts w:ascii="宋体" w:hAnsi="宋体" w:eastAsia="宋体" w:cs="宋体"/>
          <w:color w:val="auto"/>
          <w:spacing w:val="-2"/>
          <w:sz w:val="21"/>
          <w:szCs w:val="21"/>
          <w:highlight w:val="none"/>
        </w:rPr>
        <w:t>总价措施项目按下列要求报价：</w:t>
      </w:r>
    </w:p>
    <w:p w14:paraId="1582C6F1">
      <w:pPr>
        <w:spacing w:before="169" w:line="293" w:lineRule="auto"/>
        <w:ind w:left="787" w:right="1" w:hanging="771"/>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2.7.1</w:t>
      </w:r>
      <w:r>
        <w:rPr>
          <w:rFonts w:ascii="黑体" w:hAnsi="黑体" w:eastAsia="黑体" w:cs="黑体"/>
          <w:color w:val="auto"/>
          <w:spacing w:val="63"/>
          <w:sz w:val="21"/>
          <w:szCs w:val="21"/>
          <w:highlight w:val="none"/>
        </w:rPr>
        <w:t xml:space="preserve"> </w:t>
      </w:r>
      <w:r>
        <w:rPr>
          <w:rFonts w:ascii="宋体" w:hAnsi="宋体" w:eastAsia="宋体" w:cs="宋体"/>
          <w:color w:val="auto"/>
          <w:spacing w:val="1"/>
          <w:sz w:val="21"/>
          <w:szCs w:val="21"/>
          <w:highlight w:val="none"/>
        </w:rPr>
        <w:t>总价措施项目应根据招标文件及投标时拟定的施工组织设计或施工方案，</w:t>
      </w:r>
      <w:r>
        <w:rPr>
          <w:rFonts w:ascii="宋体" w:hAnsi="宋体" w:eastAsia="宋体" w:cs="宋体"/>
          <w:color w:val="auto"/>
          <w:spacing w:val="-63"/>
          <w:sz w:val="21"/>
          <w:szCs w:val="21"/>
          <w:highlight w:val="none"/>
        </w:rPr>
        <w:t xml:space="preserve"> </w:t>
      </w:r>
      <w:r>
        <w:rPr>
          <w:rFonts w:ascii="宋体" w:hAnsi="宋体" w:eastAsia="宋体" w:cs="宋体"/>
          <w:color w:val="auto"/>
          <w:spacing w:val="1"/>
          <w:sz w:val="21"/>
          <w:szCs w:val="21"/>
          <w:highlight w:val="none"/>
        </w:rPr>
        <w:t>以</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项</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为</w:t>
      </w:r>
      <w:r>
        <w:rPr>
          <w:rFonts w:ascii="宋体" w:hAnsi="宋体" w:eastAsia="宋体" w:cs="宋体"/>
          <w:color w:val="auto"/>
          <w:sz w:val="21"/>
          <w:szCs w:val="21"/>
          <w:highlight w:val="none"/>
        </w:rPr>
        <w:t xml:space="preserve"> 单位自主确定价格</w:t>
      </w:r>
      <w:r>
        <w:rPr>
          <w:rFonts w:ascii="宋体" w:hAnsi="宋体" w:eastAsia="宋体" w:cs="宋体"/>
          <w:color w:val="auto"/>
          <w:sz w:val="19"/>
          <w:szCs w:val="19"/>
          <w:highlight w:val="none"/>
        </w:rPr>
        <w:t>。</w:t>
      </w:r>
      <w:r>
        <w:rPr>
          <w:rFonts w:ascii="宋体" w:hAnsi="宋体" w:eastAsia="宋体" w:cs="宋体"/>
          <w:color w:val="auto"/>
          <w:sz w:val="21"/>
          <w:szCs w:val="21"/>
          <w:highlight w:val="none"/>
        </w:rPr>
        <w:t>投标人所填报价格应包括除规费、税金外的</w:t>
      </w:r>
      <w:r>
        <w:rPr>
          <w:rFonts w:ascii="宋体" w:hAnsi="宋体" w:eastAsia="宋体" w:cs="宋体"/>
          <w:color w:val="auto"/>
          <w:spacing w:val="-1"/>
          <w:sz w:val="21"/>
          <w:szCs w:val="21"/>
          <w:highlight w:val="none"/>
        </w:rPr>
        <w:t>全部费用。</w:t>
      </w:r>
    </w:p>
    <w:p w14:paraId="3980B71C">
      <w:pPr>
        <w:spacing w:before="173" w:line="294" w:lineRule="auto"/>
        <w:ind w:left="791" w:right="14" w:hanging="775"/>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2.7.2</w:t>
      </w:r>
      <w:r>
        <w:rPr>
          <w:rFonts w:ascii="黑体" w:hAnsi="黑体" w:eastAsia="黑体" w:cs="黑体"/>
          <w:color w:val="auto"/>
          <w:spacing w:val="70"/>
          <w:sz w:val="21"/>
          <w:szCs w:val="21"/>
          <w:highlight w:val="none"/>
        </w:rPr>
        <w:t xml:space="preserve"> </w:t>
      </w:r>
      <w:r>
        <w:rPr>
          <w:rFonts w:ascii="宋体" w:hAnsi="宋体" w:eastAsia="宋体" w:cs="宋体"/>
          <w:color w:val="auto"/>
          <w:spacing w:val="1"/>
          <w:sz w:val="21"/>
          <w:szCs w:val="21"/>
          <w:highlight w:val="none"/>
        </w:rPr>
        <w:t>总价措施项目清单中的安全文明施工费必须按国家或省级、行业建设主管部门的规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定计算，不得作为竞争性费用。</w:t>
      </w:r>
    </w:p>
    <w:p w14:paraId="73BAA9E1">
      <w:pPr>
        <w:spacing w:before="172"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2.7.3</w:t>
      </w:r>
      <w:r>
        <w:rPr>
          <w:rFonts w:ascii="黑体" w:hAnsi="黑体" w:eastAsia="黑体" w:cs="黑体"/>
          <w:color w:val="auto"/>
          <w:spacing w:val="50"/>
          <w:sz w:val="21"/>
          <w:szCs w:val="21"/>
          <w:highlight w:val="none"/>
        </w:rPr>
        <w:t xml:space="preserve"> </w:t>
      </w:r>
      <w:r>
        <w:rPr>
          <w:rFonts w:ascii="宋体" w:hAnsi="宋体" w:eastAsia="宋体" w:cs="宋体"/>
          <w:color w:val="auto"/>
          <w:spacing w:val="2"/>
          <w:sz w:val="21"/>
          <w:szCs w:val="21"/>
          <w:highlight w:val="none"/>
        </w:rPr>
        <w:t>“总价措施项目清单与计价表”中</w:t>
      </w:r>
      <w:r>
        <w:rPr>
          <w:rFonts w:ascii="宋体" w:hAnsi="宋体" w:eastAsia="宋体" w:cs="宋体"/>
          <w:color w:val="auto"/>
          <w:spacing w:val="1"/>
          <w:sz w:val="21"/>
          <w:szCs w:val="21"/>
          <w:highlight w:val="none"/>
        </w:rPr>
        <w:t>所填写的报价金额，应全面涵盖招标文件约定的</w:t>
      </w:r>
    </w:p>
    <w:p w14:paraId="25FBF991">
      <w:pPr>
        <w:spacing w:before="168" w:line="423" w:lineRule="exact"/>
        <w:ind w:right="8"/>
        <w:jc w:val="right"/>
        <w:rPr>
          <w:rFonts w:ascii="宋体" w:hAnsi="宋体" w:eastAsia="宋体" w:cs="宋体"/>
          <w:color w:val="auto"/>
          <w:sz w:val="21"/>
          <w:szCs w:val="21"/>
          <w:highlight w:val="none"/>
        </w:rPr>
      </w:pPr>
      <w:r>
        <w:rPr>
          <w:rFonts w:ascii="宋体" w:hAnsi="宋体" w:eastAsia="宋体" w:cs="宋体"/>
          <w:color w:val="auto"/>
          <w:spacing w:val="5"/>
          <w:position w:val="16"/>
          <w:sz w:val="21"/>
          <w:szCs w:val="21"/>
          <w:highlight w:val="none"/>
        </w:rPr>
        <w:t>投标人中标后施工、竣工、交付本工程并维修其任何缺陷所需要履行的责任和义</w:t>
      </w:r>
    </w:p>
    <w:p w14:paraId="03EFBE6A">
      <w:pPr>
        <w:spacing w:line="220" w:lineRule="auto"/>
        <w:ind w:left="78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务的全部费用。</w:t>
      </w:r>
    </w:p>
    <w:p w14:paraId="2E573539">
      <w:pPr>
        <w:spacing w:before="134"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2.8  </w:t>
      </w:r>
      <w:r>
        <w:rPr>
          <w:rFonts w:ascii="宋体" w:hAnsi="宋体" w:eastAsia="宋体" w:cs="宋体"/>
          <w:color w:val="auto"/>
          <w:spacing w:val="-2"/>
          <w:sz w:val="21"/>
          <w:szCs w:val="21"/>
          <w:highlight w:val="none"/>
        </w:rPr>
        <w:t>其他项目应按下列规定报价：</w:t>
      </w:r>
    </w:p>
    <w:p w14:paraId="2D5198D1">
      <w:pPr>
        <w:spacing w:before="163" w:line="221" w:lineRule="auto"/>
        <w:ind w:left="21"/>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2.8.1 </w:t>
      </w:r>
      <w:r>
        <w:rPr>
          <w:rFonts w:ascii="宋体" w:hAnsi="宋体" w:eastAsia="宋体" w:cs="宋体"/>
          <w:color w:val="auto"/>
          <w:spacing w:val="-1"/>
          <w:sz w:val="21"/>
          <w:szCs w:val="21"/>
          <w:highlight w:val="none"/>
        </w:rPr>
        <w:t>暂列金额应按招标工程量清单“暂列金额明细表”中列出的金额填写，不得变动。</w:t>
      </w:r>
    </w:p>
    <w:p w14:paraId="416C9915">
      <w:pPr>
        <w:spacing w:before="171" w:line="344" w:lineRule="auto"/>
        <w:ind w:left="737" w:right="2" w:hanging="71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2.8.2</w:t>
      </w:r>
      <w:r>
        <w:rPr>
          <w:rFonts w:ascii="黑体" w:hAnsi="黑体" w:eastAsia="黑体" w:cs="黑体"/>
          <w:color w:val="auto"/>
          <w:spacing w:val="65"/>
          <w:sz w:val="21"/>
          <w:szCs w:val="21"/>
          <w:highlight w:val="none"/>
        </w:rPr>
        <w:t xml:space="preserve"> </w:t>
      </w:r>
      <w:r>
        <w:rPr>
          <w:rFonts w:ascii="宋体" w:hAnsi="宋体" w:eastAsia="宋体" w:cs="宋体"/>
          <w:color w:val="auto"/>
          <w:spacing w:val="1"/>
          <w:sz w:val="21"/>
          <w:szCs w:val="21"/>
          <w:highlight w:val="none"/>
        </w:rPr>
        <w:t>暂估价分为材料（工程设备）暂估单价和专业工程暂估价两类。其中材料、工程设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备暂估单价应按招标工程量清单“材料（工程设备） 暂估单价表”中列出的单</w:t>
      </w:r>
      <w:r>
        <w:rPr>
          <w:rFonts w:ascii="宋体" w:hAnsi="宋体" w:eastAsia="宋体" w:cs="宋体"/>
          <w:color w:val="auto"/>
          <w:spacing w:val="-3"/>
          <w:sz w:val="21"/>
          <w:szCs w:val="21"/>
          <w:highlight w:val="none"/>
        </w:rPr>
        <w:t>价和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本节第 </w:t>
      </w:r>
      <w:r>
        <w:rPr>
          <w:rFonts w:ascii="Times New Roman" w:hAnsi="Times New Roman" w:eastAsia="Times New Roman" w:cs="Times New Roman"/>
          <w:color w:val="auto"/>
          <w:spacing w:val="1"/>
          <w:sz w:val="21"/>
          <w:szCs w:val="21"/>
          <w:highlight w:val="none"/>
        </w:rPr>
        <w:t xml:space="preserve">3.3.2  </w:t>
      </w:r>
      <w:r>
        <w:rPr>
          <w:rFonts w:ascii="宋体" w:hAnsi="宋体" w:eastAsia="宋体" w:cs="宋体"/>
          <w:color w:val="auto"/>
          <w:spacing w:val="1"/>
          <w:sz w:val="21"/>
          <w:szCs w:val="21"/>
          <w:highlight w:val="none"/>
        </w:rPr>
        <w:t>项的报价原则进入分部分</w:t>
      </w:r>
      <w:r>
        <w:rPr>
          <w:rFonts w:ascii="宋体" w:hAnsi="宋体" w:eastAsia="宋体" w:cs="宋体"/>
          <w:color w:val="auto"/>
          <w:sz w:val="21"/>
          <w:szCs w:val="21"/>
          <w:highlight w:val="none"/>
        </w:rPr>
        <w:t xml:space="preserve">项工程和单价措施项目清单之综合单价，不 </w:t>
      </w:r>
      <w:r>
        <w:rPr>
          <w:rFonts w:ascii="宋体" w:hAnsi="宋体" w:eastAsia="宋体" w:cs="宋体"/>
          <w:color w:val="auto"/>
          <w:spacing w:val="1"/>
          <w:sz w:val="21"/>
          <w:szCs w:val="21"/>
          <w:highlight w:val="none"/>
        </w:rPr>
        <w:t>得变动，不在“其他项目清单与计价汇总表”中汇总；专业工程暂估价</w:t>
      </w:r>
      <w:r>
        <w:rPr>
          <w:rFonts w:ascii="宋体" w:hAnsi="宋体" w:eastAsia="宋体" w:cs="宋体"/>
          <w:color w:val="auto"/>
          <w:sz w:val="21"/>
          <w:szCs w:val="21"/>
          <w:highlight w:val="none"/>
        </w:rPr>
        <w:t xml:space="preserve">应按招标工 </w:t>
      </w:r>
      <w:r>
        <w:rPr>
          <w:rFonts w:ascii="宋体" w:hAnsi="宋体" w:eastAsia="宋体" w:cs="宋体"/>
          <w:color w:val="auto"/>
          <w:spacing w:val="-2"/>
          <w:sz w:val="21"/>
          <w:szCs w:val="21"/>
          <w:highlight w:val="none"/>
        </w:rPr>
        <w:t>程量清单</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“专业工程暂估价表”中列出的金额</w:t>
      </w:r>
      <w:r>
        <w:rPr>
          <w:rFonts w:ascii="宋体" w:hAnsi="宋体" w:eastAsia="宋体" w:cs="宋体"/>
          <w:color w:val="auto"/>
          <w:spacing w:val="-3"/>
          <w:sz w:val="21"/>
          <w:szCs w:val="21"/>
          <w:highlight w:val="none"/>
        </w:rPr>
        <w:t xml:space="preserve">和本节第 </w:t>
      </w:r>
      <w:r>
        <w:rPr>
          <w:rFonts w:ascii="Times New Roman" w:hAnsi="Times New Roman" w:eastAsia="Times New Roman" w:cs="Times New Roman"/>
          <w:color w:val="auto"/>
          <w:spacing w:val="-3"/>
          <w:sz w:val="21"/>
          <w:szCs w:val="21"/>
          <w:highlight w:val="none"/>
        </w:rPr>
        <w:t>3.3.3</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3"/>
          <w:sz w:val="21"/>
          <w:szCs w:val="21"/>
          <w:highlight w:val="none"/>
        </w:rPr>
        <w:t>项的报价原则计入其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他项目清单报价，不得变动。</w:t>
      </w:r>
    </w:p>
    <w:p w14:paraId="0C5B78A6">
      <w:pPr>
        <w:spacing w:before="174" w:line="319" w:lineRule="auto"/>
        <w:ind w:left="757" w:right="8" w:hanging="73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2.8.3</w:t>
      </w:r>
      <w:r>
        <w:rPr>
          <w:rFonts w:ascii="黑体" w:hAnsi="黑体" w:eastAsia="黑体" w:cs="黑体"/>
          <w:color w:val="auto"/>
          <w:spacing w:val="65"/>
          <w:sz w:val="21"/>
          <w:szCs w:val="21"/>
          <w:highlight w:val="none"/>
        </w:rPr>
        <w:t xml:space="preserve"> </w:t>
      </w:r>
      <w:r>
        <w:rPr>
          <w:rFonts w:ascii="宋体" w:hAnsi="宋体" w:eastAsia="宋体" w:cs="宋体"/>
          <w:color w:val="auto"/>
          <w:spacing w:val="1"/>
          <w:sz w:val="21"/>
          <w:szCs w:val="21"/>
          <w:highlight w:val="none"/>
        </w:rPr>
        <w:t>计日工应按招标工程量清单“计日工表”中列出的项目和数量，自主确定单价并计</w:t>
      </w:r>
      <w:r>
        <w:rPr>
          <w:rFonts w:ascii="宋体" w:hAnsi="宋体" w:eastAsia="宋体" w:cs="宋体"/>
          <w:color w:val="auto"/>
          <w:sz w:val="21"/>
          <w:szCs w:val="21"/>
          <w:highlight w:val="none"/>
        </w:rPr>
        <w:t xml:space="preserve"> 取企业管理费与利润。计日工单价不包括规费和税金。总承包服务费应按招标工程</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量清单“总承包服务费计价表”中列出的内容和提出的要求自主报价。</w:t>
      </w:r>
    </w:p>
    <w:p w14:paraId="06D86D1B">
      <w:pPr>
        <w:spacing w:line="319" w:lineRule="auto"/>
        <w:rPr>
          <w:rFonts w:ascii="宋体" w:hAnsi="宋体" w:eastAsia="宋体" w:cs="宋体"/>
          <w:color w:val="auto"/>
          <w:sz w:val="21"/>
          <w:szCs w:val="21"/>
          <w:highlight w:val="none"/>
        </w:rPr>
        <w:sectPr>
          <w:footerReference r:id="rId176" w:type="default"/>
          <w:pgSz w:w="11905" w:h="16839"/>
          <w:pgMar w:top="400" w:right="1785" w:bottom="1004" w:left="1785" w:header="0" w:footer="828" w:gutter="0"/>
          <w:pgNumType w:fmt="decimal"/>
          <w:cols w:space="720" w:num="1"/>
        </w:sectPr>
      </w:pPr>
    </w:p>
    <w:p w14:paraId="42F49891">
      <w:pPr>
        <w:pStyle w:val="3"/>
        <w:spacing w:line="281" w:lineRule="auto"/>
        <w:rPr>
          <w:color w:val="auto"/>
          <w:highlight w:val="none"/>
        </w:rPr>
      </w:pPr>
    </w:p>
    <w:p w14:paraId="701143CB">
      <w:pPr>
        <w:pStyle w:val="3"/>
        <w:spacing w:line="281" w:lineRule="auto"/>
        <w:rPr>
          <w:color w:val="auto"/>
          <w:highlight w:val="none"/>
        </w:rPr>
      </w:pPr>
    </w:p>
    <w:p w14:paraId="03AC4630">
      <w:pPr>
        <w:pStyle w:val="3"/>
        <w:spacing w:line="281" w:lineRule="auto"/>
        <w:rPr>
          <w:color w:val="auto"/>
          <w:highlight w:val="none"/>
        </w:rPr>
      </w:pPr>
    </w:p>
    <w:p w14:paraId="44797FDE">
      <w:pPr>
        <w:pStyle w:val="3"/>
        <w:spacing w:line="281" w:lineRule="auto"/>
        <w:rPr>
          <w:color w:val="auto"/>
          <w:highlight w:val="none"/>
        </w:rPr>
      </w:pPr>
    </w:p>
    <w:p w14:paraId="40F18EF2">
      <w:pPr>
        <w:spacing w:before="69" w:line="219" w:lineRule="auto"/>
        <w:ind w:left="21"/>
        <w:rPr>
          <w:rFonts w:ascii="宋体" w:hAnsi="宋体" w:eastAsia="宋体" w:cs="宋体"/>
          <w:color w:val="auto"/>
          <w:sz w:val="21"/>
          <w:szCs w:val="21"/>
          <w:highlight w:val="none"/>
        </w:rPr>
      </w:pPr>
      <w:bookmarkStart w:id="1295" w:name="bookmark241"/>
      <w:bookmarkEnd w:id="1295"/>
      <w:r>
        <w:rPr>
          <w:rFonts w:ascii="黑体" w:hAnsi="黑体" w:eastAsia="黑体" w:cs="黑体"/>
          <w:color w:val="auto"/>
          <w:spacing w:val="-3"/>
          <w:sz w:val="21"/>
          <w:szCs w:val="21"/>
          <w:highlight w:val="none"/>
        </w:rPr>
        <w:t>2.9</w:t>
      </w:r>
      <w:r>
        <w:rPr>
          <w:rFonts w:ascii="黑体" w:hAnsi="黑体" w:eastAsia="黑体" w:cs="黑体"/>
          <w:color w:val="auto"/>
          <w:spacing w:val="69"/>
          <w:sz w:val="21"/>
          <w:szCs w:val="21"/>
          <w:highlight w:val="none"/>
        </w:rPr>
        <w:t xml:space="preserve"> </w:t>
      </w:r>
      <w:r>
        <w:rPr>
          <w:rFonts w:ascii="宋体" w:hAnsi="宋体" w:eastAsia="宋体" w:cs="宋体"/>
          <w:color w:val="auto"/>
          <w:spacing w:val="-3"/>
          <w:sz w:val="21"/>
          <w:szCs w:val="21"/>
          <w:highlight w:val="none"/>
        </w:rPr>
        <w:t>规费和税金项目按下列要求报价：</w:t>
      </w:r>
    </w:p>
    <w:p w14:paraId="0F5FDA3C">
      <w:pPr>
        <w:spacing w:before="168" w:line="423" w:lineRule="exact"/>
        <w:ind w:left="653"/>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规费和税金必须按国家或省级、行业建设主管部门的规定计算， 不得作为竞争性费</w:t>
      </w:r>
    </w:p>
    <w:p w14:paraId="5A59B5C9">
      <w:pPr>
        <w:spacing w:line="222" w:lineRule="auto"/>
        <w:ind w:left="654"/>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用。</w:t>
      </w:r>
    </w:p>
    <w:p w14:paraId="12F0E940">
      <w:pPr>
        <w:spacing w:before="165" w:line="219" w:lineRule="auto"/>
        <w:ind w:left="21"/>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2.10   </w:t>
      </w:r>
      <w:r>
        <w:rPr>
          <w:rFonts w:ascii="宋体" w:hAnsi="宋体" w:eastAsia="宋体" w:cs="宋体"/>
          <w:color w:val="auto"/>
          <w:sz w:val="21"/>
          <w:szCs w:val="21"/>
          <w:highlight w:val="none"/>
        </w:rPr>
        <w:t>除招标文件有强制性规定以及不可竞争部分以外，投标报价由投标人自主确定，但</w:t>
      </w:r>
    </w:p>
    <w:p w14:paraId="05F35FB0">
      <w:pPr>
        <w:spacing w:before="172" w:line="220" w:lineRule="auto"/>
        <w:ind w:left="6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不得低于其工程成本。</w:t>
      </w:r>
    </w:p>
    <w:p w14:paraId="3E12FBD7">
      <w:pPr>
        <w:spacing w:before="166" w:line="333" w:lineRule="auto"/>
        <w:ind w:left="649" w:hanging="633"/>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2.11 </w:t>
      </w:r>
      <w:r>
        <w:rPr>
          <w:rFonts w:ascii="宋体" w:hAnsi="宋体" w:eastAsia="宋体" w:cs="宋体"/>
          <w:color w:val="auto"/>
          <w:sz w:val="21"/>
          <w:szCs w:val="21"/>
          <w:highlight w:val="none"/>
        </w:rPr>
        <w:t>工程量清单计价所涉及的生产资源（包括各类人工、材料、工程</w:t>
      </w:r>
      <w:r>
        <w:rPr>
          <w:rFonts w:ascii="宋体" w:hAnsi="宋体" w:eastAsia="宋体" w:cs="宋体"/>
          <w:color w:val="auto"/>
          <w:spacing w:val="-1"/>
          <w:sz w:val="21"/>
          <w:szCs w:val="21"/>
          <w:highlight w:val="none"/>
        </w:rPr>
        <w:t xml:space="preserve">设备、施工设备、临  </w:t>
      </w:r>
      <w:r>
        <w:rPr>
          <w:rFonts w:ascii="宋体" w:hAnsi="宋体" w:eastAsia="宋体" w:cs="宋体"/>
          <w:color w:val="auto"/>
          <w:spacing w:val="2"/>
          <w:sz w:val="21"/>
          <w:szCs w:val="21"/>
          <w:highlight w:val="none"/>
        </w:rPr>
        <w:t>时设施、临时用水、临时用电等）的投标价格，应根据自身的信息渠道和采购</w:t>
      </w:r>
      <w:r>
        <w:rPr>
          <w:rFonts w:ascii="宋体" w:hAnsi="宋体" w:eastAsia="宋体" w:cs="宋体"/>
          <w:color w:val="auto"/>
          <w:spacing w:val="1"/>
          <w:sz w:val="21"/>
          <w:szCs w:val="21"/>
          <w:highlight w:val="none"/>
        </w:rPr>
        <w:t>渠道，</w:t>
      </w:r>
      <w:r>
        <w:rPr>
          <w:rFonts w:ascii="宋体" w:hAnsi="宋体" w:eastAsia="宋体" w:cs="宋体"/>
          <w:color w:val="auto"/>
          <w:sz w:val="21"/>
          <w:szCs w:val="21"/>
          <w:highlight w:val="none"/>
        </w:rPr>
        <w:t xml:space="preserve"> 分析其市场价格水平并判断其整个施工周期内的变化趋势</w:t>
      </w:r>
      <w:r>
        <w:rPr>
          <w:rFonts w:ascii="宋体" w:hAnsi="宋体" w:eastAsia="宋体" w:cs="宋体"/>
          <w:color w:val="auto"/>
          <w:spacing w:val="-1"/>
          <w:sz w:val="21"/>
          <w:szCs w:val="21"/>
          <w:highlight w:val="none"/>
        </w:rPr>
        <w:t xml:space="preserve">， 体现投标人自身的管理  </w:t>
      </w:r>
      <w:r>
        <w:rPr>
          <w:rFonts w:ascii="宋体" w:hAnsi="宋体" w:eastAsia="宋体" w:cs="宋体"/>
          <w:color w:val="auto"/>
          <w:spacing w:val="-3"/>
          <w:sz w:val="21"/>
          <w:szCs w:val="21"/>
          <w:highlight w:val="none"/>
        </w:rPr>
        <w:t>水平、技术水平和综合实力。</w:t>
      </w:r>
    </w:p>
    <w:p w14:paraId="4CCEDC6D">
      <w:pPr>
        <w:spacing w:before="167" w:line="295" w:lineRule="auto"/>
        <w:ind w:left="681" w:right="163" w:hanging="66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2.12 </w:t>
      </w:r>
      <w:r>
        <w:rPr>
          <w:rFonts w:ascii="宋体" w:hAnsi="宋体" w:eastAsia="宋体" w:cs="宋体"/>
          <w:color w:val="auto"/>
          <w:sz w:val="21"/>
          <w:szCs w:val="21"/>
          <w:highlight w:val="none"/>
        </w:rPr>
        <w:t>企业管理费应由投标人在保证不低于其成本的基础上合理报价；利润由投标人根据自</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身情况和综合实力合理报价。</w:t>
      </w:r>
    </w:p>
    <w:p w14:paraId="0154E52F">
      <w:pPr>
        <w:spacing w:before="135" w:line="219" w:lineRule="auto"/>
        <w:ind w:left="1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2.13 </w:t>
      </w:r>
      <w:r>
        <w:rPr>
          <w:rFonts w:ascii="宋体" w:hAnsi="宋体" w:eastAsia="宋体" w:cs="宋体"/>
          <w:color w:val="auto"/>
          <w:spacing w:val="-1"/>
          <w:sz w:val="21"/>
          <w:szCs w:val="21"/>
          <w:highlight w:val="none"/>
        </w:rPr>
        <w:t>投标报价中应考虑招标文件中要求投标人承担的风险范围以及相关的费用。</w:t>
      </w:r>
    </w:p>
    <w:p w14:paraId="65E767A6">
      <w:pPr>
        <w:spacing w:before="163" w:line="320" w:lineRule="auto"/>
        <w:ind w:left="705" w:right="163" w:hanging="684"/>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2.14 </w:t>
      </w:r>
      <w:r>
        <w:rPr>
          <w:rFonts w:ascii="宋体" w:hAnsi="宋体" w:eastAsia="宋体" w:cs="宋体"/>
          <w:color w:val="auto"/>
          <w:sz w:val="21"/>
          <w:szCs w:val="21"/>
          <w:highlight w:val="none"/>
        </w:rPr>
        <w:t>投标总价为投标人在投标文件中提出的各项支付金额的总和，为实施、完成招标工程</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并修补缺陷以及履行招标文件中约定的风险范围内的所有责任和义务所发生的全部</w:t>
      </w:r>
      <w:r>
        <w:rPr>
          <w:rFonts w:ascii="宋体" w:hAnsi="宋体" w:eastAsia="宋体" w:cs="宋体"/>
          <w:color w:val="auto"/>
          <w:spacing w:val="11"/>
          <w:sz w:val="21"/>
          <w:szCs w:val="21"/>
          <w:highlight w:val="none"/>
        </w:rPr>
        <w:t xml:space="preserve"> </w:t>
      </w:r>
      <w:r>
        <w:rPr>
          <w:rFonts w:ascii="宋体" w:hAnsi="宋体" w:eastAsia="宋体" w:cs="宋体"/>
          <w:color w:val="auto"/>
          <w:spacing w:val="-10"/>
          <w:sz w:val="21"/>
          <w:szCs w:val="21"/>
          <w:highlight w:val="none"/>
        </w:rPr>
        <w:t>费用。</w:t>
      </w:r>
    </w:p>
    <w:p w14:paraId="2942B7A3">
      <w:pPr>
        <w:spacing w:before="133"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2.15 </w:t>
      </w:r>
      <w:r>
        <w:rPr>
          <w:rFonts w:ascii="宋体" w:hAnsi="宋体" w:eastAsia="宋体" w:cs="宋体"/>
          <w:color w:val="auto"/>
          <w:sz w:val="21"/>
          <w:szCs w:val="21"/>
          <w:highlight w:val="none"/>
        </w:rPr>
        <w:t>有关投标报价的其他说明：</w:t>
      </w:r>
    </w:p>
    <w:p w14:paraId="7B8E0D93">
      <w:pPr>
        <w:pStyle w:val="3"/>
        <w:tabs>
          <w:tab w:val="left" w:pos="4370"/>
        </w:tabs>
        <w:spacing w:before="143" w:line="242" w:lineRule="exact"/>
        <w:ind w:left="432"/>
        <w:rPr>
          <w:color w:val="auto"/>
          <w:highlight w:val="none"/>
        </w:rPr>
      </w:pPr>
      <w:r>
        <w:rPr>
          <w:color w:val="auto"/>
          <w:highlight w:val="none"/>
          <w:u w:val="single" w:color="auto"/>
        </w:rPr>
        <w:tab/>
      </w:r>
    </w:p>
    <w:p w14:paraId="5B625FC9">
      <w:pPr>
        <w:spacing w:before="219" w:line="409" w:lineRule="exact"/>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5"/>
          <w:position w:val="12"/>
          <w:sz w:val="24"/>
          <w:szCs w:val="24"/>
          <w:highlight w:val="none"/>
        </w:rPr>
        <w:t>3</w:t>
      </w:r>
      <w:r>
        <w:rPr>
          <w:rFonts w:ascii="黑体" w:hAnsi="黑体" w:eastAsia="黑体" w:cs="黑体"/>
          <w:color w:val="auto"/>
          <w:spacing w:val="-5"/>
          <w:position w:val="12"/>
          <w:sz w:val="24"/>
          <w:szCs w:val="24"/>
          <w:highlight w:val="none"/>
        </w:rPr>
        <w:t>、其他说明</w:t>
      </w:r>
    </w:p>
    <w:p w14:paraId="381EECF0">
      <w:pPr>
        <w:spacing w:before="1"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3.1</w:t>
      </w:r>
      <w:r>
        <w:rPr>
          <w:rFonts w:ascii="黑体" w:hAnsi="黑体" w:eastAsia="黑体" w:cs="黑体"/>
          <w:color w:val="auto"/>
          <w:spacing w:val="-39"/>
          <w:sz w:val="21"/>
          <w:szCs w:val="21"/>
          <w:highlight w:val="none"/>
        </w:rPr>
        <w:t xml:space="preserve"> </w:t>
      </w:r>
      <w:r>
        <w:rPr>
          <w:rFonts w:ascii="黑体" w:hAnsi="黑体" w:eastAsia="黑体" w:cs="黑体"/>
          <w:color w:val="auto"/>
          <w:spacing w:val="-2"/>
          <w:sz w:val="21"/>
          <w:szCs w:val="21"/>
          <w:highlight w:val="none"/>
        </w:rPr>
        <w:t>词语和定义</w:t>
      </w:r>
    </w:p>
    <w:p w14:paraId="25C8D5F0">
      <w:pPr>
        <w:spacing w:before="249"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3.1.1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工程量清单</w:t>
      </w:r>
    </w:p>
    <w:p w14:paraId="6373F740">
      <w:pPr>
        <w:spacing w:before="175" w:line="379" w:lineRule="exact"/>
        <w:ind w:left="756"/>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是表现建设工程分部分项工程项目、措施项目、其他项目的名称和相应数量以及规</w:t>
      </w:r>
    </w:p>
    <w:p w14:paraId="6A3A73BC">
      <w:pPr>
        <w:spacing w:before="1" w:line="220" w:lineRule="auto"/>
        <w:ind w:left="76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费和税金项目等内容的明细清单。</w:t>
      </w:r>
    </w:p>
    <w:p w14:paraId="001D6F68">
      <w:pPr>
        <w:spacing w:before="167" w:line="221" w:lineRule="auto"/>
        <w:ind w:left="18"/>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3.1.2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招标工程量清单</w:t>
      </w:r>
    </w:p>
    <w:p w14:paraId="3FC71ED9">
      <w:pPr>
        <w:spacing w:before="167" w:line="369" w:lineRule="auto"/>
        <w:ind w:left="754" w:right="166" w:firstLine="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是招标人依据国家标准、招标文件、设计文件以及施工现场实际情况编制的，随招</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标文件发布供投标报价的工程量清单，包括其说明和表格，同时也是编制招标控制</w:t>
      </w:r>
    </w:p>
    <w:p w14:paraId="04B1C4DD">
      <w:pPr>
        <w:spacing w:line="219" w:lineRule="auto"/>
        <w:ind w:left="7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价的依据之一。</w:t>
      </w:r>
    </w:p>
    <w:p w14:paraId="575600E7">
      <w:pPr>
        <w:spacing w:before="159"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3.1.3</w:t>
      </w:r>
      <w:r>
        <w:rPr>
          <w:rFonts w:ascii="黑体" w:hAnsi="黑体" w:eastAsia="黑体" w:cs="黑体"/>
          <w:color w:val="auto"/>
          <w:spacing w:val="67"/>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总价项目</w:t>
      </w:r>
    </w:p>
    <w:p w14:paraId="6B103396">
      <w:pPr>
        <w:spacing w:before="177" w:line="336" w:lineRule="auto"/>
        <w:ind w:left="753" w:right="168" w:firstLine="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工程量清单中以总价计价的项目，即此类项目在相关工程国家计量规范中无工程量</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计算规则以总价（或计算基础乘费率）计算的项目，通常以“项”为计量单位，除</w:t>
      </w:r>
    </w:p>
    <w:p w14:paraId="2F06A71E">
      <w:pPr>
        <w:spacing w:line="219" w:lineRule="auto"/>
        <w:ind w:left="75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专用合同条款另有约定外，总价固定包干。</w:t>
      </w:r>
    </w:p>
    <w:p w14:paraId="64FFC530">
      <w:pPr>
        <w:spacing w:before="155" w:line="219"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3.1.4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单价项目</w:t>
      </w:r>
    </w:p>
    <w:p w14:paraId="738F6338">
      <w:pPr>
        <w:spacing w:before="177" w:line="380" w:lineRule="exact"/>
        <w:ind w:left="755"/>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工程量清单中以单价计价的项目，即根据合同工程图纸（含设计变更）和相关工程</w:t>
      </w:r>
    </w:p>
    <w:p w14:paraId="1060E362">
      <w:pPr>
        <w:spacing w:line="219" w:lineRule="auto"/>
        <w:ind w:left="773"/>
        <w:rPr>
          <w:rFonts w:ascii="宋体" w:hAnsi="宋体" w:eastAsia="宋体" w:cs="宋体"/>
          <w:color w:val="auto"/>
          <w:sz w:val="21"/>
          <w:szCs w:val="21"/>
          <w:highlight w:val="none"/>
        </w:rPr>
      </w:pPr>
      <w:r>
        <w:rPr>
          <w:rFonts w:ascii="宋体" w:hAnsi="宋体" w:eastAsia="宋体" w:cs="宋体"/>
          <w:color w:val="auto"/>
          <w:sz w:val="21"/>
          <w:szCs w:val="21"/>
          <w:highlight w:val="none"/>
        </w:rPr>
        <w:t>国家计量规范规定的工程量计算规则进行计量，与已标</w:t>
      </w:r>
      <w:r>
        <w:rPr>
          <w:rFonts w:ascii="宋体" w:hAnsi="宋体" w:eastAsia="宋体" w:cs="宋体"/>
          <w:color w:val="auto"/>
          <w:spacing w:val="-1"/>
          <w:sz w:val="21"/>
          <w:szCs w:val="21"/>
          <w:highlight w:val="none"/>
        </w:rPr>
        <w:t>价工程量清单相应综合单价</w:t>
      </w:r>
    </w:p>
    <w:p w14:paraId="352E4023">
      <w:pPr>
        <w:spacing w:line="219" w:lineRule="auto"/>
        <w:rPr>
          <w:rFonts w:ascii="宋体" w:hAnsi="宋体" w:eastAsia="宋体" w:cs="宋体"/>
          <w:color w:val="auto"/>
          <w:sz w:val="21"/>
          <w:szCs w:val="21"/>
          <w:highlight w:val="none"/>
        </w:rPr>
        <w:sectPr>
          <w:footerReference r:id="rId177" w:type="default"/>
          <w:pgSz w:w="11905" w:h="16839"/>
          <w:pgMar w:top="400" w:right="1626" w:bottom="1004" w:left="1785" w:header="0" w:footer="828" w:gutter="0"/>
          <w:pgNumType w:fmt="decimal"/>
          <w:cols w:space="720" w:num="1"/>
        </w:sectPr>
      </w:pPr>
    </w:p>
    <w:p w14:paraId="2730E293">
      <w:pPr>
        <w:pStyle w:val="3"/>
        <w:spacing w:line="271" w:lineRule="auto"/>
        <w:rPr>
          <w:color w:val="auto"/>
          <w:highlight w:val="none"/>
        </w:rPr>
      </w:pPr>
    </w:p>
    <w:p w14:paraId="48BA6D9E">
      <w:pPr>
        <w:pStyle w:val="3"/>
        <w:spacing w:line="271" w:lineRule="auto"/>
        <w:rPr>
          <w:color w:val="auto"/>
          <w:highlight w:val="none"/>
        </w:rPr>
      </w:pPr>
    </w:p>
    <w:p w14:paraId="0E182142">
      <w:pPr>
        <w:pStyle w:val="3"/>
        <w:spacing w:line="272" w:lineRule="auto"/>
        <w:rPr>
          <w:color w:val="auto"/>
          <w:highlight w:val="none"/>
        </w:rPr>
      </w:pPr>
    </w:p>
    <w:p w14:paraId="689DC1AC">
      <w:pPr>
        <w:pStyle w:val="3"/>
        <w:spacing w:line="272" w:lineRule="auto"/>
        <w:rPr>
          <w:color w:val="auto"/>
          <w:highlight w:val="none"/>
        </w:rPr>
      </w:pPr>
    </w:p>
    <w:p w14:paraId="3105BEC5">
      <w:pPr>
        <w:spacing w:before="68" w:line="219" w:lineRule="auto"/>
        <w:ind w:left="751"/>
        <w:rPr>
          <w:rFonts w:ascii="宋体" w:hAnsi="宋体" w:eastAsia="宋体" w:cs="宋体"/>
          <w:color w:val="auto"/>
          <w:sz w:val="21"/>
          <w:szCs w:val="21"/>
          <w:highlight w:val="none"/>
        </w:rPr>
      </w:pPr>
      <w:bookmarkStart w:id="1296" w:name="bookmark242"/>
      <w:bookmarkEnd w:id="1296"/>
      <w:r>
        <w:rPr>
          <w:rFonts w:ascii="宋体" w:hAnsi="宋体" w:eastAsia="宋体" w:cs="宋体"/>
          <w:color w:val="auto"/>
          <w:spacing w:val="-1"/>
          <w:sz w:val="21"/>
          <w:szCs w:val="21"/>
          <w:highlight w:val="none"/>
        </w:rPr>
        <w:t>进行价款计算的项目。</w:t>
      </w:r>
    </w:p>
    <w:p w14:paraId="12CFE9E0">
      <w:pPr>
        <w:spacing w:before="153"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3.1.5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项目编码</w:t>
      </w:r>
    </w:p>
    <w:p w14:paraId="72706131">
      <w:pPr>
        <w:spacing w:before="176" w:line="220" w:lineRule="auto"/>
        <w:ind w:left="7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分部分项工程和措施项目清单名称的阿拉伯数字标识。项目编码与子目编码同义。</w:t>
      </w:r>
    </w:p>
    <w:p w14:paraId="7C053067">
      <w:pPr>
        <w:spacing w:before="177"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3.1.6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项目特征</w:t>
      </w:r>
    </w:p>
    <w:p w14:paraId="7E26E399">
      <w:pPr>
        <w:spacing w:before="181" w:line="379" w:lineRule="exact"/>
        <w:ind w:left="774"/>
        <w:rPr>
          <w:rFonts w:ascii="宋体" w:hAnsi="宋体" w:eastAsia="宋体" w:cs="宋体"/>
          <w:color w:val="auto"/>
          <w:sz w:val="21"/>
          <w:szCs w:val="21"/>
          <w:highlight w:val="none"/>
        </w:rPr>
      </w:pPr>
      <w:r>
        <w:rPr>
          <w:rFonts w:ascii="宋体" w:hAnsi="宋体" w:eastAsia="宋体" w:cs="宋体"/>
          <w:color w:val="auto"/>
          <w:spacing w:val="5"/>
          <w:position w:val="12"/>
          <w:sz w:val="21"/>
          <w:szCs w:val="21"/>
          <w:highlight w:val="none"/>
        </w:rPr>
        <w:t>构成分部分项工程项目、措施项目自身价值的本质特征，项目特征与子目特征同</w:t>
      </w:r>
    </w:p>
    <w:p w14:paraId="5F713499">
      <w:pPr>
        <w:spacing w:line="221" w:lineRule="auto"/>
        <w:ind w:left="74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义。</w:t>
      </w:r>
    </w:p>
    <w:p w14:paraId="7013F3D8">
      <w:pPr>
        <w:spacing w:before="176"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3.1.7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规费</w:t>
      </w:r>
    </w:p>
    <w:p w14:paraId="31DD62EC">
      <w:pPr>
        <w:spacing w:before="175" w:line="380"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根据国家法律、法规规定，由省级政府或省级有关权力部门规定承包人必须缴纳的，</w:t>
      </w:r>
    </w:p>
    <w:p w14:paraId="19C56A4C">
      <w:pPr>
        <w:spacing w:line="219" w:lineRule="auto"/>
        <w:ind w:left="75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应计入建筑安装工程造价的费用。</w:t>
      </w:r>
    </w:p>
    <w:p w14:paraId="681C6F6B">
      <w:pPr>
        <w:spacing w:before="178"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3.1.8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税金</w:t>
      </w:r>
    </w:p>
    <w:p w14:paraId="760949B3">
      <w:pPr>
        <w:spacing w:before="180" w:line="380" w:lineRule="exact"/>
        <w:ind w:left="773"/>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国家税法规定的应计入建筑安装工程造价内的营业税、</w:t>
      </w:r>
      <w:r>
        <w:rPr>
          <w:rFonts w:ascii="宋体" w:hAnsi="宋体" w:eastAsia="宋体" w:cs="宋体"/>
          <w:color w:val="auto"/>
          <w:spacing w:val="-1"/>
          <w:position w:val="12"/>
          <w:sz w:val="21"/>
          <w:szCs w:val="21"/>
          <w:highlight w:val="none"/>
        </w:rPr>
        <w:t>城市维护建设税及教育费附</w:t>
      </w:r>
    </w:p>
    <w:p w14:paraId="5D5DE694">
      <w:pPr>
        <w:spacing w:before="1" w:line="220" w:lineRule="auto"/>
        <w:ind w:left="75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加等。</w:t>
      </w:r>
    </w:p>
    <w:p w14:paraId="674A2BDD">
      <w:pPr>
        <w:spacing w:before="176"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3.1.9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总承包服务费</w:t>
      </w:r>
    </w:p>
    <w:p w14:paraId="1B9429FC">
      <w:pPr>
        <w:spacing w:before="186" w:line="388" w:lineRule="exact"/>
        <w:ind w:left="792"/>
        <w:rPr>
          <w:rFonts w:ascii="宋体" w:hAnsi="宋体" w:eastAsia="宋体" w:cs="宋体"/>
          <w:color w:val="auto"/>
          <w:sz w:val="21"/>
          <w:szCs w:val="21"/>
          <w:highlight w:val="none"/>
        </w:rPr>
      </w:pPr>
      <w:r>
        <w:rPr>
          <w:rFonts w:ascii="宋体" w:hAnsi="宋体" w:eastAsia="宋体" w:cs="宋体"/>
          <w:color w:val="auto"/>
          <w:spacing w:val="3"/>
          <w:position w:val="13"/>
          <w:sz w:val="21"/>
          <w:szCs w:val="21"/>
          <w:highlight w:val="none"/>
        </w:rPr>
        <w:t>总承包人为配合协调发包人进行的专业工程发包，</w:t>
      </w:r>
      <w:r>
        <w:rPr>
          <w:rFonts w:ascii="宋体" w:hAnsi="宋体" w:eastAsia="宋体" w:cs="宋体"/>
          <w:color w:val="auto"/>
          <w:spacing w:val="-18"/>
          <w:position w:val="13"/>
          <w:sz w:val="21"/>
          <w:szCs w:val="21"/>
          <w:highlight w:val="none"/>
        </w:rPr>
        <w:t xml:space="preserve"> </w:t>
      </w:r>
      <w:r>
        <w:rPr>
          <w:rFonts w:ascii="宋体" w:hAnsi="宋体" w:eastAsia="宋体" w:cs="宋体"/>
          <w:color w:val="auto"/>
          <w:spacing w:val="3"/>
          <w:position w:val="13"/>
          <w:sz w:val="21"/>
          <w:szCs w:val="21"/>
          <w:highlight w:val="none"/>
        </w:rPr>
        <w:t>对</w:t>
      </w:r>
      <w:r>
        <w:rPr>
          <w:rFonts w:ascii="宋体" w:hAnsi="宋体" w:eastAsia="宋体" w:cs="宋体"/>
          <w:color w:val="auto"/>
          <w:spacing w:val="2"/>
          <w:position w:val="13"/>
          <w:sz w:val="21"/>
          <w:szCs w:val="21"/>
          <w:highlight w:val="none"/>
        </w:rPr>
        <w:t>发包人自行采购的材料、工</w:t>
      </w:r>
    </w:p>
    <w:p w14:paraId="7C45934B">
      <w:pPr>
        <w:spacing w:before="1" w:line="220" w:lineRule="auto"/>
        <w:ind w:left="80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程设备等进行保管以及施工现场管理、竣工资料汇总整理等服务所需的费用。</w:t>
      </w:r>
    </w:p>
    <w:p w14:paraId="29B53A22">
      <w:pPr>
        <w:spacing w:before="182" w:line="221" w:lineRule="auto"/>
        <w:ind w:left="1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3.1.10</w:t>
      </w:r>
      <w:r>
        <w:rPr>
          <w:rFonts w:ascii="黑体" w:hAnsi="黑体" w:eastAsia="黑体" w:cs="黑体"/>
          <w:color w:val="auto"/>
          <w:spacing w:val="-22"/>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同义词语</w:t>
      </w:r>
    </w:p>
    <w:p w14:paraId="39229C4B">
      <w:pPr>
        <w:spacing w:before="185" w:line="389" w:lineRule="exact"/>
        <w:ind w:left="859"/>
        <w:rPr>
          <w:rFonts w:ascii="宋体" w:hAnsi="宋体" w:eastAsia="宋体" w:cs="宋体"/>
          <w:color w:val="auto"/>
          <w:sz w:val="21"/>
          <w:szCs w:val="21"/>
          <w:highlight w:val="none"/>
        </w:rPr>
      </w:pPr>
      <w:r>
        <w:rPr>
          <w:rFonts w:ascii="宋体" w:hAnsi="宋体" w:eastAsia="宋体" w:cs="宋体"/>
          <w:color w:val="auto"/>
          <w:spacing w:val="6"/>
          <w:position w:val="13"/>
          <w:sz w:val="21"/>
          <w:szCs w:val="21"/>
          <w:highlight w:val="none"/>
        </w:rPr>
        <w:t>本章中使用的词语“招标人”和“投标人”分别与合同条款中定义的“发包人”</w:t>
      </w:r>
    </w:p>
    <w:p w14:paraId="2EE72993">
      <w:pPr>
        <w:spacing w:line="220" w:lineRule="auto"/>
        <w:ind w:left="75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和“承包人”同义；就工程量清单而言，“项目”与</w:t>
      </w:r>
      <w:r>
        <w:rPr>
          <w:rFonts w:ascii="宋体" w:hAnsi="宋体" w:eastAsia="宋体" w:cs="宋体"/>
          <w:color w:val="auto"/>
          <w:spacing w:val="-5"/>
          <w:sz w:val="21"/>
          <w:szCs w:val="21"/>
          <w:highlight w:val="none"/>
        </w:rPr>
        <w:t>“子目”同义。</w:t>
      </w:r>
    </w:p>
    <w:p w14:paraId="36DE5B7E">
      <w:pPr>
        <w:spacing w:before="176"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3.2</w:t>
      </w:r>
      <w:r>
        <w:rPr>
          <w:rFonts w:ascii="黑体" w:hAnsi="黑体" w:eastAsia="黑体" w:cs="黑体"/>
          <w:color w:val="auto"/>
          <w:spacing w:val="-36"/>
          <w:sz w:val="21"/>
          <w:szCs w:val="21"/>
          <w:highlight w:val="none"/>
        </w:rPr>
        <w:t xml:space="preserve"> </w:t>
      </w:r>
      <w:r>
        <w:rPr>
          <w:rFonts w:ascii="黑体" w:hAnsi="黑体" w:eastAsia="黑体" w:cs="黑体"/>
          <w:color w:val="auto"/>
          <w:spacing w:val="-2"/>
          <w:sz w:val="21"/>
          <w:szCs w:val="21"/>
          <w:highlight w:val="none"/>
        </w:rPr>
        <w:t>工程量差异调整</w:t>
      </w:r>
    </w:p>
    <w:p w14:paraId="29968FE1">
      <w:pPr>
        <w:spacing w:before="179" w:line="297" w:lineRule="auto"/>
        <w:ind w:left="737" w:right="155" w:hanging="734"/>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3.2.1</w:t>
      </w:r>
      <w:r>
        <w:rPr>
          <w:rFonts w:ascii="黑体" w:hAnsi="黑体" w:eastAsia="黑体" w:cs="黑体"/>
          <w:color w:val="auto"/>
          <w:spacing w:val="58"/>
          <w:sz w:val="21"/>
          <w:szCs w:val="21"/>
          <w:highlight w:val="none"/>
        </w:rPr>
        <w:t xml:space="preserve"> </w:t>
      </w:r>
      <w:r>
        <w:rPr>
          <w:rFonts w:ascii="宋体" w:hAnsi="宋体" w:eastAsia="宋体" w:cs="宋体"/>
          <w:color w:val="auto"/>
          <w:spacing w:val="2"/>
          <w:sz w:val="21"/>
          <w:szCs w:val="21"/>
          <w:highlight w:val="none"/>
        </w:rPr>
        <w:t>招标工程量清单中的工作内容分类、项目列项、特征描述以及“分部分项</w:t>
      </w:r>
      <w:r>
        <w:rPr>
          <w:rFonts w:ascii="宋体" w:hAnsi="宋体" w:eastAsia="宋体" w:cs="宋体"/>
          <w:color w:val="auto"/>
          <w:spacing w:val="1"/>
          <w:sz w:val="21"/>
          <w:szCs w:val="21"/>
          <w:highlight w:val="none"/>
        </w:rPr>
        <w:t>工程和单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价措施项目清单与计价表”中附带的工程量都不应理解为是对承</w:t>
      </w:r>
      <w:r>
        <w:rPr>
          <w:rFonts w:ascii="宋体" w:hAnsi="宋体" w:eastAsia="宋体" w:cs="宋体"/>
          <w:color w:val="auto"/>
          <w:sz w:val="21"/>
          <w:szCs w:val="21"/>
          <w:highlight w:val="none"/>
        </w:rPr>
        <w:t>包（招标）范围以 及合同工作内容的唯一的、最终的或全部的</w:t>
      </w:r>
      <w:r>
        <w:rPr>
          <w:rFonts w:ascii="宋体" w:hAnsi="宋体" w:eastAsia="宋体" w:cs="宋体"/>
          <w:color w:val="auto"/>
          <w:spacing w:val="-1"/>
          <w:sz w:val="21"/>
          <w:szCs w:val="21"/>
          <w:highlight w:val="none"/>
        </w:rPr>
        <w:t>定义。</w:t>
      </w:r>
    </w:p>
    <w:p w14:paraId="017F59E7">
      <w:pPr>
        <w:spacing w:before="127" w:line="318" w:lineRule="auto"/>
        <w:ind w:left="738" w:right="156" w:hanging="720"/>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3.2.2</w:t>
      </w:r>
      <w:r>
        <w:rPr>
          <w:rFonts w:ascii="黑体" w:hAnsi="黑体" w:eastAsia="黑体" w:cs="黑体"/>
          <w:color w:val="auto"/>
          <w:spacing w:val="68"/>
          <w:sz w:val="21"/>
          <w:szCs w:val="21"/>
          <w:highlight w:val="none"/>
        </w:rPr>
        <w:t xml:space="preserve"> </w:t>
      </w:r>
      <w:r>
        <w:rPr>
          <w:rFonts w:ascii="宋体" w:hAnsi="宋体" w:eastAsia="宋体" w:cs="宋体"/>
          <w:color w:val="auto"/>
          <w:spacing w:val="1"/>
          <w:sz w:val="21"/>
          <w:szCs w:val="21"/>
          <w:highlight w:val="none"/>
        </w:rPr>
        <w:t>投标人可以对招标工程量清单进行复核。这种复核包括对招标工程量清单中的项目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编码、项目名称、项目特征描述、计量单位、工程量的准确性以及</w:t>
      </w:r>
      <w:r>
        <w:rPr>
          <w:rFonts w:ascii="宋体" w:hAnsi="宋体" w:eastAsia="宋体" w:cs="宋体"/>
          <w:color w:val="auto"/>
          <w:sz w:val="21"/>
          <w:szCs w:val="21"/>
          <w:highlight w:val="none"/>
        </w:rPr>
        <w:t xml:space="preserve">可能存在的任何 </w:t>
      </w:r>
      <w:r>
        <w:rPr>
          <w:rFonts w:ascii="宋体" w:hAnsi="宋体" w:eastAsia="宋体" w:cs="宋体"/>
          <w:color w:val="auto"/>
          <w:spacing w:val="1"/>
          <w:sz w:val="21"/>
          <w:szCs w:val="21"/>
          <w:highlight w:val="none"/>
        </w:rPr>
        <w:t>书写、打印错误进行检查和复核。如果投标人经过检查和复核以后</w:t>
      </w:r>
      <w:r>
        <w:rPr>
          <w:rFonts w:ascii="宋体" w:hAnsi="宋体" w:eastAsia="宋体" w:cs="宋体"/>
          <w:color w:val="auto"/>
          <w:sz w:val="21"/>
          <w:szCs w:val="21"/>
          <w:highlight w:val="none"/>
        </w:rPr>
        <w:t xml:space="preserve">认为招标工程量 </w:t>
      </w:r>
      <w:r>
        <w:rPr>
          <w:rFonts w:ascii="宋体" w:hAnsi="宋体" w:eastAsia="宋体" w:cs="宋体"/>
          <w:color w:val="auto"/>
          <w:spacing w:val="-2"/>
          <w:sz w:val="21"/>
          <w:szCs w:val="21"/>
          <w:highlight w:val="none"/>
        </w:rPr>
        <w:t>清单存在差异，这种差异的存在可能对造价产生重大影响的， 则投标人应将此类差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异的详细情况连同按投标人须知规定提交的要求招标人澄清的其他</w:t>
      </w:r>
      <w:r>
        <w:rPr>
          <w:rFonts w:ascii="宋体" w:hAnsi="宋体" w:eastAsia="宋体" w:cs="宋体"/>
          <w:color w:val="auto"/>
          <w:sz w:val="21"/>
          <w:szCs w:val="21"/>
          <w:highlight w:val="none"/>
        </w:rPr>
        <w:t xml:space="preserve">问题一起提交给 </w:t>
      </w:r>
      <w:r>
        <w:rPr>
          <w:rFonts w:ascii="宋体" w:hAnsi="宋体" w:eastAsia="宋体" w:cs="宋体"/>
          <w:color w:val="auto"/>
          <w:spacing w:val="1"/>
          <w:sz w:val="21"/>
          <w:szCs w:val="21"/>
          <w:highlight w:val="none"/>
        </w:rPr>
        <w:t>招标人，招标人在核实差异后将根据实际情况决定是否颁发招标工程</w:t>
      </w:r>
      <w:r>
        <w:rPr>
          <w:rFonts w:ascii="宋体" w:hAnsi="宋体" w:eastAsia="宋体" w:cs="宋体"/>
          <w:color w:val="auto"/>
          <w:sz w:val="21"/>
          <w:szCs w:val="21"/>
          <w:highlight w:val="none"/>
        </w:rPr>
        <w:t xml:space="preserve">量清单的澄清 </w:t>
      </w:r>
      <w:r>
        <w:rPr>
          <w:rFonts w:ascii="宋体" w:hAnsi="宋体" w:eastAsia="宋体" w:cs="宋体"/>
          <w:color w:val="auto"/>
          <w:spacing w:val="-3"/>
          <w:sz w:val="21"/>
          <w:szCs w:val="21"/>
          <w:highlight w:val="none"/>
        </w:rPr>
        <w:t>和（或）修改文件。</w:t>
      </w:r>
    </w:p>
    <w:p w14:paraId="36426833">
      <w:pPr>
        <w:spacing w:before="131" w:line="311" w:lineRule="auto"/>
        <w:ind w:left="737" w:right="157" w:hanging="734"/>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3.2.3</w:t>
      </w:r>
      <w:r>
        <w:rPr>
          <w:rFonts w:ascii="黑体" w:hAnsi="黑体" w:eastAsia="黑体" w:cs="黑体"/>
          <w:color w:val="auto"/>
          <w:spacing w:val="64"/>
          <w:sz w:val="21"/>
          <w:szCs w:val="21"/>
          <w:highlight w:val="none"/>
        </w:rPr>
        <w:t xml:space="preserve"> </w:t>
      </w:r>
      <w:r>
        <w:rPr>
          <w:rFonts w:ascii="宋体" w:hAnsi="宋体" w:eastAsia="宋体" w:cs="宋体"/>
          <w:color w:val="auto"/>
          <w:spacing w:val="-1"/>
          <w:sz w:val="21"/>
          <w:szCs w:val="21"/>
          <w:highlight w:val="none"/>
        </w:rPr>
        <w:t>如果招标人在检查投标人根据上文第</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3.2.2 </w:t>
      </w:r>
      <w:r>
        <w:rPr>
          <w:rFonts w:ascii="宋体" w:hAnsi="宋体" w:eastAsia="宋体" w:cs="宋体"/>
          <w:color w:val="auto"/>
          <w:spacing w:val="-1"/>
          <w:sz w:val="21"/>
          <w:szCs w:val="21"/>
          <w:highlight w:val="none"/>
        </w:rPr>
        <w:t>项提交的差异问题后认为没有必要对招标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工程量清单进行澄清和（或）修改，或者招标人根据上文第</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 xml:space="preserve">3.2.2  </w:t>
      </w:r>
      <w:r>
        <w:rPr>
          <w:rFonts w:ascii="宋体" w:hAnsi="宋体" w:eastAsia="宋体" w:cs="宋体"/>
          <w:color w:val="auto"/>
          <w:sz w:val="21"/>
          <w:szCs w:val="21"/>
          <w:highlight w:val="none"/>
        </w:rPr>
        <w:t xml:space="preserve">项对招标工程量 </w:t>
      </w:r>
      <w:r>
        <w:rPr>
          <w:rFonts w:ascii="宋体" w:hAnsi="宋体" w:eastAsia="宋体" w:cs="宋体"/>
          <w:color w:val="auto"/>
          <w:spacing w:val="1"/>
          <w:sz w:val="21"/>
          <w:szCs w:val="21"/>
          <w:highlight w:val="none"/>
        </w:rPr>
        <w:t>清单进行了澄清和（或）修改，但投标人认为招标工程量</w:t>
      </w:r>
      <w:r>
        <w:rPr>
          <w:rFonts w:ascii="宋体" w:hAnsi="宋体" w:eastAsia="宋体" w:cs="宋体"/>
          <w:color w:val="auto"/>
          <w:sz w:val="21"/>
          <w:szCs w:val="21"/>
          <w:highlight w:val="none"/>
        </w:rPr>
        <w:t xml:space="preserve">清单依然存在差异，则此 </w:t>
      </w:r>
      <w:r>
        <w:rPr>
          <w:rFonts w:ascii="宋体" w:hAnsi="宋体" w:eastAsia="宋体" w:cs="宋体"/>
          <w:color w:val="auto"/>
          <w:spacing w:val="1"/>
          <w:sz w:val="21"/>
          <w:szCs w:val="21"/>
          <w:highlight w:val="none"/>
        </w:rPr>
        <w:t>类差异不再提交招标人要求澄清和（或）修改，而是直接按招</w:t>
      </w:r>
      <w:r>
        <w:rPr>
          <w:rFonts w:ascii="宋体" w:hAnsi="宋体" w:eastAsia="宋体" w:cs="宋体"/>
          <w:color w:val="auto"/>
          <w:sz w:val="21"/>
          <w:szCs w:val="21"/>
          <w:highlight w:val="none"/>
        </w:rPr>
        <w:t xml:space="preserve">标工程量清单（包括 </w:t>
      </w:r>
      <w:r>
        <w:rPr>
          <w:rFonts w:ascii="宋体" w:hAnsi="宋体" w:eastAsia="宋体" w:cs="宋体"/>
          <w:color w:val="auto"/>
          <w:spacing w:val="-2"/>
          <w:sz w:val="21"/>
          <w:szCs w:val="21"/>
          <w:highlight w:val="none"/>
        </w:rPr>
        <w:t>招标人可能的澄清和（或）修改）进行报价。</w:t>
      </w:r>
    </w:p>
    <w:p w14:paraId="192FC6F6">
      <w:pPr>
        <w:spacing w:line="311" w:lineRule="auto"/>
        <w:rPr>
          <w:rFonts w:ascii="宋体" w:hAnsi="宋体" w:eastAsia="宋体" w:cs="宋体"/>
          <w:color w:val="auto"/>
          <w:sz w:val="21"/>
          <w:szCs w:val="21"/>
          <w:highlight w:val="none"/>
        </w:rPr>
        <w:sectPr>
          <w:footerReference r:id="rId178" w:type="default"/>
          <w:pgSz w:w="11905" w:h="16839"/>
          <w:pgMar w:top="400" w:right="1630" w:bottom="1004" w:left="1785" w:header="0" w:footer="828" w:gutter="0"/>
          <w:pgNumType w:fmt="decimal"/>
          <w:cols w:space="720" w:num="1"/>
        </w:sectPr>
      </w:pPr>
    </w:p>
    <w:p w14:paraId="7CCD2024">
      <w:pPr>
        <w:pStyle w:val="3"/>
        <w:spacing w:line="271" w:lineRule="auto"/>
        <w:rPr>
          <w:color w:val="auto"/>
          <w:highlight w:val="none"/>
        </w:rPr>
      </w:pPr>
    </w:p>
    <w:p w14:paraId="3B4C7C02">
      <w:pPr>
        <w:pStyle w:val="3"/>
        <w:spacing w:line="271" w:lineRule="auto"/>
        <w:rPr>
          <w:color w:val="auto"/>
          <w:highlight w:val="none"/>
        </w:rPr>
      </w:pPr>
    </w:p>
    <w:p w14:paraId="523EABC7">
      <w:pPr>
        <w:pStyle w:val="3"/>
        <w:spacing w:line="272" w:lineRule="auto"/>
        <w:rPr>
          <w:color w:val="auto"/>
          <w:highlight w:val="none"/>
        </w:rPr>
      </w:pPr>
    </w:p>
    <w:p w14:paraId="017C4F31">
      <w:pPr>
        <w:pStyle w:val="3"/>
        <w:spacing w:line="272" w:lineRule="auto"/>
        <w:rPr>
          <w:color w:val="auto"/>
          <w:highlight w:val="none"/>
        </w:rPr>
      </w:pPr>
    </w:p>
    <w:p w14:paraId="1E6C8223">
      <w:pPr>
        <w:spacing w:before="68" w:line="219" w:lineRule="auto"/>
        <w:ind w:left="18"/>
        <w:rPr>
          <w:rFonts w:ascii="宋体" w:hAnsi="宋体" w:eastAsia="宋体" w:cs="宋体"/>
          <w:color w:val="auto"/>
          <w:sz w:val="21"/>
          <w:szCs w:val="21"/>
          <w:highlight w:val="none"/>
        </w:rPr>
      </w:pPr>
      <w:bookmarkStart w:id="1297" w:name="bookmark243"/>
      <w:bookmarkEnd w:id="1297"/>
      <w:r>
        <w:rPr>
          <w:rFonts w:ascii="黑体" w:hAnsi="黑体" w:eastAsia="黑体" w:cs="黑体"/>
          <w:color w:val="auto"/>
          <w:spacing w:val="-3"/>
          <w:sz w:val="21"/>
          <w:szCs w:val="21"/>
          <w:highlight w:val="none"/>
        </w:rPr>
        <w:t xml:space="preserve">3.2.4  </w:t>
      </w:r>
      <w:r>
        <w:rPr>
          <w:rFonts w:ascii="宋体" w:hAnsi="宋体" w:eastAsia="宋体" w:cs="宋体"/>
          <w:color w:val="auto"/>
          <w:spacing w:val="-3"/>
          <w:sz w:val="21"/>
          <w:szCs w:val="21"/>
          <w:highlight w:val="none"/>
        </w:rPr>
        <w:t>投标人在按照招标工程量清单进行报价时， 不得改变招标工程量清单的项目编码、</w:t>
      </w:r>
    </w:p>
    <w:p w14:paraId="1E14605C">
      <w:pPr>
        <w:spacing w:before="129" w:line="335" w:lineRule="auto"/>
        <w:ind w:left="765" w:right="8" w:hanging="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项目名称、项目特征描述、计量单位以及工程量，</w:t>
      </w:r>
      <w:r>
        <w:rPr>
          <w:rFonts w:ascii="宋体" w:hAnsi="宋体" w:eastAsia="宋体" w:cs="宋体"/>
          <w:color w:val="auto"/>
          <w:spacing w:val="56"/>
          <w:sz w:val="21"/>
          <w:szCs w:val="21"/>
          <w:highlight w:val="none"/>
        </w:rPr>
        <w:t xml:space="preserve"> </w:t>
      </w:r>
      <w:r>
        <w:rPr>
          <w:rFonts w:ascii="宋体" w:hAnsi="宋体" w:eastAsia="宋体" w:cs="宋体"/>
          <w:color w:val="auto"/>
          <w:spacing w:val="-4"/>
          <w:sz w:val="21"/>
          <w:szCs w:val="21"/>
          <w:highlight w:val="none"/>
        </w:rPr>
        <w:t>也不得</w:t>
      </w:r>
      <w:r>
        <w:rPr>
          <w:rFonts w:ascii="宋体" w:hAnsi="宋体" w:eastAsia="宋体" w:cs="宋体"/>
          <w:color w:val="auto"/>
          <w:spacing w:val="-5"/>
          <w:sz w:val="21"/>
          <w:szCs w:val="21"/>
          <w:highlight w:val="none"/>
        </w:rPr>
        <w:t>改变其他项目清单及其载</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明的暂列金额和暂估价等内容。即使按照图纸和</w:t>
      </w:r>
      <w:r>
        <w:rPr>
          <w:rFonts w:ascii="宋体" w:hAnsi="宋体" w:eastAsia="宋体" w:cs="宋体"/>
          <w:color w:val="auto"/>
          <w:spacing w:val="-2"/>
          <w:sz w:val="21"/>
          <w:szCs w:val="21"/>
          <w:highlight w:val="none"/>
        </w:rPr>
        <w:t>招标范围的约定并不存在的项目，</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只要在招标人提供的招标工程量清单中已经列明，</w:t>
      </w:r>
      <w:r>
        <w:rPr>
          <w:rFonts w:ascii="宋体" w:hAnsi="宋体" w:eastAsia="宋体" w:cs="宋体"/>
          <w:color w:val="auto"/>
          <w:spacing w:val="65"/>
          <w:sz w:val="21"/>
          <w:szCs w:val="21"/>
          <w:highlight w:val="none"/>
        </w:rPr>
        <w:t xml:space="preserve"> </w:t>
      </w:r>
      <w:r>
        <w:rPr>
          <w:rFonts w:ascii="宋体" w:hAnsi="宋体" w:eastAsia="宋体" w:cs="宋体"/>
          <w:color w:val="auto"/>
          <w:spacing w:val="-5"/>
          <w:sz w:val="21"/>
          <w:szCs w:val="21"/>
          <w:highlight w:val="none"/>
        </w:rPr>
        <w:t>投标人都需要对其报价，并纳入</w:t>
      </w:r>
    </w:p>
    <w:p w14:paraId="570EA01F">
      <w:pPr>
        <w:spacing w:line="219" w:lineRule="auto"/>
        <w:ind w:left="75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投标总价的计算。</w:t>
      </w:r>
    </w:p>
    <w:p w14:paraId="02AFEE2B">
      <w:pPr>
        <w:spacing w:before="129"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3.3</w:t>
      </w:r>
      <w:r>
        <w:rPr>
          <w:rFonts w:ascii="黑体" w:hAnsi="黑体" w:eastAsia="黑体" w:cs="黑体"/>
          <w:color w:val="auto"/>
          <w:spacing w:val="-34"/>
          <w:sz w:val="21"/>
          <w:szCs w:val="21"/>
          <w:highlight w:val="none"/>
        </w:rPr>
        <w:t xml:space="preserve"> </w:t>
      </w:r>
      <w:r>
        <w:rPr>
          <w:rFonts w:ascii="黑体" w:hAnsi="黑体" w:eastAsia="黑体" w:cs="黑体"/>
          <w:color w:val="auto"/>
          <w:spacing w:val="-2"/>
          <w:sz w:val="21"/>
          <w:szCs w:val="21"/>
          <w:highlight w:val="none"/>
        </w:rPr>
        <w:t>暂列金额和暂估价</w:t>
      </w:r>
    </w:p>
    <w:p w14:paraId="7283C860">
      <w:pPr>
        <w:spacing w:before="129" w:line="220"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3.3.1   </w:t>
      </w:r>
      <w:r>
        <w:rPr>
          <w:rFonts w:ascii="宋体" w:hAnsi="宋体" w:eastAsia="宋体" w:cs="宋体"/>
          <w:color w:val="auto"/>
          <w:spacing w:val="-2"/>
          <w:sz w:val="21"/>
          <w:szCs w:val="21"/>
          <w:highlight w:val="none"/>
        </w:rPr>
        <w:t>采用一般计税方法的，“暂列金额明细表”中所列暂列金额为不含进项税</w:t>
      </w:r>
      <w:r>
        <w:rPr>
          <w:rFonts w:ascii="宋体" w:hAnsi="宋体" w:eastAsia="宋体" w:cs="宋体"/>
          <w:color w:val="auto"/>
          <w:spacing w:val="-3"/>
          <w:sz w:val="21"/>
          <w:szCs w:val="21"/>
          <w:highlight w:val="none"/>
        </w:rPr>
        <w:t>额和销项</w:t>
      </w:r>
    </w:p>
    <w:p w14:paraId="4C0F4847">
      <w:pPr>
        <w:spacing w:before="129" w:line="380" w:lineRule="exact"/>
        <w:ind w:right="8"/>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税额的金额。投标人应按本招标文件规定将此类暂列金额直接纳入其他项目清单的</w:t>
      </w:r>
    </w:p>
    <w:p w14:paraId="764195D6">
      <w:pPr>
        <w:spacing w:line="219" w:lineRule="auto"/>
        <w:ind w:left="75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投标价格，</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并计取相应的销项税额。</w:t>
      </w:r>
    </w:p>
    <w:p w14:paraId="2FC6C3C8">
      <w:pPr>
        <w:spacing w:before="135" w:line="333" w:lineRule="auto"/>
        <w:ind w:left="752" w:right="8"/>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采用简易计税方法，</w:t>
      </w:r>
      <w:r>
        <w:rPr>
          <w:rFonts w:ascii="宋体" w:hAnsi="宋体" w:eastAsia="宋体" w:cs="宋体"/>
          <w:color w:val="auto"/>
          <w:spacing w:val="-61"/>
          <w:sz w:val="21"/>
          <w:szCs w:val="21"/>
          <w:highlight w:val="none"/>
        </w:rPr>
        <w:t xml:space="preserve"> </w:t>
      </w:r>
      <w:r>
        <w:rPr>
          <w:rFonts w:ascii="宋体" w:hAnsi="宋体" w:eastAsia="宋体" w:cs="宋体"/>
          <w:color w:val="auto"/>
          <w:spacing w:val="-1"/>
          <w:sz w:val="21"/>
          <w:szCs w:val="21"/>
          <w:highlight w:val="none"/>
        </w:rPr>
        <w:t>“暂列金额明细表”中所列暂列金额为含进项税额但不含销项</w:t>
      </w:r>
      <w:r>
        <w:rPr>
          <w:rFonts w:ascii="宋体" w:hAnsi="宋体" w:eastAsia="宋体" w:cs="宋体"/>
          <w:color w:val="auto"/>
          <w:sz w:val="21"/>
          <w:szCs w:val="21"/>
          <w:highlight w:val="none"/>
        </w:rPr>
        <w:t xml:space="preserve"> 税额的金额。投标人应按本招标文件规定将此类暂列金额直接纳入其他项目清单的</w:t>
      </w:r>
    </w:p>
    <w:p w14:paraId="6B872933">
      <w:pPr>
        <w:spacing w:before="1" w:line="219" w:lineRule="auto"/>
        <w:ind w:left="75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投标价格，</w:t>
      </w:r>
      <w:r>
        <w:rPr>
          <w:rFonts w:ascii="宋体" w:hAnsi="宋体" w:eastAsia="宋体" w:cs="宋体"/>
          <w:color w:val="auto"/>
          <w:spacing w:val="69"/>
          <w:sz w:val="21"/>
          <w:szCs w:val="21"/>
          <w:highlight w:val="none"/>
        </w:rPr>
        <w:t xml:space="preserve"> </w:t>
      </w:r>
      <w:r>
        <w:rPr>
          <w:rFonts w:ascii="宋体" w:hAnsi="宋体" w:eastAsia="宋体" w:cs="宋体"/>
          <w:color w:val="auto"/>
          <w:spacing w:val="-10"/>
          <w:sz w:val="21"/>
          <w:szCs w:val="21"/>
          <w:highlight w:val="none"/>
        </w:rPr>
        <w:t>并计取相应的增值税征收率。</w:t>
      </w:r>
    </w:p>
    <w:p w14:paraId="28DF3801">
      <w:pPr>
        <w:spacing w:before="130"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3.3.2   </w:t>
      </w:r>
      <w:r>
        <w:rPr>
          <w:rFonts w:ascii="宋体" w:hAnsi="宋体" w:eastAsia="宋体" w:cs="宋体"/>
          <w:color w:val="auto"/>
          <w:spacing w:val="-2"/>
          <w:sz w:val="21"/>
          <w:szCs w:val="21"/>
          <w:highlight w:val="none"/>
        </w:rPr>
        <w:t>“材料（工程设备）暂估单价表”中所列的材料和工程设备暂估价是此类材</w:t>
      </w:r>
      <w:r>
        <w:rPr>
          <w:rFonts w:ascii="宋体" w:hAnsi="宋体" w:eastAsia="宋体" w:cs="宋体"/>
          <w:color w:val="auto"/>
          <w:spacing w:val="-3"/>
          <w:sz w:val="21"/>
          <w:szCs w:val="21"/>
          <w:highlight w:val="none"/>
        </w:rPr>
        <w:t>料、工</w:t>
      </w:r>
    </w:p>
    <w:p w14:paraId="351D5830">
      <w:pPr>
        <w:spacing w:before="129" w:line="335" w:lineRule="auto"/>
        <w:ind w:left="754" w:right="5" w:hanging="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程设备本身运至施工现场内的工地地面价，除应按本招标文件规定将此类暂估价本</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身纳入分部分项工程和单价措施项目清单相应项目的综合单价以外，投标人还应将</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上述材料和工程设备的安装及辅助工作所发生的费用以及与此类费用有关的企业管</w:t>
      </w:r>
    </w:p>
    <w:p w14:paraId="546825BC">
      <w:pPr>
        <w:spacing w:before="1" w:line="219" w:lineRule="auto"/>
        <w:ind w:left="75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理费和利润包含在分部分项工程和单价措施项目清单相应项目的综合单价中。</w:t>
      </w:r>
    </w:p>
    <w:p w14:paraId="49DF5DBE">
      <w:pPr>
        <w:spacing w:before="130"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3.3.3   </w:t>
      </w:r>
      <w:r>
        <w:rPr>
          <w:rFonts w:ascii="宋体" w:hAnsi="宋体" w:eastAsia="宋体" w:cs="宋体"/>
          <w:color w:val="auto"/>
          <w:spacing w:val="-2"/>
          <w:sz w:val="21"/>
          <w:szCs w:val="21"/>
          <w:highlight w:val="none"/>
        </w:rPr>
        <w:t>采用一般计税方法的，“专业工程暂估价表”中所列专业工程暂估价为不</w:t>
      </w:r>
      <w:r>
        <w:rPr>
          <w:rFonts w:ascii="宋体" w:hAnsi="宋体" w:eastAsia="宋体" w:cs="宋体"/>
          <w:color w:val="auto"/>
          <w:spacing w:val="-3"/>
          <w:sz w:val="21"/>
          <w:szCs w:val="21"/>
          <w:highlight w:val="none"/>
        </w:rPr>
        <w:t>含进项税</w:t>
      </w:r>
    </w:p>
    <w:p w14:paraId="0363B06B">
      <w:pPr>
        <w:spacing w:before="130" w:line="379" w:lineRule="exact"/>
        <w:ind w:right="18"/>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额和销项税额的金额。投标人应按本招标文件规定将此类专业工程暂估金额直接纳</w:t>
      </w:r>
    </w:p>
    <w:p w14:paraId="5E167870">
      <w:pPr>
        <w:spacing w:line="219" w:lineRule="auto"/>
        <w:ind w:left="75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入其他项目清单的投标价格， 并计取相应的销项税额。</w:t>
      </w:r>
    </w:p>
    <w:p w14:paraId="77255B75">
      <w:pPr>
        <w:spacing w:before="129" w:line="336" w:lineRule="auto"/>
        <w:ind w:left="751" w:right="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采用简易计税方法的，“专业工程暂估价表”中所列专业工程暂估价为含进项税额</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但不含销项税额的金额。投标人应按本招标文件规定将此类专业工程暂估金额直接</w:t>
      </w:r>
    </w:p>
    <w:p w14:paraId="46D88D8A">
      <w:pPr>
        <w:spacing w:before="1" w:line="219" w:lineRule="auto"/>
        <w:ind w:left="7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纳入其他项目清单的投标价格，并计取相应的增值</w:t>
      </w:r>
      <w:r>
        <w:rPr>
          <w:rFonts w:ascii="宋体" w:hAnsi="宋体" w:eastAsia="宋体" w:cs="宋体"/>
          <w:color w:val="auto"/>
          <w:spacing w:val="-2"/>
          <w:sz w:val="21"/>
          <w:szCs w:val="21"/>
          <w:highlight w:val="none"/>
        </w:rPr>
        <w:t>税征收率。</w:t>
      </w:r>
    </w:p>
    <w:p w14:paraId="5B9E1CD9">
      <w:pPr>
        <w:spacing w:before="130" w:line="219"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3.4</w:t>
      </w:r>
      <w:r>
        <w:rPr>
          <w:rFonts w:ascii="黑体" w:hAnsi="黑体" w:eastAsia="黑体" w:cs="黑体"/>
          <w:color w:val="auto"/>
          <w:spacing w:val="-38"/>
          <w:sz w:val="21"/>
          <w:szCs w:val="21"/>
          <w:highlight w:val="none"/>
        </w:rPr>
        <w:t xml:space="preserve"> </w:t>
      </w:r>
      <w:r>
        <w:rPr>
          <w:rFonts w:ascii="黑体" w:hAnsi="黑体" w:eastAsia="黑体" w:cs="黑体"/>
          <w:color w:val="auto"/>
          <w:spacing w:val="-2"/>
          <w:sz w:val="21"/>
          <w:szCs w:val="21"/>
          <w:highlight w:val="none"/>
        </w:rPr>
        <w:t>其他补充说明</w:t>
      </w:r>
    </w:p>
    <w:p w14:paraId="638FBA8F">
      <w:pPr>
        <w:pStyle w:val="3"/>
        <w:spacing w:line="338" w:lineRule="auto"/>
        <w:rPr>
          <w:color w:val="auto"/>
          <w:highlight w:val="none"/>
        </w:rPr>
      </w:pPr>
    </w:p>
    <w:p w14:paraId="78A447FB">
      <w:pPr>
        <w:spacing w:line="389" w:lineRule="exact"/>
        <w:ind w:firstLine="432"/>
        <w:rPr>
          <w:color w:val="auto"/>
          <w:highlight w:val="none"/>
        </w:rPr>
      </w:pPr>
      <w:r>
        <w:rPr>
          <w:color w:val="auto"/>
          <w:position w:val="-7"/>
          <w:highlight w:val="none"/>
        </w:rPr>
        <w:pict>
          <v:shape id="_x0000_s2073" o:spid="_x0000_s2073" style="height:19.45pt;width:394.75pt;" fillcolor="#000000" filled="t" stroked="f" coordsize="7895,389" path="m0,9l7894,9,7894,0,0,0,0,9xem0,388l7894,388,7894,379,0,379,0,388xe">
            <v:path/>
            <v:fill on="t" focussize="0,0"/>
            <v:stroke on="f"/>
            <v:imagedata o:title=""/>
            <o:lock v:ext="edit"/>
            <w10:wrap type="none"/>
            <w10:anchorlock/>
          </v:shape>
        </w:pict>
      </w:r>
    </w:p>
    <w:p w14:paraId="6FD79396">
      <w:pPr>
        <w:pStyle w:val="3"/>
        <w:spacing w:line="326" w:lineRule="auto"/>
        <w:rPr>
          <w:color w:val="auto"/>
          <w:highlight w:val="none"/>
        </w:rPr>
      </w:pPr>
    </w:p>
    <w:p w14:paraId="586A80F2">
      <w:pPr>
        <w:pStyle w:val="3"/>
        <w:spacing w:line="327" w:lineRule="auto"/>
        <w:rPr>
          <w:color w:val="auto"/>
          <w:highlight w:val="none"/>
        </w:rPr>
      </w:pPr>
    </w:p>
    <w:p w14:paraId="477374E0">
      <w:pPr>
        <w:spacing w:before="87" w:line="225" w:lineRule="auto"/>
        <w:ind w:left="14"/>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4</w:t>
      </w:r>
      <w:r>
        <w:rPr>
          <w:rFonts w:ascii="黑体" w:hAnsi="黑体" w:eastAsia="黑体" w:cs="黑体"/>
          <w:color w:val="auto"/>
          <w:spacing w:val="7"/>
          <w:sz w:val="27"/>
          <w:szCs w:val="27"/>
          <w:highlight w:val="none"/>
        </w:rPr>
        <w:t>、工程量清单与计价表</w:t>
      </w:r>
    </w:p>
    <w:p w14:paraId="10805C3D">
      <w:pPr>
        <w:pStyle w:val="3"/>
        <w:spacing w:line="264" w:lineRule="auto"/>
        <w:rPr>
          <w:color w:val="auto"/>
          <w:highlight w:val="none"/>
        </w:rPr>
      </w:pPr>
    </w:p>
    <w:p w14:paraId="6625A58E">
      <w:pPr>
        <w:pStyle w:val="3"/>
        <w:spacing w:line="265" w:lineRule="auto"/>
        <w:rPr>
          <w:color w:val="auto"/>
          <w:highlight w:val="none"/>
        </w:rPr>
      </w:pPr>
    </w:p>
    <w:p w14:paraId="41368D34">
      <w:pPr>
        <w:pStyle w:val="3"/>
        <w:spacing w:line="265" w:lineRule="auto"/>
        <w:rPr>
          <w:color w:val="auto"/>
          <w:highlight w:val="none"/>
        </w:rPr>
      </w:pPr>
    </w:p>
    <w:p w14:paraId="0917A855">
      <w:pPr>
        <w:spacing w:before="69" w:line="22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备注： 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0"/>
          <w:sz w:val="21"/>
          <w:szCs w:val="21"/>
          <w:highlight w:val="none"/>
        </w:rPr>
        <w:t>以下表格供招标人参考。</w:t>
      </w:r>
    </w:p>
    <w:p w14:paraId="1ADC0460">
      <w:pPr>
        <w:spacing w:before="129" w:line="384" w:lineRule="exact"/>
        <w:ind w:left="650"/>
        <w:rPr>
          <w:rFonts w:ascii="宋体" w:hAnsi="宋体" w:eastAsia="宋体" w:cs="宋体"/>
          <w:color w:val="auto"/>
          <w:sz w:val="21"/>
          <w:szCs w:val="21"/>
          <w:highlight w:val="none"/>
        </w:rPr>
      </w:pPr>
      <w:r>
        <w:rPr>
          <w:rFonts w:ascii="宋体" w:hAnsi="宋体" w:eastAsia="宋体" w:cs="宋体"/>
          <w:color w:val="auto"/>
          <w:spacing w:val="-3"/>
          <w:position w:val="13"/>
          <w:sz w:val="21"/>
          <w:szCs w:val="21"/>
          <w:highlight w:val="none"/>
        </w:rPr>
        <w:t>2.</w:t>
      </w:r>
      <w:r>
        <w:rPr>
          <w:rFonts w:ascii="宋体" w:hAnsi="宋体" w:eastAsia="宋体" w:cs="宋体"/>
          <w:color w:val="auto"/>
          <w:spacing w:val="48"/>
          <w:position w:val="13"/>
          <w:sz w:val="21"/>
          <w:szCs w:val="21"/>
          <w:highlight w:val="none"/>
        </w:rPr>
        <w:t xml:space="preserve"> </w:t>
      </w:r>
      <w:r>
        <w:rPr>
          <w:rFonts w:ascii="宋体" w:hAnsi="宋体" w:eastAsia="宋体" w:cs="宋体"/>
          <w:color w:val="auto"/>
          <w:spacing w:val="-3"/>
          <w:position w:val="13"/>
          <w:sz w:val="21"/>
          <w:szCs w:val="21"/>
          <w:highlight w:val="none"/>
        </w:rPr>
        <w:t>以下表格中的单价应根据所选用计税方法不同进行调整。</w:t>
      </w:r>
    </w:p>
    <w:p w14:paraId="513CCC72">
      <w:pPr>
        <w:spacing w:line="219" w:lineRule="auto"/>
        <w:ind w:left="65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一般计税方法应为除税价格， 简易计税方法应为含税价格。</w:t>
      </w:r>
    </w:p>
    <w:p w14:paraId="57838F67">
      <w:pPr>
        <w:spacing w:line="219" w:lineRule="auto"/>
        <w:rPr>
          <w:rFonts w:ascii="宋体" w:hAnsi="宋体" w:eastAsia="宋体" w:cs="宋体"/>
          <w:color w:val="auto"/>
          <w:sz w:val="21"/>
          <w:szCs w:val="21"/>
          <w:highlight w:val="none"/>
        </w:rPr>
        <w:sectPr>
          <w:footerReference r:id="rId179" w:type="default"/>
          <w:pgSz w:w="11905" w:h="16839"/>
          <w:pgMar w:top="400" w:right="1785" w:bottom="1004" w:left="1785" w:header="0" w:footer="828" w:gutter="0"/>
          <w:pgNumType w:fmt="decimal"/>
          <w:cols w:space="720" w:num="1"/>
        </w:sectPr>
      </w:pPr>
    </w:p>
    <w:p w14:paraId="49536662">
      <w:pPr>
        <w:pStyle w:val="3"/>
        <w:spacing w:line="267" w:lineRule="auto"/>
        <w:rPr>
          <w:color w:val="auto"/>
          <w:highlight w:val="none"/>
        </w:rPr>
      </w:pPr>
    </w:p>
    <w:p w14:paraId="55A88D66">
      <w:pPr>
        <w:pStyle w:val="3"/>
        <w:spacing w:line="267" w:lineRule="auto"/>
        <w:rPr>
          <w:color w:val="auto"/>
          <w:highlight w:val="none"/>
        </w:rPr>
      </w:pPr>
    </w:p>
    <w:p w14:paraId="7FDCCE92">
      <w:pPr>
        <w:pStyle w:val="3"/>
        <w:spacing w:line="268" w:lineRule="auto"/>
        <w:rPr>
          <w:color w:val="auto"/>
          <w:highlight w:val="none"/>
        </w:rPr>
      </w:pPr>
    </w:p>
    <w:p w14:paraId="7366D331">
      <w:pPr>
        <w:pStyle w:val="3"/>
        <w:spacing w:line="268" w:lineRule="auto"/>
        <w:rPr>
          <w:color w:val="auto"/>
          <w:highlight w:val="none"/>
        </w:rPr>
      </w:pPr>
    </w:p>
    <w:p w14:paraId="2C14790E">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 </w:t>
      </w:r>
      <w:r>
        <w:rPr>
          <w:rFonts w:ascii="黑体" w:hAnsi="黑体" w:eastAsia="黑体" w:cs="黑体"/>
          <w:color w:val="auto"/>
          <w:spacing w:val="-1"/>
          <w:sz w:val="24"/>
          <w:szCs w:val="24"/>
          <w:highlight w:val="none"/>
        </w:rPr>
        <w:t>招标工程量清单封面</w:t>
      </w:r>
    </w:p>
    <w:p w14:paraId="02BC64DD">
      <w:pPr>
        <w:pStyle w:val="3"/>
        <w:spacing w:line="277" w:lineRule="auto"/>
        <w:rPr>
          <w:color w:val="auto"/>
          <w:highlight w:val="none"/>
        </w:rPr>
      </w:pPr>
    </w:p>
    <w:p w14:paraId="0F4F2B89">
      <w:pPr>
        <w:pStyle w:val="3"/>
        <w:spacing w:line="277" w:lineRule="auto"/>
        <w:rPr>
          <w:color w:val="auto"/>
          <w:highlight w:val="none"/>
        </w:rPr>
      </w:pPr>
    </w:p>
    <w:p w14:paraId="358BA9E8">
      <w:pPr>
        <w:pStyle w:val="3"/>
        <w:spacing w:line="278" w:lineRule="auto"/>
        <w:rPr>
          <w:color w:val="auto"/>
          <w:highlight w:val="none"/>
        </w:rPr>
      </w:pPr>
    </w:p>
    <w:p w14:paraId="2E6B2BAB">
      <w:pPr>
        <w:pStyle w:val="3"/>
        <w:spacing w:line="278" w:lineRule="auto"/>
        <w:rPr>
          <w:color w:val="auto"/>
          <w:highlight w:val="none"/>
        </w:rPr>
      </w:pPr>
    </w:p>
    <w:p w14:paraId="39863FEB">
      <w:pPr>
        <w:tabs>
          <w:tab w:val="left" w:pos="6352"/>
        </w:tabs>
        <w:spacing w:before="87" w:line="226" w:lineRule="auto"/>
        <w:ind w:left="1734"/>
        <w:rPr>
          <w:rFonts w:ascii="宋体" w:hAnsi="宋体" w:eastAsia="宋体" w:cs="宋体"/>
          <w:color w:val="auto"/>
          <w:sz w:val="27"/>
          <w:szCs w:val="27"/>
          <w:highlight w:val="none"/>
        </w:rPr>
      </w:pPr>
      <w:r>
        <w:rPr>
          <w:rFonts w:ascii="宋体" w:hAnsi="宋体" w:eastAsia="宋体" w:cs="宋体"/>
          <w:color w:val="auto"/>
          <w:sz w:val="27"/>
          <w:szCs w:val="27"/>
          <w:highlight w:val="none"/>
          <w:u w:val="single" w:color="auto"/>
        </w:rPr>
        <w:tab/>
      </w:r>
      <w:r>
        <w:rPr>
          <w:rFonts w:ascii="宋体" w:hAnsi="宋体" w:eastAsia="宋体" w:cs="宋体"/>
          <w:color w:val="auto"/>
          <w:spacing w:val="-120"/>
          <w:sz w:val="27"/>
          <w:szCs w:val="27"/>
          <w:highlight w:val="none"/>
        </w:rPr>
        <w:t xml:space="preserve"> </w:t>
      </w:r>
      <w:r>
        <w:rPr>
          <w:rFonts w:ascii="宋体" w:hAnsi="宋体" w:eastAsia="宋体" w:cs="宋体"/>
          <w:color w:val="auto"/>
          <w:spacing w:val="3"/>
          <w:sz w:val="27"/>
          <w:szCs w:val="27"/>
          <w:highlight w:val="none"/>
          <w14:textOutline w14:w="5050" w14:cap="flat" w14:cmpd="sng">
            <w14:solidFill>
              <w14:srgbClr w14:val="000000"/>
            </w14:solidFill>
            <w14:prstDash w14:val="solid"/>
            <w14:miter w14:val="0"/>
          </w14:textOutline>
        </w:rPr>
        <w:t>工程</w:t>
      </w:r>
    </w:p>
    <w:p w14:paraId="260A5E6F">
      <w:pPr>
        <w:pStyle w:val="3"/>
        <w:spacing w:line="266" w:lineRule="auto"/>
        <w:rPr>
          <w:color w:val="auto"/>
          <w:highlight w:val="none"/>
        </w:rPr>
      </w:pPr>
    </w:p>
    <w:p w14:paraId="153AF0EA">
      <w:pPr>
        <w:pStyle w:val="3"/>
        <w:spacing w:line="266" w:lineRule="auto"/>
        <w:rPr>
          <w:color w:val="auto"/>
          <w:highlight w:val="none"/>
        </w:rPr>
      </w:pPr>
    </w:p>
    <w:p w14:paraId="43548CC1">
      <w:pPr>
        <w:pStyle w:val="3"/>
        <w:spacing w:line="266" w:lineRule="auto"/>
        <w:rPr>
          <w:color w:val="auto"/>
          <w:highlight w:val="none"/>
        </w:rPr>
      </w:pPr>
    </w:p>
    <w:p w14:paraId="4F27A36F">
      <w:pPr>
        <w:pStyle w:val="3"/>
        <w:spacing w:line="266" w:lineRule="auto"/>
        <w:rPr>
          <w:color w:val="auto"/>
          <w:highlight w:val="none"/>
        </w:rPr>
      </w:pPr>
    </w:p>
    <w:p w14:paraId="1E3F994B">
      <w:pPr>
        <w:pStyle w:val="3"/>
        <w:spacing w:line="266" w:lineRule="auto"/>
        <w:rPr>
          <w:color w:val="auto"/>
          <w:highlight w:val="none"/>
        </w:rPr>
      </w:pPr>
    </w:p>
    <w:p w14:paraId="5CC68AD1">
      <w:pPr>
        <w:pStyle w:val="3"/>
        <w:spacing w:line="266" w:lineRule="auto"/>
        <w:rPr>
          <w:color w:val="auto"/>
          <w:highlight w:val="none"/>
        </w:rPr>
      </w:pPr>
    </w:p>
    <w:p w14:paraId="22F12604">
      <w:pPr>
        <w:pStyle w:val="3"/>
        <w:spacing w:line="266" w:lineRule="auto"/>
        <w:rPr>
          <w:color w:val="auto"/>
          <w:highlight w:val="none"/>
        </w:rPr>
      </w:pPr>
    </w:p>
    <w:p w14:paraId="555932BD">
      <w:pPr>
        <w:pStyle w:val="3"/>
        <w:spacing w:line="266" w:lineRule="auto"/>
        <w:rPr>
          <w:color w:val="auto"/>
          <w:highlight w:val="none"/>
        </w:rPr>
      </w:pPr>
    </w:p>
    <w:p w14:paraId="194F646B">
      <w:pPr>
        <w:spacing w:before="117" w:line="219" w:lineRule="auto"/>
        <w:ind w:left="2740"/>
        <w:rPr>
          <w:rFonts w:ascii="黑体" w:hAnsi="黑体" w:eastAsia="黑体" w:cs="黑体"/>
          <w:color w:val="auto"/>
          <w:sz w:val="36"/>
          <w:szCs w:val="36"/>
          <w:highlight w:val="none"/>
        </w:rPr>
      </w:pPr>
      <w:bookmarkStart w:id="1298" w:name="bookmark244"/>
      <w:bookmarkEnd w:id="1298"/>
      <w:r>
        <w:rPr>
          <w:rFonts w:ascii="黑体" w:hAnsi="黑体" w:eastAsia="黑体" w:cs="黑体"/>
          <w:color w:val="auto"/>
          <w:spacing w:val="-10"/>
          <w:sz w:val="36"/>
          <w:szCs w:val="36"/>
          <w:highlight w:val="none"/>
        </w:rPr>
        <w:t>招 标</w:t>
      </w:r>
      <w:r>
        <w:rPr>
          <w:rFonts w:ascii="黑体" w:hAnsi="黑体" w:eastAsia="黑体" w:cs="黑体"/>
          <w:color w:val="auto"/>
          <w:spacing w:val="22"/>
          <w:sz w:val="36"/>
          <w:szCs w:val="36"/>
          <w:highlight w:val="none"/>
        </w:rPr>
        <w:t xml:space="preserve"> </w:t>
      </w:r>
      <w:r>
        <w:rPr>
          <w:rFonts w:ascii="黑体" w:hAnsi="黑体" w:eastAsia="黑体" w:cs="黑体"/>
          <w:color w:val="auto"/>
          <w:spacing w:val="-10"/>
          <w:sz w:val="36"/>
          <w:szCs w:val="36"/>
          <w:highlight w:val="none"/>
        </w:rPr>
        <w:t>工</w:t>
      </w:r>
      <w:r>
        <w:rPr>
          <w:rFonts w:ascii="黑体" w:hAnsi="黑体" w:eastAsia="黑体" w:cs="黑体"/>
          <w:color w:val="auto"/>
          <w:spacing w:val="10"/>
          <w:sz w:val="36"/>
          <w:szCs w:val="36"/>
          <w:highlight w:val="none"/>
        </w:rPr>
        <w:t xml:space="preserve"> </w:t>
      </w:r>
      <w:r>
        <w:rPr>
          <w:rFonts w:ascii="黑体" w:hAnsi="黑体" w:eastAsia="黑体" w:cs="黑体"/>
          <w:color w:val="auto"/>
          <w:spacing w:val="-10"/>
          <w:sz w:val="36"/>
          <w:szCs w:val="36"/>
          <w:highlight w:val="none"/>
        </w:rPr>
        <w:t>程</w:t>
      </w:r>
      <w:r>
        <w:rPr>
          <w:rFonts w:ascii="黑体" w:hAnsi="黑体" w:eastAsia="黑体" w:cs="黑体"/>
          <w:color w:val="auto"/>
          <w:spacing w:val="21"/>
          <w:sz w:val="36"/>
          <w:szCs w:val="36"/>
          <w:highlight w:val="none"/>
        </w:rPr>
        <w:t xml:space="preserve"> </w:t>
      </w:r>
      <w:r>
        <w:rPr>
          <w:rFonts w:ascii="黑体" w:hAnsi="黑体" w:eastAsia="黑体" w:cs="黑体"/>
          <w:color w:val="auto"/>
          <w:spacing w:val="-10"/>
          <w:sz w:val="36"/>
          <w:szCs w:val="36"/>
          <w:highlight w:val="none"/>
        </w:rPr>
        <w:t>量</w:t>
      </w:r>
      <w:r>
        <w:rPr>
          <w:rFonts w:ascii="黑体" w:hAnsi="黑体" w:eastAsia="黑体" w:cs="黑体"/>
          <w:color w:val="auto"/>
          <w:spacing w:val="16"/>
          <w:sz w:val="36"/>
          <w:szCs w:val="36"/>
          <w:highlight w:val="none"/>
        </w:rPr>
        <w:t xml:space="preserve"> </w:t>
      </w:r>
      <w:r>
        <w:rPr>
          <w:rFonts w:ascii="黑体" w:hAnsi="黑体" w:eastAsia="黑体" w:cs="黑体"/>
          <w:color w:val="auto"/>
          <w:spacing w:val="-10"/>
          <w:sz w:val="36"/>
          <w:szCs w:val="36"/>
          <w:highlight w:val="none"/>
        </w:rPr>
        <w:t>清</w:t>
      </w:r>
      <w:r>
        <w:rPr>
          <w:rFonts w:ascii="黑体" w:hAnsi="黑体" w:eastAsia="黑体" w:cs="黑体"/>
          <w:color w:val="auto"/>
          <w:spacing w:val="26"/>
          <w:sz w:val="36"/>
          <w:szCs w:val="36"/>
          <w:highlight w:val="none"/>
        </w:rPr>
        <w:t xml:space="preserve"> </w:t>
      </w:r>
      <w:r>
        <w:rPr>
          <w:rFonts w:ascii="黑体" w:hAnsi="黑体" w:eastAsia="黑体" w:cs="黑体"/>
          <w:color w:val="auto"/>
          <w:spacing w:val="-10"/>
          <w:sz w:val="36"/>
          <w:szCs w:val="36"/>
          <w:highlight w:val="none"/>
        </w:rPr>
        <w:t>单</w:t>
      </w:r>
    </w:p>
    <w:p w14:paraId="370978AF">
      <w:pPr>
        <w:pStyle w:val="3"/>
        <w:spacing w:line="249" w:lineRule="auto"/>
        <w:rPr>
          <w:color w:val="auto"/>
          <w:highlight w:val="none"/>
        </w:rPr>
      </w:pPr>
    </w:p>
    <w:p w14:paraId="13C1A157">
      <w:pPr>
        <w:pStyle w:val="3"/>
        <w:spacing w:line="249" w:lineRule="auto"/>
        <w:rPr>
          <w:color w:val="auto"/>
          <w:highlight w:val="none"/>
        </w:rPr>
      </w:pPr>
    </w:p>
    <w:p w14:paraId="18FC075C">
      <w:pPr>
        <w:pStyle w:val="3"/>
        <w:spacing w:line="249" w:lineRule="auto"/>
        <w:rPr>
          <w:color w:val="auto"/>
          <w:highlight w:val="none"/>
        </w:rPr>
      </w:pPr>
    </w:p>
    <w:p w14:paraId="680CF8F5">
      <w:pPr>
        <w:pStyle w:val="3"/>
        <w:spacing w:line="249" w:lineRule="auto"/>
        <w:rPr>
          <w:color w:val="auto"/>
          <w:highlight w:val="none"/>
        </w:rPr>
      </w:pPr>
    </w:p>
    <w:p w14:paraId="34BADFAB">
      <w:pPr>
        <w:pStyle w:val="3"/>
        <w:spacing w:line="249" w:lineRule="auto"/>
        <w:rPr>
          <w:color w:val="auto"/>
          <w:highlight w:val="none"/>
        </w:rPr>
      </w:pPr>
    </w:p>
    <w:p w14:paraId="7847BF7F">
      <w:pPr>
        <w:pStyle w:val="3"/>
        <w:spacing w:line="249" w:lineRule="auto"/>
        <w:rPr>
          <w:color w:val="auto"/>
          <w:highlight w:val="none"/>
        </w:rPr>
      </w:pPr>
    </w:p>
    <w:p w14:paraId="45235E66">
      <w:pPr>
        <w:pStyle w:val="3"/>
        <w:spacing w:line="249" w:lineRule="auto"/>
        <w:rPr>
          <w:color w:val="auto"/>
          <w:highlight w:val="none"/>
        </w:rPr>
      </w:pPr>
    </w:p>
    <w:p w14:paraId="7354407B">
      <w:pPr>
        <w:pStyle w:val="3"/>
        <w:spacing w:line="249" w:lineRule="auto"/>
        <w:rPr>
          <w:color w:val="auto"/>
          <w:highlight w:val="none"/>
        </w:rPr>
      </w:pPr>
    </w:p>
    <w:p w14:paraId="3BAE663B">
      <w:pPr>
        <w:pStyle w:val="3"/>
        <w:spacing w:line="249" w:lineRule="auto"/>
        <w:rPr>
          <w:color w:val="auto"/>
          <w:highlight w:val="none"/>
        </w:rPr>
      </w:pPr>
    </w:p>
    <w:p w14:paraId="2FF668E4">
      <w:pPr>
        <w:pStyle w:val="3"/>
        <w:spacing w:line="249" w:lineRule="auto"/>
        <w:rPr>
          <w:color w:val="auto"/>
          <w:highlight w:val="none"/>
        </w:rPr>
      </w:pPr>
    </w:p>
    <w:p w14:paraId="7BD190C1">
      <w:pPr>
        <w:pStyle w:val="3"/>
        <w:spacing w:line="249" w:lineRule="auto"/>
        <w:rPr>
          <w:color w:val="auto"/>
          <w:highlight w:val="none"/>
        </w:rPr>
      </w:pPr>
    </w:p>
    <w:p w14:paraId="6FA022DB">
      <w:pPr>
        <w:pStyle w:val="3"/>
        <w:spacing w:line="250" w:lineRule="auto"/>
        <w:rPr>
          <w:color w:val="auto"/>
          <w:highlight w:val="none"/>
        </w:rPr>
      </w:pPr>
    </w:p>
    <w:p w14:paraId="109F71D7">
      <w:pPr>
        <w:pStyle w:val="3"/>
        <w:spacing w:line="250" w:lineRule="auto"/>
        <w:rPr>
          <w:color w:val="auto"/>
          <w:highlight w:val="none"/>
        </w:rPr>
      </w:pPr>
    </w:p>
    <w:p w14:paraId="60201D20">
      <w:pPr>
        <w:pStyle w:val="3"/>
        <w:spacing w:line="250" w:lineRule="auto"/>
        <w:rPr>
          <w:color w:val="auto"/>
          <w:highlight w:val="none"/>
        </w:rPr>
      </w:pPr>
    </w:p>
    <w:p w14:paraId="3451231F">
      <w:pPr>
        <w:pStyle w:val="3"/>
        <w:spacing w:line="250" w:lineRule="auto"/>
        <w:rPr>
          <w:color w:val="auto"/>
          <w:highlight w:val="none"/>
        </w:rPr>
      </w:pPr>
    </w:p>
    <w:p w14:paraId="1577C720">
      <w:pPr>
        <w:pStyle w:val="3"/>
        <w:spacing w:line="250" w:lineRule="auto"/>
        <w:rPr>
          <w:color w:val="auto"/>
          <w:highlight w:val="none"/>
        </w:rPr>
      </w:pPr>
    </w:p>
    <w:p w14:paraId="2B168D16">
      <w:pPr>
        <w:pStyle w:val="3"/>
        <w:spacing w:line="250" w:lineRule="auto"/>
        <w:rPr>
          <w:color w:val="auto"/>
          <w:highlight w:val="none"/>
        </w:rPr>
      </w:pPr>
    </w:p>
    <w:p w14:paraId="66F1178E">
      <w:pPr>
        <w:spacing w:before="79" w:line="188" w:lineRule="auto"/>
        <w:ind w:left="1941"/>
        <w:rPr>
          <w:rFonts w:ascii="宋体" w:hAnsi="宋体" w:eastAsia="宋体" w:cs="宋体"/>
          <w:color w:val="auto"/>
          <w:sz w:val="24"/>
          <w:szCs w:val="24"/>
          <w:highlight w:val="none"/>
        </w:rPr>
      </w:pPr>
      <w:r>
        <w:rPr>
          <w:rFonts w:ascii="宋体" w:hAnsi="宋体" w:eastAsia="宋体" w:cs="宋体"/>
          <w:color w:val="auto"/>
          <w:spacing w:val="-29"/>
          <w:sz w:val="24"/>
          <w:szCs w:val="24"/>
          <w:highlight w:val="none"/>
        </w:rPr>
        <w:t>招</w:t>
      </w:r>
      <w:r>
        <w:rPr>
          <w:rFonts w:ascii="宋体" w:hAnsi="宋体" w:eastAsia="宋体" w:cs="宋体"/>
          <w:color w:val="auto"/>
          <w:spacing w:val="5"/>
          <w:sz w:val="24"/>
          <w:szCs w:val="24"/>
          <w:highlight w:val="none"/>
        </w:rPr>
        <w:t xml:space="preserve">  </w:t>
      </w:r>
      <w:r>
        <w:rPr>
          <w:rFonts w:ascii="宋体" w:hAnsi="宋体" w:eastAsia="宋体" w:cs="宋体"/>
          <w:color w:val="auto"/>
          <w:spacing w:val="-29"/>
          <w:sz w:val="24"/>
          <w:szCs w:val="24"/>
          <w:highlight w:val="none"/>
        </w:rPr>
        <w:t>标</w:t>
      </w:r>
      <w:r>
        <w:rPr>
          <w:rFonts w:ascii="宋体" w:hAnsi="宋体" w:eastAsia="宋体" w:cs="宋体"/>
          <w:color w:val="auto"/>
          <w:spacing w:val="6"/>
          <w:sz w:val="24"/>
          <w:szCs w:val="24"/>
          <w:highlight w:val="none"/>
        </w:rPr>
        <w:t xml:space="preserve">  </w:t>
      </w:r>
      <w:r>
        <w:rPr>
          <w:rFonts w:ascii="宋体" w:hAnsi="宋体" w:eastAsia="宋体" w:cs="宋体"/>
          <w:color w:val="auto"/>
          <w:spacing w:val="-29"/>
          <w:sz w:val="24"/>
          <w:szCs w:val="24"/>
          <w:highlight w:val="none"/>
        </w:rPr>
        <w:t>人：</w:t>
      </w:r>
      <w:r>
        <w:rPr>
          <w:rFonts w:ascii="宋体" w:hAnsi="宋体" w:eastAsia="宋体" w:cs="宋体"/>
          <w:color w:val="auto"/>
          <w:spacing w:val="-37"/>
          <w:sz w:val="24"/>
          <w:szCs w:val="24"/>
          <w:highlight w:val="none"/>
        </w:rPr>
        <w:t xml:space="preserve"> </w:t>
      </w:r>
      <w:r>
        <w:rPr>
          <w:rFonts w:ascii="宋体" w:hAnsi="宋体" w:eastAsia="宋体" w:cs="宋体"/>
          <w:color w:val="auto"/>
          <w:sz w:val="24"/>
          <w:szCs w:val="24"/>
          <w:highlight w:val="none"/>
          <w:u w:val="single" w:color="auto"/>
        </w:rPr>
        <w:t xml:space="preserve">                           </w:t>
      </w:r>
    </w:p>
    <w:p w14:paraId="2D9A6770">
      <w:pPr>
        <w:spacing w:before="14" w:line="219" w:lineRule="auto"/>
        <w:ind w:left="41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（单位盖章）</w:t>
      </w:r>
    </w:p>
    <w:p w14:paraId="5750A763">
      <w:pPr>
        <w:pStyle w:val="3"/>
        <w:spacing w:line="338" w:lineRule="auto"/>
        <w:rPr>
          <w:color w:val="auto"/>
          <w:highlight w:val="none"/>
        </w:rPr>
      </w:pPr>
    </w:p>
    <w:p w14:paraId="2B719470">
      <w:pPr>
        <w:pStyle w:val="3"/>
        <w:spacing w:line="338" w:lineRule="auto"/>
        <w:rPr>
          <w:color w:val="auto"/>
          <w:highlight w:val="none"/>
        </w:rPr>
      </w:pPr>
    </w:p>
    <w:p w14:paraId="33EC0C08">
      <w:pPr>
        <w:spacing w:before="78" w:line="199" w:lineRule="auto"/>
        <w:ind w:left="1939"/>
        <w:rPr>
          <w:rFonts w:ascii="宋体" w:hAnsi="宋体" w:eastAsia="宋体" w:cs="宋体"/>
          <w:color w:val="auto"/>
          <w:sz w:val="24"/>
          <w:szCs w:val="24"/>
          <w:highlight w:val="none"/>
        </w:rPr>
      </w:pPr>
      <w:r>
        <w:rPr>
          <w:rFonts w:ascii="宋体" w:hAnsi="宋体" w:eastAsia="宋体" w:cs="宋体"/>
          <w:color w:val="auto"/>
          <w:spacing w:val="-25"/>
          <w:w w:val="97"/>
          <w:sz w:val="24"/>
          <w:szCs w:val="24"/>
          <w:highlight w:val="none"/>
        </w:rPr>
        <w:t>造价咨询人：</w:t>
      </w:r>
      <w:r>
        <w:rPr>
          <w:rFonts w:ascii="宋体" w:hAnsi="宋体" w:eastAsia="宋体" w:cs="宋体"/>
          <w:color w:val="auto"/>
          <w:spacing w:val="64"/>
          <w:sz w:val="24"/>
          <w:szCs w:val="24"/>
          <w:highlight w:val="none"/>
        </w:rPr>
        <w:t xml:space="preserve"> </w:t>
      </w:r>
      <w:r>
        <w:rPr>
          <w:rFonts w:ascii="宋体" w:hAnsi="宋体" w:eastAsia="宋体" w:cs="宋体"/>
          <w:color w:val="auto"/>
          <w:sz w:val="24"/>
          <w:szCs w:val="24"/>
          <w:highlight w:val="none"/>
          <w:u w:val="single" w:color="auto"/>
        </w:rPr>
        <w:t xml:space="preserve">                           </w:t>
      </w:r>
    </w:p>
    <w:p w14:paraId="63081565">
      <w:pPr>
        <w:spacing w:before="1" w:line="218" w:lineRule="auto"/>
        <w:ind w:left="41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（单位盖章）</w:t>
      </w:r>
    </w:p>
    <w:p w14:paraId="7A767F98">
      <w:pPr>
        <w:pStyle w:val="3"/>
        <w:spacing w:line="294" w:lineRule="auto"/>
        <w:rPr>
          <w:color w:val="auto"/>
          <w:highlight w:val="none"/>
        </w:rPr>
      </w:pPr>
    </w:p>
    <w:p w14:paraId="5D3BB63A">
      <w:pPr>
        <w:pStyle w:val="3"/>
        <w:spacing w:line="294" w:lineRule="auto"/>
        <w:rPr>
          <w:color w:val="auto"/>
          <w:highlight w:val="none"/>
        </w:rPr>
      </w:pPr>
    </w:p>
    <w:p w14:paraId="52623BE8">
      <w:pPr>
        <w:spacing w:before="78" w:line="220" w:lineRule="auto"/>
        <w:ind w:left="3982"/>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10F17365">
      <w:pPr>
        <w:spacing w:line="220" w:lineRule="auto"/>
        <w:rPr>
          <w:rFonts w:ascii="宋体" w:hAnsi="宋体" w:eastAsia="宋体" w:cs="宋体"/>
          <w:color w:val="auto"/>
          <w:sz w:val="24"/>
          <w:szCs w:val="24"/>
          <w:highlight w:val="none"/>
        </w:rPr>
        <w:sectPr>
          <w:footerReference r:id="rId180" w:type="default"/>
          <w:pgSz w:w="11905" w:h="16839"/>
          <w:pgMar w:top="400" w:right="1785" w:bottom="1004" w:left="1785" w:header="0" w:footer="828" w:gutter="0"/>
          <w:pgNumType w:fmt="decimal"/>
          <w:cols w:space="720" w:num="1"/>
        </w:sectPr>
      </w:pPr>
    </w:p>
    <w:p w14:paraId="305DD94D">
      <w:pPr>
        <w:pStyle w:val="3"/>
        <w:spacing w:line="267" w:lineRule="auto"/>
        <w:rPr>
          <w:color w:val="auto"/>
          <w:highlight w:val="none"/>
        </w:rPr>
      </w:pPr>
    </w:p>
    <w:p w14:paraId="6131F7BB">
      <w:pPr>
        <w:pStyle w:val="3"/>
        <w:spacing w:line="267" w:lineRule="auto"/>
        <w:rPr>
          <w:color w:val="auto"/>
          <w:highlight w:val="none"/>
        </w:rPr>
      </w:pPr>
    </w:p>
    <w:p w14:paraId="2CDFB331">
      <w:pPr>
        <w:pStyle w:val="3"/>
        <w:spacing w:line="268" w:lineRule="auto"/>
        <w:rPr>
          <w:color w:val="auto"/>
          <w:highlight w:val="none"/>
        </w:rPr>
      </w:pPr>
    </w:p>
    <w:p w14:paraId="26C06F7A">
      <w:pPr>
        <w:pStyle w:val="3"/>
        <w:spacing w:line="268" w:lineRule="auto"/>
        <w:rPr>
          <w:color w:val="auto"/>
          <w:highlight w:val="none"/>
        </w:rPr>
      </w:pPr>
    </w:p>
    <w:p w14:paraId="76AF8C0B">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4.2 </w:t>
      </w:r>
      <w:r>
        <w:rPr>
          <w:rFonts w:ascii="黑体" w:hAnsi="黑体" w:eastAsia="黑体" w:cs="黑体"/>
          <w:color w:val="auto"/>
          <w:spacing w:val="-1"/>
          <w:sz w:val="24"/>
          <w:szCs w:val="24"/>
          <w:highlight w:val="none"/>
        </w:rPr>
        <w:t>招标工程量清单扉页</w:t>
      </w:r>
    </w:p>
    <w:p w14:paraId="47243598">
      <w:pPr>
        <w:pStyle w:val="3"/>
        <w:spacing w:line="270" w:lineRule="auto"/>
        <w:rPr>
          <w:color w:val="auto"/>
          <w:highlight w:val="none"/>
        </w:rPr>
      </w:pPr>
    </w:p>
    <w:p w14:paraId="172DBBEF">
      <w:pPr>
        <w:pStyle w:val="3"/>
        <w:spacing w:line="270" w:lineRule="auto"/>
        <w:rPr>
          <w:color w:val="auto"/>
          <w:highlight w:val="none"/>
        </w:rPr>
      </w:pPr>
    </w:p>
    <w:p w14:paraId="1956B11F">
      <w:pPr>
        <w:pStyle w:val="3"/>
        <w:spacing w:line="270" w:lineRule="auto"/>
        <w:rPr>
          <w:color w:val="auto"/>
          <w:highlight w:val="none"/>
        </w:rPr>
      </w:pPr>
    </w:p>
    <w:p w14:paraId="1BA97E06">
      <w:pPr>
        <w:tabs>
          <w:tab w:val="left" w:pos="6477"/>
        </w:tabs>
        <w:spacing w:before="68" w:line="221" w:lineRule="auto"/>
        <w:ind w:left="1858"/>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3"/>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工程</w:t>
      </w:r>
    </w:p>
    <w:p w14:paraId="2BC8FE07">
      <w:pPr>
        <w:pStyle w:val="3"/>
        <w:spacing w:line="341" w:lineRule="auto"/>
        <w:rPr>
          <w:color w:val="auto"/>
          <w:highlight w:val="none"/>
        </w:rPr>
      </w:pPr>
    </w:p>
    <w:p w14:paraId="31F2BB71">
      <w:pPr>
        <w:pStyle w:val="3"/>
        <w:spacing w:line="341" w:lineRule="auto"/>
        <w:rPr>
          <w:color w:val="auto"/>
          <w:highlight w:val="none"/>
        </w:rPr>
      </w:pPr>
    </w:p>
    <w:p w14:paraId="08158A13">
      <w:pPr>
        <w:spacing w:before="104" w:line="220" w:lineRule="auto"/>
        <w:ind w:left="2898"/>
        <w:rPr>
          <w:rFonts w:ascii="黑体" w:hAnsi="黑体" w:eastAsia="黑体" w:cs="黑体"/>
          <w:color w:val="auto"/>
          <w:sz w:val="32"/>
          <w:szCs w:val="32"/>
          <w:highlight w:val="none"/>
        </w:rPr>
      </w:pPr>
      <w:bookmarkStart w:id="1299" w:name="bookmark245"/>
      <w:bookmarkEnd w:id="1299"/>
      <w:r>
        <w:rPr>
          <w:rFonts w:ascii="黑体" w:hAnsi="黑体" w:eastAsia="黑体" w:cs="黑体"/>
          <w:color w:val="auto"/>
          <w:spacing w:val="-8"/>
          <w:sz w:val="32"/>
          <w:szCs w:val="32"/>
          <w:highlight w:val="none"/>
        </w:rPr>
        <w:t>招 标</w:t>
      </w:r>
      <w:r>
        <w:rPr>
          <w:rFonts w:ascii="黑体" w:hAnsi="黑体" w:eastAsia="黑体" w:cs="黑体"/>
          <w:color w:val="auto"/>
          <w:spacing w:val="19"/>
          <w:sz w:val="32"/>
          <w:szCs w:val="32"/>
          <w:highlight w:val="none"/>
        </w:rPr>
        <w:t xml:space="preserve"> </w:t>
      </w:r>
      <w:r>
        <w:rPr>
          <w:rFonts w:ascii="黑体" w:hAnsi="黑体" w:eastAsia="黑体" w:cs="黑体"/>
          <w:color w:val="auto"/>
          <w:spacing w:val="-8"/>
          <w:sz w:val="32"/>
          <w:szCs w:val="32"/>
          <w:highlight w:val="none"/>
        </w:rPr>
        <w:t>工</w:t>
      </w:r>
      <w:r>
        <w:rPr>
          <w:rFonts w:ascii="黑体" w:hAnsi="黑体" w:eastAsia="黑体" w:cs="黑体"/>
          <w:color w:val="auto"/>
          <w:spacing w:val="9"/>
          <w:sz w:val="32"/>
          <w:szCs w:val="32"/>
          <w:highlight w:val="none"/>
        </w:rPr>
        <w:t xml:space="preserve"> </w:t>
      </w:r>
      <w:r>
        <w:rPr>
          <w:rFonts w:ascii="黑体" w:hAnsi="黑体" w:eastAsia="黑体" w:cs="黑体"/>
          <w:color w:val="auto"/>
          <w:spacing w:val="-8"/>
          <w:sz w:val="32"/>
          <w:szCs w:val="32"/>
          <w:highlight w:val="none"/>
        </w:rPr>
        <w:t>程</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量</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清</w:t>
      </w:r>
      <w:r>
        <w:rPr>
          <w:rFonts w:ascii="黑体" w:hAnsi="黑体" w:eastAsia="黑体" w:cs="黑体"/>
          <w:color w:val="auto"/>
          <w:spacing w:val="20"/>
          <w:sz w:val="32"/>
          <w:szCs w:val="32"/>
          <w:highlight w:val="none"/>
        </w:rPr>
        <w:t xml:space="preserve"> </w:t>
      </w:r>
      <w:r>
        <w:rPr>
          <w:rFonts w:ascii="黑体" w:hAnsi="黑体" w:eastAsia="黑体" w:cs="黑体"/>
          <w:color w:val="auto"/>
          <w:spacing w:val="-8"/>
          <w:sz w:val="32"/>
          <w:szCs w:val="32"/>
          <w:highlight w:val="none"/>
        </w:rPr>
        <w:t>单</w:t>
      </w:r>
    </w:p>
    <w:p w14:paraId="031791ED">
      <w:pPr>
        <w:pStyle w:val="3"/>
        <w:spacing w:line="266" w:lineRule="auto"/>
        <w:rPr>
          <w:color w:val="auto"/>
          <w:highlight w:val="none"/>
        </w:rPr>
      </w:pPr>
    </w:p>
    <w:p w14:paraId="2BB501AE">
      <w:pPr>
        <w:pStyle w:val="3"/>
        <w:spacing w:line="266" w:lineRule="auto"/>
        <w:rPr>
          <w:color w:val="auto"/>
          <w:highlight w:val="none"/>
        </w:rPr>
      </w:pPr>
    </w:p>
    <w:p w14:paraId="1C370BBD">
      <w:pPr>
        <w:pStyle w:val="3"/>
        <w:spacing w:line="266" w:lineRule="auto"/>
        <w:rPr>
          <w:color w:val="auto"/>
          <w:highlight w:val="none"/>
        </w:rPr>
      </w:pPr>
    </w:p>
    <w:p w14:paraId="1EA6BAA4">
      <w:pPr>
        <w:pStyle w:val="3"/>
        <w:spacing w:line="266" w:lineRule="auto"/>
        <w:rPr>
          <w:color w:val="auto"/>
          <w:highlight w:val="none"/>
        </w:rPr>
      </w:pPr>
    </w:p>
    <w:p w14:paraId="4CCD9A27">
      <w:pPr>
        <w:pStyle w:val="3"/>
        <w:spacing w:line="266" w:lineRule="auto"/>
        <w:rPr>
          <w:color w:val="auto"/>
          <w:highlight w:val="none"/>
        </w:rPr>
      </w:pPr>
    </w:p>
    <w:p w14:paraId="0A54A365">
      <w:pPr>
        <w:pStyle w:val="3"/>
        <w:spacing w:line="266" w:lineRule="auto"/>
        <w:rPr>
          <w:color w:val="auto"/>
          <w:highlight w:val="none"/>
        </w:rPr>
      </w:pPr>
    </w:p>
    <w:p w14:paraId="00CD14B3">
      <w:pPr>
        <w:pStyle w:val="3"/>
        <w:spacing w:line="266" w:lineRule="auto"/>
        <w:rPr>
          <w:color w:val="auto"/>
          <w:highlight w:val="none"/>
        </w:rPr>
      </w:pPr>
    </w:p>
    <w:p w14:paraId="62A64720">
      <w:pPr>
        <w:pStyle w:val="3"/>
        <w:spacing w:line="267" w:lineRule="auto"/>
        <w:rPr>
          <w:color w:val="auto"/>
          <w:highlight w:val="none"/>
        </w:rPr>
      </w:pPr>
    </w:p>
    <w:p w14:paraId="06F8A09C">
      <w:pPr>
        <w:pStyle w:val="3"/>
        <w:spacing w:line="267" w:lineRule="auto"/>
        <w:rPr>
          <w:color w:val="auto"/>
          <w:highlight w:val="none"/>
        </w:rPr>
      </w:pPr>
    </w:p>
    <w:p w14:paraId="11F1C391">
      <w:pPr>
        <w:spacing w:before="69" w:line="219" w:lineRule="auto"/>
        <w:ind w:left="1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 xml:space="preserve">招标人：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8"/>
          <w:sz w:val="21"/>
          <w:szCs w:val="21"/>
          <w:highlight w:val="none"/>
        </w:rPr>
        <w:t>造价咨询人：</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
          <w:sz w:val="21"/>
          <w:szCs w:val="21"/>
          <w:highlight w:val="none"/>
          <w:u w:val="single" w:color="auto"/>
        </w:rPr>
        <w:t xml:space="preserve">                    </w:t>
      </w:r>
    </w:p>
    <w:p w14:paraId="26185859">
      <w:pPr>
        <w:spacing w:before="9" w:line="220" w:lineRule="auto"/>
        <w:ind w:left="160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（单位盖章</w:t>
      </w:r>
      <w:r>
        <w:rPr>
          <w:rFonts w:ascii="宋体" w:hAnsi="宋体" w:eastAsia="宋体" w:cs="宋体"/>
          <w:color w:val="auto"/>
          <w:spacing w:val="-12"/>
          <w:sz w:val="21"/>
          <w:szCs w:val="21"/>
          <w:highlight w:val="none"/>
        </w:rPr>
        <w:t>）</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1"/>
          <w:sz w:val="21"/>
          <w:szCs w:val="21"/>
          <w:highlight w:val="none"/>
        </w:rPr>
        <w:t>单位盖章）</w:t>
      </w:r>
    </w:p>
    <w:p w14:paraId="3FAEFEA7">
      <w:pPr>
        <w:pStyle w:val="3"/>
        <w:spacing w:line="247" w:lineRule="auto"/>
        <w:rPr>
          <w:color w:val="auto"/>
          <w:highlight w:val="none"/>
        </w:rPr>
      </w:pPr>
    </w:p>
    <w:p w14:paraId="57D58EC5">
      <w:pPr>
        <w:pStyle w:val="3"/>
        <w:spacing w:line="247" w:lineRule="auto"/>
        <w:rPr>
          <w:color w:val="auto"/>
          <w:highlight w:val="none"/>
        </w:rPr>
      </w:pPr>
    </w:p>
    <w:p w14:paraId="7716DAC0">
      <w:pPr>
        <w:pStyle w:val="3"/>
        <w:spacing w:line="248" w:lineRule="auto"/>
        <w:rPr>
          <w:color w:val="auto"/>
          <w:highlight w:val="none"/>
        </w:rPr>
      </w:pPr>
    </w:p>
    <w:p w14:paraId="2A7DD35C">
      <w:pPr>
        <w:pStyle w:val="3"/>
        <w:spacing w:line="248" w:lineRule="auto"/>
        <w:rPr>
          <w:color w:val="auto"/>
          <w:highlight w:val="none"/>
        </w:rPr>
      </w:pPr>
    </w:p>
    <w:p w14:paraId="3E6A323D">
      <w:pPr>
        <w:pStyle w:val="3"/>
        <w:spacing w:line="248" w:lineRule="auto"/>
        <w:rPr>
          <w:color w:val="auto"/>
          <w:highlight w:val="none"/>
        </w:rPr>
      </w:pPr>
    </w:p>
    <w:p w14:paraId="10491BFA">
      <w:pPr>
        <w:pStyle w:val="3"/>
        <w:spacing w:line="248" w:lineRule="auto"/>
        <w:rPr>
          <w:color w:val="auto"/>
          <w:highlight w:val="none"/>
        </w:rPr>
      </w:pPr>
    </w:p>
    <w:p w14:paraId="6B095030">
      <w:pPr>
        <w:spacing w:before="69" w:line="221"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法定代表人                            </w:t>
      </w:r>
      <w:r>
        <w:rPr>
          <w:rFonts w:ascii="宋体" w:hAnsi="宋体" w:eastAsia="宋体" w:cs="宋体"/>
          <w:color w:val="auto"/>
          <w:spacing w:val="-1"/>
          <w:sz w:val="21"/>
          <w:szCs w:val="21"/>
          <w:highlight w:val="none"/>
        </w:rPr>
        <w:t>法定代表人</w:t>
      </w:r>
    </w:p>
    <w:p w14:paraId="1FBADC5C">
      <w:pPr>
        <w:spacing w:before="157"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
          <w:sz w:val="21"/>
          <w:szCs w:val="21"/>
          <w:highlight w:val="none"/>
        </w:rPr>
        <w:t xml:space="preserve">    或其授权人：</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089CE1C3">
      <w:pPr>
        <w:spacing w:before="157" w:line="220" w:lineRule="auto"/>
        <w:ind w:left="160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（签字或盖章</w:t>
      </w:r>
      <w:r>
        <w:rPr>
          <w:rFonts w:ascii="宋体" w:hAnsi="宋体" w:eastAsia="宋体" w:cs="宋体"/>
          <w:color w:val="auto"/>
          <w:spacing w:val="-12"/>
          <w:sz w:val="21"/>
          <w:szCs w:val="21"/>
          <w:highlight w:val="none"/>
        </w:rPr>
        <w:t>）</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1"/>
          <w:sz w:val="21"/>
          <w:szCs w:val="21"/>
          <w:highlight w:val="none"/>
        </w:rPr>
        <w:t>签字或盖章）</w:t>
      </w:r>
    </w:p>
    <w:p w14:paraId="4A77192B">
      <w:pPr>
        <w:pStyle w:val="3"/>
        <w:spacing w:line="266" w:lineRule="auto"/>
        <w:rPr>
          <w:color w:val="auto"/>
          <w:highlight w:val="none"/>
        </w:rPr>
      </w:pPr>
    </w:p>
    <w:p w14:paraId="47BF2608">
      <w:pPr>
        <w:pStyle w:val="3"/>
        <w:spacing w:line="266" w:lineRule="auto"/>
        <w:rPr>
          <w:color w:val="auto"/>
          <w:highlight w:val="none"/>
        </w:rPr>
      </w:pPr>
    </w:p>
    <w:p w14:paraId="12C717BB">
      <w:pPr>
        <w:pStyle w:val="3"/>
        <w:spacing w:line="266" w:lineRule="auto"/>
        <w:rPr>
          <w:color w:val="auto"/>
          <w:highlight w:val="none"/>
        </w:rPr>
      </w:pPr>
    </w:p>
    <w:p w14:paraId="3E5A5BE7">
      <w:pPr>
        <w:pStyle w:val="3"/>
        <w:spacing w:line="266" w:lineRule="auto"/>
        <w:rPr>
          <w:color w:val="auto"/>
          <w:highlight w:val="none"/>
        </w:rPr>
      </w:pPr>
    </w:p>
    <w:p w14:paraId="6B1627B4">
      <w:pPr>
        <w:pStyle w:val="3"/>
        <w:spacing w:line="266" w:lineRule="auto"/>
        <w:rPr>
          <w:color w:val="auto"/>
          <w:highlight w:val="none"/>
        </w:rPr>
      </w:pPr>
    </w:p>
    <w:p w14:paraId="430E705B">
      <w:pPr>
        <w:pStyle w:val="3"/>
        <w:spacing w:line="267" w:lineRule="auto"/>
        <w:rPr>
          <w:color w:val="auto"/>
          <w:highlight w:val="none"/>
        </w:rPr>
      </w:pPr>
    </w:p>
    <w:p w14:paraId="00A1C292">
      <w:pPr>
        <w:spacing w:before="69" w:line="220" w:lineRule="auto"/>
        <w:ind w:left="20"/>
        <w:rPr>
          <w:rFonts w:ascii="宋体" w:hAnsi="宋体" w:eastAsia="宋体" w:cs="宋体"/>
          <w:color w:val="auto"/>
          <w:sz w:val="21"/>
          <w:szCs w:val="21"/>
          <w:highlight w:val="none"/>
        </w:rPr>
      </w:pPr>
      <w:r>
        <w:rPr>
          <w:rFonts w:ascii="宋体" w:hAnsi="宋体" w:eastAsia="宋体" w:cs="宋体"/>
          <w:color w:val="auto"/>
          <w:spacing w:val="-27"/>
          <w:sz w:val="21"/>
          <w:szCs w:val="21"/>
          <w:highlight w:val="none"/>
        </w:rPr>
        <w:t>编制人：</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27"/>
          <w:sz w:val="21"/>
          <w:szCs w:val="21"/>
          <w:highlight w:val="none"/>
        </w:rPr>
        <w:t>复核人：</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182299FC">
      <w:pPr>
        <w:spacing w:before="9" w:line="219" w:lineRule="auto"/>
        <w:ind w:left="1076"/>
        <w:rPr>
          <w:rFonts w:ascii="宋体" w:hAnsi="宋体" w:eastAsia="宋体" w:cs="宋体"/>
          <w:color w:val="auto"/>
          <w:sz w:val="21"/>
          <w:szCs w:val="21"/>
          <w:highlight w:val="none"/>
        </w:rPr>
      </w:pPr>
      <w:r>
        <w:rPr>
          <w:rFonts w:ascii="宋体" w:hAnsi="宋体" w:eastAsia="宋体" w:cs="宋体"/>
          <w:color w:val="auto"/>
          <w:sz w:val="21"/>
          <w:szCs w:val="21"/>
          <w:highlight w:val="none"/>
        </w:rPr>
        <w:t>（造价人员签字盖章</w:t>
      </w:r>
      <w:r>
        <w:rPr>
          <w:rFonts w:ascii="宋体" w:hAnsi="宋体" w:eastAsia="宋体" w:cs="宋体"/>
          <w:color w:val="auto"/>
          <w:spacing w:val="-9"/>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w:t>
      </w:r>
      <w:r>
        <w:rPr>
          <w:rFonts w:ascii="宋体" w:hAnsi="宋体" w:eastAsia="宋体" w:cs="宋体"/>
          <w:color w:val="auto"/>
          <w:sz w:val="21"/>
          <w:szCs w:val="21"/>
          <w:highlight w:val="none"/>
        </w:rPr>
        <w:t>造价人员签字盖章）</w:t>
      </w:r>
    </w:p>
    <w:p w14:paraId="0C3AEB3A">
      <w:pPr>
        <w:pStyle w:val="3"/>
        <w:spacing w:line="269" w:lineRule="auto"/>
        <w:rPr>
          <w:color w:val="auto"/>
          <w:highlight w:val="none"/>
        </w:rPr>
      </w:pPr>
    </w:p>
    <w:p w14:paraId="08769653">
      <w:pPr>
        <w:pStyle w:val="3"/>
        <w:spacing w:line="270" w:lineRule="auto"/>
        <w:rPr>
          <w:color w:val="auto"/>
          <w:highlight w:val="none"/>
        </w:rPr>
      </w:pPr>
    </w:p>
    <w:p w14:paraId="0A2B1B15">
      <w:pPr>
        <w:pStyle w:val="3"/>
        <w:spacing w:line="270" w:lineRule="auto"/>
        <w:rPr>
          <w:color w:val="auto"/>
          <w:highlight w:val="none"/>
        </w:rPr>
      </w:pPr>
    </w:p>
    <w:p w14:paraId="4F312923">
      <w:pPr>
        <w:pStyle w:val="3"/>
        <w:spacing w:line="270" w:lineRule="auto"/>
        <w:rPr>
          <w:color w:val="auto"/>
          <w:highlight w:val="none"/>
        </w:rPr>
      </w:pPr>
    </w:p>
    <w:p w14:paraId="7F0AFD8E">
      <w:pPr>
        <w:pStyle w:val="3"/>
        <w:spacing w:line="270" w:lineRule="auto"/>
        <w:rPr>
          <w:color w:val="auto"/>
          <w:highlight w:val="none"/>
        </w:rPr>
      </w:pPr>
    </w:p>
    <w:p w14:paraId="6227F4AA">
      <w:pPr>
        <w:spacing w:before="69" w:line="221" w:lineRule="auto"/>
        <w:ind w:left="20"/>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6"/>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14"/>
          <w:sz w:val="21"/>
          <w:szCs w:val="21"/>
          <w:highlight w:val="none"/>
        </w:rPr>
        <w:t>日            复核时间：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4"/>
          <w:sz w:val="21"/>
          <w:szCs w:val="21"/>
          <w:highlight w:val="none"/>
        </w:rPr>
        <w:t>月     日</w:t>
      </w:r>
    </w:p>
    <w:p w14:paraId="5788D4A8">
      <w:pPr>
        <w:spacing w:line="221" w:lineRule="auto"/>
        <w:rPr>
          <w:rFonts w:ascii="宋体" w:hAnsi="宋体" w:eastAsia="宋体" w:cs="宋体"/>
          <w:color w:val="auto"/>
          <w:sz w:val="21"/>
          <w:szCs w:val="21"/>
          <w:highlight w:val="none"/>
        </w:rPr>
        <w:sectPr>
          <w:footerReference r:id="rId181" w:type="default"/>
          <w:pgSz w:w="11905" w:h="16839"/>
          <w:pgMar w:top="400" w:right="1785" w:bottom="1004" w:left="1785" w:header="0" w:footer="828" w:gutter="0"/>
          <w:pgNumType w:fmt="decimal"/>
          <w:cols w:space="720" w:num="1"/>
        </w:sectPr>
      </w:pPr>
    </w:p>
    <w:p w14:paraId="1F169441">
      <w:pPr>
        <w:pStyle w:val="3"/>
        <w:spacing w:line="267" w:lineRule="auto"/>
        <w:rPr>
          <w:color w:val="auto"/>
          <w:highlight w:val="none"/>
        </w:rPr>
      </w:pPr>
    </w:p>
    <w:p w14:paraId="105DE210">
      <w:pPr>
        <w:pStyle w:val="3"/>
        <w:spacing w:line="267" w:lineRule="auto"/>
        <w:rPr>
          <w:color w:val="auto"/>
          <w:highlight w:val="none"/>
        </w:rPr>
      </w:pPr>
    </w:p>
    <w:p w14:paraId="22F6310B">
      <w:pPr>
        <w:pStyle w:val="3"/>
        <w:spacing w:line="268" w:lineRule="auto"/>
        <w:rPr>
          <w:color w:val="auto"/>
          <w:highlight w:val="none"/>
        </w:rPr>
      </w:pPr>
    </w:p>
    <w:p w14:paraId="370F3DFC">
      <w:pPr>
        <w:pStyle w:val="3"/>
        <w:spacing w:line="268" w:lineRule="auto"/>
        <w:rPr>
          <w:color w:val="auto"/>
          <w:highlight w:val="none"/>
        </w:rPr>
      </w:pPr>
    </w:p>
    <w:p w14:paraId="767E14F4">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4.3 </w:t>
      </w:r>
      <w:r>
        <w:rPr>
          <w:rFonts w:ascii="黑体" w:hAnsi="黑体" w:eastAsia="黑体" w:cs="黑体"/>
          <w:color w:val="auto"/>
          <w:spacing w:val="-2"/>
          <w:sz w:val="24"/>
          <w:szCs w:val="24"/>
          <w:highlight w:val="none"/>
        </w:rPr>
        <w:t>投标总价封面</w:t>
      </w:r>
    </w:p>
    <w:p w14:paraId="22C3404F">
      <w:pPr>
        <w:pStyle w:val="3"/>
        <w:spacing w:line="247" w:lineRule="auto"/>
        <w:rPr>
          <w:color w:val="auto"/>
          <w:highlight w:val="none"/>
        </w:rPr>
      </w:pPr>
    </w:p>
    <w:p w14:paraId="2860657B">
      <w:pPr>
        <w:pStyle w:val="3"/>
        <w:spacing w:line="247" w:lineRule="auto"/>
        <w:rPr>
          <w:color w:val="auto"/>
          <w:highlight w:val="none"/>
        </w:rPr>
      </w:pPr>
    </w:p>
    <w:p w14:paraId="4344A179">
      <w:pPr>
        <w:pStyle w:val="3"/>
        <w:spacing w:line="247" w:lineRule="auto"/>
        <w:rPr>
          <w:color w:val="auto"/>
          <w:highlight w:val="none"/>
        </w:rPr>
      </w:pPr>
    </w:p>
    <w:p w14:paraId="737DD625">
      <w:pPr>
        <w:pStyle w:val="3"/>
        <w:spacing w:line="247" w:lineRule="auto"/>
        <w:rPr>
          <w:color w:val="auto"/>
          <w:highlight w:val="none"/>
        </w:rPr>
      </w:pPr>
    </w:p>
    <w:p w14:paraId="3447CF80">
      <w:pPr>
        <w:pStyle w:val="3"/>
        <w:spacing w:line="247" w:lineRule="auto"/>
        <w:rPr>
          <w:color w:val="auto"/>
          <w:highlight w:val="none"/>
        </w:rPr>
      </w:pPr>
    </w:p>
    <w:p w14:paraId="7B7D43EE">
      <w:pPr>
        <w:pStyle w:val="3"/>
        <w:spacing w:line="247" w:lineRule="auto"/>
        <w:rPr>
          <w:color w:val="auto"/>
          <w:highlight w:val="none"/>
        </w:rPr>
      </w:pPr>
    </w:p>
    <w:p w14:paraId="1FF24C6F">
      <w:pPr>
        <w:pStyle w:val="3"/>
        <w:spacing w:line="247" w:lineRule="auto"/>
        <w:rPr>
          <w:color w:val="auto"/>
          <w:highlight w:val="none"/>
        </w:rPr>
      </w:pPr>
    </w:p>
    <w:p w14:paraId="67C4341A">
      <w:pPr>
        <w:pStyle w:val="3"/>
        <w:spacing w:line="247" w:lineRule="auto"/>
        <w:rPr>
          <w:color w:val="auto"/>
          <w:highlight w:val="none"/>
        </w:rPr>
      </w:pPr>
    </w:p>
    <w:p w14:paraId="3DD1B775">
      <w:pPr>
        <w:pStyle w:val="3"/>
        <w:spacing w:line="247" w:lineRule="auto"/>
        <w:rPr>
          <w:color w:val="auto"/>
          <w:highlight w:val="none"/>
        </w:rPr>
      </w:pPr>
    </w:p>
    <w:p w14:paraId="1E788B0C">
      <w:pPr>
        <w:pStyle w:val="3"/>
        <w:spacing w:line="248" w:lineRule="auto"/>
        <w:rPr>
          <w:color w:val="auto"/>
          <w:highlight w:val="none"/>
        </w:rPr>
      </w:pPr>
    </w:p>
    <w:p w14:paraId="319F99BA">
      <w:pPr>
        <w:pStyle w:val="3"/>
        <w:spacing w:line="248" w:lineRule="auto"/>
        <w:rPr>
          <w:color w:val="auto"/>
          <w:highlight w:val="none"/>
        </w:rPr>
      </w:pPr>
    </w:p>
    <w:p w14:paraId="0074F565">
      <w:pPr>
        <w:spacing w:before="117" w:line="219" w:lineRule="auto"/>
        <w:ind w:left="3795"/>
        <w:rPr>
          <w:rFonts w:ascii="黑体" w:hAnsi="黑体" w:eastAsia="黑体" w:cs="黑体"/>
          <w:color w:val="auto"/>
          <w:sz w:val="36"/>
          <w:szCs w:val="36"/>
          <w:highlight w:val="none"/>
        </w:rPr>
      </w:pPr>
      <w:bookmarkStart w:id="1300" w:name="bookmark246"/>
      <w:bookmarkEnd w:id="1300"/>
      <w:r>
        <w:rPr>
          <w:rFonts w:ascii="黑体" w:hAnsi="黑体" w:eastAsia="黑体" w:cs="黑体"/>
          <w:color w:val="auto"/>
          <w:spacing w:val="11"/>
          <w:sz w:val="36"/>
          <w:szCs w:val="36"/>
          <w:highlight w:val="none"/>
        </w:rPr>
        <w:t>投标总价</w:t>
      </w:r>
    </w:p>
    <w:p w14:paraId="2BD0203F">
      <w:pPr>
        <w:pStyle w:val="3"/>
        <w:spacing w:line="245" w:lineRule="auto"/>
        <w:rPr>
          <w:color w:val="auto"/>
          <w:highlight w:val="none"/>
        </w:rPr>
      </w:pPr>
    </w:p>
    <w:p w14:paraId="102071E3">
      <w:pPr>
        <w:pStyle w:val="3"/>
        <w:spacing w:line="245" w:lineRule="auto"/>
        <w:rPr>
          <w:color w:val="auto"/>
          <w:highlight w:val="none"/>
        </w:rPr>
      </w:pPr>
    </w:p>
    <w:p w14:paraId="5D8A458C">
      <w:pPr>
        <w:pStyle w:val="3"/>
        <w:spacing w:line="245" w:lineRule="auto"/>
        <w:rPr>
          <w:color w:val="auto"/>
          <w:highlight w:val="none"/>
        </w:rPr>
      </w:pPr>
    </w:p>
    <w:p w14:paraId="20DF1D1A">
      <w:pPr>
        <w:pStyle w:val="3"/>
        <w:spacing w:line="245" w:lineRule="auto"/>
        <w:rPr>
          <w:color w:val="auto"/>
          <w:highlight w:val="none"/>
        </w:rPr>
      </w:pPr>
    </w:p>
    <w:p w14:paraId="639C163C">
      <w:pPr>
        <w:pStyle w:val="3"/>
        <w:spacing w:line="245" w:lineRule="auto"/>
        <w:rPr>
          <w:color w:val="auto"/>
          <w:highlight w:val="none"/>
        </w:rPr>
      </w:pPr>
    </w:p>
    <w:p w14:paraId="37D251F2">
      <w:pPr>
        <w:pStyle w:val="3"/>
        <w:spacing w:line="245" w:lineRule="auto"/>
        <w:rPr>
          <w:color w:val="auto"/>
          <w:highlight w:val="none"/>
        </w:rPr>
      </w:pPr>
    </w:p>
    <w:p w14:paraId="4F84ACC7">
      <w:pPr>
        <w:pStyle w:val="3"/>
        <w:spacing w:line="245" w:lineRule="auto"/>
        <w:rPr>
          <w:color w:val="auto"/>
          <w:highlight w:val="none"/>
        </w:rPr>
      </w:pPr>
    </w:p>
    <w:p w14:paraId="6340787A">
      <w:pPr>
        <w:pStyle w:val="3"/>
        <w:spacing w:line="245" w:lineRule="auto"/>
        <w:rPr>
          <w:color w:val="auto"/>
          <w:highlight w:val="none"/>
        </w:rPr>
      </w:pPr>
    </w:p>
    <w:p w14:paraId="2D276DF0">
      <w:pPr>
        <w:pStyle w:val="3"/>
        <w:spacing w:line="245" w:lineRule="auto"/>
        <w:rPr>
          <w:color w:val="auto"/>
          <w:highlight w:val="none"/>
        </w:rPr>
      </w:pPr>
    </w:p>
    <w:p w14:paraId="1AAEF868">
      <w:pPr>
        <w:pStyle w:val="3"/>
        <w:spacing w:line="245" w:lineRule="auto"/>
        <w:rPr>
          <w:color w:val="auto"/>
          <w:highlight w:val="none"/>
        </w:rPr>
      </w:pPr>
    </w:p>
    <w:p w14:paraId="443CA4BB">
      <w:pPr>
        <w:pStyle w:val="3"/>
        <w:spacing w:line="245" w:lineRule="auto"/>
        <w:rPr>
          <w:color w:val="auto"/>
          <w:highlight w:val="none"/>
        </w:rPr>
      </w:pPr>
    </w:p>
    <w:p w14:paraId="5CDA1B44">
      <w:pPr>
        <w:pStyle w:val="3"/>
        <w:spacing w:line="245" w:lineRule="auto"/>
        <w:rPr>
          <w:color w:val="auto"/>
          <w:highlight w:val="none"/>
        </w:rPr>
      </w:pPr>
    </w:p>
    <w:p w14:paraId="6631EDC0">
      <w:pPr>
        <w:pStyle w:val="3"/>
        <w:spacing w:line="245" w:lineRule="auto"/>
        <w:rPr>
          <w:color w:val="auto"/>
          <w:highlight w:val="none"/>
        </w:rPr>
      </w:pPr>
    </w:p>
    <w:p w14:paraId="3C484604">
      <w:pPr>
        <w:pStyle w:val="3"/>
        <w:spacing w:line="245" w:lineRule="auto"/>
        <w:rPr>
          <w:color w:val="auto"/>
          <w:highlight w:val="none"/>
        </w:rPr>
      </w:pPr>
    </w:p>
    <w:p w14:paraId="4BCB8B97">
      <w:pPr>
        <w:pStyle w:val="3"/>
        <w:spacing w:line="245" w:lineRule="auto"/>
        <w:rPr>
          <w:color w:val="auto"/>
          <w:highlight w:val="none"/>
        </w:rPr>
      </w:pPr>
    </w:p>
    <w:p w14:paraId="13EBDEF1">
      <w:pPr>
        <w:pStyle w:val="3"/>
        <w:spacing w:line="245" w:lineRule="auto"/>
        <w:rPr>
          <w:color w:val="auto"/>
          <w:highlight w:val="none"/>
        </w:rPr>
      </w:pPr>
    </w:p>
    <w:p w14:paraId="5D72CA56">
      <w:pPr>
        <w:pStyle w:val="3"/>
        <w:spacing w:line="245" w:lineRule="auto"/>
        <w:rPr>
          <w:color w:val="auto"/>
          <w:highlight w:val="none"/>
        </w:rPr>
      </w:pPr>
    </w:p>
    <w:p w14:paraId="2D47785C">
      <w:pPr>
        <w:pStyle w:val="3"/>
        <w:spacing w:line="245" w:lineRule="auto"/>
        <w:rPr>
          <w:color w:val="auto"/>
          <w:highlight w:val="none"/>
        </w:rPr>
      </w:pPr>
    </w:p>
    <w:p w14:paraId="787940CC">
      <w:pPr>
        <w:pStyle w:val="3"/>
        <w:spacing w:line="245" w:lineRule="auto"/>
        <w:rPr>
          <w:color w:val="auto"/>
          <w:highlight w:val="none"/>
        </w:rPr>
      </w:pPr>
    </w:p>
    <w:p w14:paraId="226F1E19">
      <w:pPr>
        <w:pStyle w:val="3"/>
        <w:spacing w:line="246" w:lineRule="auto"/>
        <w:rPr>
          <w:color w:val="auto"/>
          <w:highlight w:val="none"/>
        </w:rPr>
      </w:pPr>
    </w:p>
    <w:p w14:paraId="1A115885">
      <w:pPr>
        <w:pStyle w:val="3"/>
        <w:spacing w:line="246" w:lineRule="auto"/>
        <w:rPr>
          <w:color w:val="auto"/>
          <w:highlight w:val="none"/>
        </w:rPr>
      </w:pPr>
    </w:p>
    <w:p w14:paraId="4B63B50F">
      <w:pPr>
        <w:pStyle w:val="3"/>
        <w:spacing w:line="246" w:lineRule="auto"/>
        <w:rPr>
          <w:color w:val="auto"/>
          <w:highlight w:val="none"/>
        </w:rPr>
      </w:pPr>
    </w:p>
    <w:p w14:paraId="5EC1FA3A">
      <w:pPr>
        <w:pStyle w:val="3"/>
        <w:spacing w:line="246" w:lineRule="auto"/>
        <w:rPr>
          <w:color w:val="auto"/>
          <w:highlight w:val="none"/>
        </w:rPr>
      </w:pPr>
    </w:p>
    <w:p w14:paraId="30AC69E9">
      <w:pPr>
        <w:pStyle w:val="3"/>
        <w:spacing w:line="246" w:lineRule="auto"/>
        <w:rPr>
          <w:color w:val="auto"/>
          <w:highlight w:val="none"/>
        </w:rPr>
      </w:pPr>
    </w:p>
    <w:p w14:paraId="5631BFE6">
      <w:pPr>
        <w:pStyle w:val="3"/>
        <w:spacing w:line="246" w:lineRule="auto"/>
        <w:rPr>
          <w:color w:val="auto"/>
          <w:highlight w:val="none"/>
        </w:rPr>
      </w:pPr>
    </w:p>
    <w:p w14:paraId="3D4A32F6">
      <w:pPr>
        <w:pStyle w:val="3"/>
        <w:spacing w:line="246" w:lineRule="auto"/>
        <w:rPr>
          <w:color w:val="auto"/>
          <w:highlight w:val="none"/>
        </w:rPr>
      </w:pPr>
    </w:p>
    <w:p w14:paraId="1BB3BB8F">
      <w:pPr>
        <w:spacing w:before="78" w:line="233" w:lineRule="auto"/>
        <w:ind w:left="4467" w:right="1359" w:hanging="2404"/>
        <w:rPr>
          <w:rFonts w:ascii="宋体" w:hAnsi="宋体" w:eastAsia="宋体" w:cs="宋体"/>
          <w:color w:val="auto"/>
          <w:sz w:val="24"/>
          <w:szCs w:val="24"/>
          <w:highlight w:val="none"/>
        </w:rPr>
      </w:pPr>
      <w:r>
        <w:rPr>
          <w:rFonts w:ascii="宋体" w:hAnsi="宋体" w:eastAsia="宋体" w:cs="宋体"/>
          <w:color w:val="auto"/>
          <w:spacing w:val="-29"/>
          <w:sz w:val="24"/>
          <w:szCs w:val="24"/>
          <w:highlight w:val="none"/>
        </w:rPr>
        <w:t>投</w:t>
      </w:r>
      <w:r>
        <w:rPr>
          <w:rFonts w:ascii="宋体" w:hAnsi="宋体" w:eastAsia="宋体" w:cs="宋体"/>
          <w:color w:val="auto"/>
          <w:spacing w:val="10"/>
          <w:sz w:val="24"/>
          <w:szCs w:val="24"/>
          <w:highlight w:val="none"/>
        </w:rPr>
        <w:t xml:space="preserve"> </w:t>
      </w:r>
      <w:r>
        <w:rPr>
          <w:rFonts w:ascii="宋体" w:hAnsi="宋体" w:eastAsia="宋体" w:cs="宋体"/>
          <w:color w:val="auto"/>
          <w:spacing w:val="-29"/>
          <w:sz w:val="24"/>
          <w:szCs w:val="24"/>
          <w:highlight w:val="none"/>
        </w:rPr>
        <w:t>标</w:t>
      </w:r>
      <w:r>
        <w:rPr>
          <w:rFonts w:ascii="宋体" w:hAnsi="宋体" w:eastAsia="宋体" w:cs="宋体"/>
          <w:color w:val="auto"/>
          <w:spacing w:val="11"/>
          <w:sz w:val="24"/>
          <w:szCs w:val="24"/>
          <w:highlight w:val="none"/>
        </w:rPr>
        <w:t xml:space="preserve"> </w:t>
      </w:r>
      <w:r>
        <w:rPr>
          <w:rFonts w:ascii="宋体" w:hAnsi="宋体" w:eastAsia="宋体" w:cs="宋体"/>
          <w:color w:val="auto"/>
          <w:spacing w:val="-29"/>
          <w:sz w:val="24"/>
          <w:szCs w:val="24"/>
          <w:highlight w:val="none"/>
        </w:rPr>
        <w:t>人：</w:t>
      </w:r>
      <w:r>
        <w:rPr>
          <w:rFonts w:ascii="宋体" w:hAnsi="宋体" w:eastAsia="宋体" w:cs="宋体"/>
          <w:color w:val="auto"/>
          <w:spacing w:val="-38"/>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3"/>
          <w:sz w:val="24"/>
          <w:szCs w:val="24"/>
          <w:highlight w:val="none"/>
        </w:rPr>
        <w:t>（单位盖章）</w:t>
      </w:r>
    </w:p>
    <w:p w14:paraId="681E5063">
      <w:pPr>
        <w:pStyle w:val="3"/>
        <w:spacing w:line="251" w:lineRule="auto"/>
        <w:rPr>
          <w:color w:val="auto"/>
          <w:highlight w:val="none"/>
        </w:rPr>
      </w:pPr>
    </w:p>
    <w:p w14:paraId="58BCB1BC">
      <w:pPr>
        <w:pStyle w:val="3"/>
        <w:spacing w:line="252" w:lineRule="auto"/>
        <w:rPr>
          <w:color w:val="auto"/>
          <w:highlight w:val="none"/>
        </w:rPr>
      </w:pPr>
    </w:p>
    <w:p w14:paraId="540E8184">
      <w:pPr>
        <w:pStyle w:val="3"/>
        <w:spacing w:line="252" w:lineRule="auto"/>
        <w:rPr>
          <w:color w:val="auto"/>
          <w:highlight w:val="none"/>
        </w:rPr>
      </w:pPr>
    </w:p>
    <w:p w14:paraId="5CC46A1B">
      <w:pPr>
        <w:spacing w:before="78" w:line="220" w:lineRule="auto"/>
        <w:ind w:left="4169"/>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1"/>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9"/>
          <w:sz w:val="24"/>
          <w:szCs w:val="24"/>
          <w:highlight w:val="none"/>
        </w:rPr>
        <w:t xml:space="preserve">      </w:t>
      </w:r>
      <w:r>
        <w:rPr>
          <w:rFonts w:ascii="宋体" w:hAnsi="宋体" w:eastAsia="宋体" w:cs="宋体"/>
          <w:color w:val="auto"/>
          <w:spacing w:val="-9"/>
          <w:sz w:val="24"/>
          <w:szCs w:val="24"/>
          <w:highlight w:val="none"/>
        </w:rPr>
        <w:t>日</w:t>
      </w:r>
    </w:p>
    <w:p w14:paraId="77ADB62F">
      <w:pPr>
        <w:spacing w:line="220" w:lineRule="auto"/>
        <w:rPr>
          <w:rFonts w:ascii="宋体" w:hAnsi="宋体" w:eastAsia="宋体" w:cs="宋体"/>
          <w:color w:val="auto"/>
          <w:sz w:val="24"/>
          <w:szCs w:val="24"/>
          <w:highlight w:val="none"/>
        </w:rPr>
        <w:sectPr>
          <w:footerReference r:id="rId182" w:type="default"/>
          <w:pgSz w:w="11905" w:h="16839"/>
          <w:pgMar w:top="400" w:right="1785" w:bottom="1004" w:left="1785" w:header="0" w:footer="828" w:gutter="0"/>
          <w:pgNumType w:fmt="decimal"/>
          <w:cols w:space="720" w:num="1"/>
        </w:sectPr>
      </w:pPr>
    </w:p>
    <w:p w14:paraId="250C61AF">
      <w:pPr>
        <w:pStyle w:val="3"/>
        <w:spacing w:line="267" w:lineRule="auto"/>
        <w:rPr>
          <w:color w:val="auto"/>
          <w:highlight w:val="none"/>
        </w:rPr>
      </w:pPr>
    </w:p>
    <w:p w14:paraId="434313FB">
      <w:pPr>
        <w:pStyle w:val="3"/>
        <w:spacing w:line="267" w:lineRule="auto"/>
        <w:rPr>
          <w:color w:val="auto"/>
          <w:highlight w:val="none"/>
        </w:rPr>
      </w:pPr>
    </w:p>
    <w:p w14:paraId="273B6BB5">
      <w:pPr>
        <w:pStyle w:val="3"/>
        <w:spacing w:line="268" w:lineRule="auto"/>
        <w:rPr>
          <w:color w:val="auto"/>
          <w:highlight w:val="none"/>
        </w:rPr>
      </w:pPr>
    </w:p>
    <w:p w14:paraId="07F7511A">
      <w:pPr>
        <w:pStyle w:val="3"/>
        <w:spacing w:line="268" w:lineRule="auto"/>
        <w:rPr>
          <w:color w:val="auto"/>
          <w:highlight w:val="none"/>
        </w:rPr>
      </w:pPr>
    </w:p>
    <w:p w14:paraId="742105D1">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4.4 </w:t>
      </w:r>
      <w:r>
        <w:rPr>
          <w:rFonts w:ascii="黑体" w:hAnsi="黑体" w:eastAsia="黑体" w:cs="黑体"/>
          <w:color w:val="auto"/>
          <w:spacing w:val="-2"/>
          <w:sz w:val="24"/>
          <w:szCs w:val="24"/>
          <w:highlight w:val="none"/>
        </w:rPr>
        <w:t>投标总价扉页</w:t>
      </w:r>
    </w:p>
    <w:p w14:paraId="31CE5FCC">
      <w:pPr>
        <w:pStyle w:val="3"/>
        <w:spacing w:line="264" w:lineRule="auto"/>
        <w:rPr>
          <w:color w:val="auto"/>
          <w:highlight w:val="none"/>
        </w:rPr>
      </w:pPr>
    </w:p>
    <w:p w14:paraId="39E1A23D">
      <w:pPr>
        <w:pStyle w:val="3"/>
        <w:spacing w:line="264" w:lineRule="auto"/>
        <w:rPr>
          <w:color w:val="auto"/>
          <w:highlight w:val="none"/>
        </w:rPr>
      </w:pPr>
    </w:p>
    <w:p w14:paraId="66D5606D">
      <w:pPr>
        <w:pStyle w:val="3"/>
        <w:spacing w:line="264" w:lineRule="auto"/>
        <w:rPr>
          <w:color w:val="auto"/>
          <w:highlight w:val="none"/>
        </w:rPr>
      </w:pPr>
    </w:p>
    <w:p w14:paraId="0A612E8C">
      <w:pPr>
        <w:pStyle w:val="3"/>
        <w:spacing w:line="264" w:lineRule="auto"/>
        <w:rPr>
          <w:color w:val="auto"/>
          <w:highlight w:val="none"/>
        </w:rPr>
      </w:pPr>
    </w:p>
    <w:p w14:paraId="51CEE13A">
      <w:pPr>
        <w:spacing w:before="104" w:line="220" w:lineRule="auto"/>
        <w:ind w:left="3837"/>
        <w:rPr>
          <w:rFonts w:ascii="黑体" w:hAnsi="黑体" w:eastAsia="黑体" w:cs="黑体"/>
          <w:color w:val="auto"/>
          <w:sz w:val="32"/>
          <w:szCs w:val="32"/>
          <w:highlight w:val="none"/>
        </w:rPr>
      </w:pPr>
      <w:bookmarkStart w:id="1301" w:name="bookmark247"/>
      <w:bookmarkEnd w:id="1301"/>
      <w:r>
        <w:rPr>
          <w:rFonts w:ascii="黑体" w:hAnsi="黑体" w:eastAsia="黑体" w:cs="黑体"/>
          <w:color w:val="auto"/>
          <w:spacing w:val="13"/>
          <w:sz w:val="32"/>
          <w:szCs w:val="32"/>
          <w:highlight w:val="none"/>
        </w:rPr>
        <w:t>投标总价</w:t>
      </w:r>
    </w:p>
    <w:p w14:paraId="561102CA">
      <w:pPr>
        <w:pStyle w:val="3"/>
        <w:spacing w:line="255" w:lineRule="auto"/>
        <w:rPr>
          <w:color w:val="auto"/>
          <w:highlight w:val="none"/>
        </w:rPr>
      </w:pPr>
    </w:p>
    <w:p w14:paraId="0887C26E">
      <w:pPr>
        <w:pStyle w:val="3"/>
        <w:spacing w:line="255" w:lineRule="auto"/>
        <w:rPr>
          <w:color w:val="auto"/>
          <w:highlight w:val="none"/>
        </w:rPr>
      </w:pPr>
    </w:p>
    <w:p w14:paraId="60E52972">
      <w:pPr>
        <w:pStyle w:val="3"/>
        <w:spacing w:line="255" w:lineRule="auto"/>
        <w:rPr>
          <w:color w:val="auto"/>
          <w:highlight w:val="none"/>
        </w:rPr>
      </w:pPr>
    </w:p>
    <w:p w14:paraId="0BD8E89E">
      <w:pPr>
        <w:pStyle w:val="3"/>
        <w:spacing w:line="256" w:lineRule="auto"/>
        <w:rPr>
          <w:color w:val="auto"/>
          <w:highlight w:val="none"/>
        </w:rPr>
      </w:pPr>
    </w:p>
    <w:p w14:paraId="4D7BA30B">
      <w:pPr>
        <w:pStyle w:val="3"/>
        <w:spacing w:line="256" w:lineRule="auto"/>
        <w:rPr>
          <w:color w:val="auto"/>
          <w:highlight w:val="none"/>
        </w:rPr>
      </w:pPr>
    </w:p>
    <w:p w14:paraId="6938AF9E">
      <w:pPr>
        <w:pStyle w:val="3"/>
        <w:spacing w:line="256" w:lineRule="auto"/>
        <w:rPr>
          <w:color w:val="auto"/>
          <w:highlight w:val="none"/>
        </w:rPr>
      </w:pPr>
    </w:p>
    <w:p w14:paraId="0E9F531A">
      <w:pPr>
        <w:spacing w:before="68" w:line="221" w:lineRule="auto"/>
        <w:ind w:left="44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招</w:t>
      </w:r>
      <w:r>
        <w:rPr>
          <w:rFonts w:ascii="宋体" w:hAnsi="宋体" w:eastAsia="宋体" w:cs="宋体"/>
          <w:color w:val="auto"/>
          <w:spacing w:val="12"/>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0CF25158">
      <w:pPr>
        <w:pStyle w:val="3"/>
        <w:spacing w:line="278" w:lineRule="auto"/>
        <w:rPr>
          <w:color w:val="auto"/>
          <w:highlight w:val="none"/>
        </w:rPr>
      </w:pPr>
    </w:p>
    <w:p w14:paraId="1EF5BDAB">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5"/>
          <w:w w:val="99"/>
          <w:sz w:val="21"/>
          <w:szCs w:val="21"/>
          <w:highlight w:val="none"/>
        </w:rPr>
        <w:t>工程名称：</w:t>
      </w:r>
      <w:r>
        <w:rPr>
          <w:rFonts w:ascii="宋体" w:hAnsi="宋体" w:eastAsia="宋体" w:cs="宋体"/>
          <w:color w:val="auto"/>
          <w:spacing w:val="25"/>
          <w:sz w:val="21"/>
          <w:szCs w:val="21"/>
          <w:highlight w:val="none"/>
        </w:rPr>
        <w:t xml:space="preserve"> </w:t>
      </w:r>
      <w:r>
        <w:rPr>
          <w:rFonts w:ascii="宋体" w:hAnsi="宋体" w:eastAsia="宋体" w:cs="宋体"/>
          <w:color w:val="auto"/>
          <w:sz w:val="21"/>
          <w:szCs w:val="21"/>
          <w:highlight w:val="none"/>
          <w:u w:val="single" w:color="auto"/>
        </w:rPr>
        <w:t xml:space="preserve">                                                               </w:t>
      </w:r>
    </w:p>
    <w:p w14:paraId="77714263">
      <w:pPr>
        <w:pStyle w:val="3"/>
        <w:spacing w:line="279" w:lineRule="auto"/>
        <w:rPr>
          <w:color w:val="auto"/>
          <w:highlight w:val="none"/>
        </w:rPr>
      </w:pPr>
    </w:p>
    <w:p w14:paraId="5742E081">
      <w:pPr>
        <w:spacing w:before="69" w:line="527" w:lineRule="auto"/>
        <w:ind w:left="44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投标总价（小写</w:t>
      </w:r>
      <w:r>
        <w:rPr>
          <w:rFonts w:ascii="宋体" w:hAnsi="宋体" w:eastAsia="宋体" w:cs="宋体"/>
          <w:color w:val="auto"/>
          <w:spacing w:val="-11"/>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元   </w:t>
      </w:r>
    </w:p>
    <w:p w14:paraId="5B8DDF77">
      <w:pPr>
        <w:spacing w:line="221" w:lineRule="auto"/>
        <w:ind w:left="128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（大写</w:t>
      </w:r>
      <w:r>
        <w:rPr>
          <w:rFonts w:ascii="宋体" w:hAnsi="宋体" w:eastAsia="宋体" w:cs="宋体"/>
          <w:color w:val="auto"/>
          <w:spacing w:val="-16"/>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6"/>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元   </w:t>
      </w:r>
    </w:p>
    <w:p w14:paraId="3062C679">
      <w:pPr>
        <w:pStyle w:val="3"/>
        <w:spacing w:line="250" w:lineRule="auto"/>
        <w:rPr>
          <w:color w:val="auto"/>
          <w:highlight w:val="none"/>
        </w:rPr>
      </w:pPr>
    </w:p>
    <w:p w14:paraId="5954E974">
      <w:pPr>
        <w:pStyle w:val="3"/>
        <w:spacing w:line="250" w:lineRule="auto"/>
        <w:rPr>
          <w:color w:val="auto"/>
          <w:highlight w:val="none"/>
        </w:rPr>
      </w:pPr>
    </w:p>
    <w:p w14:paraId="2EB9059C">
      <w:pPr>
        <w:pStyle w:val="3"/>
        <w:spacing w:line="250" w:lineRule="auto"/>
        <w:rPr>
          <w:color w:val="auto"/>
          <w:highlight w:val="none"/>
        </w:rPr>
      </w:pPr>
    </w:p>
    <w:p w14:paraId="17A74283">
      <w:pPr>
        <w:pStyle w:val="3"/>
        <w:spacing w:line="251" w:lineRule="auto"/>
        <w:rPr>
          <w:color w:val="auto"/>
          <w:highlight w:val="none"/>
        </w:rPr>
      </w:pPr>
    </w:p>
    <w:p w14:paraId="514C0A83">
      <w:pPr>
        <w:pStyle w:val="3"/>
        <w:spacing w:line="251" w:lineRule="auto"/>
        <w:rPr>
          <w:color w:val="auto"/>
          <w:highlight w:val="none"/>
        </w:rPr>
      </w:pPr>
    </w:p>
    <w:p w14:paraId="1FC5583A">
      <w:pPr>
        <w:spacing w:before="69" w:line="251" w:lineRule="auto"/>
        <w:ind w:left="4225" w:right="231" w:hanging="378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（单位盖章）</w:t>
      </w:r>
    </w:p>
    <w:p w14:paraId="7CA4FF81">
      <w:pPr>
        <w:pStyle w:val="3"/>
        <w:spacing w:line="422" w:lineRule="auto"/>
        <w:rPr>
          <w:color w:val="auto"/>
          <w:highlight w:val="none"/>
        </w:rPr>
      </w:pPr>
    </w:p>
    <w:p w14:paraId="770C0A28">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p>
    <w:p w14:paraId="771955F4">
      <w:pPr>
        <w:spacing w:before="158" w:line="249" w:lineRule="auto"/>
        <w:ind w:left="4014" w:right="231" w:hanging="3571"/>
        <w:rPr>
          <w:rFonts w:ascii="宋体" w:hAnsi="宋体" w:eastAsia="宋体" w:cs="宋体"/>
          <w:color w:val="auto"/>
          <w:sz w:val="21"/>
          <w:szCs w:val="21"/>
          <w:highlight w:val="none"/>
        </w:rPr>
      </w:pPr>
      <w:r>
        <w:rPr>
          <w:rFonts w:ascii="宋体" w:hAnsi="宋体" w:eastAsia="宋体" w:cs="宋体"/>
          <w:color w:val="auto"/>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（签字或盖章）</w:t>
      </w:r>
    </w:p>
    <w:p w14:paraId="36F4A80D">
      <w:pPr>
        <w:pStyle w:val="3"/>
        <w:spacing w:line="319" w:lineRule="auto"/>
        <w:rPr>
          <w:color w:val="auto"/>
          <w:highlight w:val="none"/>
        </w:rPr>
      </w:pPr>
    </w:p>
    <w:p w14:paraId="06F1A251">
      <w:pPr>
        <w:pStyle w:val="3"/>
        <w:spacing w:line="319" w:lineRule="auto"/>
        <w:rPr>
          <w:color w:val="auto"/>
          <w:highlight w:val="none"/>
        </w:rPr>
      </w:pPr>
    </w:p>
    <w:p w14:paraId="1D0EEAFF">
      <w:pPr>
        <w:spacing w:before="68" w:line="251" w:lineRule="auto"/>
        <w:ind w:left="3596" w:right="231" w:hanging="3154"/>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编制人：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（造价人员签字或盖章）</w:t>
      </w:r>
    </w:p>
    <w:p w14:paraId="7A28B4E8">
      <w:pPr>
        <w:pStyle w:val="3"/>
        <w:spacing w:line="266" w:lineRule="auto"/>
        <w:rPr>
          <w:color w:val="auto"/>
          <w:highlight w:val="none"/>
        </w:rPr>
      </w:pPr>
    </w:p>
    <w:p w14:paraId="521FC3D8">
      <w:pPr>
        <w:pStyle w:val="3"/>
        <w:spacing w:line="267" w:lineRule="auto"/>
        <w:rPr>
          <w:color w:val="auto"/>
          <w:highlight w:val="none"/>
        </w:rPr>
      </w:pPr>
    </w:p>
    <w:p w14:paraId="0BF8EC6E">
      <w:pPr>
        <w:pStyle w:val="3"/>
        <w:spacing w:line="267" w:lineRule="auto"/>
        <w:rPr>
          <w:color w:val="auto"/>
          <w:highlight w:val="none"/>
        </w:rPr>
      </w:pPr>
    </w:p>
    <w:p w14:paraId="720EA382">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1"/>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14"/>
          <w:sz w:val="21"/>
          <w:szCs w:val="21"/>
          <w:highlight w:val="none"/>
        </w:rPr>
        <w:t>月       日</w:t>
      </w:r>
    </w:p>
    <w:p w14:paraId="48B94802">
      <w:pPr>
        <w:spacing w:line="221" w:lineRule="auto"/>
        <w:rPr>
          <w:rFonts w:ascii="宋体" w:hAnsi="宋体" w:eastAsia="宋体" w:cs="宋体"/>
          <w:color w:val="auto"/>
          <w:sz w:val="21"/>
          <w:szCs w:val="21"/>
          <w:highlight w:val="none"/>
        </w:rPr>
        <w:sectPr>
          <w:footerReference r:id="rId183" w:type="default"/>
          <w:pgSz w:w="11905" w:h="16839"/>
          <w:pgMar w:top="400" w:right="1785" w:bottom="1004" w:left="1785" w:header="0" w:footer="828" w:gutter="0"/>
          <w:pgNumType w:fmt="decimal"/>
          <w:cols w:space="720" w:num="1"/>
        </w:sectPr>
      </w:pPr>
    </w:p>
    <w:p w14:paraId="03FACE3D">
      <w:pPr>
        <w:pStyle w:val="3"/>
        <w:spacing w:line="267" w:lineRule="auto"/>
        <w:rPr>
          <w:color w:val="auto"/>
          <w:highlight w:val="none"/>
        </w:rPr>
      </w:pPr>
    </w:p>
    <w:p w14:paraId="4C727122">
      <w:pPr>
        <w:pStyle w:val="3"/>
        <w:spacing w:line="268" w:lineRule="auto"/>
        <w:rPr>
          <w:color w:val="auto"/>
          <w:highlight w:val="none"/>
        </w:rPr>
      </w:pPr>
    </w:p>
    <w:p w14:paraId="4DBA8920">
      <w:pPr>
        <w:pStyle w:val="3"/>
        <w:spacing w:line="268" w:lineRule="auto"/>
        <w:rPr>
          <w:color w:val="auto"/>
          <w:highlight w:val="none"/>
        </w:rPr>
      </w:pPr>
    </w:p>
    <w:p w14:paraId="1C0DCF70">
      <w:pPr>
        <w:pStyle w:val="3"/>
        <w:spacing w:line="268" w:lineRule="auto"/>
        <w:rPr>
          <w:color w:val="auto"/>
          <w:highlight w:val="none"/>
        </w:rPr>
      </w:pPr>
    </w:p>
    <w:p w14:paraId="33EE994D">
      <w:pPr>
        <w:spacing w:before="78"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4.5 </w:t>
      </w:r>
      <w:r>
        <w:rPr>
          <w:rFonts w:ascii="黑体" w:hAnsi="黑体" w:eastAsia="黑体" w:cs="黑体"/>
          <w:color w:val="auto"/>
          <w:spacing w:val="-2"/>
          <w:sz w:val="24"/>
          <w:szCs w:val="24"/>
          <w:highlight w:val="none"/>
        </w:rPr>
        <w:t>总说明表</w:t>
      </w:r>
    </w:p>
    <w:p w14:paraId="0A9AE049">
      <w:pPr>
        <w:spacing w:before="62" w:line="224" w:lineRule="auto"/>
        <w:ind w:left="3906"/>
        <w:rPr>
          <w:rFonts w:ascii="黑体" w:hAnsi="黑体" w:eastAsia="黑体" w:cs="黑体"/>
          <w:color w:val="auto"/>
          <w:sz w:val="27"/>
          <w:szCs w:val="27"/>
          <w:highlight w:val="none"/>
        </w:rPr>
      </w:pPr>
      <w:bookmarkStart w:id="1302" w:name="bookmark248"/>
      <w:bookmarkEnd w:id="1302"/>
      <w:r>
        <w:rPr>
          <w:rFonts w:ascii="黑体" w:hAnsi="黑体" w:eastAsia="黑体" w:cs="黑体"/>
          <w:color w:val="auto"/>
          <w:spacing w:val="-5"/>
          <w:sz w:val="27"/>
          <w:szCs w:val="27"/>
          <w:highlight w:val="none"/>
        </w:rPr>
        <w:t>总</w:t>
      </w:r>
      <w:r>
        <w:rPr>
          <w:rFonts w:ascii="黑体" w:hAnsi="黑体" w:eastAsia="黑体" w:cs="黑体"/>
          <w:color w:val="auto"/>
          <w:spacing w:val="19"/>
          <w:sz w:val="27"/>
          <w:szCs w:val="27"/>
          <w:highlight w:val="none"/>
        </w:rPr>
        <w:t xml:space="preserve"> </w:t>
      </w:r>
      <w:r>
        <w:rPr>
          <w:rFonts w:ascii="黑体" w:hAnsi="黑体" w:eastAsia="黑体" w:cs="黑体"/>
          <w:color w:val="auto"/>
          <w:spacing w:val="-5"/>
          <w:sz w:val="27"/>
          <w:szCs w:val="27"/>
          <w:highlight w:val="none"/>
        </w:rPr>
        <w:t>说</w:t>
      </w:r>
      <w:r>
        <w:rPr>
          <w:rFonts w:ascii="黑体" w:hAnsi="黑体" w:eastAsia="黑体" w:cs="黑体"/>
          <w:color w:val="auto"/>
          <w:spacing w:val="28"/>
          <w:sz w:val="27"/>
          <w:szCs w:val="27"/>
          <w:highlight w:val="none"/>
        </w:rPr>
        <w:t xml:space="preserve"> </w:t>
      </w:r>
      <w:r>
        <w:rPr>
          <w:rFonts w:ascii="黑体" w:hAnsi="黑体" w:eastAsia="黑体" w:cs="黑体"/>
          <w:color w:val="auto"/>
          <w:spacing w:val="-5"/>
          <w:sz w:val="27"/>
          <w:szCs w:val="27"/>
          <w:highlight w:val="none"/>
        </w:rPr>
        <w:t>明</w:t>
      </w:r>
    </w:p>
    <w:p w14:paraId="713B5F3E">
      <w:pPr>
        <w:pStyle w:val="3"/>
        <w:spacing w:line="284" w:lineRule="auto"/>
        <w:rPr>
          <w:color w:val="auto"/>
          <w:highlight w:val="none"/>
        </w:rPr>
      </w:pPr>
    </w:p>
    <w:p w14:paraId="09463ADC">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第</w:t>
      </w:r>
      <w:r>
        <w:rPr>
          <w:rFonts w:ascii="宋体" w:hAnsi="宋体" w:eastAsia="宋体" w:cs="宋体"/>
          <w:color w:val="auto"/>
          <w:spacing w:val="7"/>
          <w:sz w:val="21"/>
          <w:szCs w:val="21"/>
          <w:highlight w:val="none"/>
        </w:rPr>
        <w:t xml:space="preserve">  </w:t>
      </w:r>
      <w:r>
        <w:rPr>
          <w:rFonts w:ascii="宋体" w:hAnsi="宋体" w:eastAsia="宋体" w:cs="宋体"/>
          <w:color w:val="auto"/>
          <w:spacing w:val="-15"/>
          <w:sz w:val="21"/>
          <w:szCs w:val="21"/>
          <w:highlight w:val="none"/>
        </w:rPr>
        <w:t>页 共</w:t>
      </w:r>
      <w:r>
        <w:rPr>
          <w:rFonts w:ascii="宋体" w:hAnsi="宋体" w:eastAsia="宋体" w:cs="宋体"/>
          <w:color w:val="auto"/>
          <w:spacing w:val="8"/>
          <w:sz w:val="21"/>
          <w:szCs w:val="21"/>
          <w:highlight w:val="none"/>
        </w:rPr>
        <w:t xml:space="preserve">  </w:t>
      </w:r>
      <w:r>
        <w:rPr>
          <w:rFonts w:ascii="宋体" w:hAnsi="宋体" w:eastAsia="宋体" w:cs="宋体"/>
          <w:color w:val="auto"/>
          <w:spacing w:val="-15"/>
          <w:sz w:val="21"/>
          <w:szCs w:val="21"/>
          <w:highlight w:val="none"/>
        </w:rPr>
        <w:t>页</w:t>
      </w:r>
    </w:p>
    <w:p w14:paraId="67E8AF5A">
      <w:pPr>
        <w:spacing w:before="127" w:line="10745" w:lineRule="exact"/>
        <w:ind w:firstLine="10"/>
        <w:rPr>
          <w:color w:val="auto"/>
          <w:highlight w:val="none"/>
        </w:rPr>
      </w:pPr>
      <w:r>
        <w:rPr>
          <w:color w:val="auto"/>
          <w:position w:val="-214"/>
          <w:highlight w:val="none"/>
        </w:rPr>
        <w:pict>
          <v:shape id="_x0000_s2074" o:spid="_x0000_s2074" style="height:537.3pt;width:415.85pt;" fillcolor="#000000" filled="t" stroked="f" coordsize="8317,10745"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path/>
            <v:fill on="t" focussize="0,0"/>
            <v:stroke on="f"/>
            <v:imagedata o:title=""/>
            <o:lock v:ext="edit"/>
            <w10:wrap type="none"/>
            <w10:anchorlock/>
          </v:shape>
        </w:pict>
      </w:r>
    </w:p>
    <w:p w14:paraId="7949BED8">
      <w:pPr>
        <w:spacing w:line="10745" w:lineRule="exact"/>
        <w:rPr>
          <w:color w:val="auto"/>
          <w:highlight w:val="none"/>
        </w:rPr>
        <w:sectPr>
          <w:footerReference r:id="rId184" w:type="default"/>
          <w:pgSz w:w="11905" w:h="16839"/>
          <w:pgMar w:top="400" w:right="1785" w:bottom="1004" w:left="1785" w:header="0" w:footer="828" w:gutter="0"/>
          <w:pgNumType w:fmt="decimal"/>
          <w:cols w:space="720" w:num="1"/>
        </w:sectPr>
      </w:pPr>
    </w:p>
    <w:p w14:paraId="15F9B416">
      <w:pPr>
        <w:pStyle w:val="3"/>
        <w:spacing w:line="267" w:lineRule="auto"/>
        <w:rPr>
          <w:color w:val="auto"/>
          <w:highlight w:val="none"/>
        </w:rPr>
      </w:pPr>
    </w:p>
    <w:p w14:paraId="5E4710E4">
      <w:pPr>
        <w:pStyle w:val="3"/>
        <w:spacing w:line="267" w:lineRule="auto"/>
        <w:rPr>
          <w:color w:val="auto"/>
          <w:highlight w:val="none"/>
        </w:rPr>
      </w:pPr>
    </w:p>
    <w:p w14:paraId="62A07DF5">
      <w:pPr>
        <w:pStyle w:val="3"/>
        <w:spacing w:line="268" w:lineRule="auto"/>
        <w:rPr>
          <w:color w:val="auto"/>
          <w:highlight w:val="none"/>
        </w:rPr>
      </w:pPr>
    </w:p>
    <w:p w14:paraId="5023AD3F">
      <w:pPr>
        <w:pStyle w:val="3"/>
        <w:spacing w:line="268" w:lineRule="auto"/>
        <w:rPr>
          <w:color w:val="auto"/>
          <w:highlight w:val="none"/>
        </w:rPr>
      </w:pPr>
    </w:p>
    <w:p w14:paraId="1A464D45">
      <w:pPr>
        <w:spacing w:before="78" w:line="219" w:lineRule="auto"/>
        <w:ind w:left="13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4.6 </w:t>
      </w:r>
      <w:r>
        <w:rPr>
          <w:rFonts w:ascii="黑体" w:hAnsi="黑体" w:eastAsia="黑体" w:cs="黑体"/>
          <w:color w:val="auto"/>
          <w:spacing w:val="-1"/>
          <w:sz w:val="24"/>
          <w:szCs w:val="24"/>
          <w:highlight w:val="none"/>
        </w:rPr>
        <w:t>建设项目投标报价汇总表</w:t>
      </w:r>
    </w:p>
    <w:p w14:paraId="02FC7E90">
      <w:pPr>
        <w:spacing w:before="61" w:line="225" w:lineRule="auto"/>
        <w:ind w:left="3041"/>
        <w:rPr>
          <w:rFonts w:ascii="黑体" w:hAnsi="黑体" w:eastAsia="黑体" w:cs="黑体"/>
          <w:color w:val="auto"/>
          <w:sz w:val="27"/>
          <w:szCs w:val="27"/>
          <w:highlight w:val="none"/>
        </w:rPr>
      </w:pPr>
      <w:bookmarkStart w:id="1303" w:name="bookmark249"/>
      <w:bookmarkEnd w:id="1303"/>
      <w:r>
        <w:rPr>
          <w:rFonts w:ascii="黑体" w:hAnsi="黑体" w:eastAsia="黑体" w:cs="黑体"/>
          <w:color w:val="auto"/>
          <w:spacing w:val="8"/>
          <w:sz w:val="27"/>
          <w:szCs w:val="27"/>
          <w:highlight w:val="none"/>
        </w:rPr>
        <w:t>建设项目投标报价汇总表</w:t>
      </w:r>
    </w:p>
    <w:p w14:paraId="7B2FE533">
      <w:pPr>
        <w:pStyle w:val="3"/>
        <w:spacing w:line="283" w:lineRule="auto"/>
        <w:rPr>
          <w:color w:val="auto"/>
          <w:highlight w:val="none"/>
        </w:rPr>
      </w:pPr>
    </w:p>
    <w:p w14:paraId="57B6F1D3">
      <w:pPr>
        <w:spacing w:before="68" w:line="221" w:lineRule="auto"/>
        <w:ind w:left="14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7"/>
          <w:sz w:val="21"/>
          <w:szCs w:val="21"/>
          <w:highlight w:val="none"/>
        </w:rPr>
        <w:t>第</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页</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页</w:t>
      </w:r>
    </w:p>
    <w:p w14:paraId="65D73670">
      <w:pPr>
        <w:spacing w:line="127" w:lineRule="exact"/>
        <w:rPr>
          <w:color w:val="auto"/>
          <w:highlight w:val="none"/>
        </w:rPr>
      </w:pPr>
    </w:p>
    <w:tbl>
      <w:tblPr>
        <w:tblStyle w:val="10"/>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14:paraId="609E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5F266022">
            <w:pPr>
              <w:spacing w:line="410" w:lineRule="auto"/>
              <w:rPr>
                <w:rFonts w:ascii="Arial"/>
                <w:color w:val="auto"/>
                <w:sz w:val="21"/>
                <w:highlight w:val="none"/>
              </w:rPr>
            </w:pPr>
          </w:p>
          <w:p w14:paraId="2C0D6C27">
            <w:pPr>
              <w:pStyle w:val="11"/>
              <w:spacing w:before="68" w:line="222" w:lineRule="auto"/>
              <w:ind w:left="170"/>
              <w:rPr>
                <w:color w:val="auto"/>
                <w:highlight w:val="none"/>
              </w:rPr>
            </w:pPr>
            <w:r>
              <w:rPr>
                <w:color w:val="auto"/>
                <w:spacing w:val="-2"/>
                <w:highlight w:val="none"/>
              </w:rPr>
              <w:t>序号</w:t>
            </w:r>
          </w:p>
        </w:tc>
        <w:tc>
          <w:tcPr>
            <w:tcW w:w="3321" w:type="dxa"/>
            <w:vMerge w:val="restart"/>
            <w:tcBorders>
              <w:bottom w:val="nil"/>
            </w:tcBorders>
            <w:vAlign w:val="top"/>
          </w:tcPr>
          <w:p w14:paraId="6DBEB4C8">
            <w:pPr>
              <w:spacing w:line="410" w:lineRule="auto"/>
              <w:rPr>
                <w:rFonts w:ascii="Arial"/>
                <w:color w:val="auto"/>
                <w:sz w:val="21"/>
                <w:highlight w:val="none"/>
              </w:rPr>
            </w:pPr>
          </w:p>
          <w:p w14:paraId="0CFAA1F9">
            <w:pPr>
              <w:pStyle w:val="11"/>
              <w:spacing w:before="68" w:line="221" w:lineRule="auto"/>
              <w:ind w:left="1037"/>
              <w:rPr>
                <w:color w:val="auto"/>
                <w:highlight w:val="none"/>
              </w:rPr>
            </w:pPr>
            <w:r>
              <w:rPr>
                <w:color w:val="auto"/>
                <w:spacing w:val="-1"/>
                <w:highlight w:val="none"/>
              </w:rPr>
              <w:t>单项工程名称</w:t>
            </w:r>
          </w:p>
        </w:tc>
        <w:tc>
          <w:tcPr>
            <w:tcW w:w="1214" w:type="dxa"/>
            <w:vMerge w:val="restart"/>
            <w:tcBorders>
              <w:bottom w:val="nil"/>
            </w:tcBorders>
            <w:vAlign w:val="top"/>
          </w:tcPr>
          <w:p w14:paraId="5D8F2F1A">
            <w:pPr>
              <w:pStyle w:val="11"/>
              <w:spacing w:before="288" w:line="384" w:lineRule="exact"/>
              <w:ind w:left="405"/>
              <w:rPr>
                <w:color w:val="auto"/>
                <w:highlight w:val="none"/>
              </w:rPr>
            </w:pPr>
            <w:r>
              <w:rPr>
                <w:color w:val="auto"/>
                <w:spacing w:val="-2"/>
                <w:position w:val="13"/>
                <w:highlight w:val="none"/>
              </w:rPr>
              <w:t>金额</w:t>
            </w:r>
          </w:p>
          <w:p w14:paraId="1983B5EE">
            <w:pPr>
              <w:pStyle w:val="11"/>
              <w:spacing w:line="221" w:lineRule="auto"/>
              <w:ind w:left="304"/>
              <w:rPr>
                <w:color w:val="auto"/>
                <w:highlight w:val="none"/>
              </w:rPr>
            </w:pPr>
            <w:r>
              <w:rPr>
                <w:color w:val="auto"/>
                <w:spacing w:val="-6"/>
                <w:highlight w:val="none"/>
              </w:rPr>
              <w:t>（元）</w:t>
            </w:r>
          </w:p>
        </w:tc>
        <w:tc>
          <w:tcPr>
            <w:tcW w:w="3296" w:type="dxa"/>
            <w:gridSpan w:val="3"/>
            <w:vAlign w:val="top"/>
          </w:tcPr>
          <w:p w14:paraId="0B8B289D">
            <w:pPr>
              <w:pStyle w:val="11"/>
              <w:spacing w:before="173" w:line="221" w:lineRule="auto"/>
              <w:ind w:left="971"/>
              <w:rPr>
                <w:color w:val="auto"/>
                <w:highlight w:val="none"/>
              </w:rPr>
            </w:pPr>
            <w:r>
              <w:rPr>
                <w:color w:val="auto"/>
                <w:spacing w:val="-20"/>
                <w:highlight w:val="none"/>
              </w:rPr>
              <w:t>其</w:t>
            </w:r>
            <w:r>
              <w:rPr>
                <w:color w:val="auto"/>
                <w:spacing w:val="15"/>
                <w:highlight w:val="none"/>
              </w:rPr>
              <w:t xml:space="preserve">  </w:t>
            </w:r>
            <w:r>
              <w:rPr>
                <w:color w:val="auto"/>
                <w:spacing w:val="-20"/>
                <w:highlight w:val="none"/>
              </w:rPr>
              <w:t>中</w:t>
            </w:r>
            <w:r>
              <w:rPr>
                <w:color w:val="auto"/>
                <w:spacing w:val="-34"/>
                <w:highlight w:val="none"/>
              </w:rPr>
              <w:t>：（</w:t>
            </w:r>
            <w:r>
              <w:rPr>
                <w:color w:val="auto"/>
                <w:spacing w:val="-20"/>
                <w:highlight w:val="none"/>
              </w:rPr>
              <w:t>元）</w:t>
            </w:r>
          </w:p>
        </w:tc>
      </w:tr>
      <w:tr w14:paraId="4CEF5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3C38DED9">
            <w:pPr>
              <w:rPr>
                <w:rFonts w:ascii="Arial"/>
                <w:color w:val="auto"/>
                <w:sz w:val="21"/>
                <w:highlight w:val="none"/>
              </w:rPr>
            </w:pPr>
          </w:p>
        </w:tc>
        <w:tc>
          <w:tcPr>
            <w:tcW w:w="3321" w:type="dxa"/>
            <w:vMerge w:val="continue"/>
            <w:tcBorders>
              <w:top w:val="nil"/>
            </w:tcBorders>
            <w:vAlign w:val="top"/>
          </w:tcPr>
          <w:p w14:paraId="751BBBBA">
            <w:pPr>
              <w:rPr>
                <w:rFonts w:ascii="Arial"/>
                <w:color w:val="auto"/>
                <w:sz w:val="21"/>
                <w:highlight w:val="none"/>
              </w:rPr>
            </w:pPr>
          </w:p>
        </w:tc>
        <w:tc>
          <w:tcPr>
            <w:tcW w:w="1214" w:type="dxa"/>
            <w:vMerge w:val="continue"/>
            <w:tcBorders>
              <w:top w:val="nil"/>
            </w:tcBorders>
            <w:vAlign w:val="top"/>
          </w:tcPr>
          <w:p w14:paraId="19DFDAEF">
            <w:pPr>
              <w:rPr>
                <w:rFonts w:ascii="Arial"/>
                <w:color w:val="auto"/>
                <w:sz w:val="21"/>
                <w:highlight w:val="none"/>
              </w:rPr>
            </w:pPr>
          </w:p>
        </w:tc>
        <w:tc>
          <w:tcPr>
            <w:tcW w:w="964" w:type="dxa"/>
            <w:vAlign w:val="top"/>
          </w:tcPr>
          <w:p w14:paraId="6F5E86AC">
            <w:pPr>
              <w:pStyle w:val="11"/>
              <w:spacing w:before="207" w:line="219" w:lineRule="auto"/>
              <w:ind w:left="180"/>
              <w:rPr>
                <w:color w:val="auto"/>
                <w:highlight w:val="none"/>
              </w:rPr>
            </w:pPr>
            <w:r>
              <w:rPr>
                <w:color w:val="auto"/>
                <w:spacing w:val="-3"/>
                <w:highlight w:val="none"/>
              </w:rPr>
              <w:t>暂估价</w:t>
            </w:r>
          </w:p>
        </w:tc>
        <w:tc>
          <w:tcPr>
            <w:tcW w:w="1402" w:type="dxa"/>
            <w:vAlign w:val="top"/>
          </w:tcPr>
          <w:p w14:paraId="085E7292">
            <w:pPr>
              <w:pStyle w:val="11"/>
              <w:spacing w:before="59" w:line="235" w:lineRule="auto"/>
              <w:ind w:left="394" w:right="269" w:hanging="100"/>
              <w:rPr>
                <w:color w:val="auto"/>
                <w:highlight w:val="none"/>
              </w:rPr>
            </w:pPr>
            <w:r>
              <w:rPr>
                <w:color w:val="auto"/>
                <w:spacing w:val="-2"/>
                <w:highlight w:val="none"/>
              </w:rPr>
              <w:t>安全文明</w:t>
            </w:r>
            <w:r>
              <w:rPr>
                <w:color w:val="auto"/>
                <w:highlight w:val="none"/>
              </w:rPr>
              <w:t xml:space="preserve"> </w:t>
            </w:r>
            <w:r>
              <w:rPr>
                <w:color w:val="auto"/>
                <w:spacing w:val="-1"/>
                <w:highlight w:val="none"/>
              </w:rPr>
              <w:t>施工费</w:t>
            </w:r>
          </w:p>
        </w:tc>
        <w:tc>
          <w:tcPr>
            <w:tcW w:w="930" w:type="dxa"/>
            <w:vAlign w:val="top"/>
          </w:tcPr>
          <w:p w14:paraId="79166153">
            <w:pPr>
              <w:pStyle w:val="11"/>
              <w:spacing w:before="59" w:line="221" w:lineRule="auto"/>
              <w:ind w:left="258"/>
              <w:rPr>
                <w:color w:val="auto"/>
                <w:highlight w:val="none"/>
              </w:rPr>
            </w:pPr>
            <w:r>
              <w:rPr>
                <w:color w:val="auto"/>
                <w:spacing w:val="-2"/>
                <w:highlight w:val="none"/>
              </w:rPr>
              <w:t>规费</w:t>
            </w:r>
          </w:p>
        </w:tc>
      </w:tr>
      <w:tr w14:paraId="04A50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6D9621D4">
            <w:pPr>
              <w:pStyle w:val="11"/>
              <w:spacing w:before="194" w:line="183" w:lineRule="auto"/>
              <w:ind w:left="340"/>
              <w:rPr>
                <w:color w:val="auto"/>
                <w:highlight w:val="none"/>
              </w:rPr>
            </w:pPr>
            <w:r>
              <w:rPr>
                <w:color w:val="auto"/>
                <w:highlight w:val="none"/>
              </w:rPr>
              <w:t>1</w:t>
            </w:r>
          </w:p>
        </w:tc>
        <w:tc>
          <w:tcPr>
            <w:tcW w:w="3321" w:type="dxa"/>
            <w:vAlign w:val="top"/>
          </w:tcPr>
          <w:p w14:paraId="25DF6458">
            <w:pPr>
              <w:pStyle w:val="11"/>
              <w:spacing w:before="160" w:line="221" w:lineRule="auto"/>
              <w:ind w:left="115"/>
              <w:rPr>
                <w:color w:val="auto"/>
                <w:highlight w:val="none"/>
              </w:rPr>
            </w:pPr>
            <w:r>
              <w:rPr>
                <w:color w:val="auto"/>
                <w:spacing w:val="-1"/>
                <w:highlight w:val="none"/>
              </w:rPr>
              <w:t>单项工程</w:t>
            </w:r>
          </w:p>
        </w:tc>
        <w:tc>
          <w:tcPr>
            <w:tcW w:w="1214" w:type="dxa"/>
            <w:vAlign w:val="top"/>
          </w:tcPr>
          <w:p w14:paraId="6C9CDA00">
            <w:pPr>
              <w:rPr>
                <w:rFonts w:ascii="Arial"/>
                <w:color w:val="auto"/>
                <w:sz w:val="21"/>
                <w:highlight w:val="none"/>
              </w:rPr>
            </w:pPr>
          </w:p>
        </w:tc>
        <w:tc>
          <w:tcPr>
            <w:tcW w:w="964" w:type="dxa"/>
            <w:vAlign w:val="top"/>
          </w:tcPr>
          <w:p w14:paraId="642221ED">
            <w:pPr>
              <w:rPr>
                <w:rFonts w:ascii="Arial"/>
                <w:color w:val="auto"/>
                <w:sz w:val="21"/>
                <w:highlight w:val="none"/>
              </w:rPr>
            </w:pPr>
          </w:p>
        </w:tc>
        <w:tc>
          <w:tcPr>
            <w:tcW w:w="1402" w:type="dxa"/>
            <w:vAlign w:val="top"/>
          </w:tcPr>
          <w:p w14:paraId="7B8C3714">
            <w:pPr>
              <w:rPr>
                <w:rFonts w:ascii="Arial"/>
                <w:color w:val="auto"/>
                <w:sz w:val="21"/>
                <w:highlight w:val="none"/>
              </w:rPr>
            </w:pPr>
          </w:p>
        </w:tc>
        <w:tc>
          <w:tcPr>
            <w:tcW w:w="930" w:type="dxa"/>
            <w:vAlign w:val="top"/>
          </w:tcPr>
          <w:p w14:paraId="40E93949">
            <w:pPr>
              <w:rPr>
                <w:rFonts w:ascii="Arial"/>
                <w:color w:val="auto"/>
                <w:sz w:val="21"/>
                <w:highlight w:val="none"/>
              </w:rPr>
            </w:pPr>
          </w:p>
        </w:tc>
      </w:tr>
      <w:tr w14:paraId="18B8C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416DA5E6">
            <w:pPr>
              <w:rPr>
                <w:rFonts w:ascii="Arial"/>
                <w:color w:val="auto"/>
                <w:sz w:val="21"/>
                <w:highlight w:val="none"/>
              </w:rPr>
            </w:pPr>
          </w:p>
        </w:tc>
        <w:tc>
          <w:tcPr>
            <w:tcW w:w="3321" w:type="dxa"/>
            <w:vAlign w:val="top"/>
          </w:tcPr>
          <w:p w14:paraId="0CBB0701">
            <w:pPr>
              <w:rPr>
                <w:rFonts w:ascii="Arial"/>
                <w:color w:val="auto"/>
                <w:sz w:val="21"/>
                <w:highlight w:val="none"/>
              </w:rPr>
            </w:pPr>
          </w:p>
        </w:tc>
        <w:tc>
          <w:tcPr>
            <w:tcW w:w="1214" w:type="dxa"/>
            <w:vAlign w:val="top"/>
          </w:tcPr>
          <w:p w14:paraId="61375C7C">
            <w:pPr>
              <w:rPr>
                <w:rFonts w:ascii="Arial"/>
                <w:color w:val="auto"/>
                <w:sz w:val="21"/>
                <w:highlight w:val="none"/>
              </w:rPr>
            </w:pPr>
          </w:p>
        </w:tc>
        <w:tc>
          <w:tcPr>
            <w:tcW w:w="964" w:type="dxa"/>
            <w:vAlign w:val="top"/>
          </w:tcPr>
          <w:p w14:paraId="103EA770">
            <w:pPr>
              <w:rPr>
                <w:rFonts w:ascii="Arial"/>
                <w:color w:val="auto"/>
                <w:sz w:val="21"/>
                <w:highlight w:val="none"/>
              </w:rPr>
            </w:pPr>
          </w:p>
        </w:tc>
        <w:tc>
          <w:tcPr>
            <w:tcW w:w="1402" w:type="dxa"/>
            <w:vAlign w:val="top"/>
          </w:tcPr>
          <w:p w14:paraId="24198505">
            <w:pPr>
              <w:rPr>
                <w:rFonts w:ascii="Arial"/>
                <w:color w:val="auto"/>
                <w:sz w:val="21"/>
                <w:highlight w:val="none"/>
              </w:rPr>
            </w:pPr>
          </w:p>
        </w:tc>
        <w:tc>
          <w:tcPr>
            <w:tcW w:w="930" w:type="dxa"/>
            <w:vAlign w:val="top"/>
          </w:tcPr>
          <w:p w14:paraId="1001FA40">
            <w:pPr>
              <w:rPr>
                <w:rFonts w:ascii="Arial"/>
                <w:color w:val="auto"/>
                <w:sz w:val="21"/>
                <w:highlight w:val="none"/>
              </w:rPr>
            </w:pPr>
          </w:p>
        </w:tc>
      </w:tr>
      <w:tr w14:paraId="7EA70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17408B77">
            <w:pPr>
              <w:rPr>
                <w:rFonts w:ascii="Arial"/>
                <w:color w:val="auto"/>
                <w:sz w:val="21"/>
                <w:highlight w:val="none"/>
              </w:rPr>
            </w:pPr>
          </w:p>
        </w:tc>
        <w:tc>
          <w:tcPr>
            <w:tcW w:w="3321" w:type="dxa"/>
            <w:vAlign w:val="top"/>
          </w:tcPr>
          <w:p w14:paraId="6A783609">
            <w:pPr>
              <w:pStyle w:val="11"/>
              <w:spacing w:before="160" w:line="221" w:lineRule="auto"/>
              <w:ind w:left="116"/>
              <w:rPr>
                <w:color w:val="auto"/>
                <w:highlight w:val="none"/>
              </w:rPr>
            </w:pPr>
            <w:r>
              <w:rPr>
                <w:color w:val="auto"/>
                <w:spacing w:val="-5"/>
                <w:highlight w:val="none"/>
              </w:rPr>
              <w:t>建设项目数据：</w:t>
            </w:r>
          </w:p>
        </w:tc>
        <w:tc>
          <w:tcPr>
            <w:tcW w:w="1214" w:type="dxa"/>
            <w:vAlign w:val="top"/>
          </w:tcPr>
          <w:p w14:paraId="67D37451">
            <w:pPr>
              <w:rPr>
                <w:rFonts w:ascii="Arial"/>
                <w:color w:val="auto"/>
                <w:sz w:val="21"/>
                <w:highlight w:val="none"/>
              </w:rPr>
            </w:pPr>
          </w:p>
        </w:tc>
        <w:tc>
          <w:tcPr>
            <w:tcW w:w="964" w:type="dxa"/>
            <w:vAlign w:val="top"/>
          </w:tcPr>
          <w:p w14:paraId="73F7113C">
            <w:pPr>
              <w:rPr>
                <w:rFonts w:ascii="Arial"/>
                <w:color w:val="auto"/>
                <w:sz w:val="21"/>
                <w:highlight w:val="none"/>
              </w:rPr>
            </w:pPr>
          </w:p>
        </w:tc>
        <w:tc>
          <w:tcPr>
            <w:tcW w:w="1402" w:type="dxa"/>
            <w:vAlign w:val="top"/>
          </w:tcPr>
          <w:p w14:paraId="37FD4AC1">
            <w:pPr>
              <w:rPr>
                <w:rFonts w:ascii="Arial"/>
                <w:color w:val="auto"/>
                <w:sz w:val="21"/>
                <w:highlight w:val="none"/>
              </w:rPr>
            </w:pPr>
          </w:p>
        </w:tc>
        <w:tc>
          <w:tcPr>
            <w:tcW w:w="930" w:type="dxa"/>
            <w:vAlign w:val="top"/>
          </w:tcPr>
          <w:p w14:paraId="10A07BEC">
            <w:pPr>
              <w:rPr>
                <w:rFonts w:ascii="Arial"/>
                <w:color w:val="auto"/>
                <w:sz w:val="21"/>
                <w:highlight w:val="none"/>
              </w:rPr>
            </w:pPr>
          </w:p>
        </w:tc>
      </w:tr>
      <w:tr w14:paraId="7D7B5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58623DA5">
            <w:pPr>
              <w:rPr>
                <w:rFonts w:ascii="Arial"/>
                <w:color w:val="auto"/>
                <w:sz w:val="21"/>
                <w:highlight w:val="none"/>
              </w:rPr>
            </w:pPr>
          </w:p>
        </w:tc>
        <w:tc>
          <w:tcPr>
            <w:tcW w:w="3321" w:type="dxa"/>
            <w:vAlign w:val="top"/>
          </w:tcPr>
          <w:p w14:paraId="189B7094">
            <w:pPr>
              <w:pStyle w:val="11"/>
              <w:spacing w:before="161" w:line="221" w:lineRule="auto"/>
              <w:ind w:left="115"/>
              <w:rPr>
                <w:color w:val="auto"/>
                <w:highlight w:val="none"/>
              </w:rPr>
            </w:pPr>
            <w:r>
              <w:rPr>
                <w:color w:val="auto"/>
                <w:spacing w:val="-2"/>
                <w:highlight w:val="none"/>
              </w:rPr>
              <w:t>人工费</w:t>
            </w:r>
          </w:p>
        </w:tc>
        <w:tc>
          <w:tcPr>
            <w:tcW w:w="1214" w:type="dxa"/>
            <w:vAlign w:val="top"/>
          </w:tcPr>
          <w:p w14:paraId="128F278F">
            <w:pPr>
              <w:rPr>
                <w:rFonts w:ascii="Arial"/>
                <w:color w:val="auto"/>
                <w:sz w:val="21"/>
                <w:highlight w:val="none"/>
              </w:rPr>
            </w:pPr>
          </w:p>
        </w:tc>
        <w:tc>
          <w:tcPr>
            <w:tcW w:w="964" w:type="dxa"/>
            <w:vAlign w:val="top"/>
          </w:tcPr>
          <w:p w14:paraId="21636ABD">
            <w:pPr>
              <w:rPr>
                <w:rFonts w:ascii="Arial"/>
                <w:color w:val="auto"/>
                <w:sz w:val="21"/>
                <w:highlight w:val="none"/>
              </w:rPr>
            </w:pPr>
          </w:p>
        </w:tc>
        <w:tc>
          <w:tcPr>
            <w:tcW w:w="1402" w:type="dxa"/>
            <w:vAlign w:val="top"/>
          </w:tcPr>
          <w:p w14:paraId="4FE64CEF">
            <w:pPr>
              <w:rPr>
                <w:rFonts w:ascii="Arial"/>
                <w:color w:val="auto"/>
                <w:sz w:val="21"/>
                <w:highlight w:val="none"/>
              </w:rPr>
            </w:pPr>
          </w:p>
        </w:tc>
        <w:tc>
          <w:tcPr>
            <w:tcW w:w="930" w:type="dxa"/>
            <w:vAlign w:val="top"/>
          </w:tcPr>
          <w:p w14:paraId="48E707C4">
            <w:pPr>
              <w:rPr>
                <w:rFonts w:ascii="Arial"/>
                <w:color w:val="auto"/>
                <w:sz w:val="21"/>
                <w:highlight w:val="none"/>
              </w:rPr>
            </w:pPr>
          </w:p>
        </w:tc>
      </w:tr>
      <w:tr w14:paraId="5CD28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5CCA205">
            <w:pPr>
              <w:rPr>
                <w:rFonts w:ascii="Arial"/>
                <w:color w:val="auto"/>
                <w:sz w:val="21"/>
                <w:highlight w:val="none"/>
              </w:rPr>
            </w:pPr>
          </w:p>
        </w:tc>
        <w:tc>
          <w:tcPr>
            <w:tcW w:w="3321" w:type="dxa"/>
            <w:vAlign w:val="top"/>
          </w:tcPr>
          <w:p w14:paraId="1408204E">
            <w:pPr>
              <w:pStyle w:val="11"/>
              <w:spacing w:before="161" w:line="220" w:lineRule="auto"/>
              <w:ind w:left="113"/>
              <w:rPr>
                <w:color w:val="auto"/>
                <w:highlight w:val="none"/>
              </w:rPr>
            </w:pPr>
            <w:r>
              <w:rPr>
                <w:color w:val="auto"/>
                <w:spacing w:val="-2"/>
                <w:highlight w:val="none"/>
              </w:rPr>
              <w:t>材料费</w:t>
            </w:r>
          </w:p>
        </w:tc>
        <w:tc>
          <w:tcPr>
            <w:tcW w:w="1214" w:type="dxa"/>
            <w:vAlign w:val="top"/>
          </w:tcPr>
          <w:p w14:paraId="4E9E3851">
            <w:pPr>
              <w:rPr>
                <w:rFonts w:ascii="Arial"/>
                <w:color w:val="auto"/>
                <w:sz w:val="21"/>
                <w:highlight w:val="none"/>
              </w:rPr>
            </w:pPr>
          </w:p>
        </w:tc>
        <w:tc>
          <w:tcPr>
            <w:tcW w:w="964" w:type="dxa"/>
            <w:vAlign w:val="top"/>
          </w:tcPr>
          <w:p w14:paraId="678BD2C1">
            <w:pPr>
              <w:rPr>
                <w:rFonts w:ascii="Arial"/>
                <w:color w:val="auto"/>
                <w:sz w:val="21"/>
                <w:highlight w:val="none"/>
              </w:rPr>
            </w:pPr>
          </w:p>
        </w:tc>
        <w:tc>
          <w:tcPr>
            <w:tcW w:w="1402" w:type="dxa"/>
            <w:vAlign w:val="top"/>
          </w:tcPr>
          <w:p w14:paraId="3893EB21">
            <w:pPr>
              <w:rPr>
                <w:rFonts w:ascii="Arial"/>
                <w:color w:val="auto"/>
                <w:sz w:val="21"/>
                <w:highlight w:val="none"/>
              </w:rPr>
            </w:pPr>
          </w:p>
        </w:tc>
        <w:tc>
          <w:tcPr>
            <w:tcW w:w="930" w:type="dxa"/>
            <w:vAlign w:val="top"/>
          </w:tcPr>
          <w:p w14:paraId="0117B8E1">
            <w:pPr>
              <w:rPr>
                <w:rFonts w:ascii="Arial"/>
                <w:color w:val="auto"/>
                <w:sz w:val="21"/>
                <w:highlight w:val="none"/>
              </w:rPr>
            </w:pPr>
          </w:p>
        </w:tc>
      </w:tr>
      <w:tr w14:paraId="399A5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4120DD2D">
            <w:pPr>
              <w:rPr>
                <w:rFonts w:ascii="Arial"/>
                <w:color w:val="auto"/>
                <w:sz w:val="21"/>
                <w:highlight w:val="none"/>
              </w:rPr>
            </w:pPr>
          </w:p>
        </w:tc>
        <w:tc>
          <w:tcPr>
            <w:tcW w:w="3321" w:type="dxa"/>
            <w:vAlign w:val="top"/>
          </w:tcPr>
          <w:p w14:paraId="05482175">
            <w:pPr>
              <w:pStyle w:val="11"/>
              <w:spacing w:before="161" w:line="220" w:lineRule="auto"/>
              <w:ind w:left="112"/>
              <w:rPr>
                <w:color w:val="auto"/>
                <w:highlight w:val="none"/>
              </w:rPr>
            </w:pPr>
            <w:r>
              <w:rPr>
                <w:color w:val="auto"/>
                <w:spacing w:val="-1"/>
                <w:highlight w:val="none"/>
              </w:rPr>
              <w:t>机械费</w:t>
            </w:r>
          </w:p>
        </w:tc>
        <w:tc>
          <w:tcPr>
            <w:tcW w:w="1214" w:type="dxa"/>
            <w:vAlign w:val="top"/>
          </w:tcPr>
          <w:p w14:paraId="0A375E80">
            <w:pPr>
              <w:rPr>
                <w:rFonts w:ascii="Arial"/>
                <w:color w:val="auto"/>
                <w:sz w:val="21"/>
                <w:highlight w:val="none"/>
              </w:rPr>
            </w:pPr>
          </w:p>
        </w:tc>
        <w:tc>
          <w:tcPr>
            <w:tcW w:w="964" w:type="dxa"/>
            <w:vAlign w:val="top"/>
          </w:tcPr>
          <w:p w14:paraId="64AE6CB6">
            <w:pPr>
              <w:rPr>
                <w:rFonts w:ascii="Arial"/>
                <w:color w:val="auto"/>
                <w:sz w:val="21"/>
                <w:highlight w:val="none"/>
              </w:rPr>
            </w:pPr>
          </w:p>
        </w:tc>
        <w:tc>
          <w:tcPr>
            <w:tcW w:w="1402" w:type="dxa"/>
            <w:vAlign w:val="top"/>
          </w:tcPr>
          <w:p w14:paraId="28F5963B">
            <w:pPr>
              <w:rPr>
                <w:rFonts w:ascii="Arial"/>
                <w:color w:val="auto"/>
                <w:sz w:val="21"/>
                <w:highlight w:val="none"/>
              </w:rPr>
            </w:pPr>
          </w:p>
        </w:tc>
        <w:tc>
          <w:tcPr>
            <w:tcW w:w="930" w:type="dxa"/>
            <w:vAlign w:val="top"/>
          </w:tcPr>
          <w:p w14:paraId="3196B7E3">
            <w:pPr>
              <w:rPr>
                <w:rFonts w:ascii="Arial"/>
                <w:color w:val="auto"/>
                <w:sz w:val="21"/>
                <w:highlight w:val="none"/>
              </w:rPr>
            </w:pPr>
          </w:p>
        </w:tc>
      </w:tr>
      <w:tr w14:paraId="0F1C0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5B60EA73">
            <w:pPr>
              <w:rPr>
                <w:rFonts w:ascii="Arial"/>
                <w:color w:val="auto"/>
                <w:sz w:val="21"/>
                <w:highlight w:val="none"/>
              </w:rPr>
            </w:pPr>
          </w:p>
        </w:tc>
        <w:tc>
          <w:tcPr>
            <w:tcW w:w="3321" w:type="dxa"/>
            <w:vAlign w:val="top"/>
          </w:tcPr>
          <w:p w14:paraId="621745C1">
            <w:pPr>
              <w:pStyle w:val="11"/>
              <w:spacing w:before="162" w:line="221" w:lineRule="auto"/>
              <w:ind w:left="117"/>
              <w:rPr>
                <w:color w:val="auto"/>
                <w:highlight w:val="none"/>
              </w:rPr>
            </w:pPr>
            <w:r>
              <w:rPr>
                <w:color w:val="auto"/>
                <w:spacing w:val="-2"/>
                <w:highlight w:val="none"/>
              </w:rPr>
              <w:t>设备费</w:t>
            </w:r>
          </w:p>
        </w:tc>
        <w:tc>
          <w:tcPr>
            <w:tcW w:w="1214" w:type="dxa"/>
            <w:vAlign w:val="top"/>
          </w:tcPr>
          <w:p w14:paraId="537BC2AE">
            <w:pPr>
              <w:rPr>
                <w:rFonts w:ascii="Arial"/>
                <w:color w:val="auto"/>
                <w:sz w:val="21"/>
                <w:highlight w:val="none"/>
              </w:rPr>
            </w:pPr>
          </w:p>
        </w:tc>
        <w:tc>
          <w:tcPr>
            <w:tcW w:w="964" w:type="dxa"/>
            <w:vAlign w:val="top"/>
          </w:tcPr>
          <w:p w14:paraId="715D2B33">
            <w:pPr>
              <w:rPr>
                <w:rFonts w:ascii="Arial"/>
                <w:color w:val="auto"/>
                <w:sz w:val="21"/>
                <w:highlight w:val="none"/>
              </w:rPr>
            </w:pPr>
          </w:p>
        </w:tc>
        <w:tc>
          <w:tcPr>
            <w:tcW w:w="1402" w:type="dxa"/>
            <w:vAlign w:val="top"/>
          </w:tcPr>
          <w:p w14:paraId="2C2A8395">
            <w:pPr>
              <w:rPr>
                <w:rFonts w:ascii="Arial"/>
                <w:color w:val="auto"/>
                <w:sz w:val="21"/>
                <w:highlight w:val="none"/>
              </w:rPr>
            </w:pPr>
          </w:p>
        </w:tc>
        <w:tc>
          <w:tcPr>
            <w:tcW w:w="930" w:type="dxa"/>
            <w:vAlign w:val="top"/>
          </w:tcPr>
          <w:p w14:paraId="0E0A94D4">
            <w:pPr>
              <w:rPr>
                <w:rFonts w:ascii="Arial"/>
                <w:color w:val="auto"/>
                <w:sz w:val="21"/>
                <w:highlight w:val="none"/>
              </w:rPr>
            </w:pPr>
          </w:p>
        </w:tc>
      </w:tr>
      <w:tr w14:paraId="6E48F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59CE41EC">
            <w:pPr>
              <w:rPr>
                <w:rFonts w:ascii="Arial"/>
                <w:color w:val="auto"/>
                <w:sz w:val="21"/>
                <w:highlight w:val="none"/>
              </w:rPr>
            </w:pPr>
          </w:p>
        </w:tc>
        <w:tc>
          <w:tcPr>
            <w:tcW w:w="3321" w:type="dxa"/>
            <w:vAlign w:val="top"/>
          </w:tcPr>
          <w:p w14:paraId="4AC18DDB">
            <w:pPr>
              <w:pStyle w:val="11"/>
              <w:spacing w:before="161" w:line="220" w:lineRule="auto"/>
              <w:ind w:left="115"/>
              <w:rPr>
                <w:color w:val="auto"/>
                <w:highlight w:val="none"/>
              </w:rPr>
            </w:pPr>
            <w:r>
              <w:rPr>
                <w:color w:val="auto"/>
                <w:spacing w:val="-2"/>
                <w:highlight w:val="none"/>
              </w:rPr>
              <w:t>主材费</w:t>
            </w:r>
          </w:p>
        </w:tc>
        <w:tc>
          <w:tcPr>
            <w:tcW w:w="1214" w:type="dxa"/>
            <w:vAlign w:val="top"/>
          </w:tcPr>
          <w:p w14:paraId="6DE810FF">
            <w:pPr>
              <w:rPr>
                <w:rFonts w:ascii="Arial"/>
                <w:color w:val="auto"/>
                <w:sz w:val="21"/>
                <w:highlight w:val="none"/>
              </w:rPr>
            </w:pPr>
          </w:p>
        </w:tc>
        <w:tc>
          <w:tcPr>
            <w:tcW w:w="964" w:type="dxa"/>
            <w:vAlign w:val="top"/>
          </w:tcPr>
          <w:p w14:paraId="72FF7414">
            <w:pPr>
              <w:rPr>
                <w:rFonts w:ascii="Arial"/>
                <w:color w:val="auto"/>
                <w:sz w:val="21"/>
                <w:highlight w:val="none"/>
              </w:rPr>
            </w:pPr>
          </w:p>
        </w:tc>
        <w:tc>
          <w:tcPr>
            <w:tcW w:w="1402" w:type="dxa"/>
            <w:vAlign w:val="top"/>
          </w:tcPr>
          <w:p w14:paraId="6AA86F26">
            <w:pPr>
              <w:rPr>
                <w:rFonts w:ascii="Arial"/>
                <w:color w:val="auto"/>
                <w:sz w:val="21"/>
                <w:highlight w:val="none"/>
              </w:rPr>
            </w:pPr>
          </w:p>
        </w:tc>
        <w:tc>
          <w:tcPr>
            <w:tcW w:w="930" w:type="dxa"/>
            <w:vAlign w:val="top"/>
          </w:tcPr>
          <w:p w14:paraId="642C95B2">
            <w:pPr>
              <w:rPr>
                <w:rFonts w:ascii="Arial"/>
                <w:color w:val="auto"/>
                <w:sz w:val="21"/>
                <w:highlight w:val="none"/>
              </w:rPr>
            </w:pPr>
          </w:p>
        </w:tc>
      </w:tr>
      <w:tr w14:paraId="0D137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F4EF412">
            <w:pPr>
              <w:rPr>
                <w:rFonts w:ascii="Arial"/>
                <w:color w:val="auto"/>
                <w:sz w:val="21"/>
                <w:highlight w:val="none"/>
              </w:rPr>
            </w:pPr>
          </w:p>
        </w:tc>
        <w:tc>
          <w:tcPr>
            <w:tcW w:w="3321" w:type="dxa"/>
            <w:vAlign w:val="top"/>
          </w:tcPr>
          <w:p w14:paraId="65BBBDF1">
            <w:pPr>
              <w:rPr>
                <w:rFonts w:ascii="Arial"/>
                <w:color w:val="auto"/>
                <w:sz w:val="21"/>
                <w:highlight w:val="none"/>
              </w:rPr>
            </w:pPr>
          </w:p>
        </w:tc>
        <w:tc>
          <w:tcPr>
            <w:tcW w:w="1214" w:type="dxa"/>
            <w:vAlign w:val="top"/>
          </w:tcPr>
          <w:p w14:paraId="05AEC8E1">
            <w:pPr>
              <w:rPr>
                <w:rFonts w:ascii="Arial"/>
                <w:color w:val="auto"/>
                <w:sz w:val="21"/>
                <w:highlight w:val="none"/>
              </w:rPr>
            </w:pPr>
          </w:p>
        </w:tc>
        <w:tc>
          <w:tcPr>
            <w:tcW w:w="964" w:type="dxa"/>
            <w:vAlign w:val="top"/>
          </w:tcPr>
          <w:p w14:paraId="020445A9">
            <w:pPr>
              <w:rPr>
                <w:rFonts w:ascii="Arial"/>
                <w:color w:val="auto"/>
                <w:sz w:val="21"/>
                <w:highlight w:val="none"/>
              </w:rPr>
            </w:pPr>
          </w:p>
        </w:tc>
        <w:tc>
          <w:tcPr>
            <w:tcW w:w="1402" w:type="dxa"/>
            <w:vAlign w:val="top"/>
          </w:tcPr>
          <w:p w14:paraId="128FF846">
            <w:pPr>
              <w:rPr>
                <w:rFonts w:ascii="Arial"/>
                <w:color w:val="auto"/>
                <w:sz w:val="21"/>
                <w:highlight w:val="none"/>
              </w:rPr>
            </w:pPr>
          </w:p>
        </w:tc>
        <w:tc>
          <w:tcPr>
            <w:tcW w:w="930" w:type="dxa"/>
            <w:vAlign w:val="top"/>
          </w:tcPr>
          <w:p w14:paraId="02CB1DFD">
            <w:pPr>
              <w:rPr>
                <w:rFonts w:ascii="Arial"/>
                <w:color w:val="auto"/>
                <w:sz w:val="21"/>
                <w:highlight w:val="none"/>
              </w:rPr>
            </w:pPr>
          </w:p>
        </w:tc>
      </w:tr>
      <w:tr w14:paraId="47CAA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0337E52D">
            <w:pPr>
              <w:rPr>
                <w:rFonts w:ascii="Arial"/>
                <w:color w:val="auto"/>
                <w:sz w:val="21"/>
                <w:highlight w:val="none"/>
              </w:rPr>
            </w:pPr>
          </w:p>
        </w:tc>
        <w:tc>
          <w:tcPr>
            <w:tcW w:w="3321" w:type="dxa"/>
            <w:vAlign w:val="top"/>
          </w:tcPr>
          <w:p w14:paraId="75C99160">
            <w:pPr>
              <w:rPr>
                <w:rFonts w:ascii="Arial"/>
                <w:color w:val="auto"/>
                <w:sz w:val="21"/>
                <w:highlight w:val="none"/>
              </w:rPr>
            </w:pPr>
          </w:p>
        </w:tc>
        <w:tc>
          <w:tcPr>
            <w:tcW w:w="1214" w:type="dxa"/>
            <w:vAlign w:val="top"/>
          </w:tcPr>
          <w:p w14:paraId="54B47136">
            <w:pPr>
              <w:rPr>
                <w:rFonts w:ascii="Arial"/>
                <w:color w:val="auto"/>
                <w:sz w:val="21"/>
                <w:highlight w:val="none"/>
              </w:rPr>
            </w:pPr>
          </w:p>
        </w:tc>
        <w:tc>
          <w:tcPr>
            <w:tcW w:w="964" w:type="dxa"/>
            <w:vAlign w:val="top"/>
          </w:tcPr>
          <w:p w14:paraId="16E37BB8">
            <w:pPr>
              <w:rPr>
                <w:rFonts w:ascii="Arial"/>
                <w:color w:val="auto"/>
                <w:sz w:val="21"/>
                <w:highlight w:val="none"/>
              </w:rPr>
            </w:pPr>
          </w:p>
        </w:tc>
        <w:tc>
          <w:tcPr>
            <w:tcW w:w="1402" w:type="dxa"/>
            <w:vAlign w:val="top"/>
          </w:tcPr>
          <w:p w14:paraId="5D775CF0">
            <w:pPr>
              <w:rPr>
                <w:rFonts w:ascii="Arial"/>
                <w:color w:val="auto"/>
                <w:sz w:val="21"/>
                <w:highlight w:val="none"/>
              </w:rPr>
            </w:pPr>
          </w:p>
        </w:tc>
        <w:tc>
          <w:tcPr>
            <w:tcW w:w="930" w:type="dxa"/>
            <w:vAlign w:val="top"/>
          </w:tcPr>
          <w:p w14:paraId="77DD9464">
            <w:pPr>
              <w:rPr>
                <w:rFonts w:ascii="Arial"/>
                <w:color w:val="auto"/>
                <w:sz w:val="21"/>
                <w:highlight w:val="none"/>
              </w:rPr>
            </w:pPr>
          </w:p>
        </w:tc>
      </w:tr>
      <w:tr w14:paraId="1D5AA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FBF8DAD">
            <w:pPr>
              <w:rPr>
                <w:rFonts w:ascii="Arial"/>
                <w:color w:val="auto"/>
                <w:sz w:val="21"/>
                <w:highlight w:val="none"/>
              </w:rPr>
            </w:pPr>
          </w:p>
        </w:tc>
        <w:tc>
          <w:tcPr>
            <w:tcW w:w="3321" w:type="dxa"/>
            <w:vAlign w:val="top"/>
          </w:tcPr>
          <w:p w14:paraId="4C59A10E">
            <w:pPr>
              <w:rPr>
                <w:rFonts w:ascii="Arial"/>
                <w:color w:val="auto"/>
                <w:sz w:val="21"/>
                <w:highlight w:val="none"/>
              </w:rPr>
            </w:pPr>
          </w:p>
        </w:tc>
        <w:tc>
          <w:tcPr>
            <w:tcW w:w="1214" w:type="dxa"/>
            <w:vAlign w:val="top"/>
          </w:tcPr>
          <w:p w14:paraId="109D90BB">
            <w:pPr>
              <w:rPr>
                <w:rFonts w:ascii="Arial"/>
                <w:color w:val="auto"/>
                <w:sz w:val="21"/>
                <w:highlight w:val="none"/>
              </w:rPr>
            </w:pPr>
          </w:p>
        </w:tc>
        <w:tc>
          <w:tcPr>
            <w:tcW w:w="964" w:type="dxa"/>
            <w:vAlign w:val="top"/>
          </w:tcPr>
          <w:p w14:paraId="182CA510">
            <w:pPr>
              <w:rPr>
                <w:rFonts w:ascii="Arial"/>
                <w:color w:val="auto"/>
                <w:sz w:val="21"/>
                <w:highlight w:val="none"/>
              </w:rPr>
            </w:pPr>
          </w:p>
        </w:tc>
        <w:tc>
          <w:tcPr>
            <w:tcW w:w="1402" w:type="dxa"/>
            <w:vAlign w:val="top"/>
          </w:tcPr>
          <w:p w14:paraId="17BC4FD0">
            <w:pPr>
              <w:rPr>
                <w:rFonts w:ascii="Arial"/>
                <w:color w:val="auto"/>
                <w:sz w:val="21"/>
                <w:highlight w:val="none"/>
              </w:rPr>
            </w:pPr>
          </w:p>
        </w:tc>
        <w:tc>
          <w:tcPr>
            <w:tcW w:w="930" w:type="dxa"/>
            <w:vAlign w:val="top"/>
          </w:tcPr>
          <w:p w14:paraId="31A23C93">
            <w:pPr>
              <w:rPr>
                <w:rFonts w:ascii="Arial"/>
                <w:color w:val="auto"/>
                <w:sz w:val="21"/>
                <w:highlight w:val="none"/>
              </w:rPr>
            </w:pPr>
          </w:p>
        </w:tc>
      </w:tr>
      <w:tr w14:paraId="30C7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6C684048">
            <w:pPr>
              <w:rPr>
                <w:rFonts w:ascii="Arial"/>
                <w:color w:val="auto"/>
                <w:sz w:val="21"/>
                <w:highlight w:val="none"/>
              </w:rPr>
            </w:pPr>
          </w:p>
        </w:tc>
        <w:tc>
          <w:tcPr>
            <w:tcW w:w="3321" w:type="dxa"/>
            <w:vAlign w:val="top"/>
          </w:tcPr>
          <w:p w14:paraId="75641E7F">
            <w:pPr>
              <w:rPr>
                <w:rFonts w:ascii="Arial"/>
                <w:color w:val="auto"/>
                <w:sz w:val="21"/>
                <w:highlight w:val="none"/>
              </w:rPr>
            </w:pPr>
          </w:p>
        </w:tc>
        <w:tc>
          <w:tcPr>
            <w:tcW w:w="1214" w:type="dxa"/>
            <w:vAlign w:val="top"/>
          </w:tcPr>
          <w:p w14:paraId="03F67C90">
            <w:pPr>
              <w:rPr>
                <w:rFonts w:ascii="Arial"/>
                <w:color w:val="auto"/>
                <w:sz w:val="21"/>
                <w:highlight w:val="none"/>
              </w:rPr>
            </w:pPr>
          </w:p>
        </w:tc>
        <w:tc>
          <w:tcPr>
            <w:tcW w:w="964" w:type="dxa"/>
            <w:vAlign w:val="top"/>
          </w:tcPr>
          <w:p w14:paraId="7C0E18AB">
            <w:pPr>
              <w:rPr>
                <w:rFonts w:ascii="Arial"/>
                <w:color w:val="auto"/>
                <w:sz w:val="21"/>
                <w:highlight w:val="none"/>
              </w:rPr>
            </w:pPr>
          </w:p>
        </w:tc>
        <w:tc>
          <w:tcPr>
            <w:tcW w:w="1402" w:type="dxa"/>
            <w:vAlign w:val="top"/>
          </w:tcPr>
          <w:p w14:paraId="5EC3B41B">
            <w:pPr>
              <w:rPr>
                <w:rFonts w:ascii="Arial"/>
                <w:color w:val="auto"/>
                <w:sz w:val="21"/>
                <w:highlight w:val="none"/>
              </w:rPr>
            </w:pPr>
          </w:p>
        </w:tc>
        <w:tc>
          <w:tcPr>
            <w:tcW w:w="930" w:type="dxa"/>
            <w:vAlign w:val="top"/>
          </w:tcPr>
          <w:p w14:paraId="68952A4D">
            <w:pPr>
              <w:rPr>
                <w:rFonts w:ascii="Arial"/>
                <w:color w:val="auto"/>
                <w:sz w:val="21"/>
                <w:highlight w:val="none"/>
              </w:rPr>
            </w:pPr>
          </w:p>
        </w:tc>
      </w:tr>
      <w:tr w14:paraId="6934C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538BA848">
            <w:pPr>
              <w:rPr>
                <w:rFonts w:ascii="Arial"/>
                <w:color w:val="auto"/>
                <w:sz w:val="21"/>
                <w:highlight w:val="none"/>
              </w:rPr>
            </w:pPr>
          </w:p>
        </w:tc>
        <w:tc>
          <w:tcPr>
            <w:tcW w:w="3321" w:type="dxa"/>
            <w:vAlign w:val="top"/>
          </w:tcPr>
          <w:p w14:paraId="49EE9011">
            <w:pPr>
              <w:rPr>
                <w:rFonts w:ascii="Arial"/>
                <w:color w:val="auto"/>
                <w:sz w:val="21"/>
                <w:highlight w:val="none"/>
              </w:rPr>
            </w:pPr>
          </w:p>
        </w:tc>
        <w:tc>
          <w:tcPr>
            <w:tcW w:w="1214" w:type="dxa"/>
            <w:vAlign w:val="top"/>
          </w:tcPr>
          <w:p w14:paraId="50F4FC02">
            <w:pPr>
              <w:rPr>
                <w:rFonts w:ascii="Arial"/>
                <w:color w:val="auto"/>
                <w:sz w:val="21"/>
                <w:highlight w:val="none"/>
              </w:rPr>
            </w:pPr>
          </w:p>
        </w:tc>
        <w:tc>
          <w:tcPr>
            <w:tcW w:w="964" w:type="dxa"/>
            <w:vAlign w:val="top"/>
          </w:tcPr>
          <w:p w14:paraId="19A801F1">
            <w:pPr>
              <w:rPr>
                <w:rFonts w:ascii="Arial"/>
                <w:color w:val="auto"/>
                <w:sz w:val="21"/>
                <w:highlight w:val="none"/>
              </w:rPr>
            </w:pPr>
          </w:p>
        </w:tc>
        <w:tc>
          <w:tcPr>
            <w:tcW w:w="1402" w:type="dxa"/>
            <w:vAlign w:val="top"/>
          </w:tcPr>
          <w:p w14:paraId="79DC1614">
            <w:pPr>
              <w:rPr>
                <w:rFonts w:ascii="Arial"/>
                <w:color w:val="auto"/>
                <w:sz w:val="21"/>
                <w:highlight w:val="none"/>
              </w:rPr>
            </w:pPr>
          </w:p>
        </w:tc>
        <w:tc>
          <w:tcPr>
            <w:tcW w:w="930" w:type="dxa"/>
            <w:vAlign w:val="top"/>
          </w:tcPr>
          <w:p w14:paraId="3A11C29B">
            <w:pPr>
              <w:rPr>
                <w:rFonts w:ascii="Arial"/>
                <w:color w:val="auto"/>
                <w:sz w:val="21"/>
                <w:highlight w:val="none"/>
              </w:rPr>
            </w:pPr>
          </w:p>
        </w:tc>
      </w:tr>
      <w:tr w14:paraId="38348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199BBE13">
            <w:pPr>
              <w:rPr>
                <w:rFonts w:ascii="Arial"/>
                <w:color w:val="auto"/>
                <w:sz w:val="21"/>
                <w:highlight w:val="none"/>
              </w:rPr>
            </w:pPr>
          </w:p>
        </w:tc>
        <w:tc>
          <w:tcPr>
            <w:tcW w:w="3321" w:type="dxa"/>
            <w:vAlign w:val="top"/>
          </w:tcPr>
          <w:p w14:paraId="3C8902F9">
            <w:pPr>
              <w:rPr>
                <w:rFonts w:ascii="Arial"/>
                <w:color w:val="auto"/>
                <w:sz w:val="21"/>
                <w:highlight w:val="none"/>
              </w:rPr>
            </w:pPr>
          </w:p>
        </w:tc>
        <w:tc>
          <w:tcPr>
            <w:tcW w:w="1214" w:type="dxa"/>
            <w:vAlign w:val="top"/>
          </w:tcPr>
          <w:p w14:paraId="13D20616">
            <w:pPr>
              <w:rPr>
                <w:rFonts w:ascii="Arial"/>
                <w:color w:val="auto"/>
                <w:sz w:val="21"/>
                <w:highlight w:val="none"/>
              </w:rPr>
            </w:pPr>
          </w:p>
        </w:tc>
        <w:tc>
          <w:tcPr>
            <w:tcW w:w="964" w:type="dxa"/>
            <w:vAlign w:val="top"/>
          </w:tcPr>
          <w:p w14:paraId="7BF890BE">
            <w:pPr>
              <w:rPr>
                <w:rFonts w:ascii="Arial"/>
                <w:color w:val="auto"/>
                <w:sz w:val="21"/>
                <w:highlight w:val="none"/>
              </w:rPr>
            </w:pPr>
          </w:p>
        </w:tc>
        <w:tc>
          <w:tcPr>
            <w:tcW w:w="1402" w:type="dxa"/>
            <w:vAlign w:val="top"/>
          </w:tcPr>
          <w:p w14:paraId="582D417B">
            <w:pPr>
              <w:rPr>
                <w:rFonts w:ascii="Arial"/>
                <w:color w:val="auto"/>
                <w:sz w:val="21"/>
                <w:highlight w:val="none"/>
              </w:rPr>
            </w:pPr>
          </w:p>
        </w:tc>
        <w:tc>
          <w:tcPr>
            <w:tcW w:w="930" w:type="dxa"/>
            <w:vAlign w:val="top"/>
          </w:tcPr>
          <w:p w14:paraId="29C66718">
            <w:pPr>
              <w:rPr>
                <w:rFonts w:ascii="Arial"/>
                <w:color w:val="auto"/>
                <w:sz w:val="21"/>
                <w:highlight w:val="none"/>
              </w:rPr>
            </w:pPr>
          </w:p>
        </w:tc>
      </w:tr>
      <w:tr w14:paraId="401CB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8FA486C">
            <w:pPr>
              <w:rPr>
                <w:rFonts w:ascii="Arial"/>
                <w:color w:val="auto"/>
                <w:sz w:val="21"/>
                <w:highlight w:val="none"/>
              </w:rPr>
            </w:pPr>
          </w:p>
        </w:tc>
        <w:tc>
          <w:tcPr>
            <w:tcW w:w="3321" w:type="dxa"/>
            <w:vAlign w:val="top"/>
          </w:tcPr>
          <w:p w14:paraId="113C373F">
            <w:pPr>
              <w:rPr>
                <w:rFonts w:ascii="Arial"/>
                <w:color w:val="auto"/>
                <w:sz w:val="21"/>
                <w:highlight w:val="none"/>
              </w:rPr>
            </w:pPr>
          </w:p>
        </w:tc>
        <w:tc>
          <w:tcPr>
            <w:tcW w:w="1214" w:type="dxa"/>
            <w:vAlign w:val="top"/>
          </w:tcPr>
          <w:p w14:paraId="256E9B43">
            <w:pPr>
              <w:rPr>
                <w:rFonts w:ascii="Arial"/>
                <w:color w:val="auto"/>
                <w:sz w:val="21"/>
                <w:highlight w:val="none"/>
              </w:rPr>
            </w:pPr>
          </w:p>
        </w:tc>
        <w:tc>
          <w:tcPr>
            <w:tcW w:w="964" w:type="dxa"/>
            <w:vAlign w:val="top"/>
          </w:tcPr>
          <w:p w14:paraId="4C132346">
            <w:pPr>
              <w:rPr>
                <w:rFonts w:ascii="Arial"/>
                <w:color w:val="auto"/>
                <w:sz w:val="21"/>
                <w:highlight w:val="none"/>
              </w:rPr>
            </w:pPr>
          </w:p>
        </w:tc>
        <w:tc>
          <w:tcPr>
            <w:tcW w:w="1402" w:type="dxa"/>
            <w:vAlign w:val="top"/>
          </w:tcPr>
          <w:p w14:paraId="237E1A84">
            <w:pPr>
              <w:rPr>
                <w:rFonts w:ascii="Arial"/>
                <w:color w:val="auto"/>
                <w:sz w:val="21"/>
                <w:highlight w:val="none"/>
              </w:rPr>
            </w:pPr>
          </w:p>
        </w:tc>
        <w:tc>
          <w:tcPr>
            <w:tcW w:w="930" w:type="dxa"/>
            <w:vAlign w:val="top"/>
          </w:tcPr>
          <w:p w14:paraId="10029D77">
            <w:pPr>
              <w:rPr>
                <w:rFonts w:ascii="Arial"/>
                <w:color w:val="auto"/>
                <w:sz w:val="21"/>
                <w:highlight w:val="none"/>
              </w:rPr>
            </w:pPr>
          </w:p>
        </w:tc>
      </w:tr>
      <w:tr w14:paraId="19980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2E63C31B">
            <w:pPr>
              <w:rPr>
                <w:rFonts w:ascii="Arial"/>
                <w:color w:val="auto"/>
                <w:sz w:val="21"/>
                <w:highlight w:val="none"/>
              </w:rPr>
            </w:pPr>
          </w:p>
        </w:tc>
        <w:tc>
          <w:tcPr>
            <w:tcW w:w="3321" w:type="dxa"/>
            <w:vAlign w:val="top"/>
          </w:tcPr>
          <w:p w14:paraId="22BCFC78">
            <w:pPr>
              <w:rPr>
                <w:rFonts w:ascii="Arial"/>
                <w:color w:val="auto"/>
                <w:sz w:val="21"/>
                <w:highlight w:val="none"/>
              </w:rPr>
            </w:pPr>
          </w:p>
        </w:tc>
        <w:tc>
          <w:tcPr>
            <w:tcW w:w="1214" w:type="dxa"/>
            <w:vAlign w:val="top"/>
          </w:tcPr>
          <w:p w14:paraId="1CCEBE3B">
            <w:pPr>
              <w:rPr>
                <w:rFonts w:ascii="Arial"/>
                <w:color w:val="auto"/>
                <w:sz w:val="21"/>
                <w:highlight w:val="none"/>
              </w:rPr>
            </w:pPr>
          </w:p>
        </w:tc>
        <w:tc>
          <w:tcPr>
            <w:tcW w:w="964" w:type="dxa"/>
            <w:vAlign w:val="top"/>
          </w:tcPr>
          <w:p w14:paraId="1D8266E2">
            <w:pPr>
              <w:rPr>
                <w:rFonts w:ascii="Arial"/>
                <w:color w:val="auto"/>
                <w:sz w:val="21"/>
                <w:highlight w:val="none"/>
              </w:rPr>
            </w:pPr>
          </w:p>
        </w:tc>
        <w:tc>
          <w:tcPr>
            <w:tcW w:w="1402" w:type="dxa"/>
            <w:vAlign w:val="top"/>
          </w:tcPr>
          <w:p w14:paraId="3703C030">
            <w:pPr>
              <w:rPr>
                <w:rFonts w:ascii="Arial"/>
                <w:color w:val="auto"/>
                <w:sz w:val="21"/>
                <w:highlight w:val="none"/>
              </w:rPr>
            </w:pPr>
          </w:p>
        </w:tc>
        <w:tc>
          <w:tcPr>
            <w:tcW w:w="930" w:type="dxa"/>
            <w:vAlign w:val="top"/>
          </w:tcPr>
          <w:p w14:paraId="18DF408D">
            <w:pPr>
              <w:rPr>
                <w:rFonts w:ascii="Arial"/>
                <w:color w:val="auto"/>
                <w:sz w:val="21"/>
                <w:highlight w:val="none"/>
              </w:rPr>
            </w:pPr>
          </w:p>
        </w:tc>
      </w:tr>
      <w:tr w14:paraId="7F5D6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14:paraId="49B64989">
            <w:pPr>
              <w:pStyle w:val="11"/>
              <w:spacing w:before="184" w:line="222" w:lineRule="auto"/>
              <w:ind w:left="1781"/>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1214" w:type="dxa"/>
            <w:vAlign w:val="top"/>
          </w:tcPr>
          <w:p w14:paraId="64F1605D">
            <w:pPr>
              <w:rPr>
                <w:rFonts w:ascii="Arial"/>
                <w:color w:val="auto"/>
                <w:sz w:val="21"/>
                <w:highlight w:val="none"/>
              </w:rPr>
            </w:pPr>
          </w:p>
        </w:tc>
        <w:tc>
          <w:tcPr>
            <w:tcW w:w="964" w:type="dxa"/>
            <w:vAlign w:val="top"/>
          </w:tcPr>
          <w:p w14:paraId="349092FB">
            <w:pPr>
              <w:rPr>
                <w:rFonts w:ascii="Arial"/>
                <w:color w:val="auto"/>
                <w:sz w:val="21"/>
                <w:highlight w:val="none"/>
              </w:rPr>
            </w:pPr>
          </w:p>
        </w:tc>
        <w:tc>
          <w:tcPr>
            <w:tcW w:w="1402" w:type="dxa"/>
            <w:vAlign w:val="top"/>
          </w:tcPr>
          <w:p w14:paraId="4428E662">
            <w:pPr>
              <w:rPr>
                <w:rFonts w:ascii="Arial"/>
                <w:color w:val="auto"/>
                <w:sz w:val="21"/>
                <w:highlight w:val="none"/>
              </w:rPr>
            </w:pPr>
          </w:p>
        </w:tc>
        <w:tc>
          <w:tcPr>
            <w:tcW w:w="930" w:type="dxa"/>
            <w:vAlign w:val="top"/>
          </w:tcPr>
          <w:p w14:paraId="683AE7A6">
            <w:pPr>
              <w:rPr>
                <w:rFonts w:ascii="Arial"/>
                <w:color w:val="auto"/>
                <w:sz w:val="21"/>
                <w:highlight w:val="none"/>
              </w:rPr>
            </w:pPr>
          </w:p>
        </w:tc>
      </w:tr>
    </w:tbl>
    <w:p w14:paraId="29FC3951">
      <w:pPr>
        <w:pStyle w:val="3"/>
        <w:rPr>
          <w:color w:val="auto"/>
          <w:highlight w:val="none"/>
        </w:rPr>
      </w:pPr>
    </w:p>
    <w:p w14:paraId="514C383A">
      <w:pPr>
        <w:rPr>
          <w:color w:val="auto"/>
          <w:highlight w:val="none"/>
        </w:rPr>
        <w:sectPr>
          <w:footerReference r:id="rId185" w:type="default"/>
          <w:pgSz w:w="11905" w:h="16839"/>
          <w:pgMar w:top="400" w:right="1652" w:bottom="1004" w:left="1661" w:header="0" w:footer="828" w:gutter="0"/>
          <w:pgNumType w:fmt="decimal"/>
          <w:cols w:space="720" w:num="1"/>
        </w:sectPr>
      </w:pPr>
    </w:p>
    <w:p w14:paraId="742B98FB">
      <w:pPr>
        <w:pStyle w:val="3"/>
        <w:spacing w:line="267" w:lineRule="auto"/>
        <w:rPr>
          <w:color w:val="auto"/>
          <w:highlight w:val="none"/>
        </w:rPr>
      </w:pPr>
    </w:p>
    <w:p w14:paraId="015ED3D2">
      <w:pPr>
        <w:pStyle w:val="3"/>
        <w:spacing w:line="267" w:lineRule="auto"/>
        <w:rPr>
          <w:color w:val="auto"/>
          <w:highlight w:val="none"/>
        </w:rPr>
      </w:pPr>
    </w:p>
    <w:p w14:paraId="04E112F5">
      <w:pPr>
        <w:pStyle w:val="3"/>
        <w:spacing w:line="268" w:lineRule="auto"/>
        <w:rPr>
          <w:color w:val="auto"/>
          <w:highlight w:val="none"/>
        </w:rPr>
      </w:pPr>
    </w:p>
    <w:p w14:paraId="14F03C43">
      <w:pPr>
        <w:pStyle w:val="3"/>
        <w:spacing w:line="268" w:lineRule="auto"/>
        <w:rPr>
          <w:color w:val="auto"/>
          <w:highlight w:val="none"/>
        </w:rPr>
      </w:pPr>
    </w:p>
    <w:p w14:paraId="61D7228F">
      <w:pPr>
        <w:spacing w:before="78" w:line="219" w:lineRule="auto"/>
        <w:ind w:left="13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4.7 </w:t>
      </w:r>
      <w:r>
        <w:rPr>
          <w:rFonts w:ascii="黑体" w:hAnsi="黑体" w:eastAsia="黑体" w:cs="黑体"/>
          <w:color w:val="auto"/>
          <w:spacing w:val="-1"/>
          <w:sz w:val="24"/>
          <w:szCs w:val="24"/>
          <w:highlight w:val="none"/>
        </w:rPr>
        <w:t>单项工程投标报价汇总表</w:t>
      </w:r>
    </w:p>
    <w:p w14:paraId="3D44164A">
      <w:pPr>
        <w:spacing w:before="61" w:line="225" w:lineRule="auto"/>
        <w:ind w:left="2770"/>
        <w:rPr>
          <w:rFonts w:ascii="黑体" w:hAnsi="黑体" w:eastAsia="黑体" w:cs="黑体"/>
          <w:color w:val="auto"/>
          <w:sz w:val="27"/>
          <w:szCs w:val="27"/>
          <w:highlight w:val="none"/>
        </w:rPr>
      </w:pPr>
      <w:bookmarkStart w:id="1304" w:name="bookmark250"/>
      <w:bookmarkEnd w:id="1304"/>
      <w:r>
        <w:rPr>
          <w:rFonts w:ascii="黑体" w:hAnsi="黑体" w:eastAsia="黑体" w:cs="黑体"/>
          <w:color w:val="auto"/>
          <w:spacing w:val="7"/>
          <w:sz w:val="27"/>
          <w:szCs w:val="27"/>
          <w:highlight w:val="none"/>
        </w:rPr>
        <w:t>单项工程投标报价汇总表</w:t>
      </w:r>
    </w:p>
    <w:p w14:paraId="40EDD8DE">
      <w:pPr>
        <w:spacing w:before="233" w:line="221" w:lineRule="auto"/>
        <w:ind w:left="14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7"/>
          <w:sz w:val="21"/>
          <w:szCs w:val="21"/>
          <w:highlight w:val="none"/>
        </w:rPr>
        <w:t>第</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页</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页</w:t>
      </w:r>
    </w:p>
    <w:p w14:paraId="2B28B8D0">
      <w:pPr>
        <w:spacing w:line="127" w:lineRule="exact"/>
        <w:rPr>
          <w:color w:val="auto"/>
          <w:highlight w:val="none"/>
        </w:rPr>
      </w:pPr>
    </w:p>
    <w:tbl>
      <w:tblPr>
        <w:tblStyle w:val="10"/>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14:paraId="5F5EB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12836CEF">
            <w:pPr>
              <w:spacing w:line="410" w:lineRule="auto"/>
              <w:rPr>
                <w:rFonts w:ascii="Arial"/>
                <w:color w:val="auto"/>
                <w:sz w:val="21"/>
                <w:highlight w:val="none"/>
              </w:rPr>
            </w:pPr>
          </w:p>
          <w:p w14:paraId="753C5382">
            <w:pPr>
              <w:pStyle w:val="11"/>
              <w:spacing w:before="68" w:line="222" w:lineRule="auto"/>
              <w:ind w:left="170"/>
              <w:rPr>
                <w:color w:val="auto"/>
                <w:highlight w:val="none"/>
              </w:rPr>
            </w:pPr>
            <w:r>
              <w:rPr>
                <w:color w:val="auto"/>
                <w:spacing w:val="-2"/>
                <w:highlight w:val="none"/>
              </w:rPr>
              <w:t>序号</w:t>
            </w:r>
          </w:p>
        </w:tc>
        <w:tc>
          <w:tcPr>
            <w:tcW w:w="3306" w:type="dxa"/>
            <w:vMerge w:val="restart"/>
            <w:tcBorders>
              <w:bottom w:val="nil"/>
            </w:tcBorders>
            <w:vAlign w:val="top"/>
          </w:tcPr>
          <w:p w14:paraId="0D13D315">
            <w:pPr>
              <w:spacing w:line="410" w:lineRule="auto"/>
              <w:rPr>
                <w:rFonts w:ascii="Arial"/>
                <w:color w:val="auto"/>
                <w:sz w:val="21"/>
                <w:highlight w:val="none"/>
              </w:rPr>
            </w:pPr>
          </w:p>
          <w:p w14:paraId="068C54F3">
            <w:pPr>
              <w:pStyle w:val="11"/>
              <w:spacing w:before="68" w:line="221" w:lineRule="auto"/>
              <w:ind w:left="1027"/>
              <w:rPr>
                <w:color w:val="auto"/>
                <w:highlight w:val="none"/>
              </w:rPr>
            </w:pPr>
            <w:r>
              <w:rPr>
                <w:color w:val="auto"/>
                <w:spacing w:val="-1"/>
                <w:highlight w:val="none"/>
              </w:rPr>
              <w:t>单项工程名称</w:t>
            </w:r>
          </w:p>
        </w:tc>
        <w:tc>
          <w:tcPr>
            <w:tcW w:w="1200" w:type="dxa"/>
            <w:vMerge w:val="restart"/>
            <w:tcBorders>
              <w:bottom w:val="nil"/>
            </w:tcBorders>
            <w:vAlign w:val="top"/>
          </w:tcPr>
          <w:p w14:paraId="142BA4E7">
            <w:pPr>
              <w:pStyle w:val="11"/>
              <w:spacing w:before="288" w:line="384" w:lineRule="exact"/>
              <w:ind w:left="396"/>
              <w:rPr>
                <w:color w:val="auto"/>
                <w:highlight w:val="none"/>
              </w:rPr>
            </w:pPr>
            <w:r>
              <w:rPr>
                <w:color w:val="auto"/>
                <w:spacing w:val="-2"/>
                <w:position w:val="13"/>
                <w:highlight w:val="none"/>
              </w:rPr>
              <w:t>金额</w:t>
            </w:r>
          </w:p>
          <w:p w14:paraId="432098FE">
            <w:pPr>
              <w:pStyle w:val="11"/>
              <w:spacing w:line="221" w:lineRule="auto"/>
              <w:ind w:left="295"/>
              <w:rPr>
                <w:color w:val="auto"/>
                <w:highlight w:val="none"/>
              </w:rPr>
            </w:pPr>
            <w:r>
              <w:rPr>
                <w:color w:val="auto"/>
                <w:spacing w:val="-6"/>
                <w:highlight w:val="none"/>
              </w:rPr>
              <w:t>（元）</w:t>
            </w:r>
          </w:p>
        </w:tc>
        <w:tc>
          <w:tcPr>
            <w:tcW w:w="3325" w:type="dxa"/>
            <w:gridSpan w:val="3"/>
            <w:vAlign w:val="top"/>
          </w:tcPr>
          <w:p w14:paraId="678E8513">
            <w:pPr>
              <w:pStyle w:val="11"/>
              <w:spacing w:before="173" w:line="221" w:lineRule="auto"/>
              <w:ind w:left="986"/>
              <w:rPr>
                <w:color w:val="auto"/>
                <w:highlight w:val="none"/>
              </w:rPr>
            </w:pPr>
            <w:r>
              <w:rPr>
                <w:color w:val="auto"/>
                <w:spacing w:val="-20"/>
                <w:highlight w:val="none"/>
              </w:rPr>
              <w:t>其</w:t>
            </w:r>
            <w:r>
              <w:rPr>
                <w:color w:val="auto"/>
                <w:spacing w:val="15"/>
                <w:highlight w:val="none"/>
              </w:rPr>
              <w:t xml:space="preserve">  </w:t>
            </w:r>
            <w:r>
              <w:rPr>
                <w:color w:val="auto"/>
                <w:spacing w:val="-20"/>
                <w:highlight w:val="none"/>
              </w:rPr>
              <w:t>中</w:t>
            </w:r>
            <w:r>
              <w:rPr>
                <w:color w:val="auto"/>
                <w:spacing w:val="-34"/>
                <w:highlight w:val="none"/>
              </w:rPr>
              <w:t>：（</w:t>
            </w:r>
            <w:r>
              <w:rPr>
                <w:color w:val="auto"/>
                <w:spacing w:val="-20"/>
                <w:highlight w:val="none"/>
              </w:rPr>
              <w:t>元）</w:t>
            </w:r>
          </w:p>
        </w:tc>
      </w:tr>
      <w:tr w14:paraId="606A0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276813FC">
            <w:pPr>
              <w:rPr>
                <w:rFonts w:ascii="Arial"/>
                <w:color w:val="auto"/>
                <w:sz w:val="21"/>
                <w:highlight w:val="none"/>
              </w:rPr>
            </w:pPr>
          </w:p>
        </w:tc>
        <w:tc>
          <w:tcPr>
            <w:tcW w:w="3306" w:type="dxa"/>
            <w:vMerge w:val="continue"/>
            <w:tcBorders>
              <w:top w:val="nil"/>
            </w:tcBorders>
            <w:vAlign w:val="top"/>
          </w:tcPr>
          <w:p w14:paraId="692BCE31">
            <w:pPr>
              <w:rPr>
                <w:rFonts w:ascii="Arial"/>
                <w:color w:val="auto"/>
                <w:sz w:val="21"/>
                <w:highlight w:val="none"/>
              </w:rPr>
            </w:pPr>
          </w:p>
        </w:tc>
        <w:tc>
          <w:tcPr>
            <w:tcW w:w="1200" w:type="dxa"/>
            <w:vMerge w:val="continue"/>
            <w:tcBorders>
              <w:top w:val="nil"/>
            </w:tcBorders>
            <w:vAlign w:val="top"/>
          </w:tcPr>
          <w:p w14:paraId="600C8D5D">
            <w:pPr>
              <w:rPr>
                <w:rFonts w:ascii="Arial"/>
                <w:color w:val="auto"/>
                <w:sz w:val="21"/>
                <w:highlight w:val="none"/>
              </w:rPr>
            </w:pPr>
          </w:p>
        </w:tc>
        <w:tc>
          <w:tcPr>
            <w:tcW w:w="926" w:type="dxa"/>
            <w:vAlign w:val="top"/>
          </w:tcPr>
          <w:p w14:paraId="3432D05E">
            <w:pPr>
              <w:pStyle w:val="11"/>
              <w:spacing w:before="207" w:line="219" w:lineRule="auto"/>
              <w:ind w:left="161"/>
              <w:rPr>
                <w:color w:val="auto"/>
                <w:highlight w:val="none"/>
              </w:rPr>
            </w:pPr>
            <w:r>
              <w:rPr>
                <w:color w:val="auto"/>
                <w:spacing w:val="-3"/>
                <w:highlight w:val="none"/>
              </w:rPr>
              <w:t>暂估价</w:t>
            </w:r>
          </w:p>
        </w:tc>
        <w:tc>
          <w:tcPr>
            <w:tcW w:w="1469" w:type="dxa"/>
            <w:vAlign w:val="top"/>
          </w:tcPr>
          <w:p w14:paraId="6F55236A">
            <w:pPr>
              <w:pStyle w:val="11"/>
              <w:spacing w:before="58" w:line="298" w:lineRule="exact"/>
              <w:ind w:left="323"/>
              <w:rPr>
                <w:color w:val="auto"/>
                <w:highlight w:val="none"/>
              </w:rPr>
            </w:pPr>
            <w:r>
              <w:rPr>
                <w:color w:val="auto"/>
                <w:spacing w:val="-2"/>
                <w:position w:val="6"/>
                <w:highlight w:val="none"/>
              </w:rPr>
              <w:t>安全文明</w:t>
            </w:r>
          </w:p>
          <w:p w14:paraId="1055EAF0">
            <w:pPr>
              <w:pStyle w:val="11"/>
              <w:spacing w:before="1" w:line="208" w:lineRule="auto"/>
              <w:ind w:left="424"/>
              <w:rPr>
                <w:color w:val="auto"/>
                <w:highlight w:val="none"/>
              </w:rPr>
            </w:pPr>
            <w:r>
              <w:rPr>
                <w:color w:val="auto"/>
                <w:spacing w:val="-1"/>
                <w:highlight w:val="none"/>
              </w:rPr>
              <w:t>施工费</w:t>
            </w:r>
          </w:p>
        </w:tc>
        <w:tc>
          <w:tcPr>
            <w:tcW w:w="930" w:type="dxa"/>
            <w:vAlign w:val="top"/>
          </w:tcPr>
          <w:p w14:paraId="6D87532B">
            <w:pPr>
              <w:pStyle w:val="11"/>
              <w:spacing w:before="207" w:line="221" w:lineRule="auto"/>
              <w:ind w:left="258"/>
              <w:rPr>
                <w:color w:val="auto"/>
                <w:highlight w:val="none"/>
              </w:rPr>
            </w:pPr>
            <w:r>
              <w:rPr>
                <w:color w:val="auto"/>
                <w:spacing w:val="-2"/>
                <w:highlight w:val="none"/>
              </w:rPr>
              <w:t>规费</w:t>
            </w:r>
          </w:p>
        </w:tc>
      </w:tr>
      <w:tr w14:paraId="4018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7FD84105">
            <w:pPr>
              <w:rPr>
                <w:rFonts w:ascii="Arial"/>
                <w:color w:val="auto"/>
                <w:sz w:val="21"/>
                <w:highlight w:val="none"/>
              </w:rPr>
            </w:pPr>
          </w:p>
        </w:tc>
        <w:tc>
          <w:tcPr>
            <w:tcW w:w="3306" w:type="dxa"/>
            <w:vAlign w:val="top"/>
          </w:tcPr>
          <w:p w14:paraId="38417130">
            <w:pPr>
              <w:rPr>
                <w:rFonts w:ascii="Arial"/>
                <w:color w:val="auto"/>
                <w:sz w:val="21"/>
                <w:highlight w:val="none"/>
              </w:rPr>
            </w:pPr>
          </w:p>
        </w:tc>
        <w:tc>
          <w:tcPr>
            <w:tcW w:w="1200" w:type="dxa"/>
            <w:vAlign w:val="top"/>
          </w:tcPr>
          <w:p w14:paraId="5F0D431C">
            <w:pPr>
              <w:rPr>
                <w:rFonts w:ascii="Arial"/>
                <w:color w:val="auto"/>
                <w:sz w:val="21"/>
                <w:highlight w:val="none"/>
              </w:rPr>
            </w:pPr>
          </w:p>
        </w:tc>
        <w:tc>
          <w:tcPr>
            <w:tcW w:w="926" w:type="dxa"/>
            <w:vAlign w:val="top"/>
          </w:tcPr>
          <w:p w14:paraId="262842FE">
            <w:pPr>
              <w:rPr>
                <w:rFonts w:ascii="Arial"/>
                <w:color w:val="auto"/>
                <w:sz w:val="21"/>
                <w:highlight w:val="none"/>
              </w:rPr>
            </w:pPr>
          </w:p>
        </w:tc>
        <w:tc>
          <w:tcPr>
            <w:tcW w:w="1469" w:type="dxa"/>
            <w:vAlign w:val="top"/>
          </w:tcPr>
          <w:p w14:paraId="4C295394">
            <w:pPr>
              <w:rPr>
                <w:rFonts w:ascii="Arial"/>
                <w:color w:val="auto"/>
                <w:sz w:val="21"/>
                <w:highlight w:val="none"/>
              </w:rPr>
            </w:pPr>
          </w:p>
        </w:tc>
        <w:tc>
          <w:tcPr>
            <w:tcW w:w="930" w:type="dxa"/>
            <w:vAlign w:val="top"/>
          </w:tcPr>
          <w:p w14:paraId="00634CFF">
            <w:pPr>
              <w:rPr>
                <w:rFonts w:ascii="Arial"/>
                <w:color w:val="auto"/>
                <w:sz w:val="21"/>
                <w:highlight w:val="none"/>
              </w:rPr>
            </w:pPr>
          </w:p>
        </w:tc>
      </w:tr>
      <w:tr w14:paraId="71EB9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C9FFDA5">
            <w:pPr>
              <w:rPr>
                <w:rFonts w:ascii="Arial"/>
                <w:color w:val="auto"/>
                <w:sz w:val="21"/>
                <w:highlight w:val="none"/>
              </w:rPr>
            </w:pPr>
          </w:p>
        </w:tc>
        <w:tc>
          <w:tcPr>
            <w:tcW w:w="3306" w:type="dxa"/>
            <w:vAlign w:val="top"/>
          </w:tcPr>
          <w:p w14:paraId="71B63773">
            <w:pPr>
              <w:rPr>
                <w:rFonts w:ascii="Arial"/>
                <w:color w:val="auto"/>
                <w:sz w:val="21"/>
                <w:highlight w:val="none"/>
              </w:rPr>
            </w:pPr>
          </w:p>
        </w:tc>
        <w:tc>
          <w:tcPr>
            <w:tcW w:w="1200" w:type="dxa"/>
            <w:vAlign w:val="top"/>
          </w:tcPr>
          <w:p w14:paraId="3EA239C7">
            <w:pPr>
              <w:rPr>
                <w:rFonts w:ascii="Arial"/>
                <w:color w:val="auto"/>
                <w:sz w:val="21"/>
                <w:highlight w:val="none"/>
              </w:rPr>
            </w:pPr>
          </w:p>
        </w:tc>
        <w:tc>
          <w:tcPr>
            <w:tcW w:w="926" w:type="dxa"/>
            <w:vAlign w:val="top"/>
          </w:tcPr>
          <w:p w14:paraId="675497E8">
            <w:pPr>
              <w:rPr>
                <w:rFonts w:ascii="Arial"/>
                <w:color w:val="auto"/>
                <w:sz w:val="21"/>
                <w:highlight w:val="none"/>
              </w:rPr>
            </w:pPr>
          </w:p>
        </w:tc>
        <w:tc>
          <w:tcPr>
            <w:tcW w:w="1469" w:type="dxa"/>
            <w:vAlign w:val="top"/>
          </w:tcPr>
          <w:p w14:paraId="0FE49578">
            <w:pPr>
              <w:rPr>
                <w:rFonts w:ascii="Arial"/>
                <w:color w:val="auto"/>
                <w:sz w:val="21"/>
                <w:highlight w:val="none"/>
              </w:rPr>
            </w:pPr>
          </w:p>
        </w:tc>
        <w:tc>
          <w:tcPr>
            <w:tcW w:w="930" w:type="dxa"/>
            <w:vAlign w:val="top"/>
          </w:tcPr>
          <w:p w14:paraId="7BCBB3E3">
            <w:pPr>
              <w:rPr>
                <w:rFonts w:ascii="Arial"/>
                <w:color w:val="auto"/>
                <w:sz w:val="21"/>
                <w:highlight w:val="none"/>
              </w:rPr>
            </w:pPr>
          </w:p>
        </w:tc>
      </w:tr>
      <w:tr w14:paraId="0DC08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324D3B89">
            <w:pPr>
              <w:rPr>
                <w:rFonts w:ascii="Arial"/>
                <w:color w:val="auto"/>
                <w:sz w:val="21"/>
                <w:highlight w:val="none"/>
              </w:rPr>
            </w:pPr>
          </w:p>
        </w:tc>
        <w:tc>
          <w:tcPr>
            <w:tcW w:w="3306" w:type="dxa"/>
            <w:vAlign w:val="top"/>
          </w:tcPr>
          <w:p w14:paraId="53E81CAC">
            <w:pPr>
              <w:rPr>
                <w:rFonts w:ascii="Arial"/>
                <w:color w:val="auto"/>
                <w:sz w:val="21"/>
                <w:highlight w:val="none"/>
              </w:rPr>
            </w:pPr>
          </w:p>
        </w:tc>
        <w:tc>
          <w:tcPr>
            <w:tcW w:w="1200" w:type="dxa"/>
            <w:vAlign w:val="top"/>
          </w:tcPr>
          <w:p w14:paraId="6FB67725">
            <w:pPr>
              <w:rPr>
                <w:rFonts w:ascii="Arial"/>
                <w:color w:val="auto"/>
                <w:sz w:val="21"/>
                <w:highlight w:val="none"/>
              </w:rPr>
            </w:pPr>
          </w:p>
        </w:tc>
        <w:tc>
          <w:tcPr>
            <w:tcW w:w="926" w:type="dxa"/>
            <w:vAlign w:val="top"/>
          </w:tcPr>
          <w:p w14:paraId="777A1190">
            <w:pPr>
              <w:rPr>
                <w:rFonts w:ascii="Arial"/>
                <w:color w:val="auto"/>
                <w:sz w:val="21"/>
                <w:highlight w:val="none"/>
              </w:rPr>
            </w:pPr>
          </w:p>
        </w:tc>
        <w:tc>
          <w:tcPr>
            <w:tcW w:w="1469" w:type="dxa"/>
            <w:vAlign w:val="top"/>
          </w:tcPr>
          <w:p w14:paraId="1A8B08C8">
            <w:pPr>
              <w:rPr>
                <w:rFonts w:ascii="Arial"/>
                <w:color w:val="auto"/>
                <w:sz w:val="21"/>
                <w:highlight w:val="none"/>
              </w:rPr>
            </w:pPr>
          </w:p>
        </w:tc>
        <w:tc>
          <w:tcPr>
            <w:tcW w:w="930" w:type="dxa"/>
            <w:vAlign w:val="top"/>
          </w:tcPr>
          <w:p w14:paraId="44EFA43B">
            <w:pPr>
              <w:rPr>
                <w:rFonts w:ascii="Arial"/>
                <w:color w:val="auto"/>
                <w:sz w:val="21"/>
                <w:highlight w:val="none"/>
              </w:rPr>
            </w:pPr>
          </w:p>
        </w:tc>
      </w:tr>
      <w:tr w14:paraId="001AA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B776FC6">
            <w:pPr>
              <w:rPr>
                <w:rFonts w:ascii="Arial"/>
                <w:color w:val="auto"/>
                <w:sz w:val="21"/>
                <w:highlight w:val="none"/>
              </w:rPr>
            </w:pPr>
          </w:p>
        </w:tc>
        <w:tc>
          <w:tcPr>
            <w:tcW w:w="3306" w:type="dxa"/>
            <w:vAlign w:val="top"/>
          </w:tcPr>
          <w:p w14:paraId="3D7057D9">
            <w:pPr>
              <w:rPr>
                <w:rFonts w:ascii="Arial"/>
                <w:color w:val="auto"/>
                <w:sz w:val="21"/>
                <w:highlight w:val="none"/>
              </w:rPr>
            </w:pPr>
          </w:p>
        </w:tc>
        <w:tc>
          <w:tcPr>
            <w:tcW w:w="1200" w:type="dxa"/>
            <w:vAlign w:val="top"/>
          </w:tcPr>
          <w:p w14:paraId="474EB7D0">
            <w:pPr>
              <w:rPr>
                <w:rFonts w:ascii="Arial"/>
                <w:color w:val="auto"/>
                <w:sz w:val="21"/>
                <w:highlight w:val="none"/>
              </w:rPr>
            </w:pPr>
          </w:p>
        </w:tc>
        <w:tc>
          <w:tcPr>
            <w:tcW w:w="926" w:type="dxa"/>
            <w:vAlign w:val="top"/>
          </w:tcPr>
          <w:p w14:paraId="3C220B75">
            <w:pPr>
              <w:rPr>
                <w:rFonts w:ascii="Arial"/>
                <w:color w:val="auto"/>
                <w:sz w:val="21"/>
                <w:highlight w:val="none"/>
              </w:rPr>
            </w:pPr>
          </w:p>
        </w:tc>
        <w:tc>
          <w:tcPr>
            <w:tcW w:w="1469" w:type="dxa"/>
            <w:vAlign w:val="top"/>
          </w:tcPr>
          <w:p w14:paraId="7EF3F578">
            <w:pPr>
              <w:rPr>
                <w:rFonts w:ascii="Arial"/>
                <w:color w:val="auto"/>
                <w:sz w:val="21"/>
                <w:highlight w:val="none"/>
              </w:rPr>
            </w:pPr>
          </w:p>
        </w:tc>
        <w:tc>
          <w:tcPr>
            <w:tcW w:w="930" w:type="dxa"/>
            <w:vAlign w:val="top"/>
          </w:tcPr>
          <w:p w14:paraId="4EA1A713">
            <w:pPr>
              <w:rPr>
                <w:rFonts w:ascii="Arial"/>
                <w:color w:val="auto"/>
                <w:sz w:val="21"/>
                <w:highlight w:val="none"/>
              </w:rPr>
            </w:pPr>
          </w:p>
        </w:tc>
      </w:tr>
      <w:tr w14:paraId="32A24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79F1CBC7">
            <w:pPr>
              <w:rPr>
                <w:rFonts w:ascii="Arial"/>
                <w:color w:val="auto"/>
                <w:sz w:val="21"/>
                <w:highlight w:val="none"/>
              </w:rPr>
            </w:pPr>
          </w:p>
        </w:tc>
        <w:tc>
          <w:tcPr>
            <w:tcW w:w="3306" w:type="dxa"/>
            <w:vAlign w:val="top"/>
          </w:tcPr>
          <w:p w14:paraId="3CAB2FE7">
            <w:pPr>
              <w:rPr>
                <w:rFonts w:ascii="Arial"/>
                <w:color w:val="auto"/>
                <w:sz w:val="21"/>
                <w:highlight w:val="none"/>
              </w:rPr>
            </w:pPr>
          </w:p>
        </w:tc>
        <w:tc>
          <w:tcPr>
            <w:tcW w:w="1200" w:type="dxa"/>
            <w:vAlign w:val="top"/>
          </w:tcPr>
          <w:p w14:paraId="04EC60C1">
            <w:pPr>
              <w:rPr>
                <w:rFonts w:ascii="Arial"/>
                <w:color w:val="auto"/>
                <w:sz w:val="21"/>
                <w:highlight w:val="none"/>
              </w:rPr>
            </w:pPr>
          </w:p>
        </w:tc>
        <w:tc>
          <w:tcPr>
            <w:tcW w:w="926" w:type="dxa"/>
            <w:vAlign w:val="top"/>
          </w:tcPr>
          <w:p w14:paraId="7468050F">
            <w:pPr>
              <w:rPr>
                <w:rFonts w:ascii="Arial"/>
                <w:color w:val="auto"/>
                <w:sz w:val="21"/>
                <w:highlight w:val="none"/>
              </w:rPr>
            </w:pPr>
          </w:p>
        </w:tc>
        <w:tc>
          <w:tcPr>
            <w:tcW w:w="1469" w:type="dxa"/>
            <w:vAlign w:val="top"/>
          </w:tcPr>
          <w:p w14:paraId="32496CC2">
            <w:pPr>
              <w:rPr>
                <w:rFonts w:ascii="Arial"/>
                <w:color w:val="auto"/>
                <w:sz w:val="21"/>
                <w:highlight w:val="none"/>
              </w:rPr>
            </w:pPr>
          </w:p>
        </w:tc>
        <w:tc>
          <w:tcPr>
            <w:tcW w:w="930" w:type="dxa"/>
            <w:vAlign w:val="top"/>
          </w:tcPr>
          <w:p w14:paraId="5E601585">
            <w:pPr>
              <w:rPr>
                <w:rFonts w:ascii="Arial"/>
                <w:color w:val="auto"/>
                <w:sz w:val="21"/>
                <w:highlight w:val="none"/>
              </w:rPr>
            </w:pPr>
          </w:p>
        </w:tc>
      </w:tr>
      <w:tr w14:paraId="2C563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7576D227">
            <w:pPr>
              <w:rPr>
                <w:rFonts w:ascii="Arial"/>
                <w:color w:val="auto"/>
                <w:sz w:val="21"/>
                <w:highlight w:val="none"/>
              </w:rPr>
            </w:pPr>
          </w:p>
        </w:tc>
        <w:tc>
          <w:tcPr>
            <w:tcW w:w="3306" w:type="dxa"/>
            <w:vAlign w:val="top"/>
          </w:tcPr>
          <w:p w14:paraId="578C7BC8">
            <w:pPr>
              <w:rPr>
                <w:rFonts w:ascii="Arial"/>
                <w:color w:val="auto"/>
                <w:sz w:val="21"/>
                <w:highlight w:val="none"/>
              </w:rPr>
            </w:pPr>
          </w:p>
        </w:tc>
        <w:tc>
          <w:tcPr>
            <w:tcW w:w="1200" w:type="dxa"/>
            <w:vAlign w:val="top"/>
          </w:tcPr>
          <w:p w14:paraId="7A763F03">
            <w:pPr>
              <w:rPr>
                <w:rFonts w:ascii="Arial"/>
                <w:color w:val="auto"/>
                <w:sz w:val="21"/>
                <w:highlight w:val="none"/>
              </w:rPr>
            </w:pPr>
          </w:p>
        </w:tc>
        <w:tc>
          <w:tcPr>
            <w:tcW w:w="926" w:type="dxa"/>
            <w:vAlign w:val="top"/>
          </w:tcPr>
          <w:p w14:paraId="354668ED">
            <w:pPr>
              <w:rPr>
                <w:rFonts w:ascii="Arial"/>
                <w:color w:val="auto"/>
                <w:sz w:val="21"/>
                <w:highlight w:val="none"/>
              </w:rPr>
            </w:pPr>
          </w:p>
        </w:tc>
        <w:tc>
          <w:tcPr>
            <w:tcW w:w="1469" w:type="dxa"/>
            <w:vAlign w:val="top"/>
          </w:tcPr>
          <w:p w14:paraId="7494D88A">
            <w:pPr>
              <w:rPr>
                <w:rFonts w:ascii="Arial"/>
                <w:color w:val="auto"/>
                <w:sz w:val="21"/>
                <w:highlight w:val="none"/>
              </w:rPr>
            </w:pPr>
          </w:p>
        </w:tc>
        <w:tc>
          <w:tcPr>
            <w:tcW w:w="930" w:type="dxa"/>
            <w:vAlign w:val="top"/>
          </w:tcPr>
          <w:p w14:paraId="19BA0FF5">
            <w:pPr>
              <w:rPr>
                <w:rFonts w:ascii="Arial"/>
                <w:color w:val="auto"/>
                <w:sz w:val="21"/>
                <w:highlight w:val="none"/>
              </w:rPr>
            </w:pPr>
          </w:p>
        </w:tc>
      </w:tr>
      <w:tr w14:paraId="133A6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A2ACB0F">
            <w:pPr>
              <w:rPr>
                <w:rFonts w:ascii="Arial"/>
                <w:color w:val="auto"/>
                <w:sz w:val="21"/>
                <w:highlight w:val="none"/>
              </w:rPr>
            </w:pPr>
          </w:p>
        </w:tc>
        <w:tc>
          <w:tcPr>
            <w:tcW w:w="3306" w:type="dxa"/>
            <w:vAlign w:val="top"/>
          </w:tcPr>
          <w:p w14:paraId="4F77A6D9">
            <w:pPr>
              <w:rPr>
                <w:rFonts w:ascii="Arial"/>
                <w:color w:val="auto"/>
                <w:sz w:val="21"/>
                <w:highlight w:val="none"/>
              </w:rPr>
            </w:pPr>
          </w:p>
        </w:tc>
        <w:tc>
          <w:tcPr>
            <w:tcW w:w="1200" w:type="dxa"/>
            <w:vAlign w:val="top"/>
          </w:tcPr>
          <w:p w14:paraId="07756AF2">
            <w:pPr>
              <w:rPr>
                <w:rFonts w:ascii="Arial"/>
                <w:color w:val="auto"/>
                <w:sz w:val="21"/>
                <w:highlight w:val="none"/>
              </w:rPr>
            </w:pPr>
          </w:p>
        </w:tc>
        <w:tc>
          <w:tcPr>
            <w:tcW w:w="926" w:type="dxa"/>
            <w:vAlign w:val="top"/>
          </w:tcPr>
          <w:p w14:paraId="7C8E8495">
            <w:pPr>
              <w:rPr>
                <w:rFonts w:ascii="Arial"/>
                <w:color w:val="auto"/>
                <w:sz w:val="21"/>
                <w:highlight w:val="none"/>
              </w:rPr>
            </w:pPr>
          </w:p>
        </w:tc>
        <w:tc>
          <w:tcPr>
            <w:tcW w:w="1469" w:type="dxa"/>
            <w:vAlign w:val="top"/>
          </w:tcPr>
          <w:p w14:paraId="2300DB82">
            <w:pPr>
              <w:rPr>
                <w:rFonts w:ascii="Arial"/>
                <w:color w:val="auto"/>
                <w:sz w:val="21"/>
                <w:highlight w:val="none"/>
              </w:rPr>
            </w:pPr>
          </w:p>
        </w:tc>
        <w:tc>
          <w:tcPr>
            <w:tcW w:w="930" w:type="dxa"/>
            <w:vAlign w:val="top"/>
          </w:tcPr>
          <w:p w14:paraId="3FBA52FC">
            <w:pPr>
              <w:rPr>
                <w:rFonts w:ascii="Arial"/>
                <w:color w:val="auto"/>
                <w:sz w:val="21"/>
                <w:highlight w:val="none"/>
              </w:rPr>
            </w:pPr>
          </w:p>
        </w:tc>
      </w:tr>
      <w:tr w14:paraId="003C4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87618E4">
            <w:pPr>
              <w:rPr>
                <w:rFonts w:ascii="Arial"/>
                <w:color w:val="auto"/>
                <w:sz w:val="21"/>
                <w:highlight w:val="none"/>
              </w:rPr>
            </w:pPr>
          </w:p>
        </w:tc>
        <w:tc>
          <w:tcPr>
            <w:tcW w:w="3306" w:type="dxa"/>
            <w:vAlign w:val="top"/>
          </w:tcPr>
          <w:p w14:paraId="2F0126DF">
            <w:pPr>
              <w:rPr>
                <w:rFonts w:ascii="Arial"/>
                <w:color w:val="auto"/>
                <w:sz w:val="21"/>
                <w:highlight w:val="none"/>
              </w:rPr>
            </w:pPr>
          </w:p>
        </w:tc>
        <w:tc>
          <w:tcPr>
            <w:tcW w:w="1200" w:type="dxa"/>
            <w:vAlign w:val="top"/>
          </w:tcPr>
          <w:p w14:paraId="37696217">
            <w:pPr>
              <w:rPr>
                <w:rFonts w:ascii="Arial"/>
                <w:color w:val="auto"/>
                <w:sz w:val="21"/>
                <w:highlight w:val="none"/>
              </w:rPr>
            </w:pPr>
          </w:p>
        </w:tc>
        <w:tc>
          <w:tcPr>
            <w:tcW w:w="926" w:type="dxa"/>
            <w:vAlign w:val="top"/>
          </w:tcPr>
          <w:p w14:paraId="640DBB4A">
            <w:pPr>
              <w:rPr>
                <w:rFonts w:ascii="Arial"/>
                <w:color w:val="auto"/>
                <w:sz w:val="21"/>
                <w:highlight w:val="none"/>
              </w:rPr>
            </w:pPr>
          </w:p>
        </w:tc>
        <w:tc>
          <w:tcPr>
            <w:tcW w:w="1469" w:type="dxa"/>
            <w:vAlign w:val="top"/>
          </w:tcPr>
          <w:p w14:paraId="30702E40">
            <w:pPr>
              <w:rPr>
                <w:rFonts w:ascii="Arial"/>
                <w:color w:val="auto"/>
                <w:sz w:val="21"/>
                <w:highlight w:val="none"/>
              </w:rPr>
            </w:pPr>
          </w:p>
        </w:tc>
        <w:tc>
          <w:tcPr>
            <w:tcW w:w="930" w:type="dxa"/>
            <w:vAlign w:val="top"/>
          </w:tcPr>
          <w:p w14:paraId="0F24C2BC">
            <w:pPr>
              <w:rPr>
                <w:rFonts w:ascii="Arial"/>
                <w:color w:val="auto"/>
                <w:sz w:val="21"/>
                <w:highlight w:val="none"/>
              </w:rPr>
            </w:pPr>
          </w:p>
        </w:tc>
      </w:tr>
      <w:tr w14:paraId="06789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76E9E39">
            <w:pPr>
              <w:rPr>
                <w:rFonts w:ascii="Arial"/>
                <w:color w:val="auto"/>
                <w:sz w:val="21"/>
                <w:highlight w:val="none"/>
              </w:rPr>
            </w:pPr>
          </w:p>
        </w:tc>
        <w:tc>
          <w:tcPr>
            <w:tcW w:w="3306" w:type="dxa"/>
            <w:vAlign w:val="top"/>
          </w:tcPr>
          <w:p w14:paraId="065DF601">
            <w:pPr>
              <w:rPr>
                <w:rFonts w:ascii="Arial"/>
                <w:color w:val="auto"/>
                <w:sz w:val="21"/>
                <w:highlight w:val="none"/>
              </w:rPr>
            </w:pPr>
          </w:p>
        </w:tc>
        <w:tc>
          <w:tcPr>
            <w:tcW w:w="1200" w:type="dxa"/>
            <w:vAlign w:val="top"/>
          </w:tcPr>
          <w:p w14:paraId="14D449D2">
            <w:pPr>
              <w:rPr>
                <w:rFonts w:ascii="Arial"/>
                <w:color w:val="auto"/>
                <w:sz w:val="21"/>
                <w:highlight w:val="none"/>
              </w:rPr>
            </w:pPr>
          </w:p>
        </w:tc>
        <w:tc>
          <w:tcPr>
            <w:tcW w:w="926" w:type="dxa"/>
            <w:vAlign w:val="top"/>
          </w:tcPr>
          <w:p w14:paraId="51DEE4BC">
            <w:pPr>
              <w:rPr>
                <w:rFonts w:ascii="Arial"/>
                <w:color w:val="auto"/>
                <w:sz w:val="21"/>
                <w:highlight w:val="none"/>
              </w:rPr>
            </w:pPr>
          </w:p>
        </w:tc>
        <w:tc>
          <w:tcPr>
            <w:tcW w:w="1469" w:type="dxa"/>
            <w:vAlign w:val="top"/>
          </w:tcPr>
          <w:p w14:paraId="0F72D131">
            <w:pPr>
              <w:rPr>
                <w:rFonts w:ascii="Arial"/>
                <w:color w:val="auto"/>
                <w:sz w:val="21"/>
                <w:highlight w:val="none"/>
              </w:rPr>
            </w:pPr>
          </w:p>
        </w:tc>
        <w:tc>
          <w:tcPr>
            <w:tcW w:w="930" w:type="dxa"/>
            <w:vAlign w:val="top"/>
          </w:tcPr>
          <w:p w14:paraId="524B85FF">
            <w:pPr>
              <w:rPr>
                <w:rFonts w:ascii="Arial"/>
                <w:color w:val="auto"/>
                <w:sz w:val="21"/>
                <w:highlight w:val="none"/>
              </w:rPr>
            </w:pPr>
          </w:p>
        </w:tc>
      </w:tr>
      <w:tr w14:paraId="17C9F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1F31DF1">
            <w:pPr>
              <w:rPr>
                <w:rFonts w:ascii="Arial"/>
                <w:color w:val="auto"/>
                <w:sz w:val="21"/>
                <w:highlight w:val="none"/>
              </w:rPr>
            </w:pPr>
          </w:p>
        </w:tc>
        <w:tc>
          <w:tcPr>
            <w:tcW w:w="3306" w:type="dxa"/>
            <w:vAlign w:val="top"/>
          </w:tcPr>
          <w:p w14:paraId="270E6E81">
            <w:pPr>
              <w:rPr>
                <w:rFonts w:ascii="Arial"/>
                <w:color w:val="auto"/>
                <w:sz w:val="21"/>
                <w:highlight w:val="none"/>
              </w:rPr>
            </w:pPr>
          </w:p>
        </w:tc>
        <w:tc>
          <w:tcPr>
            <w:tcW w:w="1200" w:type="dxa"/>
            <w:vAlign w:val="top"/>
          </w:tcPr>
          <w:p w14:paraId="4566D1BB">
            <w:pPr>
              <w:rPr>
                <w:rFonts w:ascii="Arial"/>
                <w:color w:val="auto"/>
                <w:sz w:val="21"/>
                <w:highlight w:val="none"/>
              </w:rPr>
            </w:pPr>
          </w:p>
        </w:tc>
        <w:tc>
          <w:tcPr>
            <w:tcW w:w="926" w:type="dxa"/>
            <w:vAlign w:val="top"/>
          </w:tcPr>
          <w:p w14:paraId="7BA131C1">
            <w:pPr>
              <w:rPr>
                <w:rFonts w:ascii="Arial"/>
                <w:color w:val="auto"/>
                <w:sz w:val="21"/>
                <w:highlight w:val="none"/>
              </w:rPr>
            </w:pPr>
          </w:p>
        </w:tc>
        <w:tc>
          <w:tcPr>
            <w:tcW w:w="1469" w:type="dxa"/>
            <w:vAlign w:val="top"/>
          </w:tcPr>
          <w:p w14:paraId="130C3590">
            <w:pPr>
              <w:rPr>
                <w:rFonts w:ascii="Arial"/>
                <w:color w:val="auto"/>
                <w:sz w:val="21"/>
                <w:highlight w:val="none"/>
              </w:rPr>
            </w:pPr>
          </w:p>
        </w:tc>
        <w:tc>
          <w:tcPr>
            <w:tcW w:w="930" w:type="dxa"/>
            <w:vAlign w:val="top"/>
          </w:tcPr>
          <w:p w14:paraId="334BF97E">
            <w:pPr>
              <w:rPr>
                <w:rFonts w:ascii="Arial"/>
                <w:color w:val="auto"/>
                <w:sz w:val="21"/>
                <w:highlight w:val="none"/>
              </w:rPr>
            </w:pPr>
          </w:p>
        </w:tc>
      </w:tr>
      <w:tr w14:paraId="67059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4A16CDA">
            <w:pPr>
              <w:rPr>
                <w:rFonts w:ascii="Arial"/>
                <w:color w:val="auto"/>
                <w:sz w:val="21"/>
                <w:highlight w:val="none"/>
              </w:rPr>
            </w:pPr>
          </w:p>
        </w:tc>
        <w:tc>
          <w:tcPr>
            <w:tcW w:w="3306" w:type="dxa"/>
            <w:vAlign w:val="top"/>
          </w:tcPr>
          <w:p w14:paraId="6DF98306">
            <w:pPr>
              <w:rPr>
                <w:rFonts w:ascii="Arial"/>
                <w:color w:val="auto"/>
                <w:sz w:val="21"/>
                <w:highlight w:val="none"/>
              </w:rPr>
            </w:pPr>
          </w:p>
        </w:tc>
        <w:tc>
          <w:tcPr>
            <w:tcW w:w="1200" w:type="dxa"/>
            <w:vAlign w:val="top"/>
          </w:tcPr>
          <w:p w14:paraId="4067A6CE">
            <w:pPr>
              <w:rPr>
                <w:rFonts w:ascii="Arial"/>
                <w:color w:val="auto"/>
                <w:sz w:val="21"/>
                <w:highlight w:val="none"/>
              </w:rPr>
            </w:pPr>
          </w:p>
        </w:tc>
        <w:tc>
          <w:tcPr>
            <w:tcW w:w="926" w:type="dxa"/>
            <w:vAlign w:val="top"/>
          </w:tcPr>
          <w:p w14:paraId="54815EB1">
            <w:pPr>
              <w:rPr>
                <w:rFonts w:ascii="Arial"/>
                <w:color w:val="auto"/>
                <w:sz w:val="21"/>
                <w:highlight w:val="none"/>
              </w:rPr>
            </w:pPr>
          </w:p>
        </w:tc>
        <w:tc>
          <w:tcPr>
            <w:tcW w:w="1469" w:type="dxa"/>
            <w:vAlign w:val="top"/>
          </w:tcPr>
          <w:p w14:paraId="0514DC72">
            <w:pPr>
              <w:rPr>
                <w:rFonts w:ascii="Arial"/>
                <w:color w:val="auto"/>
                <w:sz w:val="21"/>
                <w:highlight w:val="none"/>
              </w:rPr>
            </w:pPr>
          </w:p>
        </w:tc>
        <w:tc>
          <w:tcPr>
            <w:tcW w:w="930" w:type="dxa"/>
            <w:vAlign w:val="top"/>
          </w:tcPr>
          <w:p w14:paraId="22625AE7">
            <w:pPr>
              <w:rPr>
                <w:rFonts w:ascii="Arial"/>
                <w:color w:val="auto"/>
                <w:sz w:val="21"/>
                <w:highlight w:val="none"/>
              </w:rPr>
            </w:pPr>
          </w:p>
        </w:tc>
      </w:tr>
      <w:tr w14:paraId="2EDBD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4153663">
            <w:pPr>
              <w:rPr>
                <w:rFonts w:ascii="Arial"/>
                <w:color w:val="auto"/>
                <w:sz w:val="21"/>
                <w:highlight w:val="none"/>
              </w:rPr>
            </w:pPr>
          </w:p>
        </w:tc>
        <w:tc>
          <w:tcPr>
            <w:tcW w:w="3306" w:type="dxa"/>
            <w:vAlign w:val="top"/>
          </w:tcPr>
          <w:p w14:paraId="7C9C06F6">
            <w:pPr>
              <w:rPr>
                <w:rFonts w:ascii="Arial"/>
                <w:color w:val="auto"/>
                <w:sz w:val="21"/>
                <w:highlight w:val="none"/>
              </w:rPr>
            </w:pPr>
          </w:p>
        </w:tc>
        <w:tc>
          <w:tcPr>
            <w:tcW w:w="1200" w:type="dxa"/>
            <w:vAlign w:val="top"/>
          </w:tcPr>
          <w:p w14:paraId="6C4E7D29">
            <w:pPr>
              <w:rPr>
                <w:rFonts w:ascii="Arial"/>
                <w:color w:val="auto"/>
                <w:sz w:val="21"/>
                <w:highlight w:val="none"/>
              </w:rPr>
            </w:pPr>
          </w:p>
        </w:tc>
        <w:tc>
          <w:tcPr>
            <w:tcW w:w="926" w:type="dxa"/>
            <w:vAlign w:val="top"/>
          </w:tcPr>
          <w:p w14:paraId="3125C532">
            <w:pPr>
              <w:rPr>
                <w:rFonts w:ascii="Arial"/>
                <w:color w:val="auto"/>
                <w:sz w:val="21"/>
                <w:highlight w:val="none"/>
              </w:rPr>
            </w:pPr>
          </w:p>
        </w:tc>
        <w:tc>
          <w:tcPr>
            <w:tcW w:w="1469" w:type="dxa"/>
            <w:vAlign w:val="top"/>
          </w:tcPr>
          <w:p w14:paraId="43BD88C9">
            <w:pPr>
              <w:rPr>
                <w:rFonts w:ascii="Arial"/>
                <w:color w:val="auto"/>
                <w:sz w:val="21"/>
                <w:highlight w:val="none"/>
              </w:rPr>
            </w:pPr>
          </w:p>
        </w:tc>
        <w:tc>
          <w:tcPr>
            <w:tcW w:w="930" w:type="dxa"/>
            <w:vAlign w:val="top"/>
          </w:tcPr>
          <w:p w14:paraId="18002E36">
            <w:pPr>
              <w:rPr>
                <w:rFonts w:ascii="Arial"/>
                <w:color w:val="auto"/>
                <w:sz w:val="21"/>
                <w:highlight w:val="none"/>
              </w:rPr>
            </w:pPr>
          </w:p>
        </w:tc>
      </w:tr>
      <w:tr w14:paraId="75CCD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A4B5E75">
            <w:pPr>
              <w:rPr>
                <w:rFonts w:ascii="Arial"/>
                <w:color w:val="auto"/>
                <w:sz w:val="21"/>
                <w:highlight w:val="none"/>
              </w:rPr>
            </w:pPr>
          </w:p>
        </w:tc>
        <w:tc>
          <w:tcPr>
            <w:tcW w:w="3306" w:type="dxa"/>
            <w:vAlign w:val="top"/>
          </w:tcPr>
          <w:p w14:paraId="74B53532">
            <w:pPr>
              <w:rPr>
                <w:rFonts w:ascii="Arial"/>
                <w:color w:val="auto"/>
                <w:sz w:val="21"/>
                <w:highlight w:val="none"/>
              </w:rPr>
            </w:pPr>
          </w:p>
        </w:tc>
        <w:tc>
          <w:tcPr>
            <w:tcW w:w="1200" w:type="dxa"/>
            <w:vAlign w:val="top"/>
          </w:tcPr>
          <w:p w14:paraId="7476BCB8">
            <w:pPr>
              <w:rPr>
                <w:rFonts w:ascii="Arial"/>
                <w:color w:val="auto"/>
                <w:sz w:val="21"/>
                <w:highlight w:val="none"/>
              </w:rPr>
            </w:pPr>
          </w:p>
        </w:tc>
        <w:tc>
          <w:tcPr>
            <w:tcW w:w="926" w:type="dxa"/>
            <w:vAlign w:val="top"/>
          </w:tcPr>
          <w:p w14:paraId="095BB769">
            <w:pPr>
              <w:rPr>
                <w:rFonts w:ascii="Arial"/>
                <w:color w:val="auto"/>
                <w:sz w:val="21"/>
                <w:highlight w:val="none"/>
              </w:rPr>
            </w:pPr>
          </w:p>
        </w:tc>
        <w:tc>
          <w:tcPr>
            <w:tcW w:w="1469" w:type="dxa"/>
            <w:vAlign w:val="top"/>
          </w:tcPr>
          <w:p w14:paraId="389FB63A">
            <w:pPr>
              <w:rPr>
                <w:rFonts w:ascii="Arial"/>
                <w:color w:val="auto"/>
                <w:sz w:val="21"/>
                <w:highlight w:val="none"/>
              </w:rPr>
            </w:pPr>
          </w:p>
        </w:tc>
        <w:tc>
          <w:tcPr>
            <w:tcW w:w="930" w:type="dxa"/>
            <w:vAlign w:val="top"/>
          </w:tcPr>
          <w:p w14:paraId="048728C9">
            <w:pPr>
              <w:rPr>
                <w:rFonts w:ascii="Arial"/>
                <w:color w:val="auto"/>
                <w:sz w:val="21"/>
                <w:highlight w:val="none"/>
              </w:rPr>
            </w:pPr>
          </w:p>
        </w:tc>
      </w:tr>
      <w:tr w14:paraId="358FD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3FA04B69">
            <w:pPr>
              <w:rPr>
                <w:rFonts w:ascii="Arial"/>
                <w:color w:val="auto"/>
                <w:sz w:val="21"/>
                <w:highlight w:val="none"/>
              </w:rPr>
            </w:pPr>
          </w:p>
        </w:tc>
        <w:tc>
          <w:tcPr>
            <w:tcW w:w="3306" w:type="dxa"/>
            <w:vAlign w:val="top"/>
          </w:tcPr>
          <w:p w14:paraId="5999FB3E">
            <w:pPr>
              <w:rPr>
                <w:rFonts w:ascii="Arial"/>
                <w:color w:val="auto"/>
                <w:sz w:val="21"/>
                <w:highlight w:val="none"/>
              </w:rPr>
            </w:pPr>
          </w:p>
        </w:tc>
        <w:tc>
          <w:tcPr>
            <w:tcW w:w="1200" w:type="dxa"/>
            <w:vAlign w:val="top"/>
          </w:tcPr>
          <w:p w14:paraId="1F16C2E3">
            <w:pPr>
              <w:rPr>
                <w:rFonts w:ascii="Arial"/>
                <w:color w:val="auto"/>
                <w:sz w:val="21"/>
                <w:highlight w:val="none"/>
              </w:rPr>
            </w:pPr>
          </w:p>
        </w:tc>
        <w:tc>
          <w:tcPr>
            <w:tcW w:w="926" w:type="dxa"/>
            <w:vAlign w:val="top"/>
          </w:tcPr>
          <w:p w14:paraId="31259C81">
            <w:pPr>
              <w:rPr>
                <w:rFonts w:ascii="Arial"/>
                <w:color w:val="auto"/>
                <w:sz w:val="21"/>
                <w:highlight w:val="none"/>
              </w:rPr>
            </w:pPr>
          </w:p>
        </w:tc>
        <w:tc>
          <w:tcPr>
            <w:tcW w:w="1469" w:type="dxa"/>
            <w:vAlign w:val="top"/>
          </w:tcPr>
          <w:p w14:paraId="06EABE45">
            <w:pPr>
              <w:rPr>
                <w:rFonts w:ascii="Arial"/>
                <w:color w:val="auto"/>
                <w:sz w:val="21"/>
                <w:highlight w:val="none"/>
              </w:rPr>
            </w:pPr>
          </w:p>
        </w:tc>
        <w:tc>
          <w:tcPr>
            <w:tcW w:w="930" w:type="dxa"/>
            <w:vAlign w:val="top"/>
          </w:tcPr>
          <w:p w14:paraId="322639A9">
            <w:pPr>
              <w:rPr>
                <w:rFonts w:ascii="Arial"/>
                <w:color w:val="auto"/>
                <w:sz w:val="21"/>
                <w:highlight w:val="none"/>
              </w:rPr>
            </w:pPr>
          </w:p>
        </w:tc>
      </w:tr>
      <w:tr w14:paraId="1D351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35F55985">
            <w:pPr>
              <w:rPr>
                <w:rFonts w:ascii="Arial"/>
                <w:color w:val="auto"/>
                <w:sz w:val="21"/>
                <w:highlight w:val="none"/>
              </w:rPr>
            </w:pPr>
          </w:p>
        </w:tc>
        <w:tc>
          <w:tcPr>
            <w:tcW w:w="3306" w:type="dxa"/>
            <w:vAlign w:val="top"/>
          </w:tcPr>
          <w:p w14:paraId="6F27C27A">
            <w:pPr>
              <w:rPr>
                <w:rFonts w:ascii="Arial"/>
                <w:color w:val="auto"/>
                <w:sz w:val="21"/>
                <w:highlight w:val="none"/>
              </w:rPr>
            </w:pPr>
          </w:p>
        </w:tc>
        <w:tc>
          <w:tcPr>
            <w:tcW w:w="1200" w:type="dxa"/>
            <w:vAlign w:val="top"/>
          </w:tcPr>
          <w:p w14:paraId="6B9B3293">
            <w:pPr>
              <w:rPr>
                <w:rFonts w:ascii="Arial"/>
                <w:color w:val="auto"/>
                <w:sz w:val="21"/>
                <w:highlight w:val="none"/>
              </w:rPr>
            </w:pPr>
          </w:p>
        </w:tc>
        <w:tc>
          <w:tcPr>
            <w:tcW w:w="926" w:type="dxa"/>
            <w:vAlign w:val="top"/>
          </w:tcPr>
          <w:p w14:paraId="0C1C70F4">
            <w:pPr>
              <w:rPr>
                <w:rFonts w:ascii="Arial"/>
                <w:color w:val="auto"/>
                <w:sz w:val="21"/>
                <w:highlight w:val="none"/>
              </w:rPr>
            </w:pPr>
          </w:p>
        </w:tc>
        <w:tc>
          <w:tcPr>
            <w:tcW w:w="1469" w:type="dxa"/>
            <w:vAlign w:val="top"/>
          </w:tcPr>
          <w:p w14:paraId="2F5C14E5">
            <w:pPr>
              <w:rPr>
                <w:rFonts w:ascii="Arial"/>
                <w:color w:val="auto"/>
                <w:sz w:val="21"/>
                <w:highlight w:val="none"/>
              </w:rPr>
            </w:pPr>
          </w:p>
        </w:tc>
        <w:tc>
          <w:tcPr>
            <w:tcW w:w="930" w:type="dxa"/>
            <w:vAlign w:val="top"/>
          </w:tcPr>
          <w:p w14:paraId="33B81D91">
            <w:pPr>
              <w:rPr>
                <w:rFonts w:ascii="Arial"/>
                <w:color w:val="auto"/>
                <w:sz w:val="21"/>
                <w:highlight w:val="none"/>
              </w:rPr>
            </w:pPr>
          </w:p>
        </w:tc>
      </w:tr>
      <w:tr w14:paraId="62878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14:paraId="279E3ACF">
            <w:pPr>
              <w:rPr>
                <w:rFonts w:ascii="Arial"/>
                <w:color w:val="auto"/>
                <w:sz w:val="21"/>
                <w:highlight w:val="none"/>
              </w:rPr>
            </w:pPr>
          </w:p>
        </w:tc>
        <w:tc>
          <w:tcPr>
            <w:tcW w:w="3306" w:type="dxa"/>
            <w:vAlign w:val="top"/>
          </w:tcPr>
          <w:p w14:paraId="2DEE94FC">
            <w:pPr>
              <w:rPr>
                <w:rFonts w:ascii="Arial"/>
                <w:color w:val="auto"/>
                <w:sz w:val="21"/>
                <w:highlight w:val="none"/>
              </w:rPr>
            </w:pPr>
          </w:p>
        </w:tc>
        <w:tc>
          <w:tcPr>
            <w:tcW w:w="1200" w:type="dxa"/>
            <w:vAlign w:val="top"/>
          </w:tcPr>
          <w:p w14:paraId="6F220F43">
            <w:pPr>
              <w:rPr>
                <w:rFonts w:ascii="Arial"/>
                <w:color w:val="auto"/>
                <w:sz w:val="21"/>
                <w:highlight w:val="none"/>
              </w:rPr>
            </w:pPr>
          </w:p>
        </w:tc>
        <w:tc>
          <w:tcPr>
            <w:tcW w:w="926" w:type="dxa"/>
            <w:vAlign w:val="top"/>
          </w:tcPr>
          <w:p w14:paraId="25099289">
            <w:pPr>
              <w:rPr>
                <w:rFonts w:ascii="Arial"/>
                <w:color w:val="auto"/>
                <w:sz w:val="21"/>
                <w:highlight w:val="none"/>
              </w:rPr>
            </w:pPr>
          </w:p>
        </w:tc>
        <w:tc>
          <w:tcPr>
            <w:tcW w:w="1469" w:type="dxa"/>
            <w:vAlign w:val="top"/>
          </w:tcPr>
          <w:p w14:paraId="112FC661">
            <w:pPr>
              <w:rPr>
                <w:rFonts w:ascii="Arial"/>
                <w:color w:val="auto"/>
                <w:sz w:val="21"/>
                <w:highlight w:val="none"/>
              </w:rPr>
            </w:pPr>
          </w:p>
        </w:tc>
        <w:tc>
          <w:tcPr>
            <w:tcW w:w="930" w:type="dxa"/>
            <w:vAlign w:val="top"/>
          </w:tcPr>
          <w:p w14:paraId="5DCCBA8C">
            <w:pPr>
              <w:rPr>
                <w:rFonts w:ascii="Arial"/>
                <w:color w:val="auto"/>
                <w:sz w:val="21"/>
                <w:highlight w:val="none"/>
              </w:rPr>
            </w:pPr>
          </w:p>
        </w:tc>
      </w:tr>
      <w:tr w14:paraId="3033D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1B74F297">
            <w:pPr>
              <w:rPr>
                <w:rFonts w:ascii="Arial"/>
                <w:color w:val="auto"/>
                <w:sz w:val="21"/>
                <w:highlight w:val="none"/>
              </w:rPr>
            </w:pPr>
          </w:p>
        </w:tc>
        <w:tc>
          <w:tcPr>
            <w:tcW w:w="3306" w:type="dxa"/>
            <w:vAlign w:val="top"/>
          </w:tcPr>
          <w:p w14:paraId="60170003">
            <w:pPr>
              <w:rPr>
                <w:rFonts w:ascii="Arial"/>
                <w:color w:val="auto"/>
                <w:sz w:val="21"/>
                <w:highlight w:val="none"/>
              </w:rPr>
            </w:pPr>
          </w:p>
        </w:tc>
        <w:tc>
          <w:tcPr>
            <w:tcW w:w="1200" w:type="dxa"/>
            <w:vAlign w:val="top"/>
          </w:tcPr>
          <w:p w14:paraId="338DB5B7">
            <w:pPr>
              <w:rPr>
                <w:rFonts w:ascii="Arial"/>
                <w:color w:val="auto"/>
                <w:sz w:val="21"/>
                <w:highlight w:val="none"/>
              </w:rPr>
            </w:pPr>
          </w:p>
        </w:tc>
        <w:tc>
          <w:tcPr>
            <w:tcW w:w="926" w:type="dxa"/>
            <w:vAlign w:val="top"/>
          </w:tcPr>
          <w:p w14:paraId="6EC53AF7">
            <w:pPr>
              <w:rPr>
                <w:rFonts w:ascii="Arial"/>
                <w:color w:val="auto"/>
                <w:sz w:val="21"/>
                <w:highlight w:val="none"/>
              </w:rPr>
            </w:pPr>
          </w:p>
        </w:tc>
        <w:tc>
          <w:tcPr>
            <w:tcW w:w="1469" w:type="dxa"/>
            <w:vAlign w:val="top"/>
          </w:tcPr>
          <w:p w14:paraId="5185C579">
            <w:pPr>
              <w:rPr>
                <w:rFonts w:ascii="Arial"/>
                <w:color w:val="auto"/>
                <w:sz w:val="21"/>
                <w:highlight w:val="none"/>
              </w:rPr>
            </w:pPr>
          </w:p>
        </w:tc>
        <w:tc>
          <w:tcPr>
            <w:tcW w:w="930" w:type="dxa"/>
            <w:vAlign w:val="top"/>
          </w:tcPr>
          <w:p w14:paraId="7D82BB4E">
            <w:pPr>
              <w:rPr>
                <w:rFonts w:ascii="Arial"/>
                <w:color w:val="auto"/>
                <w:sz w:val="21"/>
                <w:highlight w:val="none"/>
              </w:rPr>
            </w:pPr>
          </w:p>
        </w:tc>
      </w:tr>
      <w:tr w14:paraId="65F64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060" w:type="dxa"/>
            <w:gridSpan w:val="2"/>
            <w:vAlign w:val="top"/>
          </w:tcPr>
          <w:p w14:paraId="0299302E">
            <w:pPr>
              <w:pStyle w:val="11"/>
              <w:spacing w:before="178" w:line="222" w:lineRule="auto"/>
              <w:ind w:left="1771"/>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1200" w:type="dxa"/>
            <w:vAlign w:val="top"/>
          </w:tcPr>
          <w:p w14:paraId="69D1AFC5">
            <w:pPr>
              <w:rPr>
                <w:rFonts w:ascii="Arial"/>
                <w:color w:val="auto"/>
                <w:sz w:val="21"/>
                <w:highlight w:val="none"/>
              </w:rPr>
            </w:pPr>
          </w:p>
        </w:tc>
        <w:tc>
          <w:tcPr>
            <w:tcW w:w="926" w:type="dxa"/>
            <w:vAlign w:val="top"/>
          </w:tcPr>
          <w:p w14:paraId="4F7AF8E4">
            <w:pPr>
              <w:rPr>
                <w:rFonts w:ascii="Arial"/>
                <w:color w:val="auto"/>
                <w:sz w:val="21"/>
                <w:highlight w:val="none"/>
              </w:rPr>
            </w:pPr>
          </w:p>
        </w:tc>
        <w:tc>
          <w:tcPr>
            <w:tcW w:w="1469" w:type="dxa"/>
            <w:vAlign w:val="top"/>
          </w:tcPr>
          <w:p w14:paraId="6B1F3DE0">
            <w:pPr>
              <w:rPr>
                <w:rFonts w:ascii="Arial"/>
                <w:color w:val="auto"/>
                <w:sz w:val="21"/>
                <w:highlight w:val="none"/>
              </w:rPr>
            </w:pPr>
          </w:p>
        </w:tc>
        <w:tc>
          <w:tcPr>
            <w:tcW w:w="930" w:type="dxa"/>
            <w:vAlign w:val="top"/>
          </w:tcPr>
          <w:p w14:paraId="61277B41">
            <w:pPr>
              <w:rPr>
                <w:rFonts w:ascii="Arial"/>
                <w:color w:val="auto"/>
                <w:sz w:val="21"/>
                <w:highlight w:val="none"/>
              </w:rPr>
            </w:pPr>
          </w:p>
        </w:tc>
      </w:tr>
    </w:tbl>
    <w:p w14:paraId="46666FDB">
      <w:pPr>
        <w:pStyle w:val="3"/>
        <w:rPr>
          <w:color w:val="auto"/>
          <w:highlight w:val="none"/>
        </w:rPr>
      </w:pPr>
    </w:p>
    <w:p w14:paraId="4403DB1E">
      <w:pPr>
        <w:rPr>
          <w:color w:val="auto"/>
          <w:highlight w:val="none"/>
        </w:rPr>
        <w:sectPr>
          <w:footerReference r:id="rId186" w:type="default"/>
          <w:pgSz w:w="11905" w:h="16839"/>
          <w:pgMar w:top="400" w:right="1652" w:bottom="1004" w:left="1661" w:header="0" w:footer="828" w:gutter="0"/>
          <w:pgNumType w:fmt="decimal"/>
          <w:cols w:space="720" w:num="1"/>
        </w:sectPr>
      </w:pPr>
    </w:p>
    <w:p w14:paraId="679A65D2">
      <w:pPr>
        <w:pStyle w:val="3"/>
        <w:spacing w:line="267" w:lineRule="auto"/>
        <w:rPr>
          <w:color w:val="auto"/>
          <w:highlight w:val="none"/>
        </w:rPr>
      </w:pPr>
    </w:p>
    <w:p w14:paraId="2E2DD30E">
      <w:pPr>
        <w:pStyle w:val="3"/>
        <w:spacing w:line="267" w:lineRule="auto"/>
        <w:rPr>
          <w:color w:val="auto"/>
          <w:highlight w:val="none"/>
        </w:rPr>
      </w:pPr>
    </w:p>
    <w:p w14:paraId="3E05E395">
      <w:pPr>
        <w:pStyle w:val="3"/>
        <w:spacing w:line="268" w:lineRule="auto"/>
        <w:rPr>
          <w:color w:val="auto"/>
          <w:highlight w:val="none"/>
        </w:rPr>
      </w:pPr>
    </w:p>
    <w:p w14:paraId="075C5740">
      <w:pPr>
        <w:pStyle w:val="3"/>
        <w:spacing w:line="268" w:lineRule="auto"/>
        <w:rPr>
          <w:color w:val="auto"/>
          <w:highlight w:val="none"/>
        </w:rPr>
      </w:pPr>
    </w:p>
    <w:p w14:paraId="5FD7DD63">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4.8 </w:t>
      </w:r>
      <w:r>
        <w:rPr>
          <w:rFonts w:ascii="黑体" w:hAnsi="黑体" w:eastAsia="黑体" w:cs="黑体"/>
          <w:color w:val="auto"/>
          <w:spacing w:val="-1"/>
          <w:sz w:val="24"/>
          <w:szCs w:val="24"/>
          <w:highlight w:val="none"/>
        </w:rPr>
        <w:t>单位工程投标报价汇总表</w:t>
      </w:r>
    </w:p>
    <w:p w14:paraId="59F99E94">
      <w:pPr>
        <w:spacing w:before="161" w:line="225" w:lineRule="auto"/>
        <w:ind w:left="2645"/>
        <w:rPr>
          <w:rFonts w:ascii="黑体" w:hAnsi="黑体" w:eastAsia="黑体" w:cs="黑体"/>
          <w:color w:val="auto"/>
          <w:sz w:val="27"/>
          <w:szCs w:val="27"/>
          <w:highlight w:val="none"/>
        </w:rPr>
      </w:pPr>
      <w:bookmarkStart w:id="1305" w:name="bookmark251"/>
      <w:bookmarkEnd w:id="1305"/>
      <w:r>
        <w:rPr>
          <w:rFonts w:ascii="黑体" w:hAnsi="黑体" w:eastAsia="黑体" w:cs="黑体"/>
          <w:color w:val="auto"/>
          <w:spacing w:val="7"/>
          <w:sz w:val="27"/>
          <w:szCs w:val="27"/>
          <w:highlight w:val="none"/>
        </w:rPr>
        <w:t>单位工程投标报价汇总表</w:t>
      </w:r>
    </w:p>
    <w:p w14:paraId="29DB1981">
      <w:pPr>
        <w:spacing w:before="142"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工程名称：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第 页</w:t>
      </w:r>
      <w:r>
        <w:rPr>
          <w:rFonts w:ascii="宋体" w:hAnsi="宋体" w:eastAsia="宋体" w:cs="宋体"/>
          <w:color w:val="auto"/>
          <w:spacing w:val="61"/>
          <w:sz w:val="21"/>
          <w:szCs w:val="21"/>
          <w:highlight w:val="none"/>
        </w:rPr>
        <w:t xml:space="preserve"> </w:t>
      </w:r>
      <w:r>
        <w:rPr>
          <w:rFonts w:ascii="宋体" w:hAnsi="宋体" w:eastAsia="宋体" w:cs="宋体"/>
          <w:color w:val="auto"/>
          <w:spacing w:val="-15"/>
          <w:sz w:val="21"/>
          <w:szCs w:val="21"/>
          <w:highlight w:val="none"/>
        </w:rPr>
        <w:t>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5"/>
          <w:sz w:val="21"/>
          <w:szCs w:val="21"/>
          <w:highlight w:val="none"/>
        </w:rPr>
        <w:t>页</w:t>
      </w:r>
    </w:p>
    <w:p w14:paraId="473C9095">
      <w:pPr>
        <w:spacing w:line="113" w:lineRule="exact"/>
        <w:rPr>
          <w:color w:val="auto"/>
          <w:highlight w:val="none"/>
        </w:rPr>
      </w:pPr>
    </w:p>
    <w:tbl>
      <w:tblPr>
        <w:tblStyle w:val="10"/>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14:paraId="70D89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4" w:type="dxa"/>
            <w:vAlign w:val="top"/>
          </w:tcPr>
          <w:p w14:paraId="0A374D81">
            <w:pPr>
              <w:pStyle w:val="11"/>
              <w:spacing w:before="168" w:line="222" w:lineRule="auto"/>
              <w:ind w:left="161"/>
              <w:rPr>
                <w:color w:val="auto"/>
                <w:highlight w:val="none"/>
              </w:rPr>
            </w:pPr>
            <w:r>
              <w:rPr>
                <w:color w:val="auto"/>
                <w:spacing w:val="-2"/>
                <w:highlight w:val="none"/>
              </w:rPr>
              <w:t>序号</w:t>
            </w:r>
          </w:p>
        </w:tc>
        <w:tc>
          <w:tcPr>
            <w:tcW w:w="2908" w:type="dxa"/>
            <w:vAlign w:val="top"/>
          </w:tcPr>
          <w:p w14:paraId="576D3120">
            <w:pPr>
              <w:pStyle w:val="11"/>
              <w:spacing w:before="168" w:line="221" w:lineRule="auto"/>
              <w:ind w:left="1036"/>
              <w:rPr>
                <w:color w:val="auto"/>
                <w:highlight w:val="none"/>
              </w:rPr>
            </w:pPr>
            <w:r>
              <w:rPr>
                <w:color w:val="auto"/>
                <w:spacing w:val="-1"/>
                <w:highlight w:val="none"/>
              </w:rPr>
              <w:t>汇总内容</w:t>
            </w:r>
          </w:p>
        </w:tc>
        <w:tc>
          <w:tcPr>
            <w:tcW w:w="3331" w:type="dxa"/>
            <w:vAlign w:val="top"/>
          </w:tcPr>
          <w:p w14:paraId="10A37978">
            <w:pPr>
              <w:pStyle w:val="11"/>
              <w:spacing w:before="168" w:line="221" w:lineRule="auto"/>
              <w:ind w:left="1150"/>
              <w:rPr>
                <w:color w:val="auto"/>
                <w:highlight w:val="none"/>
              </w:rPr>
            </w:pPr>
            <w:r>
              <w:rPr>
                <w:color w:val="auto"/>
                <w:spacing w:val="-1"/>
                <w:highlight w:val="none"/>
              </w:rPr>
              <w:t>金额（元）</w:t>
            </w:r>
          </w:p>
        </w:tc>
        <w:tc>
          <w:tcPr>
            <w:tcW w:w="1790" w:type="dxa"/>
            <w:vAlign w:val="top"/>
          </w:tcPr>
          <w:p w14:paraId="123C25B9">
            <w:pPr>
              <w:pStyle w:val="11"/>
              <w:spacing w:before="34" w:line="219" w:lineRule="auto"/>
              <w:ind w:left="272"/>
              <w:rPr>
                <w:color w:val="auto"/>
                <w:highlight w:val="none"/>
              </w:rPr>
            </w:pPr>
            <w:r>
              <w:rPr>
                <w:color w:val="auto"/>
                <w:spacing w:val="-1"/>
                <w:highlight w:val="none"/>
              </w:rPr>
              <w:t>其中：暂估价</w:t>
            </w:r>
          </w:p>
          <w:p w14:paraId="286E213F">
            <w:pPr>
              <w:pStyle w:val="11"/>
              <w:spacing w:before="19" w:line="209" w:lineRule="auto"/>
              <w:ind w:left="590"/>
              <w:rPr>
                <w:color w:val="auto"/>
                <w:highlight w:val="none"/>
              </w:rPr>
            </w:pPr>
            <w:r>
              <w:rPr>
                <w:color w:val="auto"/>
                <w:spacing w:val="-5"/>
                <w:highlight w:val="none"/>
              </w:rPr>
              <w:t>（元）</w:t>
            </w:r>
          </w:p>
        </w:tc>
      </w:tr>
      <w:tr w14:paraId="0D914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09D7E59F">
            <w:pPr>
              <w:pStyle w:val="11"/>
              <w:spacing w:before="165" w:line="183" w:lineRule="auto"/>
              <w:ind w:left="134"/>
              <w:rPr>
                <w:color w:val="auto"/>
                <w:highlight w:val="none"/>
              </w:rPr>
            </w:pPr>
            <w:r>
              <w:rPr>
                <w:color w:val="auto"/>
                <w:highlight w:val="none"/>
              </w:rPr>
              <w:t>1</w:t>
            </w:r>
          </w:p>
        </w:tc>
        <w:tc>
          <w:tcPr>
            <w:tcW w:w="2908" w:type="dxa"/>
            <w:vAlign w:val="top"/>
          </w:tcPr>
          <w:p w14:paraId="4FEDD4F3">
            <w:pPr>
              <w:pStyle w:val="11"/>
              <w:spacing w:before="130" w:line="221" w:lineRule="auto"/>
              <w:ind w:left="112"/>
              <w:rPr>
                <w:color w:val="auto"/>
                <w:highlight w:val="none"/>
              </w:rPr>
            </w:pPr>
            <w:r>
              <w:rPr>
                <w:color w:val="auto"/>
                <w:spacing w:val="-1"/>
                <w:highlight w:val="none"/>
              </w:rPr>
              <w:t>分部分项工程</w:t>
            </w:r>
          </w:p>
        </w:tc>
        <w:tc>
          <w:tcPr>
            <w:tcW w:w="3331" w:type="dxa"/>
            <w:vAlign w:val="top"/>
          </w:tcPr>
          <w:p w14:paraId="17E78368">
            <w:pPr>
              <w:rPr>
                <w:rFonts w:ascii="Arial"/>
                <w:color w:val="auto"/>
                <w:sz w:val="21"/>
                <w:highlight w:val="none"/>
              </w:rPr>
            </w:pPr>
          </w:p>
        </w:tc>
        <w:tc>
          <w:tcPr>
            <w:tcW w:w="1790" w:type="dxa"/>
            <w:vAlign w:val="top"/>
          </w:tcPr>
          <w:p w14:paraId="06814B0D">
            <w:pPr>
              <w:rPr>
                <w:rFonts w:ascii="Arial"/>
                <w:color w:val="auto"/>
                <w:sz w:val="21"/>
                <w:highlight w:val="none"/>
              </w:rPr>
            </w:pPr>
          </w:p>
        </w:tc>
      </w:tr>
      <w:tr w14:paraId="58A75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5D4F1E0">
            <w:pPr>
              <w:pStyle w:val="11"/>
              <w:spacing w:before="167" w:line="182" w:lineRule="auto"/>
              <w:ind w:left="121"/>
              <w:rPr>
                <w:color w:val="auto"/>
                <w:highlight w:val="none"/>
              </w:rPr>
            </w:pPr>
            <w:r>
              <w:rPr>
                <w:color w:val="auto"/>
                <w:highlight w:val="none"/>
              </w:rPr>
              <w:t>2</w:t>
            </w:r>
          </w:p>
        </w:tc>
        <w:tc>
          <w:tcPr>
            <w:tcW w:w="2908" w:type="dxa"/>
            <w:vAlign w:val="top"/>
          </w:tcPr>
          <w:p w14:paraId="4AEF7F29">
            <w:pPr>
              <w:pStyle w:val="11"/>
              <w:spacing w:before="132" w:line="221" w:lineRule="auto"/>
              <w:ind w:left="109"/>
              <w:rPr>
                <w:color w:val="auto"/>
                <w:highlight w:val="none"/>
              </w:rPr>
            </w:pPr>
            <w:r>
              <w:rPr>
                <w:color w:val="auto"/>
                <w:spacing w:val="-1"/>
                <w:highlight w:val="none"/>
              </w:rPr>
              <w:t>措施项目费</w:t>
            </w:r>
          </w:p>
        </w:tc>
        <w:tc>
          <w:tcPr>
            <w:tcW w:w="3331" w:type="dxa"/>
            <w:vAlign w:val="top"/>
          </w:tcPr>
          <w:p w14:paraId="20210580">
            <w:pPr>
              <w:rPr>
                <w:rFonts w:ascii="Arial"/>
                <w:color w:val="auto"/>
                <w:sz w:val="21"/>
                <w:highlight w:val="none"/>
              </w:rPr>
            </w:pPr>
          </w:p>
        </w:tc>
        <w:tc>
          <w:tcPr>
            <w:tcW w:w="1790" w:type="dxa"/>
            <w:vAlign w:val="top"/>
          </w:tcPr>
          <w:p w14:paraId="21FD05E0">
            <w:pPr>
              <w:rPr>
                <w:rFonts w:ascii="Arial"/>
                <w:color w:val="auto"/>
                <w:sz w:val="21"/>
                <w:highlight w:val="none"/>
              </w:rPr>
            </w:pPr>
          </w:p>
        </w:tc>
      </w:tr>
      <w:tr w14:paraId="4971C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14:paraId="2BDC4D79">
            <w:pPr>
              <w:pStyle w:val="11"/>
              <w:spacing w:before="199" w:line="183" w:lineRule="auto"/>
              <w:ind w:left="121"/>
              <w:rPr>
                <w:color w:val="auto"/>
                <w:highlight w:val="none"/>
              </w:rPr>
            </w:pPr>
            <w:r>
              <w:rPr>
                <w:color w:val="auto"/>
                <w:spacing w:val="-2"/>
                <w:highlight w:val="none"/>
              </w:rPr>
              <w:t>2.1</w:t>
            </w:r>
          </w:p>
        </w:tc>
        <w:tc>
          <w:tcPr>
            <w:tcW w:w="2908" w:type="dxa"/>
            <w:vAlign w:val="top"/>
          </w:tcPr>
          <w:p w14:paraId="66228088">
            <w:pPr>
              <w:pStyle w:val="11"/>
              <w:spacing w:before="31" w:line="222" w:lineRule="auto"/>
              <w:ind w:left="120" w:right="276" w:hanging="10"/>
              <w:rPr>
                <w:color w:val="auto"/>
                <w:highlight w:val="none"/>
              </w:rPr>
            </w:pPr>
            <w:r>
              <w:rPr>
                <w:color w:val="auto"/>
                <w:spacing w:val="-1"/>
                <w:highlight w:val="none"/>
              </w:rPr>
              <w:t>其中：文明施工和环境保护</w:t>
            </w:r>
            <w:r>
              <w:rPr>
                <w:color w:val="auto"/>
                <w:spacing w:val="6"/>
                <w:highlight w:val="none"/>
              </w:rPr>
              <w:t xml:space="preserve"> </w:t>
            </w:r>
            <w:r>
              <w:rPr>
                <w:color w:val="auto"/>
                <w:highlight w:val="none"/>
              </w:rPr>
              <w:t>费</w:t>
            </w:r>
          </w:p>
        </w:tc>
        <w:tc>
          <w:tcPr>
            <w:tcW w:w="3331" w:type="dxa"/>
            <w:vAlign w:val="top"/>
          </w:tcPr>
          <w:p w14:paraId="46C1CDB6">
            <w:pPr>
              <w:rPr>
                <w:rFonts w:ascii="Arial"/>
                <w:color w:val="auto"/>
                <w:sz w:val="21"/>
                <w:highlight w:val="none"/>
              </w:rPr>
            </w:pPr>
          </w:p>
        </w:tc>
        <w:tc>
          <w:tcPr>
            <w:tcW w:w="1790" w:type="dxa"/>
            <w:vAlign w:val="top"/>
          </w:tcPr>
          <w:p w14:paraId="5C2D5EEF">
            <w:pPr>
              <w:rPr>
                <w:rFonts w:ascii="Arial"/>
                <w:color w:val="auto"/>
                <w:sz w:val="21"/>
                <w:highlight w:val="none"/>
              </w:rPr>
            </w:pPr>
          </w:p>
        </w:tc>
      </w:tr>
      <w:tr w14:paraId="43CF9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4E70E5C0">
            <w:pPr>
              <w:pStyle w:val="11"/>
              <w:spacing w:before="167" w:line="182" w:lineRule="auto"/>
              <w:ind w:left="123"/>
              <w:rPr>
                <w:color w:val="auto"/>
                <w:highlight w:val="none"/>
              </w:rPr>
            </w:pPr>
            <w:r>
              <w:rPr>
                <w:color w:val="auto"/>
                <w:highlight w:val="none"/>
              </w:rPr>
              <w:t>3</w:t>
            </w:r>
          </w:p>
        </w:tc>
        <w:tc>
          <w:tcPr>
            <w:tcW w:w="2908" w:type="dxa"/>
            <w:vAlign w:val="top"/>
          </w:tcPr>
          <w:p w14:paraId="0ADEE8A4">
            <w:pPr>
              <w:pStyle w:val="11"/>
              <w:spacing w:before="132" w:line="221" w:lineRule="auto"/>
              <w:ind w:left="110"/>
              <w:rPr>
                <w:color w:val="auto"/>
                <w:highlight w:val="none"/>
              </w:rPr>
            </w:pPr>
            <w:r>
              <w:rPr>
                <w:color w:val="auto"/>
                <w:spacing w:val="-1"/>
                <w:highlight w:val="none"/>
              </w:rPr>
              <w:t>其他项目费</w:t>
            </w:r>
          </w:p>
        </w:tc>
        <w:tc>
          <w:tcPr>
            <w:tcW w:w="3331" w:type="dxa"/>
            <w:vAlign w:val="top"/>
          </w:tcPr>
          <w:p w14:paraId="628BA4F0">
            <w:pPr>
              <w:rPr>
                <w:rFonts w:ascii="Arial"/>
                <w:color w:val="auto"/>
                <w:sz w:val="21"/>
                <w:highlight w:val="none"/>
              </w:rPr>
            </w:pPr>
          </w:p>
        </w:tc>
        <w:tc>
          <w:tcPr>
            <w:tcW w:w="1790" w:type="dxa"/>
            <w:vAlign w:val="top"/>
          </w:tcPr>
          <w:p w14:paraId="60DD2FA9">
            <w:pPr>
              <w:rPr>
                <w:rFonts w:ascii="Arial"/>
                <w:color w:val="auto"/>
                <w:sz w:val="21"/>
                <w:highlight w:val="none"/>
              </w:rPr>
            </w:pPr>
          </w:p>
        </w:tc>
      </w:tr>
      <w:tr w14:paraId="3A8FB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555D067C">
            <w:pPr>
              <w:pStyle w:val="11"/>
              <w:spacing w:before="167" w:line="182" w:lineRule="auto"/>
              <w:ind w:left="118"/>
              <w:rPr>
                <w:color w:val="auto"/>
                <w:highlight w:val="none"/>
              </w:rPr>
            </w:pPr>
            <w:r>
              <w:rPr>
                <w:color w:val="auto"/>
                <w:highlight w:val="none"/>
              </w:rPr>
              <w:t>4</w:t>
            </w:r>
          </w:p>
        </w:tc>
        <w:tc>
          <w:tcPr>
            <w:tcW w:w="2908" w:type="dxa"/>
            <w:vAlign w:val="top"/>
          </w:tcPr>
          <w:p w14:paraId="748F0800">
            <w:pPr>
              <w:pStyle w:val="11"/>
              <w:spacing w:before="132" w:line="221" w:lineRule="auto"/>
              <w:ind w:left="110"/>
              <w:rPr>
                <w:color w:val="auto"/>
                <w:highlight w:val="none"/>
              </w:rPr>
            </w:pPr>
            <w:r>
              <w:rPr>
                <w:color w:val="auto"/>
                <w:spacing w:val="-2"/>
                <w:highlight w:val="none"/>
              </w:rPr>
              <w:t>规费</w:t>
            </w:r>
          </w:p>
        </w:tc>
        <w:tc>
          <w:tcPr>
            <w:tcW w:w="3331" w:type="dxa"/>
            <w:vAlign w:val="top"/>
          </w:tcPr>
          <w:p w14:paraId="3637D1BA">
            <w:pPr>
              <w:rPr>
                <w:rFonts w:ascii="Arial"/>
                <w:color w:val="auto"/>
                <w:sz w:val="21"/>
                <w:highlight w:val="none"/>
              </w:rPr>
            </w:pPr>
          </w:p>
        </w:tc>
        <w:tc>
          <w:tcPr>
            <w:tcW w:w="1790" w:type="dxa"/>
            <w:vAlign w:val="top"/>
          </w:tcPr>
          <w:p w14:paraId="6289327B">
            <w:pPr>
              <w:rPr>
                <w:rFonts w:ascii="Arial"/>
                <w:color w:val="auto"/>
                <w:sz w:val="21"/>
                <w:highlight w:val="none"/>
              </w:rPr>
            </w:pPr>
          </w:p>
        </w:tc>
      </w:tr>
      <w:tr w14:paraId="26D3B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95FD3B1">
            <w:pPr>
              <w:pStyle w:val="11"/>
              <w:spacing w:before="169" w:line="181" w:lineRule="auto"/>
              <w:ind w:left="123"/>
              <w:rPr>
                <w:color w:val="auto"/>
                <w:highlight w:val="none"/>
              </w:rPr>
            </w:pPr>
            <w:r>
              <w:rPr>
                <w:color w:val="auto"/>
                <w:highlight w:val="none"/>
              </w:rPr>
              <w:t>5</w:t>
            </w:r>
          </w:p>
        </w:tc>
        <w:tc>
          <w:tcPr>
            <w:tcW w:w="2908" w:type="dxa"/>
            <w:vAlign w:val="top"/>
          </w:tcPr>
          <w:p w14:paraId="0F0B443F">
            <w:pPr>
              <w:pStyle w:val="11"/>
              <w:spacing w:before="133" w:line="221" w:lineRule="auto"/>
              <w:ind w:left="111"/>
              <w:rPr>
                <w:color w:val="auto"/>
                <w:highlight w:val="none"/>
              </w:rPr>
            </w:pPr>
            <w:r>
              <w:rPr>
                <w:color w:val="auto"/>
                <w:spacing w:val="-1"/>
                <w:highlight w:val="none"/>
              </w:rPr>
              <w:t>人工费动态调整</w:t>
            </w:r>
          </w:p>
        </w:tc>
        <w:tc>
          <w:tcPr>
            <w:tcW w:w="3331" w:type="dxa"/>
            <w:vAlign w:val="top"/>
          </w:tcPr>
          <w:p w14:paraId="4F3C998E">
            <w:pPr>
              <w:rPr>
                <w:rFonts w:ascii="Arial"/>
                <w:color w:val="auto"/>
                <w:sz w:val="21"/>
                <w:highlight w:val="none"/>
              </w:rPr>
            </w:pPr>
          </w:p>
        </w:tc>
        <w:tc>
          <w:tcPr>
            <w:tcW w:w="1790" w:type="dxa"/>
            <w:vAlign w:val="top"/>
          </w:tcPr>
          <w:p w14:paraId="75ADC158">
            <w:pPr>
              <w:rPr>
                <w:rFonts w:ascii="Arial"/>
                <w:color w:val="auto"/>
                <w:sz w:val="21"/>
                <w:highlight w:val="none"/>
              </w:rPr>
            </w:pPr>
          </w:p>
        </w:tc>
      </w:tr>
      <w:tr w14:paraId="52E69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48680BF">
            <w:pPr>
              <w:pStyle w:val="11"/>
              <w:spacing w:before="168" w:line="182" w:lineRule="auto"/>
              <w:ind w:left="120"/>
              <w:rPr>
                <w:color w:val="auto"/>
                <w:highlight w:val="none"/>
              </w:rPr>
            </w:pPr>
            <w:r>
              <w:rPr>
                <w:color w:val="auto"/>
                <w:highlight w:val="none"/>
              </w:rPr>
              <w:t>6</w:t>
            </w:r>
          </w:p>
        </w:tc>
        <w:tc>
          <w:tcPr>
            <w:tcW w:w="2908" w:type="dxa"/>
            <w:vAlign w:val="top"/>
          </w:tcPr>
          <w:p w14:paraId="091E59FF">
            <w:pPr>
              <w:pStyle w:val="11"/>
              <w:spacing w:before="133" w:line="221" w:lineRule="auto"/>
              <w:ind w:left="113"/>
              <w:rPr>
                <w:color w:val="auto"/>
                <w:highlight w:val="none"/>
              </w:rPr>
            </w:pPr>
            <w:r>
              <w:rPr>
                <w:color w:val="auto"/>
                <w:spacing w:val="-2"/>
                <w:highlight w:val="none"/>
              </w:rPr>
              <w:t>安全施工措施费</w:t>
            </w:r>
          </w:p>
        </w:tc>
        <w:tc>
          <w:tcPr>
            <w:tcW w:w="3331" w:type="dxa"/>
            <w:vAlign w:val="top"/>
          </w:tcPr>
          <w:p w14:paraId="34DB27D3">
            <w:pPr>
              <w:rPr>
                <w:rFonts w:ascii="Arial"/>
                <w:color w:val="auto"/>
                <w:sz w:val="21"/>
                <w:highlight w:val="none"/>
              </w:rPr>
            </w:pPr>
          </w:p>
        </w:tc>
        <w:tc>
          <w:tcPr>
            <w:tcW w:w="1790" w:type="dxa"/>
            <w:vAlign w:val="top"/>
          </w:tcPr>
          <w:p w14:paraId="5BF3B4D5">
            <w:pPr>
              <w:rPr>
                <w:rFonts w:ascii="Arial"/>
                <w:color w:val="auto"/>
                <w:sz w:val="21"/>
                <w:highlight w:val="none"/>
              </w:rPr>
            </w:pPr>
          </w:p>
        </w:tc>
      </w:tr>
      <w:tr w14:paraId="5B62C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521CB76C">
            <w:pPr>
              <w:pStyle w:val="11"/>
              <w:spacing w:before="169" w:line="181" w:lineRule="auto"/>
              <w:ind w:left="123"/>
              <w:rPr>
                <w:color w:val="auto"/>
                <w:highlight w:val="none"/>
              </w:rPr>
            </w:pPr>
            <w:r>
              <w:rPr>
                <w:color w:val="auto"/>
                <w:highlight w:val="none"/>
              </w:rPr>
              <w:t>7</w:t>
            </w:r>
          </w:p>
        </w:tc>
        <w:tc>
          <w:tcPr>
            <w:tcW w:w="2908" w:type="dxa"/>
            <w:vAlign w:val="top"/>
          </w:tcPr>
          <w:p w14:paraId="76664D2D">
            <w:pPr>
              <w:pStyle w:val="11"/>
              <w:spacing w:before="132" w:line="221" w:lineRule="auto"/>
              <w:ind w:left="114"/>
              <w:rPr>
                <w:color w:val="auto"/>
                <w:highlight w:val="none"/>
              </w:rPr>
            </w:pPr>
            <w:r>
              <w:rPr>
                <w:color w:val="auto"/>
                <w:spacing w:val="-2"/>
                <w:highlight w:val="none"/>
              </w:rPr>
              <w:t>实名制管理费用</w:t>
            </w:r>
          </w:p>
        </w:tc>
        <w:tc>
          <w:tcPr>
            <w:tcW w:w="3331" w:type="dxa"/>
            <w:vAlign w:val="top"/>
          </w:tcPr>
          <w:p w14:paraId="39F82773">
            <w:pPr>
              <w:rPr>
                <w:rFonts w:ascii="Arial"/>
                <w:color w:val="auto"/>
                <w:sz w:val="21"/>
                <w:highlight w:val="none"/>
              </w:rPr>
            </w:pPr>
          </w:p>
        </w:tc>
        <w:tc>
          <w:tcPr>
            <w:tcW w:w="1790" w:type="dxa"/>
            <w:vAlign w:val="top"/>
          </w:tcPr>
          <w:p w14:paraId="3BD027E1">
            <w:pPr>
              <w:rPr>
                <w:rFonts w:ascii="Arial"/>
                <w:color w:val="auto"/>
                <w:sz w:val="21"/>
                <w:highlight w:val="none"/>
              </w:rPr>
            </w:pPr>
          </w:p>
        </w:tc>
      </w:tr>
      <w:tr w14:paraId="4CA6C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7FA44A84">
            <w:pPr>
              <w:pStyle w:val="11"/>
              <w:spacing w:before="168" w:line="182" w:lineRule="auto"/>
              <w:ind w:left="119"/>
              <w:rPr>
                <w:color w:val="auto"/>
                <w:highlight w:val="none"/>
              </w:rPr>
            </w:pPr>
            <w:r>
              <w:rPr>
                <w:color w:val="auto"/>
                <w:highlight w:val="none"/>
              </w:rPr>
              <w:t>8</w:t>
            </w:r>
          </w:p>
        </w:tc>
        <w:tc>
          <w:tcPr>
            <w:tcW w:w="2908" w:type="dxa"/>
            <w:vAlign w:val="top"/>
          </w:tcPr>
          <w:p w14:paraId="2D921FD4">
            <w:pPr>
              <w:pStyle w:val="11"/>
              <w:spacing w:before="133" w:line="219" w:lineRule="auto"/>
              <w:ind w:left="108"/>
              <w:rPr>
                <w:color w:val="auto"/>
                <w:highlight w:val="none"/>
              </w:rPr>
            </w:pPr>
            <w:r>
              <w:rPr>
                <w:color w:val="auto"/>
                <w:spacing w:val="-1"/>
                <w:highlight w:val="none"/>
              </w:rPr>
              <w:t>税前工程造价合计</w:t>
            </w:r>
          </w:p>
        </w:tc>
        <w:tc>
          <w:tcPr>
            <w:tcW w:w="3331" w:type="dxa"/>
            <w:vAlign w:val="top"/>
          </w:tcPr>
          <w:p w14:paraId="599BDFB6">
            <w:pPr>
              <w:rPr>
                <w:rFonts w:ascii="Arial"/>
                <w:color w:val="auto"/>
                <w:sz w:val="21"/>
                <w:highlight w:val="none"/>
              </w:rPr>
            </w:pPr>
          </w:p>
        </w:tc>
        <w:tc>
          <w:tcPr>
            <w:tcW w:w="1790" w:type="dxa"/>
            <w:vAlign w:val="top"/>
          </w:tcPr>
          <w:p w14:paraId="2F910343">
            <w:pPr>
              <w:rPr>
                <w:rFonts w:ascii="Arial"/>
                <w:color w:val="auto"/>
                <w:sz w:val="21"/>
                <w:highlight w:val="none"/>
              </w:rPr>
            </w:pPr>
          </w:p>
        </w:tc>
      </w:tr>
      <w:tr w14:paraId="39CCD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04F305CB">
            <w:pPr>
              <w:pStyle w:val="11"/>
              <w:spacing w:before="169" w:line="182" w:lineRule="auto"/>
              <w:ind w:left="119"/>
              <w:rPr>
                <w:color w:val="auto"/>
                <w:highlight w:val="none"/>
              </w:rPr>
            </w:pPr>
            <w:r>
              <w:rPr>
                <w:color w:val="auto"/>
                <w:highlight w:val="none"/>
              </w:rPr>
              <w:t>9</w:t>
            </w:r>
          </w:p>
        </w:tc>
        <w:tc>
          <w:tcPr>
            <w:tcW w:w="2908" w:type="dxa"/>
            <w:vAlign w:val="top"/>
          </w:tcPr>
          <w:p w14:paraId="07918F44">
            <w:pPr>
              <w:pStyle w:val="11"/>
              <w:spacing w:before="134" w:line="221" w:lineRule="auto"/>
              <w:ind w:left="108"/>
              <w:rPr>
                <w:color w:val="auto"/>
                <w:highlight w:val="none"/>
              </w:rPr>
            </w:pPr>
            <w:r>
              <w:rPr>
                <w:color w:val="auto"/>
                <w:spacing w:val="-2"/>
                <w:highlight w:val="none"/>
              </w:rPr>
              <w:t>税金</w:t>
            </w:r>
          </w:p>
        </w:tc>
        <w:tc>
          <w:tcPr>
            <w:tcW w:w="3331" w:type="dxa"/>
            <w:vAlign w:val="top"/>
          </w:tcPr>
          <w:p w14:paraId="1D4121B1">
            <w:pPr>
              <w:rPr>
                <w:rFonts w:ascii="Arial"/>
                <w:color w:val="auto"/>
                <w:sz w:val="21"/>
                <w:highlight w:val="none"/>
              </w:rPr>
            </w:pPr>
          </w:p>
        </w:tc>
        <w:tc>
          <w:tcPr>
            <w:tcW w:w="1790" w:type="dxa"/>
            <w:vAlign w:val="top"/>
          </w:tcPr>
          <w:p w14:paraId="1E064172">
            <w:pPr>
              <w:rPr>
                <w:rFonts w:ascii="Arial"/>
                <w:color w:val="auto"/>
                <w:sz w:val="21"/>
                <w:highlight w:val="none"/>
              </w:rPr>
            </w:pPr>
          </w:p>
        </w:tc>
      </w:tr>
      <w:tr w14:paraId="0ACC0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23836A93">
            <w:pPr>
              <w:rPr>
                <w:rFonts w:ascii="Arial"/>
                <w:color w:val="auto"/>
                <w:sz w:val="21"/>
                <w:highlight w:val="none"/>
              </w:rPr>
            </w:pPr>
          </w:p>
        </w:tc>
        <w:tc>
          <w:tcPr>
            <w:tcW w:w="2908" w:type="dxa"/>
            <w:vAlign w:val="top"/>
          </w:tcPr>
          <w:p w14:paraId="773FE738">
            <w:pPr>
              <w:rPr>
                <w:rFonts w:ascii="Arial"/>
                <w:color w:val="auto"/>
                <w:sz w:val="21"/>
                <w:highlight w:val="none"/>
              </w:rPr>
            </w:pPr>
          </w:p>
        </w:tc>
        <w:tc>
          <w:tcPr>
            <w:tcW w:w="3331" w:type="dxa"/>
            <w:vAlign w:val="top"/>
          </w:tcPr>
          <w:p w14:paraId="340E649C">
            <w:pPr>
              <w:rPr>
                <w:rFonts w:ascii="Arial"/>
                <w:color w:val="auto"/>
                <w:sz w:val="21"/>
                <w:highlight w:val="none"/>
              </w:rPr>
            </w:pPr>
          </w:p>
        </w:tc>
        <w:tc>
          <w:tcPr>
            <w:tcW w:w="1790" w:type="dxa"/>
            <w:vAlign w:val="top"/>
          </w:tcPr>
          <w:p w14:paraId="48F53EBA">
            <w:pPr>
              <w:rPr>
                <w:rFonts w:ascii="Arial"/>
                <w:color w:val="auto"/>
                <w:sz w:val="21"/>
                <w:highlight w:val="none"/>
              </w:rPr>
            </w:pPr>
          </w:p>
        </w:tc>
      </w:tr>
      <w:tr w14:paraId="29D43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56D91BD">
            <w:pPr>
              <w:rPr>
                <w:rFonts w:ascii="Arial"/>
                <w:color w:val="auto"/>
                <w:sz w:val="21"/>
                <w:highlight w:val="none"/>
              </w:rPr>
            </w:pPr>
          </w:p>
        </w:tc>
        <w:tc>
          <w:tcPr>
            <w:tcW w:w="2908" w:type="dxa"/>
            <w:vAlign w:val="top"/>
          </w:tcPr>
          <w:p w14:paraId="573E1BBB">
            <w:pPr>
              <w:rPr>
                <w:rFonts w:ascii="Arial"/>
                <w:color w:val="auto"/>
                <w:sz w:val="21"/>
                <w:highlight w:val="none"/>
              </w:rPr>
            </w:pPr>
          </w:p>
        </w:tc>
        <w:tc>
          <w:tcPr>
            <w:tcW w:w="3331" w:type="dxa"/>
            <w:vAlign w:val="top"/>
          </w:tcPr>
          <w:p w14:paraId="58C8134E">
            <w:pPr>
              <w:rPr>
                <w:rFonts w:ascii="Arial"/>
                <w:color w:val="auto"/>
                <w:sz w:val="21"/>
                <w:highlight w:val="none"/>
              </w:rPr>
            </w:pPr>
          </w:p>
        </w:tc>
        <w:tc>
          <w:tcPr>
            <w:tcW w:w="1790" w:type="dxa"/>
            <w:vAlign w:val="top"/>
          </w:tcPr>
          <w:p w14:paraId="1DD340BF">
            <w:pPr>
              <w:rPr>
                <w:rFonts w:ascii="Arial"/>
                <w:color w:val="auto"/>
                <w:sz w:val="21"/>
                <w:highlight w:val="none"/>
              </w:rPr>
            </w:pPr>
          </w:p>
        </w:tc>
      </w:tr>
      <w:tr w14:paraId="7A626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B792FD6">
            <w:pPr>
              <w:rPr>
                <w:rFonts w:ascii="Arial"/>
                <w:color w:val="auto"/>
                <w:sz w:val="21"/>
                <w:highlight w:val="none"/>
              </w:rPr>
            </w:pPr>
          </w:p>
        </w:tc>
        <w:tc>
          <w:tcPr>
            <w:tcW w:w="2908" w:type="dxa"/>
            <w:vAlign w:val="top"/>
          </w:tcPr>
          <w:p w14:paraId="4C56391F">
            <w:pPr>
              <w:rPr>
                <w:rFonts w:ascii="Arial"/>
                <w:color w:val="auto"/>
                <w:sz w:val="21"/>
                <w:highlight w:val="none"/>
              </w:rPr>
            </w:pPr>
          </w:p>
        </w:tc>
        <w:tc>
          <w:tcPr>
            <w:tcW w:w="3331" w:type="dxa"/>
            <w:vAlign w:val="top"/>
          </w:tcPr>
          <w:p w14:paraId="3DE6A4EE">
            <w:pPr>
              <w:rPr>
                <w:rFonts w:ascii="Arial"/>
                <w:color w:val="auto"/>
                <w:sz w:val="21"/>
                <w:highlight w:val="none"/>
              </w:rPr>
            </w:pPr>
          </w:p>
        </w:tc>
        <w:tc>
          <w:tcPr>
            <w:tcW w:w="1790" w:type="dxa"/>
            <w:vAlign w:val="top"/>
          </w:tcPr>
          <w:p w14:paraId="1B632AA4">
            <w:pPr>
              <w:rPr>
                <w:rFonts w:ascii="Arial"/>
                <w:color w:val="auto"/>
                <w:sz w:val="21"/>
                <w:highlight w:val="none"/>
              </w:rPr>
            </w:pPr>
          </w:p>
        </w:tc>
      </w:tr>
      <w:tr w14:paraId="5920D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BFAC5D1">
            <w:pPr>
              <w:rPr>
                <w:rFonts w:ascii="Arial"/>
                <w:color w:val="auto"/>
                <w:sz w:val="21"/>
                <w:highlight w:val="none"/>
              </w:rPr>
            </w:pPr>
          </w:p>
        </w:tc>
        <w:tc>
          <w:tcPr>
            <w:tcW w:w="2908" w:type="dxa"/>
            <w:vAlign w:val="top"/>
          </w:tcPr>
          <w:p w14:paraId="43D47633">
            <w:pPr>
              <w:rPr>
                <w:rFonts w:ascii="Arial"/>
                <w:color w:val="auto"/>
                <w:sz w:val="21"/>
                <w:highlight w:val="none"/>
              </w:rPr>
            </w:pPr>
          </w:p>
        </w:tc>
        <w:tc>
          <w:tcPr>
            <w:tcW w:w="3331" w:type="dxa"/>
            <w:vAlign w:val="top"/>
          </w:tcPr>
          <w:p w14:paraId="53B15E24">
            <w:pPr>
              <w:rPr>
                <w:rFonts w:ascii="Arial"/>
                <w:color w:val="auto"/>
                <w:sz w:val="21"/>
                <w:highlight w:val="none"/>
              </w:rPr>
            </w:pPr>
          </w:p>
        </w:tc>
        <w:tc>
          <w:tcPr>
            <w:tcW w:w="1790" w:type="dxa"/>
            <w:vAlign w:val="top"/>
          </w:tcPr>
          <w:p w14:paraId="32A1BF53">
            <w:pPr>
              <w:rPr>
                <w:rFonts w:ascii="Arial"/>
                <w:color w:val="auto"/>
                <w:sz w:val="21"/>
                <w:highlight w:val="none"/>
              </w:rPr>
            </w:pPr>
          </w:p>
        </w:tc>
      </w:tr>
      <w:tr w14:paraId="4C916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3711251">
            <w:pPr>
              <w:rPr>
                <w:rFonts w:ascii="Arial"/>
                <w:color w:val="auto"/>
                <w:sz w:val="21"/>
                <w:highlight w:val="none"/>
              </w:rPr>
            </w:pPr>
          </w:p>
        </w:tc>
        <w:tc>
          <w:tcPr>
            <w:tcW w:w="2908" w:type="dxa"/>
            <w:vAlign w:val="top"/>
          </w:tcPr>
          <w:p w14:paraId="0D954077">
            <w:pPr>
              <w:rPr>
                <w:rFonts w:ascii="Arial"/>
                <w:color w:val="auto"/>
                <w:sz w:val="21"/>
                <w:highlight w:val="none"/>
              </w:rPr>
            </w:pPr>
          </w:p>
        </w:tc>
        <w:tc>
          <w:tcPr>
            <w:tcW w:w="3331" w:type="dxa"/>
            <w:vAlign w:val="top"/>
          </w:tcPr>
          <w:p w14:paraId="54DCFC96">
            <w:pPr>
              <w:rPr>
                <w:rFonts w:ascii="Arial"/>
                <w:color w:val="auto"/>
                <w:sz w:val="21"/>
                <w:highlight w:val="none"/>
              </w:rPr>
            </w:pPr>
          </w:p>
        </w:tc>
        <w:tc>
          <w:tcPr>
            <w:tcW w:w="1790" w:type="dxa"/>
            <w:vAlign w:val="top"/>
          </w:tcPr>
          <w:p w14:paraId="2B4B6216">
            <w:pPr>
              <w:rPr>
                <w:rFonts w:ascii="Arial"/>
                <w:color w:val="auto"/>
                <w:sz w:val="21"/>
                <w:highlight w:val="none"/>
              </w:rPr>
            </w:pPr>
          </w:p>
        </w:tc>
      </w:tr>
      <w:tr w14:paraId="3FCBB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2674A34B">
            <w:pPr>
              <w:rPr>
                <w:rFonts w:ascii="Arial"/>
                <w:color w:val="auto"/>
                <w:sz w:val="21"/>
                <w:highlight w:val="none"/>
              </w:rPr>
            </w:pPr>
          </w:p>
        </w:tc>
        <w:tc>
          <w:tcPr>
            <w:tcW w:w="2908" w:type="dxa"/>
            <w:vAlign w:val="top"/>
          </w:tcPr>
          <w:p w14:paraId="4A264B98">
            <w:pPr>
              <w:rPr>
                <w:rFonts w:ascii="Arial"/>
                <w:color w:val="auto"/>
                <w:sz w:val="21"/>
                <w:highlight w:val="none"/>
              </w:rPr>
            </w:pPr>
          </w:p>
        </w:tc>
        <w:tc>
          <w:tcPr>
            <w:tcW w:w="3331" w:type="dxa"/>
            <w:vAlign w:val="top"/>
          </w:tcPr>
          <w:p w14:paraId="7F346A44">
            <w:pPr>
              <w:rPr>
                <w:rFonts w:ascii="Arial"/>
                <w:color w:val="auto"/>
                <w:sz w:val="21"/>
                <w:highlight w:val="none"/>
              </w:rPr>
            </w:pPr>
          </w:p>
        </w:tc>
        <w:tc>
          <w:tcPr>
            <w:tcW w:w="1790" w:type="dxa"/>
            <w:vAlign w:val="top"/>
          </w:tcPr>
          <w:p w14:paraId="0F033299">
            <w:pPr>
              <w:rPr>
                <w:rFonts w:ascii="Arial"/>
                <w:color w:val="auto"/>
                <w:sz w:val="21"/>
                <w:highlight w:val="none"/>
              </w:rPr>
            </w:pPr>
          </w:p>
        </w:tc>
      </w:tr>
      <w:tr w14:paraId="0AE80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642" w:type="dxa"/>
            <w:gridSpan w:val="2"/>
            <w:vAlign w:val="top"/>
          </w:tcPr>
          <w:p w14:paraId="6FFA12BB">
            <w:pPr>
              <w:pStyle w:val="11"/>
              <w:spacing w:before="136" w:line="222" w:lineRule="auto"/>
              <w:ind w:left="1622"/>
              <w:rPr>
                <w:color w:val="auto"/>
                <w:highlight w:val="none"/>
              </w:rPr>
            </w:pPr>
            <w:r>
              <w:rPr>
                <w:color w:val="auto"/>
                <w:spacing w:val="-2"/>
                <w:highlight w:val="none"/>
              </w:rPr>
              <w:t>合计</w:t>
            </w:r>
          </w:p>
        </w:tc>
        <w:tc>
          <w:tcPr>
            <w:tcW w:w="3331" w:type="dxa"/>
            <w:vAlign w:val="top"/>
          </w:tcPr>
          <w:p w14:paraId="67BA2E1A">
            <w:pPr>
              <w:rPr>
                <w:rFonts w:ascii="Arial"/>
                <w:color w:val="auto"/>
                <w:sz w:val="21"/>
                <w:highlight w:val="none"/>
              </w:rPr>
            </w:pPr>
          </w:p>
        </w:tc>
        <w:tc>
          <w:tcPr>
            <w:tcW w:w="1790" w:type="dxa"/>
            <w:vAlign w:val="top"/>
          </w:tcPr>
          <w:p w14:paraId="643F929F">
            <w:pPr>
              <w:rPr>
                <w:rFonts w:ascii="Arial"/>
                <w:color w:val="auto"/>
                <w:sz w:val="21"/>
                <w:highlight w:val="none"/>
              </w:rPr>
            </w:pPr>
          </w:p>
        </w:tc>
      </w:tr>
    </w:tbl>
    <w:p w14:paraId="67F04120">
      <w:pPr>
        <w:spacing w:before="270" w:line="231" w:lineRule="auto"/>
        <w:ind w:left="17" w:right="457"/>
        <w:rPr>
          <w:rFonts w:ascii="宋体" w:hAnsi="宋体" w:eastAsia="宋体" w:cs="宋体"/>
          <w:color w:val="auto"/>
          <w:sz w:val="21"/>
          <w:szCs w:val="21"/>
          <w:highlight w:val="none"/>
        </w:rPr>
      </w:pPr>
      <w:r>
        <w:rPr>
          <w:rFonts w:ascii="宋体" w:hAnsi="宋体" w:eastAsia="宋体" w:cs="宋体"/>
          <w:color w:val="auto"/>
          <w:sz w:val="21"/>
          <w:szCs w:val="21"/>
          <w:highlight w:val="none"/>
        </w:rPr>
        <w:t>注：本表适用于单位工程投标报价的汇总，如无单位工程的划分， 单项工程也使用本汇总</w:t>
      </w:r>
      <w:r>
        <w:rPr>
          <w:rFonts w:ascii="宋体" w:hAnsi="宋体" w:eastAsia="宋体" w:cs="宋体"/>
          <w:color w:val="auto"/>
          <w:spacing w:val="6"/>
          <w:sz w:val="21"/>
          <w:szCs w:val="21"/>
          <w:highlight w:val="none"/>
        </w:rPr>
        <w:t xml:space="preserve"> </w:t>
      </w:r>
      <w:r>
        <w:rPr>
          <w:rFonts w:ascii="宋体" w:hAnsi="宋体" w:eastAsia="宋体" w:cs="宋体"/>
          <w:color w:val="auto"/>
          <w:spacing w:val="-10"/>
          <w:sz w:val="21"/>
          <w:szCs w:val="21"/>
          <w:highlight w:val="none"/>
        </w:rPr>
        <w:t>表。</w:t>
      </w:r>
    </w:p>
    <w:p w14:paraId="6D865878">
      <w:pPr>
        <w:spacing w:line="231" w:lineRule="auto"/>
        <w:rPr>
          <w:rFonts w:ascii="宋体" w:hAnsi="宋体" w:eastAsia="宋体" w:cs="宋体"/>
          <w:color w:val="auto"/>
          <w:sz w:val="21"/>
          <w:szCs w:val="21"/>
          <w:highlight w:val="none"/>
        </w:rPr>
        <w:sectPr>
          <w:footerReference r:id="rId187" w:type="default"/>
          <w:pgSz w:w="11905" w:h="16839"/>
          <w:pgMar w:top="400" w:right="1339" w:bottom="1004" w:left="1785" w:header="0" w:footer="828" w:gutter="0"/>
          <w:pgNumType w:fmt="decimal"/>
          <w:cols w:space="720" w:num="1"/>
        </w:sectPr>
      </w:pPr>
    </w:p>
    <w:p w14:paraId="7BB38512">
      <w:pPr>
        <w:pStyle w:val="3"/>
        <w:spacing w:line="267" w:lineRule="auto"/>
        <w:rPr>
          <w:color w:val="auto"/>
          <w:highlight w:val="none"/>
        </w:rPr>
      </w:pPr>
    </w:p>
    <w:p w14:paraId="4BE722F0">
      <w:pPr>
        <w:pStyle w:val="3"/>
        <w:spacing w:line="267" w:lineRule="auto"/>
        <w:rPr>
          <w:color w:val="auto"/>
          <w:highlight w:val="none"/>
        </w:rPr>
      </w:pPr>
    </w:p>
    <w:p w14:paraId="01D35076">
      <w:pPr>
        <w:pStyle w:val="3"/>
        <w:spacing w:line="268" w:lineRule="auto"/>
        <w:rPr>
          <w:color w:val="auto"/>
          <w:highlight w:val="none"/>
        </w:rPr>
      </w:pPr>
    </w:p>
    <w:p w14:paraId="5F4D6D11">
      <w:pPr>
        <w:pStyle w:val="3"/>
        <w:spacing w:line="268" w:lineRule="auto"/>
        <w:rPr>
          <w:color w:val="auto"/>
          <w:highlight w:val="none"/>
        </w:rPr>
      </w:pPr>
    </w:p>
    <w:p w14:paraId="3D6C44DA">
      <w:pPr>
        <w:spacing w:before="78" w:line="219" w:lineRule="auto"/>
        <w:ind w:left="9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4.9 </w:t>
      </w:r>
      <w:r>
        <w:rPr>
          <w:rFonts w:ascii="黑体" w:hAnsi="黑体" w:eastAsia="黑体" w:cs="黑体"/>
          <w:color w:val="auto"/>
          <w:spacing w:val="-1"/>
          <w:sz w:val="24"/>
          <w:szCs w:val="24"/>
          <w:highlight w:val="none"/>
        </w:rPr>
        <w:t>分部分项工程和单价措施项目清单与计价表</w:t>
      </w:r>
    </w:p>
    <w:p w14:paraId="15B91B26">
      <w:pPr>
        <w:spacing w:before="281" w:line="225" w:lineRule="auto"/>
        <w:ind w:left="1597"/>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分部分项工程和单价措施项目清单与计价表</w:t>
      </w:r>
    </w:p>
    <w:p w14:paraId="51179FD8">
      <w:pPr>
        <w:spacing w:before="262" w:line="221" w:lineRule="auto"/>
        <w:ind w:left="97"/>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工程名称：</w:t>
      </w:r>
      <w:r>
        <w:rPr>
          <w:rFonts w:ascii="宋体" w:hAnsi="宋体" w:eastAsia="宋体" w:cs="宋体"/>
          <w:color w:val="auto"/>
          <w:spacing w:val="7"/>
          <w:sz w:val="21"/>
          <w:szCs w:val="21"/>
          <w:highlight w:val="none"/>
        </w:rPr>
        <w:t xml:space="preserve">            </w:t>
      </w:r>
      <w:r>
        <w:rPr>
          <w:rFonts w:ascii="宋体" w:hAnsi="宋体" w:eastAsia="宋体" w:cs="宋体"/>
          <w:color w:val="auto"/>
          <w:spacing w:val="-11"/>
          <w:sz w:val="21"/>
          <w:szCs w:val="21"/>
          <w:highlight w:val="none"/>
        </w:rPr>
        <w:t>标段名称：                                     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1"/>
          <w:sz w:val="21"/>
          <w:szCs w:val="21"/>
          <w:highlight w:val="none"/>
        </w:rPr>
        <w:t>页</w:t>
      </w:r>
    </w:p>
    <w:p w14:paraId="5544AAC2">
      <w:pPr>
        <w:spacing w:line="233" w:lineRule="exact"/>
        <w:rPr>
          <w:color w:val="auto"/>
          <w:highlight w:val="none"/>
        </w:rPr>
      </w:pPr>
    </w:p>
    <w:tbl>
      <w:tblPr>
        <w:tblStyle w:val="10"/>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14:paraId="36ACB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14:paraId="6F715186">
            <w:pPr>
              <w:spacing w:line="436" w:lineRule="auto"/>
              <w:rPr>
                <w:rFonts w:ascii="Arial"/>
                <w:color w:val="auto"/>
                <w:sz w:val="21"/>
                <w:highlight w:val="none"/>
              </w:rPr>
            </w:pPr>
          </w:p>
          <w:p w14:paraId="601E030C">
            <w:pPr>
              <w:pStyle w:val="11"/>
              <w:spacing w:before="65" w:line="222" w:lineRule="auto"/>
              <w:ind w:left="127"/>
              <w:rPr>
                <w:color w:val="auto"/>
                <w:sz w:val="20"/>
                <w:szCs w:val="20"/>
                <w:highlight w:val="none"/>
              </w:rPr>
            </w:pPr>
            <w:r>
              <w:rPr>
                <w:color w:val="auto"/>
                <w:spacing w:val="-1"/>
                <w:sz w:val="20"/>
                <w:szCs w:val="20"/>
                <w:highlight w:val="none"/>
              </w:rPr>
              <w:t>序号</w:t>
            </w:r>
          </w:p>
        </w:tc>
        <w:tc>
          <w:tcPr>
            <w:tcW w:w="1043" w:type="dxa"/>
            <w:vMerge w:val="restart"/>
            <w:tcBorders>
              <w:top w:val="single" w:color="000000" w:sz="4" w:space="0"/>
              <w:bottom w:val="nil"/>
              <w:right w:val="single" w:color="000000" w:sz="4" w:space="0"/>
            </w:tcBorders>
            <w:vAlign w:val="top"/>
          </w:tcPr>
          <w:p w14:paraId="42D21852">
            <w:pPr>
              <w:spacing w:line="435" w:lineRule="auto"/>
              <w:rPr>
                <w:rFonts w:ascii="Arial"/>
                <w:color w:val="auto"/>
                <w:sz w:val="21"/>
                <w:highlight w:val="none"/>
              </w:rPr>
            </w:pPr>
          </w:p>
          <w:p w14:paraId="588D227C">
            <w:pPr>
              <w:pStyle w:val="11"/>
              <w:spacing w:before="65" w:line="221" w:lineRule="auto"/>
              <w:ind w:left="123"/>
              <w:rPr>
                <w:color w:val="auto"/>
                <w:sz w:val="20"/>
                <w:szCs w:val="20"/>
                <w:highlight w:val="none"/>
              </w:rPr>
            </w:pPr>
            <w:r>
              <w:rPr>
                <w:color w:val="auto"/>
                <w:spacing w:val="-1"/>
                <w:sz w:val="20"/>
                <w:szCs w:val="20"/>
                <w:highlight w:val="none"/>
              </w:rPr>
              <w:t>项目编码</w:t>
            </w:r>
          </w:p>
        </w:tc>
        <w:tc>
          <w:tcPr>
            <w:tcW w:w="1027" w:type="dxa"/>
            <w:vMerge w:val="restart"/>
            <w:tcBorders>
              <w:top w:val="single" w:color="000000" w:sz="4" w:space="0"/>
              <w:left w:val="single" w:color="000000" w:sz="4" w:space="0"/>
              <w:bottom w:val="nil"/>
              <w:right w:val="single" w:color="000000" w:sz="4" w:space="0"/>
            </w:tcBorders>
            <w:vAlign w:val="top"/>
          </w:tcPr>
          <w:p w14:paraId="6030EC86">
            <w:pPr>
              <w:spacing w:line="435" w:lineRule="auto"/>
              <w:rPr>
                <w:rFonts w:ascii="Arial"/>
                <w:color w:val="auto"/>
                <w:sz w:val="21"/>
                <w:highlight w:val="none"/>
              </w:rPr>
            </w:pPr>
          </w:p>
          <w:p w14:paraId="046412CF">
            <w:pPr>
              <w:pStyle w:val="11"/>
              <w:spacing w:before="65" w:line="222" w:lineRule="auto"/>
              <w:ind w:left="115"/>
              <w:rPr>
                <w:color w:val="auto"/>
                <w:sz w:val="20"/>
                <w:szCs w:val="20"/>
                <w:highlight w:val="none"/>
              </w:rPr>
            </w:pPr>
            <w:r>
              <w:rPr>
                <w:color w:val="auto"/>
                <w:spacing w:val="-1"/>
                <w:sz w:val="20"/>
                <w:szCs w:val="20"/>
                <w:highlight w:val="none"/>
              </w:rPr>
              <w:t>项目名称</w:t>
            </w:r>
          </w:p>
        </w:tc>
        <w:tc>
          <w:tcPr>
            <w:tcW w:w="1455" w:type="dxa"/>
            <w:vMerge w:val="restart"/>
            <w:tcBorders>
              <w:top w:val="single" w:color="000000" w:sz="4" w:space="0"/>
              <w:left w:val="single" w:color="000000" w:sz="4" w:space="0"/>
              <w:bottom w:val="nil"/>
            </w:tcBorders>
            <w:vAlign w:val="top"/>
          </w:tcPr>
          <w:p w14:paraId="3B4C636C">
            <w:pPr>
              <w:spacing w:line="435" w:lineRule="auto"/>
              <w:rPr>
                <w:rFonts w:ascii="Arial"/>
                <w:color w:val="auto"/>
                <w:sz w:val="21"/>
                <w:highlight w:val="none"/>
              </w:rPr>
            </w:pPr>
          </w:p>
          <w:p w14:paraId="52707277">
            <w:pPr>
              <w:pStyle w:val="11"/>
              <w:spacing w:before="65" w:line="221" w:lineRule="auto"/>
              <w:ind w:left="130"/>
              <w:rPr>
                <w:color w:val="auto"/>
                <w:sz w:val="20"/>
                <w:szCs w:val="20"/>
                <w:highlight w:val="none"/>
              </w:rPr>
            </w:pPr>
            <w:r>
              <w:rPr>
                <w:color w:val="auto"/>
                <w:spacing w:val="-1"/>
                <w:sz w:val="20"/>
                <w:szCs w:val="20"/>
                <w:highlight w:val="none"/>
              </w:rPr>
              <w:t>项目特征描述</w:t>
            </w:r>
          </w:p>
        </w:tc>
        <w:tc>
          <w:tcPr>
            <w:tcW w:w="1019" w:type="dxa"/>
            <w:vMerge w:val="restart"/>
            <w:tcBorders>
              <w:top w:val="single" w:color="000000" w:sz="4" w:space="0"/>
              <w:bottom w:val="nil"/>
              <w:right w:val="single" w:color="000000" w:sz="4" w:space="0"/>
            </w:tcBorders>
            <w:vAlign w:val="top"/>
          </w:tcPr>
          <w:p w14:paraId="65E0C51C">
            <w:pPr>
              <w:spacing w:line="435" w:lineRule="auto"/>
              <w:rPr>
                <w:rFonts w:ascii="Arial"/>
                <w:color w:val="auto"/>
                <w:sz w:val="21"/>
                <w:highlight w:val="none"/>
              </w:rPr>
            </w:pPr>
          </w:p>
          <w:p w14:paraId="67EF9C19">
            <w:pPr>
              <w:pStyle w:val="11"/>
              <w:spacing w:before="65" w:line="222" w:lineRule="auto"/>
              <w:ind w:left="110"/>
              <w:rPr>
                <w:color w:val="auto"/>
                <w:sz w:val="20"/>
                <w:szCs w:val="20"/>
                <w:highlight w:val="none"/>
              </w:rPr>
            </w:pPr>
            <w:r>
              <w:rPr>
                <w:color w:val="auto"/>
                <w:spacing w:val="-1"/>
                <w:sz w:val="20"/>
                <w:szCs w:val="20"/>
                <w:highlight w:val="none"/>
              </w:rPr>
              <w:t>计量单位</w:t>
            </w:r>
          </w:p>
        </w:tc>
        <w:tc>
          <w:tcPr>
            <w:tcW w:w="834" w:type="dxa"/>
            <w:vMerge w:val="restart"/>
            <w:tcBorders>
              <w:top w:val="single" w:color="000000" w:sz="4" w:space="0"/>
              <w:left w:val="single" w:color="000000" w:sz="4" w:space="0"/>
              <w:bottom w:val="nil"/>
              <w:right w:val="single" w:color="000000" w:sz="4" w:space="0"/>
            </w:tcBorders>
            <w:vAlign w:val="top"/>
          </w:tcPr>
          <w:p w14:paraId="23652BFB">
            <w:pPr>
              <w:spacing w:line="435" w:lineRule="auto"/>
              <w:rPr>
                <w:rFonts w:ascii="Arial"/>
                <w:color w:val="auto"/>
                <w:sz w:val="21"/>
                <w:highlight w:val="none"/>
              </w:rPr>
            </w:pPr>
          </w:p>
          <w:p w14:paraId="7E1F9E10">
            <w:pPr>
              <w:pStyle w:val="11"/>
              <w:spacing w:before="65" w:line="222" w:lineRule="auto"/>
              <w:ind w:left="124"/>
              <w:rPr>
                <w:color w:val="auto"/>
                <w:sz w:val="20"/>
                <w:szCs w:val="20"/>
                <w:highlight w:val="none"/>
              </w:rPr>
            </w:pPr>
            <w:r>
              <w:rPr>
                <w:color w:val="auto"/>
                <w:spacing w:val="-2"/>
                <w:sz w:val="20"/>
                <w:szCs w:val="20"/>
                <w:highlight w:val="none"/>
              </w:rPr>
              <w:t>工程量</w:t>
            </w:r>
          </w:p>
        </w:tc>
        <w:tc>
          <w:tcPr>
            <w:tcW w:w="2453" w:type="dxa"/>
            <w:gridSpan w:val="3"/>
            <w:tcBorders>
              <w:top w:val="single" w:color="000000" w:sz="4" w:space="0"/>
              <w:left w:val="single" w:color="000000" w:sz="4" w:space="0"/>
              <w:right w:val="single" w:color="000000" w:sz="4" w:space="0"/>
            </w:tcBorders>
            <w:vAlign w:val="top"/>
          </w:tcPr>
          <w:p w14:paraId="11CD8E5C">
            <w:pPr>
              <w:pStyle w:val="11"/>
              <w:spacing w:before="109" w:line="221" w:lineRule="auto"/>
              <w:ind w:left="729"/>
              <w:rPr>
                <w:color w:val="auto"/>
                <w:sz w:val="20"/>
                <w:szCs w:val="20"/>
                <w:highlight w:val="none"/>
              </w:rPr>
            </w:pPr>
            <w:r>
              <w:rPr>
                <w:color w:val="auto"/>
                <w:spacing w:val="-1"/>
                <w:sz w:val="20"/>
                <w:szCs w:val="20"/>
                <w:highlight w:val="none"/>
              </w:rPr>
              <w:t>金额（元）</w:t>
            </w:r>
          </w:p>
        </w:tc>
      </w:tr>
      <w:tr w14:paraId="2CB6E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14:paraId="011B2977">
            <w:pPr>
              <w:rPr>
                <w:rFonts w:ascii="Arial"/>
                <w:color w:val="auto"/>
                <w:sz w:val="21"/>
                <w:highlight w:val="none"/>
              </w:rPr>
            </w:pPr>
          </w:p>
        </w:tc>
        <w:tc>
          <w:tcPr>
            <w:tcW w:w="1043" w:type="dxa"/>
            <w:vMerge w:val="continue"/>
            <w:tcBorders>
              <w:top w:val="nil"/>
              <w:right w:val="single" w:color="000000" w:sz="4" w:space="0"/>
            </w:tcBorders>
            <w:vAlign w:val="top"/>
          </w:tcPr>
          <w:p w14:paraId="20C8ADC9">
            <w:pPr>
              <w:rPr>
                <w:rFonts w:ascii="Arial"/>
                <w:color w:val="auto"/>
                <w:sz w:val="21"/>
                <w:highlight w:val="none"/>
              </w:rPr>
            </w:pPr>
          </w:p>
        </w:tc>
        <w:tc>
          <w:tcPr>
            <w:tcW w:w="1027" w:type="dxa"/>
            <w:vMerge w:val="continue"/>
            <w:tcBorders>
              <w:top w:val="nil"/>
              <w:left w:val="single" w:color="000000" w:sz="4" w:space="0"/>
              <w:right w:val="single" w:color="000000" w:sz="4" w:space="0"/>
            </w:tcBorders>
            <w:vAlign w:val="top"/>
          </w:tcPr>
          <w:p w14:paraId="3BA68064">
            <w:pPr>
              <w:rPr>
                <w:rFonts w:ascii="Arial"/>
                <w:color w:val="auto"/>
                <w:sz w:val="21"/>
                <w:highlight w:val="none"/>
              </w:rPr>
            </w:pPr>
          </w:p>
        </w:tc>
        <w:tc>
          <w:tcPr>
            <w:tcW w:w="1455" w:type="dxa"/>
            <w:vMerge w:val="continue"/>
            <w:tcBorders>
              <w:top w:val="nil"/>
              <w:left w:val="single" w:color="000000" w:sz="4" w:space="0"/>
            </w:tcBorders>
            <w:vAlign w:val="top"/>
          </w:tcPr>
          <w:p w14:paraId="1D53D8F9">
            <w:pPr>
              <w:rPr>
                <w:rFonts w:ascii="Arial"/>
                <w:color w:val="auto"/>
                <w:sz w:val="21"/>
                <w:highlight w:val="none"/>
              </w:rPr>
            </w:pPr>
          </w:p>
        </w:tc>
        <w:tc>
          <w:tcPr>
            <w:tcW w:w="1019" w:type="dxa"/>
            <w:vMerge w:val="continue"/>
            <w:tcBorders>
              <w:top w:val="nil"/>
              <w:right w:val="single" w:color="000000" w:sz="4" w:space="0"/>
            </w:tcBorders>
            <w:vAlign w:val="top"/>
          </w:tcPr>
          <w:p w14:paraId="6B61CB59">
            <w:pPr>
              <w:rPr>
                <w:rFonts w:ascii="Arial"/>
                <w:color w:val="auto"/>
                <w:sz w:val="21"/>
                <w:highlight w:val="none"/>
              </w:rPr>
            </w:pPr>
          </w:p>
        </w:tc>
        <w:tc>
          <w:tcPr>
            <w:tcW w:w="834" w:type="dxa"/>
            <w:vMerge w:val="continue"/>
            <w:tcBorders>
              <w:top w:val="nil"/>
              <w:left w:val="single" w:color="000000" w:sz="4" w:space="0"/>
              <w:right w:val="single" w:color="000000" w:sz="4" w:space="0"/>
            </w:tcBorders>
            <w:vAlign w:val="top"/>
          </w:tcPr>
          <w:p w14:paraId="65B054F6">
            <w:pPr>
              <w:rPr>
                <w:rFonts w:ascii="Arial"/>
                <w:color w:val="auto"/>
                <w:sz w:val="21"/>
                <w:highlight w:val="none"/>
              </w:rPr>
            </w:pPr>
          </w:p>
        </w:tc>
        <w:tc>
          <w:tcPr>
            <w:tcW w:w="770" w:type="dxa"/>
            <w:tcBorders>
              <w:left w:val="single" w:color="000000" w:sz="4" w:space="0"/>
            </w:tcBorders>
            <w:vAlign w:val="top"/>
          </w:tcPr>
          <w:p w14:paraId="3CCA4632">
            <w:pPr>
              <w:pStyle w:val="11"/>
              <w:spacing w:before="158" w:line="239" w:lineRule="auto"/>
              <w:ind w:left="187"/>
              <w:rPr>
                <w:color w:val="auto"/>
                <w:sz w:val="20"/>
                <w:szCs w:val="20"/>
                <w:highlight w:val="none"/>
              </w:rPr>
            </w:pPr>
            <w:r>
              <w:rPr>
                <w:color w:val="auto"/>
                <w:spacing w:val="-2"/>
                <w:sz w:val="20"/>
                <w:szCs w:val="20"/>
                <w:highlight w:val="none"/>
              </w:rPr>
              <w:t>综合</w:t>
            </w:r>
          </w:p>
          <w:p w14:paraId="6E02BBBD">
            <w:pPr>
              <w:pStyle w:val="11"/>
              <w:spacing w:line="219" w:lineRule="auto"/>
              <w:ind w:left="186"/>
              <w:rPr>
                <w:color w:val="auto"/>
                <w:sz w:val="20"/>
                <w:szCs w:val="20"/>
                <w:highlight w:val="none"/>
              </w:rPr>
            </w:pPr>
            <w:r>
              <w:rPr>
                <w:color w:val="auto"/>
                <w:spacing w:val="-2"/>
                <w:sz w:val="20"/>
                <w:szCs w:val="20"/>
                <w:highlight w:val="none"/>
              </w:rPr>
              <w:t>单价</w:t>
            </w:r>
          </w:p>
        </w:tc>
        <w:tc>
          <w:tcPr>
            <w:tcW w:w="736" w:type="dxa"/>
            <w:tcBorders>
              <w:right w:val="single" w:color="000000" w:sz="4" w:space="0"/>
            </w:tcBorders>
            <w:vAlign w:val="top"/>
          </w:tcPr>
          <w:p w14:paraId="13C6B4D8">
            <w:pPr>
              <w:pStyle w:val="11"/>
              <w:spacing w:before="287" w:line="220" w:lineRule="auto"/>
              <w:ind w:left="177"/>
              <w:rPr>
                <w:color w:val="auto"/>
                <w:sz w:val="20"/>
                <w:szCs w:val="20"/>
                <w:highlight w:val="none"/>
              </w:rPr>
            </w:pPr>
            <w:r>
              <w:rPr>
                <w:color w:val="auto"/>
                <w:spacing w:val="-2"/>
                <w:sz w:val="20"/>
                <w:szCs w:val="20"/>
                <w:highlight w:val="none"/>
              </w:rPr>
              <w:t>合价</w:t>
            </w:r>
          </w:p>
        </w:tc>
        <w:tc>
          <w:tcPr>
            <w:tcW w:w="947" w:type="dxa"/>
            <w:tcBorders>
              <w:left w:val="single" w:color="000000" w:sz="4" w:space="0"/>
              <w:right w:val="single" w:color="000000" w:sz="4" w:space="0"/>
            </w:tcBorders>
            <w:vAlign w:val="top"/>
          </w:tcPr>
          <w:p w14:paraId="20D65EFF">
            <w:pPr>
              <w:pStyle w:val="11"/>
              <w:spacing w:before="27" w:line="229" w:lineRule="auto"/>
              <w:ind w:left="121" w:right="110" w:firstLine="157"/>
              <w:rPr>
                <w:color w:val="auto"/>
                <w:sz w:val="20"/>
                <w:szCs w:val="20"/>
                <w:highlight w:val="none"/>
              </w:rPr>
            </w:pPr>
            <w:r>
              <w:rPr>
                <w:color w:val="auto"/>
                <w:spacing w:val="-3"/>
                <w:sz w:val="20"/>
                <w:szCs w:val="20"/>
                <w:highlight w:val="none"/>
              </w:rPr>
              <w:t>其中</w:t>
            </w:r>
            <w:r>
              <w:rPr>
                <w:color w:val="auto"/>
                <w:sz w:val="20"/>
                <w:szCs w:val="20"/>
                <w:highlight w:val="none"/>
              </w:rPr>
              <w:t xml:space="preserve">  </w:t>
            </w:r>
            <w:r>
              <w:rPr>
                <w:color w:val="auto"/>
                <w:spacing w:val="-3"/>
                <w:sz w:val="20"/>
                <w:szCs w:val="20"/>
                <w:highlight w:val="none"/>
              </w:rPr>
              <w:t>人工费</w:t>
            </w:r>
            <w:r>
              <w:rPr>
                <w:rFonts w:ascii="Times New Roman" w:hAnsi="Times New Roman" w:eastAsia="Times New Roman" w:cs="Times New Roman"/>
                <w:color w:val="auto"/>
                <w:spacing w:val="-3"/>
                <w:sz w:val="20"/>
                <w:szCs w:val="20"/>
                <w:highlight w:val="none"/>
              </w:rPr>
              <w:t>+</w:t>
            </w:r>
            <w:r>
              <w:rPr>
                <w:rFonts w:ascii="Times New Roman" w:hAnsi="Times New Roman" w:eastAsia="Times New Roman" w:cs="Times New Roman"/>
                <w:color w:val="auto"/>
                <w:spacing w:val="2"/>
                <w:sz w:val="20"/>
                <w:szCs w:val="20"/>
                <w:highlight w:val="none"/>
              </w:rPr>
              <w:t xml:space="preserve"> </w:t>
            </w:r>
            <w:r>
              <w:rPr>
                <w:color w:val="auto"/>
                <w:spacing w:val="17"/>
                <w:sz w:val="20"/>
                <w:szCs w:val="20"/>
                <w:highlight w:val="none"/>
              </w:rPr>
              <w:t>机械费</w:t>
            </w:r>
          </w:p>
        </w:tc>
      </w:tr>
      <w:tr w14:paraId="10AE8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44729BEA">
            <w:pPr>
              <w:rPr>
                <w:rFonts w:ascii="Arial"/>
                <w:color w:val="auto"/>
                <w:sz w:val="21"/>
                <w:highlight w:val="none"/>
              </w:rPr>
            </w:pPr>
          </w:p>
        </w:tc>
        <w:tc>
          <w:tcPr>
            <w:tcW w:w="1043" w:type="dxa"/>
            <w:tcBorders>
              <w:right w:val="single" w:color="000000" w:sz="4" w:space="0"/>
            </w:tcBorders>
            <w:vAlign w:val="top"/>
          </w:tcPr>
          <w:p w14:paraId="64825D9B">
            <w:pPr>
              <w:rPr>
                <w:rFonts w:ascii="Arial"/>
                <w:color w:val="auto"/>
                <w:sz w:val="21"/>
                <w:highlight w:val="none"/>
              </w:rPr>
            </w:pPr>
          </w:p>
        </w:tc>
        <w:tc>
          <w:tcPr>
            <w:tcW w:w="1027" w:type="dxa"/>
            <w:tcBorders>
              <w:left w:val="single" w:color="000000" w:sz="4" w:space="0"/>
              <w:right w:val="single" w:color="000000" w:sz="4" w:space="0"/>
            </w:tcBorders>
            <w:vAlign w:val="top"/>
          </w:tcPr>
          <w:p w14:paraId="05802C29">
            <w:pPr>
              <w:rPr>
                <w:rFonts w:ascii="Arial"/>
                <w:color w:val="auto"/>
                <w:sz w:val="21"/>
                <w:highlight w:val="none"/>
              </w:rPr>
            </w:pPr>
          </w:p>
        </w:tc>
        <w:tc>
          <w:tcPr>
            <w:tcW w:w="1455" w:type="dxa"/>
            <w:tcBorders>
              <w:left w:val="single" w:color="000000" w:sz="4" w:space="0"/>
            </w:tcBorders>
            <w:vAlign w:val="top"/>
          </w:tcPr>
          <w:p w14:paraId="499613E6">
            <w:pPr>
              <w:rPr>
                <w:rFonts w:ascii="Arial"/>
                <w:color w:val="auto"/>
                <w:sz w:val="21"/>
                <w:highlight w:val="none"/>
              </w:rPr>
            </w:pPr>
          </w:p>
        </w:tc>
        <w:tc>
          <w:tcPr>
            <w:tcW w:w="1019" w:type="dxa"/>
            <w:tcBorders>
              <w:right w:val="single" w:color="000000" w:sz="4" w:space="0"/>
            </w:tcBorders>
            <w:vAlign w:val="top"/>
          </w:tcPr>
          <w:p w14:paraId="403958F5">
            <w:pPr>
              <w:rPr>
                <w:rFonts w:ascii="Arial"/>
                <w:color w:val="auto"/>
                <w:sz w:val="21"/>
                <w:highlight w:val="none"/>
              </w:rPr>
            </w:pPr>
          </w:p>
        </w:tc>
        <w:tc>
          <w:tcPr>
            <w:tcW w:w="834" w:type="dxa"/>
            <w:tcBorders>
              <w:left w:val="single" w:color="000000" w:sz="4" w:space="0"/>
              <w:right w:val="single" w:color="000000" w:sz="4" w:space="0"/>
            </w:tcBorders>
            <w:vAlign w:val="top"/>
          </w:tcPr>
          <w:p w14:paraId="52A4A038">
            <w:pPr>
              <w:rPr>
                <w:rFonts w:ascii="Arial"/>
                <w:color w:val="auto"/>
                <w:sz w:val="21"/>
                <w:highlight w:val="none"/>
              </w:rPr>
            </w:pPr>
          </w:p>
        </w:tc>
        <w:tc>
          <w:tcPr>
            <w:tcW w:w="770" w:type="dxa"/>
            <w:tcBorders>
              <w:left w:val="single" w:color="000000" w:sz="4" w:space="0"/>
            </w:tcBorders>
            <w:vAlign w:val="top"/>
          </w:tcPr>
          <w:p w14:paraId="46762749">
            <w:pPr>
              <w:rPr>
                <w:rFonts w:ascii="Arial"/>
                <w:color w:val="auto"/>
                <w:sz w:val="21"/>
                <w:highlight w:val="none"/>
              </w:rPr>
            </w:pPr>
          </w:p>
        </w:tc>
        <w:tc>
          <w:tcPr>
            <w:tcW w:w="736" w:type="dxa"/>
            <w:tcBorders>
              <w:right w:val="single" w:color="000000" w:sz="4" w:space="0"/>
            </w:tcBorders>
            <w:vAlign w:val="top"/>
          </w:tcPr>
          <w:p w14:paraId="5289D6A9">
            <w:pPr>
              <w:rPr>
                <w:rFonts w:ascii="Arial"/>
                <w:color w:val="auto"/>
                <w:sz w:val="21"/>
                <w:highlight w:val="none"/>
              </w:rPr>
            </w:pPr>
          </w:p>
        </w:tc>
        <w:tc>
          <w:tcPr>
            <w:tcW w:w="947" w:type="dxa"/>
            <w:tcBorders>
              <w:left w:val="single" w:color="000000" w:sz="4" w:space="0"/>
              <w:right w:val="single" w:color="000000" w:sz="4" w:space="0"/>
            </w:tcBorders>
            <w:vAlign w:val="top"/>
          </w:tcPr>
          <w:p w14:paraId="186F0EE4">
            <w:pPr>
              <w:rPr>
                <w:rFonts w:ascii="Arial"/>
                <w:color w:val="auto"/>
                <w:sz w:val="21"/>
                <w:highlight w:val="none"/>
              </w:rPr>
            </w:pPr>
          </w:p>
        </w:tc>
      </w:tr>
      <w:tr w14:paraId="23D6E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8758A62">
            <w:pPr>
              <w:rPr>
                <w:rFonts w:ascii="Arial"/>
                <w:color w:val="auto"/>
                <w:sz w:val="21"/>
                <w:highlight w:val="none"/>
              </w:rPr>
            </w:pPr>
          </w:p>
        </w:tc>
        <w:tc>
          <w:tcPr>
            <w:tcW w:w="1043" w:type="dxa"/>
            <w:tcBorders>
              <w:right w:val="single" w:color="000000" w:sz="4" w:space="0"/>
            </w:tcBorders>
            <w:vAlign w:val="top"/>
          </w:tcPr>
          <w:p w14:paraId="14E13349">
            <w:pPr>
              <w:rPr>
                <w:rFonts w:ascii="Arial"/>
                <w:color w:val="auto"/>
                <w:sz w:val="21"/>
                <w:highlight w:val="none"/>
              </w:rPr>
            </w:pPr>
          </w:p>
        </w:tc>
        <w:tc>
          <w:tcPr>
            <w:tcW w:w="1027" w:type="dxa"/>
            <w:tcBorders>
              <w:left w:val="single" w:color="000000" w:sz="4" w:space="0"/>
              <w:right w:val="single" w:color="000000" w:sz="4" w:space="0"/>
            </w:tcBorders>
            <w:vAlign w:val="top"/>
          </w:tcPr>
          <w:p w14:paraId="37A8FA04">
            <w:pPr>
              <w:rPr>
                <w:rFonts w:ascii="Arial"/>
                <w:color w:val="auto"/>
                <w:sz w:val="21"/>
                <w:highlight w:val="none"/>
              </w:rPr>
            </w:pPr>
          </w:p>
        </w:tc>
        <w:tc>
          <w:tcPr>
            <w:tcW w:w="1455" w:type="dxa"/>
            <w:tcBorders>
              <w:left w:val="single" w:color="000000" w:sz="4" w:space="0"/>
            </w:tcBorders>
            <w:vAlign w:val="top"/>
          </w:tcPr>
          <w:p w14:paraId="400DE1B9">
            <w:pPr>
              <w:rPr>
                <w:rFonts w:ascii="Arial"/>
                <w:color w:val="auto"/>
                <w:sz w:val="21"/>
                <w:highlight w:val="none"/>
              </w:rPr>
            </w:pPr>
          </w:p>
        </w:tc>
        <w:tc>
          <w:tcPr>
            <w:tcW w:w="1019" w:type="dxa"/>
            <w:tcBorders>
              <w:right w:val="single" w:color="000000" w:sz="4" w:space="0"/>
            </w:tcBorders>
            <w:vAlign w:val="top"/>
          </w:tcPr>
          <w:p w14:paraId="249B414C">
            <w:pPr>
              <w:rPr>
                <w:rFonts w:ascii="Arial"/>
                <w:color w:val="auto"/>
                <w:sz w:val="21"/>
                <w:highlight w:val="none"/>
              </w:rPr>
            </w:pPr>
          </w:p>
        </w:tc>
        <w:tc>
          <w:tcPr>
            <w:tcW w:w="834" w:type="dxa"/>
            <w:tcBorders>
              <w:left w:val="single" w:color="000000" w:sz="4" w:space="0"/>
              <w:right w:val="single" w:color="000000" w:sz="4" w:space="0"/>
            </w:tcBorders>
            <w:vAlign w:val="top"/>
          </w:tcPr>
          <w:p w14:paraId="390A81C8">
            <w:pPr>
              <w:rPr>
                <w:rFonts w:ascii="Arial"/>
                <w:color w:val="auto"/>
                <w:sz w:val="21"/>
                <w:highlight w:val="none"/>
              </w:rPr>
            </w:pPr>
          </w:p>
        </w:tc>
        <w:tc>
          <w:tcPr>
            <w:tcW w:w="770" w:type="dxa"/>
            <w:tcBorders>
              <w:left w:val="single" w:color="000000" w:sz="4" w:space="0"/>
            </w:tcBorders>
            <w:vAlign w:val="top"/>
          </w:tcPr>
          <w:p w14:paraId="10736293">
            <w:pPr>
              <w:rPr>
                <w:rFonts w:ascii="Arial"/>
                <w:color w:val="auto"/>
                <w:sz w:val="21"/>
                <w:highlight w:val="none"/>
              </w:rPr>
            </w:pPr>
          </w:p>
        </w:tc>
        <w:tc>
          <w:tcPr>
            <w:tcW w:w="736" w:type="dxa"/>
            <w:tcBorders>
              <w:right w:val="single" w:color="000000" w:sz="4" w:space="0"/>
            </w:tcBorders>
            <w:vAlign w:val="top"/>
          </w:tcPr>
          <w:p w14:paraId="17FAFC89">
            <w:pPr>
              <w:rPr>
                <w:rFonts w:ascii="Arial"/>
                <w:color w:val="auto"/>
                <w:sz w:val="21"/>
                <w:highlight w:val="none"/>
              </w:rPr>
            </w:pPr>
          </w:p>
        </w:tc>
        <w:tc>
          <w:tcPr>
            <w:tcW w:w="947" w:type="dxa"/>
            <w:tcBorders>
              <w:left w:val="single" w:color="000000" w:sz="4" w:space="0"/>
              <w:right w:val="single" w:color="000000" w:sz="4" w:space="0"/>
            </w:tcBorders>
            <w:vAlign w:val="top"/>
          </w:tcPr>
          <w:p w14:paraId="6B8699DE">
            <w:pPr>
              <w:rPr>
                <w:rFonts w:ascii="Arial"/>
                <w:color w:val="auto"/>
                <w:sz w:val="21"/>
                <w:highlight w:val="none"/>
              </w:rPr>
            </w:pPr>
          </w:p>
        </w:tc>
      </w:tr>
      <w:tr w14:paraId="23ECF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2E803D63">
            <w:pPr>
              <w:rPr>
                <w:rFonts w:ascii="Arial"/>
                <w:color w:val="auto"/>
                <w:sz w:val="21"/>
                <w:highlight w:val="none"/>
              </w:rPr>
            </w:pPr>
          </w:p>
        </w:tc>
        <w:tc>
          <w:tcPr>
            <w:tcW w:w="1043" w:type="dxa"/>
            <w:tcBorders>
              <w:right w:val="single" w:color="000000" w:sz="4" w:space="0"/>
            </w:tcBorders>
            <w:vAlign w:val="top"/>
          </w:tcPr>
          <w:p w14:paraId="29C3790E">
            <w:pPr>
              <w:rPr>
                <w:rFonts w:ascii="Arial"/>
                <w:color w:val="auto"/>
                <w:sz w:val="21"/>
                <w:highlight w:val="none"/>
              </w:rPr>
            </w:pPr>
          </w:p>
        </w:tc>
        <w:tc>
          <w:tcPr>
            <w:tcW w:w="1027" w:type="dxa"/>
            <w:tcBorders>
              <w:left w:val="single" w:color="000000" w:sz="4" w:space="0"/>
              <w:right w:val="single" w:color="000000" w:sz="4" w:space="0"/>
            </w:tcBorders>
            <w:vAlign w:val="top"/>
          </w:tcPr>
          <w:p w14:paraId="093F819E">
            <w:pPr>
              <w:rPr>
                <w:rFonts w:ascii="Arial"/>
                <w:color w:val="auto"/>
                <w:sz w:val="21"/>
                <w:highlight w:val="none"/>
              </w:rPr>
            </w:pPr>
          </w:p>
        </w:tc>
        <w:tc>
          <w:tcPr>
            <w:tcW w:w="1455" w:type="dxa"/>
            <w:tcBorders>
              <w:left w:val="single" w:color="000000" w:sz="4" w:space="0"/>
            </w:tcBorders>
            <w:vAlign w:val="top"/>
          </w:tcPr>
          <w:p w14:paraId="2724D347">
            <w:pPr>
              <w:rPr>
                <w:rFonts w:ascii="Arial"/>
                <w:color w:val="auto"/>
                <w:sz w:val="21"/>
                <w:highlight w:val="none"/>
              </w:rPr>
            </w:pPr>
          </w:p>
        </w:tc>
        <w:tc>
          <w:tcPr>
            <w:tcW w:w="1019" w:type="dxa"/>
            <w:tcBorders>
              <w:right w:val="single" w:color="000000" w:sz="4" w:space="0"/>
            </w:tcBorders>
            <w:vAlign w:val="top"/>
          </w:tcPr>
          <w:p w14:paraId="390BD60C">
            <w:pPr>
              <w:rPr>
                <w:rFonts w:ascii="Arial"/>
                <w:color w:val="auto"/>
                <w:sz w:val="21"/>
                <w:highlight w:val="none"/>
              </w:rPr>
            </w:pPr>
          </w:p>
        </w:tc>
        <w:tc>
          <w:tcPr>
            <w:tcW w:w="834" w:type="dxa"/>
            <w:tcBorders>
              <w:left w:val="single" w:color="000000" w:sz="4" w:space="0"/>
              <w:right w:val="single" w:color="000000" w:sz="4" w:space="0"/>
            </w:tcBorders>
            <w:vAlign w:val="top"/>
          </w:tcPr>
          <w:p w14:paraId="0EA39D53">
            <w:pPr>
              <w:rPr>
                <w:rFonts w:ascii="Arial"/>
                <w:color w:val="auto"/>
                <w:sz w:val="21"/>
                <w:highlight w:val="none"/>
              </w:rPr>
            </w:pPr>
          </w:p>
        </w:tc>
        <w:tc>
          <w:tcPr>
            <w:tcW w:w="770" w:type="dxa"/>
            <w:tcBorders>
              <w:left w:val="single" w:color="000000" w:sz="4" w:space="0"/>
            </w:tcBorders>
            <w:vAlign w:val="top"/>
          </w:tcPr>
          <w:p w14:paraId="67DF5397">
            <w:pPr>
              <w:rPr>
                <w:rFonts w:ascii="Arial"/>
                <w:color w:val="auto"/>
                <w:sz w:val="21"/>
                <w:highlight w:val="none"/>
              </w:rPr>
            </w:pPr>
          </w:p>
        </w:tc>
        <w:tc>
          <w:tcPr>
            <w:tcW w:w="736" w:type="dxa"/>
            <w:tcBorders>
              <w:right w:val="single" w:color="000000" w:sz="4" w:space="0"/>
            </w:tcBorders>
            <w:vAlign w:val="top"/>
          </w:tcPr>
          <w:p w14:paraId="67D8E3BD">
            <w:pPr>
              <w:rPr>
                <w:rFonts w:ascii="Arial"/>
                <w:color w:val="auto"/>
                <w:sz w:val="21"/>
                <w:highlight w:val="none"/>
              </w:rPr>
            </w:pPr>
          </w:p>
        </w:tc>
        <w:tc>
          <w:tcPr>
            <w:tcW w:w="947" w:type="dxa"/>
            <w:tcBorders>
              <w:left w:val="single" w:color="000000" w:sz="4" w:space="0"/>
              <w:right w:val="single" w:color="000000" w:sz="4" w:space="0"/>
            </w:tcBorders>
            <w:vAlign w:val="top"/>
          </w:tcPr>
          <w:p w14:paraId="75194F4D">
            <w:pPr>
              <w:rPr>
                <w:rFonts w:ascii="Arial"/>
                <w:color w:val="auto"/>
                <w:sz w:val="21"/>
                <w:highlight w:val="none"/>
              </w:rPr>
            </w:pPr>
          </w:p>
        </w:tc>
      </w:tr>
      <w:tr w14:paraId="26202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6C3B40DF">
            <w:pPr>
              <w:rPr>
                <w:rFonts w:ascii="Arial"/>
                <w:color w:val="auto"/>
                <w:sz w:val="21"/>
                <w:highlight w:val="none"/>
              </w:rPr>
            </w:pPr>
          </w:p>
        </w:tc>
        <w:tc>
          <w:tcPr>
            <w:tcW w:w="1043" w:type="dxa"/>
            <w:tcBorders>
              <w:right w:val="single" w:color="000000" w:sz="4" w:space="0"/>
            </w:tcBorders>
            <w:vAlign w:val="top"/>
          </w:tcPr>
          <w:p w14:paraId="1D808D1B">
            <w:pPr>
              <w:rPr>
                <w:rFonts w:ascii="Arial"/>
                <w:color w:val="auto"/>
                <w:sz w:val="21"/>
                <w:highlight w:val="none"/>
              </w:rPr>
            </w:pPr>
          </w:p>
        </w:tc>
        <w:tc>
          <w:tcPr>
            <w:tcW w:w="1027" w:type="dxa"/>
            <w:tcBorders>
              <w:left w:val="single" w:color="000000" w:sz="4" w:space="0"/>
              <w:right w:val="single" w:color="000000" w:sz="4" w:space="0"/>
            </w:tcBorders>
            <w:vAlign w:val="top"/>
          </w:tcPr>
          <w:p w14:paraId="3B316897">
            <w:pPr>
              <w:rPr>
                <w:rFonts w:ascii="Arial"/>
                <w:color w:val="auto"/>
                <w:sz w:val="21"/>
                <w:highlight w:val="none"/>
              </w:rPr>
            </w:pPr>
          </w:p>
        </w:tc>
        <w:tc>
          <w:tcPr>
            <w:tcW w:w="1455" w:type="dxa"/>
            <w:tcBorders>
              <w:left w:val="single" w:color="000000" w:sz="4" w:space="0"/>
            </w:tcBorders>
            <w:vAlign w:val="top"/>
          </w:tcPr>
          <w:p w14:paraId="75E56FB4">
            <w:pPr>
              <w:rPr>
                <w:rFonts w:ascii="Arial"/>
                <w:color w:val="auto"/>
                <w:sz w:val="21"/>
                <w:highlight w:val="none"/>
              </w:rPr>
            </w:pPr>
          </w:p>
        </w:tc>
        <w:tc>
          <w:tcPr>
            <w:tcW w:w="1019" w:type="dxa"/>
            <w:tcBorders>
              <w:right w:val="single" w:color="000000" w:sz="4" w:space="0"/>
            </w:tcBorders>
            <w:vAlign w:val="top"/>
          </w:tcPr>
          <w:p w14:paraId="24727401">
            <w:pPr>
              <w:rPr>
                <w:rFonts w:ascii="Arial"/>
                <w:color w:val="auto"/>
                <w:sz w:val="21"/>
                <w:highlight w:val="none"/>
              </w:rPr>
            </w:pPr>
          </w:p>
        </w:tc>
        <w:tc>
          <w:tcPr>
            <w:tcW w:w="834" w:type="dxa"/>
            <w:tcBorders>
              <w:left w:val="single" w:color="000000" w:sz="4" w:space="0"/>
              <w:right w:val="single" w:color="000000" w:sz="4" w:space="0"/>
            </w:tcBorders>
            <w:vAlign w:val="top"/>
          </w:tcPr>
          <w:p w14:paraId="134CA411">
            <w:pPr>
              <w:rPr>
                <w:rFonts w:ascii="Arial"/>
                <w:color w:val="auto"/>
                <w:sz w:val="21"/>
                <w:highlight w:val="none"/>
              </w:rPr>
            </w:pPr>
          </w:p>
        </w:tc>
        <w:tc>
          <w:tcPr>
            <w:tcW w:w="770" w:type="dxa"/>
            <w:tcBorders>
              <w:left w:val="single" w:color="000000" w:sz="4" w:space="0"/>
            </w:tcBorders>
            <w:vAlign w:val="top"/>
          </w:tcPr>
          <w:p w14:paraId="5F8264FA">
            <w:pPr>
              <w:rPr>
                <w:rFonts w:ascii="Arial"/>
                <w:color w:val="auto"/>
                <w:sz w:val="21"/>
                <w:highlight w:val="none"/>
              </w:rPr>
            </w:pPr>
          </w:p>
        </w:tc>
        <w:tc>
          <w:tcPr>
            <w:tcW w:w="736" w:type="dxa"/>
            <w:tcBorders>
              <w:right w:val="single" w:color="000000" w:sz="4" w:space="0"/>
            </w:tcBorders>
            <w:vAlign w:val="top"/>
          </w:tcPr>
          <w:p w14:paraId="13BFA87D">
            <w:pPr>
              <w:rPr>
                <w:rFonts w:ascii="Arial"/>
                <w:color w:val="auto"/>
                <w:sz w:val="21"/>
                <w:highlight w:val="none"/>
              </w:rPr>
            </w:pPr>
          </w:p>
        </w:tc>
        <w:tc>
          <w:tcPr>
            <w:tcW w:w="947" w:type="dxa"/>
            <w:tcBorders>
              <w:left w:val="single" w:color="000000" w:sz="4" w:space="0"/>
              <w:right w:val="single" w:color="000000" w:sz="4" w:space="0"/>
            </w:tcBorders>
            <w:vAlign w:val="top"/>
          </w:tcPr>
          <w:p w14:paraId="1C955CE1">
            <w:pPr>
              <w:rPr>
                <w:rFonts w:ascii="Arial"/>
                <w:color w:val="auto"/>
                <w:sz w:val="21"/>
                <w:highlight w:val="none"/>
              </w:rPr>
            </w:pPr>
          </w:p>
        </w:tc>
      </w:tr>
      <w:tr w14:paraId="426DA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1F02C58F">
            <w:pPr>
              <w:rPr>
                <w:rFonts w:ascii="Arial"/>
                <w:color w:val="auto"/>
                <w:sz w:val="21"/>
                <w:highlight w:val="none"/>
              </w:rPr>
            </w:pPr>
          </w:p>
        </w:tc>
        <w:tc>
          <w:tcPr>
            <w:tcW w:w="1043" w:type="dxa"/>
            <w:tcBorders>
              <w:right w:val="single" w:color="000000" w:sz="4" w:space="0"/>
            </w:tcBorders>
            <w:vAlign w:val="top"/>
          </w:tcPr>
          <w:p w14:paraId="243180FC">
            <w:pPr>
              <w:rPr>
                <w:rFonts w:ascii="Arial"/>
                <w:color w:val="auto"/>
                <w:sz w:val="21"/>
                <w:highlight w:val="none"/>
              </w:rPr>
            </w:pPr>
          </w:p>
        </w:tc>
        <w:tc>
          <w:tcPr>
            <w:tcW w:w="1027" w:type="dxa"/>
            <w:tcBorders>
              <w:left w:val="single" w:color="000000" w:sz="4" w:space="0"/>
              <w:right w:val="single" w:color="000000" w:sz="4" w:space="0"/>
            </w:tcBorders>
            <w:vAlign w:val="top"/>
          </w:tcPr>
          <w:p w14:paraId="60032623">
            <w:pPr>
              <w:rPr>
                <w:rFonts w:ascii="Arial"/>
                <w:color w:val="auto"/>
                <w:sz w:val="21"/>
                <w:highlight w:val="none"/>
              </w:rPr>
            </w:pPr>
          </w:p>
        </w:tc>
        <w:tc>
          <w:tcPr>
            <w:tcW w:w="1455" w:type="dxa"/>
            <w:tcBorders>
              <w:left w:val="single" w:color="000000" w:sz="4" w:space="0"/>
            </w:tcBorders>
            <w:vAlign w:val="top"/>
          </w:tcPr>
          <w:p w14:paraId="3D34597D">
            <w:pPr>
              <w:rPr>
                <w:rFonts w:ascii="Arial"/>
                <w:color w:val="auto"/>
                <w:sz w:val="21"/>
                <w:highlight w:val="none"/>
              </w:rPr>
            </w:pPr>
          </w:p>
        </w:tc>
        <w:tc>
          <w:tcPr>
            <w:tcW w:w="1019" w:type="dxa"/>
            <w:tcBorders>
              <w:right w:val="single" w:color="000000" w:sz="4" w:space="0"/>
            </w:tcBorders>
            <w:vAlign w:val="top"/>
          </w:tcPr>
          <w:p w14:paraId="6C089B5C">
            <w:pPr>
              <w:rPr>
                <w:rFonts w:ascii="Arial"/>
                <w:color w:val="auto"/>
                <w:sz w:val="21"/>
                <w:highlight w:val="none"/>
              </w:rPr>
            </w:pPr>
          </w:p>
        </w:tc>
        <w:tc>
          <w:tcPr>
            <w:tcW w:w="834" w:type="dxa"/>
            <w:tcBorders>
              <w:left w:val="single" w:color="000000" w:sz="4" w:space="0"/>
              <w:right w:val="single" w:color="000000" w:sz="4" w:space="0"/>
            </w:tcBorders>
            <w:vAlign w:val="top"/>
          </w:tcPr>
          <w:p w14:paraId="645F1ED6">
            <w:pPr>
              <w:rPr>
                <w:rFonts w:ascii="Arial"/>
                <w:color w:val="auto"/>
                <w:sz w:val="21"/>
                <w:highlight w:val="none"/>
              </w:rPr>
            </w:pPr>
          </w:p>
        </w:tc>
        <w:tc>
          <w:tcPr>
            <w:tcW w:w="770" w:type="dxa"/>
            <w:tcBorders>
              <w:left w:val="single" w:color="000000" w:sz="4" w:space="0"/>
            </w:tcBorders>
            <w:vAlign w:val="top"/>
          </w:tcPr>
          <w:p w14:paraId="00F84F7D">
            <w:pPr>
              <w:rPr>
                <w:rFonts w:ascii="Arial"/>
                <w:color w:val="auto"/>
                <w:sz w:val="21"/>
                <w:highlight w:val="none"/>
              </w:rPr>
            </w:pPr>
          </w:p>
        </w:tc>
        <w:tc>
          <w:tcPr>
            <w:tcW w:w="736" w:type="dxa"/>
            <w:tcBorders>
              <w:right w:val="single" w:color="000000" w:sz="4" w:space="0"/>
            </w:tcBorders>
            <w:vAlign w:val="top"/>
          </w:tcPr>
          <w:p w14:paraId="6CF6B680">
            <w:pPr>
              <w:rPr>
                <w:rFonts w:ascii="Arial"/>
                <w:color w:val="auto"/>
                <w:sz w:val="21"/>
                <w:highlight w:val="none"/>
              </w:rPr>
            </w:pPr>
          </w:p>
        </w:tc>
        <w:tc>
          <w:tcPr>
            <w:tcW w:w="947" w:type="dxa"/>
            <w:tcBorders>
              <w:left w:val="single" w:color="000000" w:sz="4" w:space="0"/>
              <w:right w:val="single" w:color="000000" w:sz="4" w:space="0"/>
            </w:tcBorders>
            <w:vAlign w:val="top"/>
          </w:tcPr>
          <w:p w14:paraId="3F4B1E51">
            <w:pPr>
              <w:rPr>
                <w:rFonts w:ascii="Arial"/>
                <w:color w:val="auto"/>
                <w:sz w:val="21"/>
                <w:highlight w:val="none"/>
              </w:rPr>
            </w:pPr>
          </w:p>
        </w:tc>
      </w:tr>
      <w:tr w14:paraId="6F75E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348FCCE">
            <w:pPr>
              <w:rPr>
                <w:rFonts w:ascii="Arial"/>
                <w:color w:val="auto"/>
                <w:sz w:val="21"/>
                <w:highlight w:val="none"/>
              </w:rPr>
            </w:pPr>
          </w:p>
        </w:tc>
        <w:tc>
          <w:tcPr>
            <w:tcW w:w="1043" w:type="dxa"/>
            <w:tcBorders>
              <w:right w:val="single" w:color="000000" w:sz="4" w:space="0"/>
            </w:tcBorders>
            <w:vAlign w:val="top"/>
          </w:tcPr>
          <w:p w14:paraId="1D1C093E">
            <w:pPr>
              <w:rPr>
                <w:rFonts w:ascii="Arial"/>
                <w:color w:val="auto"/>
                <w:sz w:val="21"/>
                <w:highlight w:val="none"/>
              </w:rPr>
            </w:pPr>
          </w:p>
        </w:tc>
        <w:tc>
          <w:tcPr>
            <w:tcW w:w="1027" w:type="dxa"/>
            <w:tcBorders>
              <w:left w:val="single" w:color="000000" w:sz="4" w:space="0"/>
              <w:right w:val="single" w:color="000000" w:sz="4" w:space="0"/>
            </w:tcBorders>
            <w:vAlign w:val="top"/>
          </w:tcPr>
          <w:p w14:paraId="31CAF042">
            <w:pPr>
              <w:rPr>
                <w:rFonts w:ascii="Arial"/>
                <w:color w:val="auto"/>
                <w:sz w:val="21"/>
                <w:highlight w:val="none"/>
              </w:rPr>
            </w:pPr>
          </w:p>
        </w:tc>
        <w:tc>
          <w:tcPr>
            <w:tcW w:w="1455" w:type="dxa"/>
            <w:tcBorders>
              <w:left w:val="single" w:color="000000" w:sz="4" w:space="0"/>
            </w:tcBorders>
            <w:vAlign w:val="top"/>
          </w:tcPr>
          <w:p w14:paraId="43CCDA0A">
            <w:pPr>
              <w:rPr>
                <w:rFonts w:ascii="Arial"/>
                <w:color w:val="auto"/>
                <w:sz w:val="21"/>
                <w:highlight w:val="none"/>
              </w:rPr>
            </w:pPr>
          </w:p>
        </w:tc>
        <w:tc>
          <w:tcPr>
            <w:tcW w:w="1019" w:type="dxa"/>
            <w:tcBorders>
              <w:right w:val="single" w:color="000000" w:sz="4" w:space="0"/>
            </w:tcBorders>
            <w:vAlign w:val="top"/>
          </w:tcPr>
          <w:p w14:paraId="4D69A2C5">
            <w:pPr>
              <w:rPr>
                <w:rFonts w:ascii="Arial"/>
                <w:color w:val="auto"/>
                <w:sz w:val="21"/>
                <w:highlight w:val="none"/>
              </w:rPr>
            </w:pPr>
          </w:p>
        </w:tc>
        <w:tc>
          <w:tcPr>
            <w:tcW w:w="834" w:type="dxa"/>
            <w:tcBorders>
              <w:left w:val="single" w:color="000000" w:sz="4" w:space="0"/>
              <w:right w:val="single" w:color="000000" w:sz="4" w:space="0"/>
            </w:tcBorders>
            <w:vAlign w:val="top"/>
          </w:tcPr>
          <w:p w14:paraId="000E5826">
            <w:pPr>
              <w:rPr>
                <w:rFonts w:ascii="Arial"/>
                <w:color w:val="auto"/>
                <w:sz w:val="21"/>
                <w:highlight w:val="none"/>
              </w:rPr>
            </w:pPr>
          </w:p>
        </w:tc>
        <w:tc>
          <w:tcPr>
            <w:tcW w:w="770" w:type="dxa"/>
            <w:tcBorders>
              <w:left w:val="single" w:color="000000" w:sz="4" w:space="0"/>
            </w:tcBorders>
            <w:vAlign w:val="top"/>
          </w:tcPr>
          <w:p w14:paraId="0EF1AE41">
            <w:pPr>
              <w:rPr>
                <w:rFonts w:ascii="Arial"/>
                <w:color w:val="auto"/>
                <w:sz w:val="21"/>
                <w:highlight w:val="none"/>
              </w:rPr>
            </w:pPr>
          </w:p>
        </w:tc>
        <w:tc>
          <w:tcPr>
            <w:tcW w:w="736" w:type="dxa"/>
            <w:tcBorders>
              <w:right w:val="single" w:color="000000" w:sz="4" w:space="0"/>
            </w:tcBorders>
            <w:vAlign w:val="top"/>
          </w:tcPr>
          <w:p w14:paraId="296F8648">
            <w:pPr>
              <w:rPr>
                <w:rFonts w:ascii="Arial"/>
                <w:color w:val="auto"/>
                <w:sz w:val="21"/>
                <w:highlight w:val="none"/>
              </w:rPr>
            </w:pPr>
          </w:p>
        </w:tc>
        <w:tc>
          <w:tcPr>
            <w:tcW w:w="947" w:type="dxa"/>
            <w:tcBorders>
              <w:left w:val="single" w:color="000000" w:sz="4" w:space="0"/>
              <w:right w:val="single" w:color="000000" w:sz="4" w:space="0"/>
            </w:tcBorders>
            <w:vAlign w:val="top"/>
          </w:tcPr>
          <w:p w14:paraId="2C080644">
            <w:pPr>
              <w:rPr>
                <w:rFonts w:ascii="Arial"/>
                <w:color w:val="auto"/>
                <w:sz w:val="21"/>
                <w:highlight w:val="none"/>
              </w:rPr>
            </w:pPr>
          </w:p>
        </w:tc>
      </w:tr>
      <w:tr w14:paraId="14CA3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2C6DA45A">
            <w:pPr>
              <w:rPr>
                <w:rFonts w:ascii="Arial"/>
                <w:color w:val="auto"/>
                <w:sz w:val="21"/>
                <w:highlight w:val="none"/>
              </w:rPr>
            </w:pPr>
          </w:p>
        </w:tc>
        <w:tc>
          <w:tcPr>
            <w:tcW w:w="1043" w:type="dxa"/>
            <w:tcBorders>
              <w:right w:val="single" w:color="000000" w:sz="4" w:space="0"/>
            </w:tcBorders>
            <w:vAlign w:val="top"/>
          </w:tcPr>
          <w:p w14:paraId="5A9B515A">
            <w:pPr>
              <w:rPr>
                <w:rFonts w:ascii="Arial"/>
                <w:color w:val="auto"/>
                <w:sz w:val="21"/>
                <w:highlight w:val="none"/>
              </w:rPr>
            </w:pPr>
          </w:p>
        </w:tc>
        <w:tc>
          <w:tcPr>
            <w:tcW w:w="1027" w:type="dxa"/>
            <w:tcBorders>
              <w:left w:val="single" w:color="000000" w:sz="4" w:space="0"/>
              <w:right w:val="single" w:color="000000" w:sz="4" w:space="0"/>
            </w:tcBorders>
            <w:vAlign w:val="top"/>
          </w:tcPr>
          <w:p w14:paraId="2463DA93">
            <w:pPr>
              <w:rPr>
                <w:rFonts w:ascii="Arial"/>
                <w:color w:val="auto"/>
                <w:sz w:val="21"/>
                <w:highlight w:val="none"/>
              </w:rPr>
            </w:pPr>
          </w:p>
        </w:tc>
        <w:tc>
          <w:tcPr>
            <w:tcW w:w="1455" w:type="dxa"/>
            <w:tcBorders>
              <w:left w:val="single" w:color="000000" w:sz="4" w:space="0"/>
            </w:tcBorders>
            <w:vAlign w:val="top"/>
          </w:tcPr>
          <w:p w14:paraId="381E77AB">
            <w:pPr>
              <w:rPr>
                <w:rFonts w:ascii="Arial"/>
                <w:color w:val="auto"/>
                <w:sz w:val="21"/>
                <w:highlight w:val="none"/>
              </w:rPr>
            </w:pPr>
          </w:p>
        </w:tc>
        <w:tc>
          <w:tcPr>
            <w:tcW w:w="1019" w:type="dxa"/>
            <w:tcBorders>
              <w:right w:val="single" w:color="000000" w:sz="4" w:space="0"/>
            </w:tcBorders>
            <w:vAlign w:val="top"/>
          </w:tcPr>
          <w:p w14:paraId="0E4B27AC">
            <w:pPr>
              <w:rPr>
                <w:rFonts w:ascii="Arial"/>
                <w:color w:val="auto"/>
                <w:sz w:val="21"/>
                <w:highlight w:val="none"/>
              </w:rPr>
            </w:pPr>
          </w:p>
        </w:tc>
        <w:tc>
          <w:tcPr>
            <w:tcW w:w="834" w:type="dxa"/>
            <w:tcBorders>
              <w:left w:val="single" w:color="000000" w:sz="4" w:space="0"/>
              <w:right w:val="single" w:color="000000" w:sz="4" w:space="0"/>
            </w:tcBorders>
            <w:vAlign w:val="top"/>
          </w:tcPr>
          <w:p w14:paraId="324E86AF">
            <w:pPr>
              <w:rPr>
                <w:rFonts w:ascii="Arial"/>
                <w:color w:val="auto"/>
                <w:sz w:val="21"/>
                <w:highlight w:val="none"/>
              </w:rPr>
            </w:pPr>
          </w:p>
        </w:tc>
        <w:tc>
          <w:tcPr>
            <w:tcW w:w="770" w:type="dxa"/>
            <w:tcBorders>
              <w:left w:val="single" w:color="000000" w:sz="4" w:space="0"/>
            </w:tcBorders>
            <w:vAlign w:val="top"/>
          </w:tcPr>
          <w:p w14:paraId="2E859F04">
            <w:pPr>
              <w:rPr>
                <w:rFonts w:ascii="Arial"/>
                <w:color w:val="auto"/>
                <w:sz w:val="21"/>
                <w:highlight w:val="none"/>
              </w:rPr>
            </w:pPr>
          </w:p>
        </w:tc>
        <w:tc>
          <w:tcPr>
            <w:tcW w:w="736" w:type="dxa"/>
            <w:tcBorders>
              <w:right w:val="single" w:color="000000" w:sz="4" w:space="0"/>
            </w:tcBorders>
            <w:vAlign w:val="top"/>
          </w:tcPr>
          <w:p w14:paraId="03CE228A">
            <w:pPr>
              <w:rPr>
                <w:rFonts w:ascii="Arial"/>
                <w:color w:val="auto"/>
                <w:sz w:val="21"/>
                <w:highlight w:val="none"/>
              </w:rPr>
            </w:pPr>
          </w:p>
        </w:tc>
        <w:tc>
          <w:tcPr>
            <w:tcW w:w="947" w:type="dxa"/>
            <w:tcBorders>
              <w:left w:val="single" w:color="000000" w:sz="4" w:space="0"/>
              <w:right w:val="single" w:color="000000" w:sz="4" w:space="0"/>
            </w:tcBorders>
            <w:vAlign w:val="top"/>
          </w:tcPr>
          <w:p w14:paraId="0C7918BA">
            <w:pPr>
              <w:rPr>
                <w:rFonts w:ascii="Arial"/>
                <w:color w:val="auto"/>
                <w:sz w:val="21"/>
                <w:highlight w:val="none"/>
              </w:rPr>
            </w:pPr>
          </w:p>
        </w:tc>
      </w:tr>
      <w:tr w14:paraId="1B39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4816382A">
            <w:pPr>
              <w:rPr>
                <w:rFonts w:ascii="Arial"/>
                <w:color w:val="auto"/>
                <w:sz w:val="21"/>
                <w:highlight w:val="none"/>
              </w:rPr>
            </w:pPr>
          </w:p>
        </w:tc>
        <w:tc>
          <w:tcPr>
            <w:tcW w:w="1043" w:type="dxa"/>
            <w:tcBorders>
              <w:right w:val="single" w:color="000000" w:sz="4" w:space="0"/>
            </w:tcBorders>
            <w:vAlign w:val="top"/>
          </w:tcPr>
          <w:p w14:paraId="4188353B">
            <w:pPr>
              <w:rPr>
                <w:rFonts w:ascii="Arial"/>
                <w:color w:val="auto"/>
                <w:sz w:val="21"/>
                <w:highlight w:val="none"/>
              </w:rPr>
            </w:pPr>
          </w:p>
        </w:tc>
        <w:tc>
          <w:tcPr>
            <w:tcW w:w="1027" w:type="dxa"/>
            <w:tcBorders>
              <w:left w:val="single" w:color="000000" w:sz="4" w:space="0"/>
              <w:right w:val="single" w:color="000000" w:sz="4" w:space="0"/>
            </w:tcBorders>
            <w:vAlign w:val="top"/>
          </w:tcPr>
          <w:p w14:paraId="3AA72119">
            <w:pPr>
              <w:rPr>
                <w:rFonts w:ascii="Arial"/>
                <w:color w:val="auto"/>
                <w:sz w:val="21"/>
                <w:highlight w:val="none"/>
              </w:rPr>
            </w:pPr>
          </w:p>
        </w:tc>
        <w:tc>
          <w:tcPr>
            <w:tcW w:w="1455" w:type="dxa"/>
            <w:tcBorders>
              <w:left w:val="single" w:color="000000" w:sz="4" w:space="0"/>
            </w:tcBorders>
            <w:vAlign w:val="top"/>
          </w:tcPr>
          <w:p w14:paraId="02112714">
            <w:pPr>
              <w:rPr>
                <w:rFonts w:ascii="Arial"/>
                <w:color w:val="auto"/>
                <w:sz w:val="21"/>
                <w:highlight w:val="none"/>
              </w:rPr>
            </w:pPr>
          </w:p>
        </w:tc>
        <w:tc>
          <w:tcPr>
            <w:tcW w:w="1019" w:type="dxa"/>
            <w:tcBorders>
              <w:right w:val="single" w:color="000000" w:sz="4" w:space="0"/>
            </w:tcBorders>
            <w:vAlign w:val="top"/>
          </w:tcPr>
          <w:p w14:paraId="49FE0250">
            <w:pPr>
              <w:rPr>
                <w:rFonts w:ascii="Arial"/>
                <w:color w:val="auto"/>
                <w:sz w:val="21"/>
                <w:highlight w:val="none"/>
              </w:rPr>
            </w:pPr>
          </w:p>
        </w:tc>
        <w:tc>
          <w:tcPr>
            <w:tcW w:w="834" w:type="dxa"/>
            <w:tcBorders>
              <w:left w:val="single" w:color="000000" w:sz="4" w:space="0"/>
              <w:right w:val="single" w:color="000000" w:sz="4" w:space="0"/>
            </w:tcBorders>
            <w:vAlign w:val="top"/>
          </w:tcPr>
          <w:p w14:paraId="4599B769">
            <w:pPr>
              <w:rPr>
                <w:rFonts w:ascii="Arial"/>
                <w:color w:val="auto"/>
                <w:sz w:val="21"/>
                <w:highlight w:val="none"/>
              </w:rPr>
            </w:pPr>
          </w:p>
        </w:tc>
        <w:tc>
          <w:tcPr>
            <w:tcW w:w="770" w:type="dxa"/>
            <w:tcBorders>
              <w:left w:val="single" w:color="000000" w:sz="4" w:space="0"/>
            </w:tcBorders>
            <w:vAlign w:val="top"/>
          </w:tcPr>
          <w:p w14:paraId="3CD62F0D">
            <w:pPr>
              <w:rPr>
                <w:rFonts w:ascii="Arial"/>
                <w:color w:val="auto"/>
                <w:sz w:val="21"/>
                <w:highlight w:val="none"/>
              </w:rPr>
            </w:pPr>
          </w:p>
        </w:tc>
        <w:tc>
          <w:tcPr>
            <w:tcW w:w="736" w:type="dxa"/>
            <w:tcBorders>
              <w:right w:val="single" w:color="000000" w:sz="4" w:space="0"/>
            </w:tcBorders>
            <w:vAlign w:val="top"/>
          </w:tcPr>
          <w:p w14:paraId="4A3FEECD">
            <w:pPr>
              <w:rPr>
                <w:rFonts w:ascii="Arial"/>
                <w:color w:val="auto"/>
                <w:sz w:val="21"/>
                <w:highlight w:val="none"/>
              </w:rPr>
            </w:pPr>
          </w:p>
        </w:tc>
        <w:tc>
          <w:tcPr>
            <w:tcW w:w="947" w:type="dxa"/>
            <w:tcBorders>
              <w:left w:val="single" w:color="000000" w:sz="4" w:space="0"/>
              <w:right w:val="single" w:color="000000" w:sz="4" w:space="0"/>
            </w:tcBorders>
            <w:vAlign w:val="top"/>
          </w:tcPr>
          <w:p w14:paraId="6A399DD3">
            <w:pPr>
              <w:rPr>
                <w:rFonts w:ascii="Arial"/>
                <w:color w:val="auto"/>
                <w:sz w:val="21"/>
                <w:highlight w:val="none"/>
              </w:rPr>
            </w:pPr>
          </w:p>
        </w:tc>
      </w:tr>
      <w:tr w14:paraId="63C3B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24091587">
            <w:pPr>
              <w:rPr>
                <w:rFonts w:ascii="Arial"/>
                <w:color w:val="auto"/>
                <w:sz w:val="21"/>
                <w:highlight w:val="none"/>
              </w:rPr>
            </w:pPr>
          </w:p>
        </w:tc>
        <w:tc>
          <w:tcPr>
            <w:tcW w:w="1043" w:type="dxa"/>
            <w:tcBorders>
              <w:right w:val="single" w:color="000000" w:sz="4" w:space="0"/>
            </w:tcBorders>
            <w:vAlign w:val="top"/>
          </w:tcPr>
          <w:p w14:paraId="71F37EB0">
            <w:pPr>
              <w:rPr>
                <w:rFonts w:ascii="Arial"/>
                <w:color w:val="auto"/>
                <w:sz w:val="21"/>
                <w:highlight w:val="none"/>
              </w:rPr>
            </w:pPr>
          </w:p>
        </w:tc>
        <w:tc>
          <w:tcPr>
            <w:tcW w:w="1027" w:type="dxa"/>
            <w:tcBorders>
              <w:left w:val="single" w:color="000000" w:sz="4" w:space="0"/>
              <w:right w:val="single" w:color="000000" w:sz="4" w:space="0"/>
            </w:tcBorders>
            <w:vAlign w:val="top"/>
          </w:tcPr>
          <w:p w14:paraId="4CC57B8D">
            <w:pPr>
              <w:rPr>
                <w:rFonts w:ascii="Arial"/>
                <w:color w:val="auto"/>
                <w:sz w:val="21"/>
                <w:highlight w:val="none"/>
              </w:rPr>
            </w:pPr>
          </w:p>
        </w:tc>
        <w:tc>
          <w:tcPr>
            <w:tcW w:w="1455" w:type="dxa"/>
            <w:tcBorders>
              <w:left w:val="single" w:color="000000" w:sz="4" w:space="0"/>
            </w:tcBorders>
            <w:vAlign w:val="top"/>
          </w:tcPr>
          <w:p w14:paraId="002E7597">
            <w:pPr>
              <w:rPr>
                <w:rFonts w:ascii="Arial"/>
                <w:color w:val="auto"/>
                <w:sz w:val="21"/>
                <w:highlight w:val="none"/>
              </w:rPr>
            </w:pPr>
          </w:p>
        </w:tc>
        <w:tc>
          <w:tcPr>
            <w:tcW w:w="1019" w:type="dxa"/>
            <w:tcBorders>
              <w:right w:val="single" w:color="000000" w:sz="4" w:space="0"/>
            </w:tcBorders>
            <w:vAlign w:val="top"/>
          </w:tcPr>
          <w:p w14:paraId="6340D7B1">
            <w:pPr>
              <w:rPr>
                <w:rFonts w:ascii="Arial"/>
                <w:color w:val="auto"/>
                <w:sz w:val="21"/>
                <w:highlight w:val="none"/>
              </w:rPr>
            </w:pPr>
          </w:p>
        </w:tc>
        <w:tc>
          <w:tcPr>
            <w:tcW w:w="834" w:type="dxa"/>
            <w:tcBorders>
              <w:left w:val="single" w:color="000000" w:sz="4" w:space="0"/>
              <w:right w:val="single" w:color="000000" w:sz="4" w:space="0"/>
            </w:tcBorders>
            <w:vAlign w:val="top"/>
          </w:tcPr>
          <w:p w14:paraId="0CF918AA">
            <w:pPr>
              <w:rPr>
                <w:rFonts w:ascii="Arial"/>
                <w:color w:val="auto"/>
                <w:sz w:val="21"/>
                <w:highlight w:val="none"/>
              </w:rPr>
            </w:pPr>
          </w:p>
        </w:tc>
        <w:tc>
          <w:tcPr>
            <w:tcW w:w="770" w:type="dxa"/>
            <w:tcBorders>
              <w:left w:val="single" w:color="000000" w:sz="4" w:space="0"/>
            </w:tcBorders>
            <w:vAlign w:val="top"/>
          </w:tcPr>
          <w:p w14:paraId="4BBCFC7D">
            <w:pPr>
              <w:rPr>
                <w:rFonts w:ascii="Arial"/>
                <w:color w:val="auto"/>
                <w:sz w:val="21"/>
                <w:highlight w:val="none"/>
              </w:rPr>
            </w:pPr>
          </w:p>
        </w:tc>
        <w:tc>
          <w:tcPr>
            <w:tcW w:w="736" w:type="dxa"/>
            <w:tcBorders>
              <w:right w:val="single" w:color="000000" w:sz="4" w:space="0"/>
            </w:tcBorders>
            <w:vAlign w:val="top"/>
          </w:tcPr>
          <w:p w14:paraId="34733516">
            <w:pPr>
              <w:rPr>
                <w:rFonts w:ascii="Arial"/>
                <w:color w:val="auto"/>
                <w:sz w:val="21"/>
                <w:highlight w:val="none"/>
              </w:rPr>
            </w:pPr>
          </w:p>
        </w:tc>
        <w:tc>
          <w:tcPr>
            <w:tcW w:w="947" w:type="dxa"/>
            <w:tcBorders>
              <w:left w:val="single" w:color="000000" w:sz="4" w:space="0"/>
              <w:right w:val="single" w:color="000000" w:sz="4" w:space="0"/>
            </w:tcBorders>
            <w:vAlign w:val="top"/>
          </w:tcPr>
          <w:p w14:paraId="55A85329">
            <w:pPr>
              <w:rPr>
                <w:rFonts w:ascii="Arial"/>
                <w:color w:val="auto"/>
                <w:sz w:val="21"/>
                <w:highlight w:val="none"/>
              </w:rPr>
            </w:pPr>
          </w:p>
        </w:tc>
      </w:tr>
      <w:tr w14:paraId="124B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2E6C803D">
            <w:pPr>
              <w:rPr>
                <w:rFonts w:ascii="Arial"/>
                <w:color w:val="auto"/>
                <w:sz w:val="21"/>
                <w:highlight w:val="none"/>
              </w:rPr>
            </w:pPr>
          </w:p>
        </w:tc>
        <w:tc>
          <w:tcPr>
            <w:tcW w:w="1043" w:type="dxa"/>
            <w:tcBorders>
              <w:right w:val="single" w:color="000000" w:sz="4" w:space="0"/>
            </w:tcBorders>
            <w:vAlign w:val="top"/>
          </w:tcPr>
          <w:p w14:paraId="5FF88FE6">
            <w:pPr>
              <w:rPr>
                <w:rFonts w:ascii="Arial"/>
                <w:color w:val="auto"/>
                <w:sz w:val="21"/>
                <w:highlight w:val="none"/>
              </w:rPr>
            </w:pPr>
          </w:p>
        </w:tc>
        <w:tc>
          <w:tcPr>
            <w:tcW w:w="1027" w:type="dxa"/>
            <w:tcBorders>
              <w:left w:val="single" w:color="000000" w:sz="4" w:space="0"/>
              <w:right w:val="single" w:color="000000" w:sz="4" w:space="0"/>
            </w:tcBorders>
            <w:vAlign w:val="top"/>
          </w:tcPr>
          <w:p w14:paraId="212BD71C">
            <w:pPr>
              <w:rPr>
                <w:rFonts w:ascii="Arial"/>
                <w:color w:val="auto"/>
                <w:sz w:val="21"/>
                <w:highlight w:val="none"/>
              </w:rPr>
            </w:pPr>
          </w:p>
        </w:tc>
        <w:tc>
          <w:tcPr>
            <w:tcW w:w="1455" w:type="dxa"/>
            <w:tcBorders>
              <w:left w:val="single" w:color="000000" w:sz="4" w:space="0"/>
            </w:tcBorders>
            <w:vAlign w:val="top"/>
          </w:tcPr>
          <w:p w14:paraId="32D05B03">
            <w:pPr>
              <w:rPr>
                <w:rFonts w:ascii="Arial"/>
                <w:color w:val="auto"/>
                <w:sz w:val="21"/>
                <w:highlight w:val="none"/>
              </w:rPr>
            </w:pPr>
          </w:p>
        </w:tc>
        <w:tc>
          <w:tcPr>
            <w:tcW w:w="1019" w:type="dxa"/>
            <w:tcBorders>
              <w:right w:val="single" w:color="000000" w:sz="4" w:space="0"/>
            </w:tcBorders>
            <w:vAlign w:val="top"/>
          </w:tcPr>
          <w:p w14:paraId="7A2F18DE">
            <w:pPr>
              <w:rPr>
                <w:rFonts w:ascii="Arial"/>
                <w:color w:val="auto"/>
                <w:sz w:val="21"/>
                <w:highlight w:val="none"/>
              </w:rPr>
            </w:pPr>
          </w:p>
        </w:tc>
        <w:tc>
          <w:tcPr>
            <w:tcW w:w="834" w:type="dxa"/>
            <w:tcBorders>
              <w:left w:val="single" w:color="000000" w:sz="4" w:space="0"/>
              <w:right w:val="single" w:color="000000" w:sz="4" w:space="0"/>
            </w:tcBorders>
            <w:vAlign w:val="top"/>
          </w:tcPr>
          <w:p w14:paraId="36CB36EF">
            <w:pPr>
              <w:rPr>
                <w:rFonts w:ascii="Arial"/>
                <w:color w:val="auto"/>
                <w:sz w:val="21"/>
                <w:highlight w:val="none"/>
              </w:rPr>
            </w:pPr>
          </w:p>
        </w:tc>
        <w:tc>
          <w:tcPr>
            <w:tcW w:w="770" w:type="dxa"/>
            <w:tcBorders>
              <w:left w:val="single" w:color="000000" w:sz="4" w:space="0"/>
            </w:tcBorders>
            <w:vAlign w:val="top"/>
          </w:tcPr>
          <w:p w14:paraId="7BF8FA76">
            <w:pPr>
              <w:rPr>
                <w:rFonts w:ascii="Arial"/>
                <w:color w:val="auto"/>
                <w:sz w:val="21"/>
                <w:highlight w:val="none"/>
              </w:rPr>
            </w:pPr>
          </w:p>
        </w:tc>
        <w:tc>
          <w:tcPr>
            <w:tcW w:w="736" w:type="dxa"/>
            <w:tcBorders>
              <w:right w:val="single" w:color="000000" w:sz="4" w:space="0"/>
            </w:tcBorders>
            <w:vAlign w:val="top"/>
          </w:tcPr>
          <w:p w14:paraId="2294AAAA">
            <w:pPr>
              <w:rPr>
                <w:rFonts w:ascii="Arial"/>
                <w:color w:val="auto"/>
                <w:sz w:val="21"/>
                <w:highlight w:val="none"/>
              </w:rPr>
            </w:pPr>
          </w:p>
        </w:tc>
        <w:tc>
          <w:tcPr>
            <w:tcW w:w="947" w:type="dxa"/>
            <w:tcBorders>
              <w:left w:val="single" w:color="000000" w:sz="4" w:space="0"/>
              <w:right w:val="single" w:color="000000" w:sz="4" w:space="0"/>
            </w:tcBorders>
            <w:vAlign w:val="top"/>
          </w:tcPr>
          <w:p w14:paraId="5AB2C1E3">
            <w:pPr>
              <w:rPr>
                <w:rFonts w:ascii="Arial"/>
                <w:color w:val="auto"/>
                <w:sz w:val="21"/>
                <w:highlight w:val="none"/>
              </w:rPr>
            </w:pPr>
          </w:p>
        </w:tc>
      </w:tr>
      <w:tr w14:paraId="3ABAF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562FE807">
            <w:pPr>
              <w:rPr>
                <w:rFonts w:ascii="Arial"/>
                <w:color w:val="auto"/>
                <w:sz w:val="21"/>
                <w:highlight w:val="none"/>
              </w:rPr>
            </w:pPr>
          </w:p>
        </w:tc>
        <w:tc>
          <w:tcPr>
            <w:tcW w:w="1043" w:type="dxa"/>
            <w:tcBorders>
              <w:right w:val="single" w:color="000000" w:sz="4" w:space="0"/>
            </w:tcBorders>
            <w:vAlign w:val="top"/>
          </w:tcPr>
          <w:p w14:paraId="507C74DE">
            <w:pPr>
              <w:rPr>
                <w:rFonts w:ascii="Arial"/>
                <w:color w:val="auto"/>
                <w:sz w:val="21"/>
                <w:highlight w:val="none"/>
              </w:rPr>
            </w:pPr>
          </w:p>
        </w:tc>
        <w:tc>
          <w:tcPr>
            <w:tcW w:w="1027" w:type="dxa"/>
            <w:tcBorders>
              <w:left w:val="single" w:color="000000" w:sz="4" w:space="0"/>
              <w:right w:val="single" w:color="000000" w:sz="4" w:space="0"/>
            </w:tcBorders>
            <w:vAlign w:val="top"/>
          </w:tcPr>
          <w:p w14:paraId="798A2B09">
            <w:pPr>
              <w:rPr>
                <w:rFonts w:ascii="Arial"/>
                <w:color w:val="auto"/>
                <w:sz w:val="21"/>
                <w:highlight w:val="none"/>
              </w:rPr>
            </w:pPr>
          </w:p>
        </w:tc>
        <w:tc>
          <w:tcPr>
            <w:tcW w:w="1455" w:type="dxa"/>
            <w:tcBorders>
              <w:left w:val="single" w:color="000000" w:sz="4" w:space="0"/>
            </w:tcBorders>
            <w:vAlign w:val="top"/>
          </w:tcPr>
          <w:p w14:paraId="4E8261ED">
            <w:pPr>
              <w:rPr>
                <w:rFonts w:ascii="Arial"/>
                <w:color w:val="auto"/>
                <w:sz w:val="21"/>
                <w:highlight w:val="none"/>
              </w:rPr>
            </w:pPr>
          </w:p>
        </w:tc>
        <w:tc>
          <w:tcPr>
            <w:tcW w:w="1019" w:type="dxa"/>
            <w:tcBorders>
              <w:right w:val="single" w:color="000000" w:sz="4" w:space="0"/>
            </w:tcBorders>
            <w:vAlign w:val="top"/>
          </w:tcPr>
          <w:p w14:paraId="1FD36720">
            <w:pPr>
              <w:rPr>
                <w:rFonts w:ascii="Arial"/>
                <w:color w:val="auto"/>
                <w:sz w:val="21"/>
                <w:highlight w:val="none"/>
              </w:rPr>
            </w:pPr>
          </w:p>
        </w:tc>
        <w:tc>
          <w:tcPr>
            <w:tcW w:w="834" w:type="dxa"/>
            <w:tcBorders>
              <w:left w:val="single" w:color="000000" w:sz="4" w:space="0"/>
              <w:right w:val="single" w:color="000000" w:sz="4" w:space="0"/>
            </w:tcBorders>
            <w:vAlign w:val="top"/>
          </w:tcPr>
          <w:p w14:paraId="6E3ACB96">
            <w:pPr>
              <w:rPr>
                <w:rFonts w:ascii="Arial"/>
                <w:color w:val="auto"/>
                <w:sz w:val="21"/>
                <w:highlight w:val="none"/>
              </w:rPr>
            </w:pPr>
          </w:p>
        </w:tc>
        <w:tc>
          <w:tcPr>
            <w:tcW w:w="770" w:type="dxa"/>
            <w:tcBorders>
              <w:left w:val="single" w:color="000000" w:sz="4" w:space="0"/>
            </w:tcBorders>
            <w:vAlign w:val="top"/>
          </w:tcPr>
          <w:p w14:paraId="1C9D1AEA">
            <w:pPr>
              <w:rPr>
                <w:rFonts w:ascii="Arial"/>
                <w:color w:val="auto"/>
                <w:sz w:val="21"/>
                <w:highlight w:val="none"/>
              </w:rPr>
            </w:pPr>
          </w:p>
        </w:tc>
        <w:tc>
          <w:tcPr>
            <w:tcW w:w="736" w:type="dxa"/>
            <w:tcBorders>
              <w:right w:val="single" w:color="000000" w:sz="4" w:space="0"/>
            </w:tcBorders>
            <w:vAlign w:val="top"/>
          </w:tcPr>
          <w:p w14:paraId="1E953F0C">
            <w:pPr>
              <w:rPr>
                <w:rFonts w:ascii="Arial"/>
                <w:color w:val="auto"/>
                <w:sz w:val="21"/>
                <w:highlight w:val="none"/>
              </w:rPr>
            </w:pPr>
          </w:p>
        </w:tc>
        <w:tc>
          <w:tcPr>
            <w:tcW w:w="947" w:type="dxa"/>
            <w:tcBorders>
              <w:left w:val="single" w:color="000000" w:sz="4" w:space="0"/>
              <w:right w:val="single" w:color="000000" w:sz="4" w:space="0"/>
            </w:tcBorders>
            <w:vAlign w:val="top"/>
          </w:tcPr>
          <w:p w14:paraId="2B045E6D">
            <w:pPr>
              <w:rPr>
                <w:rFonts w:ascii="Arial"/>
                <w:color w:val="auto"/>
                <w:sz w:val="21"/>
                <w:highlight w:val="none"/>
              </w:rPr>
            </w:pPr>
          </w:p>
        </w:tc>
      </w:tr>
      <w:tr w14:paraId="44A35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10FE986">
            <w:pPr>
              <w:rPr>
                <w:rFonts w:ascii="Arial"/>
                <w:color w:val="auto"/>
                <w:sz w:val="21"/>
                <w:highlight w:val="none"/>
              </w:rPr>
            </w:pPr>
          </w:p>
        </w:tc>
        <w:tc>
          <w:tcPr>
            <w:tcW w:w="1043" w:type="dxa"/>
            <w:tcBorders>
              <w:right w:val="single" w:color="000000" w:sz="4" w:space="0"/>
            </w:tcBorders>
            <w:vAlign w:val="top"/>
          </w:tcPr>
          <w:p w14:paraId="50901771">
            <w:pPr>
              <w:rPr>
                <w:rFonts w:ascii="Arial"/>
                <w:color w:val="auto"/>
                <w:sz w:val="21"/>
                <w:highlight w:val="none"/>
              </w:rPr>
            </w:pPr>
          </w:p>
        </w:tc>
        <w:tc>
          <w:tcPr>
            <w:tcW w:w="1027" w:type="dxa"/>
            <w:tcBorders>
              <w:left w:val="single" w:color="000000" w:sz="4" w:space="0"/>
              <w:right w:val="single" w:color="000000" w:sz="4" w:space="0"/>
            </w:tcBorders>
            <w:vAlign w:val="top"/>
          </w:tcPr>
          <w:p w14:paraId="4A8A6522">
            <w:pPr>
              <w:rPr>
                <w:rFonts w:ascii="Arial"/>
                <w:color w:val="auto"/>
                <w:sz w:val="21"/>
                <w:highlight w:val="none"/>
              </w:rPr>
            </w:pPr>
          </w:p>
        </w:tc>
        <w:tc>
          <w:tcPr>
            <w:tcW w:w="1455" w:type="dxa"/>
            <w:tcBorders>
              <w:left w:val="single" w:color="000000" w:sz="4" w:space="0"/>
            </w:tcBorders>
            <w:vAlign w:val="top"/>
          </w:tcPr>
          <w:p w14:paraId="1A7E6324">
            <w:pPr>
              <w:rPr>
                <w:rFonts w:ascii="Arial"/>
                <w:color w:val="auto"/>
                <w:sz w:val="21"/>
                <w:highlight w:val="none"/>
              </w:rPr>
            </w:pPr>
          </w:p>
        </w:tc>
        <w:tc>
          <w:tcPr>
            <w:tcW w:w="1019" w:type="dxa"/>
            <w:tcBorders>
              <w:right w:val="single" w:color="000000" w:sz="4" w:space="0"/>
            </w:tcBorders>
            <w:vAlign w:val="top"/>
          </w:tcPr>
          <w:p w14:paraId="4AC65D4F">
            <w:pPr>
              <w:rPr>
                <w:rFonts w:ascii="Arial"/>
                <w:color w:val="auto"/>
                <w:sz w:val="21"/>
                <w:highlight w:val="none"/>
              </w:rPr>
            </w:pPr>
          </w:p>
        </w:tc>
        <w:tc>
          <w:tcPr>
            <w:tcW w:w="834" w:type="dxa"/>
            <w:tcBorders>
              <w:left w:val="single" w:color="000000" w:sz="4" w:space="0"/>
              <w:right w:val="single" w:color="000000" w:sz="4" w:space="0"/>
            </w:tcBorders>
            <w:vAlign w:val="top"/>
          </w:tcPr>
          <w:p w14:paraId="0B10F351">
            <w:pPr>
              <w:rPr>
                <w:rFonts w:ascii="Arial"/>
                <w:color w:val="auto"/>
                <w:sz w:val="21"/>
                <w:highlight w:val="none"/>
              </w:rPr>
            </w:pPr>
          </w:p>
        </w:tc>
        <w:tc>
          <w:tcPr>
            <w:tcW w:w="770" w:type="dxa"/>
            <w:tcBorders>
              <w:left w:val="single" w:color="000000" w:sz="4" w:space="0"/>
            </w:tcBorders>
            <w:vAlign w:val="top"/>
          </w:tcPr>
          <w:p w14:paraId="44D98B89">
            <w:pPr>
              <w:rPr>
                <w:rFonts w:ascii="Arial"/>
                <w:color w:val="auto"/>
                <w:sz w:val="21"/>
                <w:highlight w:val="none"/>
              </w:rPr>
            </w:pPr>
          </w:p>
        </w:tc>
        <w:tc>
          <w:tcPr>
            <w:tcW w:w="736" w:type="dxa"/>
            <w:tcBorders>
              <w:right w:val="single" w:color="000000" w:sz="4" w:space="0"/>
            </w:tcBorders>
            <w:vAlign w:val="top"/>
          </w:tcPr>
          <w:p w14:paraId="77DADEE2">
            <w:pPr>
              <w:rPr>
                <w:rFonts w:ascii="Arial"/>
                <w:color w:val="auto"/>
                <w:sz w:val="21"/>
                <w:highlight w:val="none"/>
              </w:rPr>
            </w:pPr>
          </w:p>
        </w:tc>
        <w:tc>
          <w:tcPr>
            <w:tcW w:w="947" w:type="dxa"/>
            <w:tcBorders>
              <w:left w:val="single" w:color="000000" w:sz="4" w:space="0"/>
              <w:right w:val="single" w:color="000000" w:sz="4" w:space="0"/>
            </w:tcBorders>
            <w:vAlign w:val="top"/>
          </w:tcPr>
          <w:p w14:paraId="73BEDBF9">
            <w:pPr>
              <w:rPr>
                <w:rFonts w:ascii="Arial"/>
                <w:color w:val="auto"/>
                <w:sz w:val="21"/>
                <w:highlight w:val="none"/>
              </w:rPr>
            </w:pPr>
          </w:p>
        </w:tc>
      </w:tr>
      <w:tr w14:paraId="5CBAD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0268DDD6">
            <w:pPr>
              <w:rPr>
                <w:rFonts w:ascii="Arial"/>
                <w:color w:val="auto"/>
                <w:sz w:val="21"/>
                <w:highlight w:val="none"/>
              </w:rPr>
            </w:pPr>
          </w:p>
        </w:tc>
        <w:tc>
          <w:tcPr>
            <w:tcW w:w="1043" w:type="dxa"/>
            <w:tcBorders>
              <w:right w:val="single" w:color="000000" w:sz="4" w:space="0"/>
            </w:tcBorders>
            <w:vAlign w:val="top"/>
          </w:tcPr>
          <w:p w14:paraId="46625667">
            <w:pPr>
              <w:rPr>
                <w:rFonts w:ascii="Arial"/>
                <w:color w:val="auto"/>
                <w:sz w:val="21"/>
                <w:highlight w:val="none"/>
              </w:rPr>
            </w:pPr>
          </w:p>
        </w:tc>
        <w:tc>
          <w:tcPr>
            <w:tcW w:w="1027" w:type="dxa"/>
            <w:tcBorders>
              <w:left w:val="single" w:color="000000" w:sz="4" w:space="0"/>
              <w:right w:val="single" w:color="000000" w:sz="4" w:space="0"/>
            </w:tcBorders>
            <w:vAlign w:val="top"/>
          </w:tcPr>
          <w:p w14:paraId="2905ED1C">
            <w:pPr>
              <w:rPr>
                <w:rFonts w:ascii="Arial"/>
                <w:color w:val="auto"/>
                <w:sz w:val="21"/>
                <w:highlight w:val="none"/>
              </w:rPr>
            </w:pPr>
          </w:p>
        </w:tc>
        <w:tc>
          <w:tcPr>
            <w:tcW w:w="1455" w:type="dxa"/>
            <w:tcBorders>
              <w:left w:val="single" w:color="000000" w:sz="4" w:space="0"/>
            </w:tcBorders>
            <w:vAlign w:val="top"/>
          </w:tcPr>
          <w:p w14:paraId="75DE9AD1">
            <w:pPr>
              <w:rPr>
                <w:rFonts w:ascii="Arial"/>
                <w:color w:val="auto"/>
                <w:sz w:val="21"/>
                <w:highlight w:val="none"/>
              </w:rPr>
            </w:pPr>
          </w:p>
        </w:tc>
        <w:tc>
          <w:tcPr>
            <w:tcW w:w="1019" w:type="dxa"/>
            <w:tcBorders>
              <w:right w:val="single" w:color="000000" w:sz="4" w:space="0"/>
            </w:tcBorders>
            <w:vAlign w:val="top"/>
          </w:tcPr>
          <w:p w14:paraId="6A0DEA39">
            <w:pPr>
              <w:rPr>
                <w:rFonts w:ascii="Arial"/>
                <w:color w:val="auto"/>
                <w:sz w:val="21"/>
                <w:highlight w:val="none"/>
              </w:rPr>
            </w:pPr>
          </w:p>
        </w:tc>
        <w:tc>
          <w:tcPr>
            <w:tcW w:w="834" w:type="dxa"/>
            <w:tcBorders>
              <w:left w:val="single" w:color="000000" w:sz="4" w:space="0"/>
              <w:right w:val="single" w:color="000000" w:sz="4" w:space="0"/>
            </w:tcBorders>
            <w:vAlign w:val="top"/>
          </w:tcPr>
          <w:p w14:paraId="62B2A56C">
            <w:pPr>
              <w:rPr>
                <w:rFonts w:ascii="Arial"/>
                <w:color w:val="auto"/>
                <w:sz w:val="21"/>
                <w:highlight w:val="none"/>
              </w:rPr>
            </w:pPr>
          </w:p>
        </w:tc>
        <w:tc>
          <w:tcPr>
            <w:tcW w:w="770" w:type="dxa"/>
            <w:tcBorders>
              <w:left w:val="single" w:color="000000" w:sz="4" w:space="0"/>
            </w:tcBorders>
            <w:vAlign w:val="top"/>
          </w:tcPr>
          <w:p w14:paraId="37626DF4">
            <w:pPr>
              <w:rPr>
                <w:rFonts w:ascii="Arial"/>
                <w:color w:val="auto"/>
                <w:sz w:val="21"/>
                <w:highlight w:val="none"/>
              </w:rPr>
            </w:pPr>
          </w:p>
        </w:tc>
        <w:tc>
          <w:tcPr>
            <w:tcW w:w="736" w:type="dxa"/>
            <w:tcBorders>
              <w:right w:val="single" w:color="000000" w:sz="4" w:space="0"/>
            </w:tcBorders>
            <w:vAlign w:val="top"/>
          </w:tcPr>
          <w:p w14:paraId="50BF90D0">
            <w:pPr>
              <w:rPr>
                <w:rFonts w:ascii="Arial"/>
                <w:color w:val="auto"/>
                <w:sz w:val="21"/>
                <w:highlight w:val="none"/>
              </w:rPr>
            </w:pPr>
          </w:p>
        </w:tc>
        <w:tc>
          <w:tcPr>
            <w:tcW w:w="947" w:type="dxa"/>
            <w:tcBorders>
              <w:left w:val="single" w:color="000000" w:sz="4" w:space="0"/>
              <w:right w:val="single" w:color="000000" w:sz="4" w:space="0"/>
            </w:tcBorders>
            <w:vAlign w:val="top"/>
          </w:tcPr>
          <w:p w14:paraId="31E4E4A9">
            <w:pPr>
              <w:rPr>
                <w:rFonts w:ascii="Arial"/>
                <w:color w:val="auto"/>
                <w:sz w:val="21"/>
                <w:highlight w:val="none"/>
              </w:rPr>
            </w:pPr>
          </w:p>
        </w:tc>
      </w:tr>
      <w:tr w14:paraId="2EF03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0764B696">
            <w:pPr>
              <w:rPr>
                <w:rFonts w:ascii="Arial"/>
                <w:color w:val="auto"/>
                <w:sz w:val="21"/>
                <w:highlight w:val="none"/>
              </w:rPr>
            </w:pPr>
          </w:p>
        </w:tc>
        <w:tc>
          <w:tcPr>
            <w:tcW w:w="1043" w:type="dxa"/>
            <w:tcBorders>
              <w:right w:val="single" w:color="000000" w:sz="4" w:space="0"/>
            </w:tcBorders>
            <w:vAlign w:val="top"/>
          </w:tcPr>
          <w:p w14:paraId="4D2552A1">
            <w:pPr>
              <w:rPr>
                <w:rFonts w:ascii="Arial"/>
                <w:color w:val="auto"/>
                <w:sz w:val="21"/>
                <w:highlight w:val="none"/>
              </w:rPr>
            </w:pPr>
          </w:p>
        </w:tc>
        <w:tc>
          <w:tcPr>
            <w:tcW w:w="1027" w:type="dxa"/>
            <w:tcBorders>
              <w:left w:val="single" w:color="000000" w:sz="4" w:space="0"/>
              <w:right w:val="single" w:color="000000" w:sz="4" w:space="0"/>
            </w:tcBorders>
            <w:vAlign w:val="top"/>
          </w:tcPr>
          <w:p w14:paraId="507B97FB">
            <w:pPr>
              <w:rPr>
                <w:rFonts w:ascii="Arial"/>
                <w:color w:val="auto"/>
                <w:sz w:val="21"/>
                <w:highlight w:val="none"/>
              </w:rPr>
            </w:pPr>
          </w:p>
        </w:tc>
        <w:tc>
          <w:tcPr>
            <w:tcW w:w="1455" w:type="dxa"/>
            <w:tcBorders>
              <w:left w:val="single" w:color="000000" w:sz="4" w:space="0"/>
            </w:tcBorders>
            <w:vAlign w:val="top"/>
          </w:tcPr>
          <w:p w14:paraId="465BA4EF">
            <w:pPr>
              <w:rPr>
                <w:rFonts w:ascii="Arial"/>
                <w:color w:val="auto"/>
                <w:sz w:val="21"/>
                <w:highlight w:val="none"/>
              </w:rPr>
            </w:pPr>
          </w:p>
        </w:tc>
        <w:tc>
          <w:tcPr>
            <w:tcW w:w="1019" w:type="dxa"/>
            <w:tcBorders>
              <w:right w:val="single" w:color="000000" w:sz="4" w:space="0"/>
            </w:tcBorders>
            <w:vAlign w:val="top"/>
          </w:tcPr>
          <w:p w14:paraId="290049CF">
            <w:pPr>
              <w:rPr>
                <w:rFonts w:ascii="Arial"/>
                <w:color w:val="auto"/>
                <w:sz w:val="21"/>
                <w:highlight w:val="none"/>
              </w:rPr>
            </w:pPr>
          </w:p>
        </w:tc>
        <w:tc>
          <w:tcPr>
            <w:tcW w:w="834" w:type="dxa"/>
            <w:tcBorders>
              <w:left w:val="single" w:color="000000" w:sz="4" w:space="0"/>
              <w:right w:val="single" w:color="000000" w:sz="4" w:space="0"/>
            </w:tcBorders>
            <w:vAlign w:val="top"/>
          </w:tcPr>
          <w:p w14:paraId="28ED24FC">
            <w:pPr>
              <w:rPr>
                <w:rFonts w:ascii="Arial"/>
                <w:color w:val="auto"/>
                <w:sz w:val="21"/>
                <w:highlight w:val="none"/>
              </w:rPr>
            </w:pPr>
          </w:p>
        </w:tc>
        <w:tc>
          <w:tcPr>
            <w:tcW w:w="770" w:type="dxa"/>
            <w:tcBorders>
              <w:left w:val="single" w:color="000000" w:sz="4" w:space="0"/>
            </w:tcBorders>
            <w:vAlign w:val="top"/>
          </w:tcPr>
          <w:p w14:paraId="541D5AA4">
            <w:pPr>
              <w:rPr>
                <w:rFonts w:ascii="Arial"/>
                <w:color w:val="auto"/>
                <w:sz w:val="21"/>
                <w:highlight w:val="none"/>
              </w:rPr>
            </w:pPr>
          </w:p>
        </w:tc>
        <w:tc>
          <w:tcPr>
            <w:tcW w:w="736" w:type="dxa"/>
            <w:tcBorders>
              <w:right w:val="single" w:color="000000" w:sz="4" w:space="0"/>
            </w:tcBorders>
            <w:vAlign w:val="top"/>
          </w:tcPr>
          <w:p w14:paraId="34A1CF1C">
            <w:pPr>
              <w:rPr>
                <w:rFonts w:ascii="Arial"/>
                <w:color w:val="auto"/>
                <w:sz w:val="21"/>
                <w:highlight w:val="none"/>
              </w:rPr>
            </w:pPr>
          </w:p>
        </w:tc>
        <w:tc>
          <w:tcPr>
            <w:tcW w:w="947" w:type="dxa"/>
            <w:tcBorders>
              <w:left w:val="single" w:color="000000" w:sz="4" w:space="0"/>
              <w:right w:val="single" w:color="000000" w:sz="4" w:space="0"/>
            </w:tcBorders>
            <w:vAlign w:val="top"/>
          </w:tcPr>
          <w:p w14:paraId="04B9F120">
            <w:pPr>
              <w:rPr>
                <w:rFonts w:ascii="Arial"/>
                <w:color w:val="auto"/>
                <w:sz w:val="21"/>
                <w:highlight w:val="none"/>
              </w:rPr>
            </w:pPr>
          </w:p>
        </w:tc>
      </w:tr>
      <w:tr w14:paraId="08C61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17EE4CA5">
            <w:pPr>
              <w:rPr>
                <w:rFonts w:ascii="Arial"/>
                <w:color w:val="auto"/>
                <w:sz w:val="21"/>
                <w:highlight w:val="none"/>
              </w:rPr>
            </w:pPr>
          </w:p>
        </w:tc>
        <w:tc>
          <w:tcPr>
            <w:tcW w:w="1043" w:type="dxa"/>
            <w:tcBorders>
              <w:right w:val="single" w:color="000000" w:sz="4" w:space="0"/>
            </w:tcBorders>
            <w:vAlign w:val="top"/>
          </w:tcPr>
          <w:p w14:paraId="763B079B">
            <w:pPr>
              <w:rPr>
                <w:rFonts w:ascii="Arial"/>
                <w:color w:val="auto"/>
                <w:sz w:val="21"/>
                <w:highlight w:val="none"/>
              </w:rPr>
            </w:pPr>
          </w:p>
        </w:tc>
        <w:tc>
          <w:tcPr>
            <w:tcW w:w="1027" w:type="dxa"/>
            <w:tcBorders>
              <w:left w:val="single" w:color="000000" w:sz="4" w:space="0"/>
              <w:right w:val="single" w:color="000000" w:sz="4" w:space="0"/>
            </w:tcBorders>
            <w:vAlign w:val="top"/>
          </w:tcPr>
          <w:p w14:paraId="7C2F805D">
            <w:pPr>
              <w:rPr>
                <w:rFonts w:ascii="Arial"/>
                <w:color w:val="auto"/>
                <w:sz w:val="21"/>
                <w:highlight w:val="none"/>
              </w:rPr>
            </w:pPr>
          </w:p>
        </w:tc>
        <w:tc>
          <w:tcPr>
            <w:tcW w:w="1455" w:type="dxa"/>
            <w:tcBorders>
              <w:left w:val="single" w:color="000000" w:sz="4" w:space="0"/>
            </w:tcBorders>
            <w:vAlign w:val="top"/>
          </w:tcPr>
          <w:p w14:paraId="23F84970">
            <w:pPr>
              <w:rPr>
                <w:rFonts w:ascii="Arial"/>
                <w:color w:val="auto"/>
                <w:sz w:val="21"/>
                <w:highlight w:val="none"/>
              </w:rPr>
            </w:pPr>
          </w:p>
        </w:tc>
        <w:tc>
          <w:tcPr>
            <w:tcW w:w="1019" w:type="dxa"/>
            <w:tcBorders>
              <w:right w:val="single" w:color="000000" w:sz="4" w:space="0"/>
            </w:tcBorders>
            <w:vAlign w:val="top"/>
          </w:tcPr>
          <w:p w14:paraId="3A6B020E">
            <w:pPr>
              <w:rPr>
                <w:rFonts w:ascii="Arial"/>
                <w:color w:val="auto"/>
                <w:sz w:val="21"/>
                <w:highlight w:val="none"/>
              </w:rPr>
            </w:pPr>
          </w:p>
        </w:tc>
        <w:tc>
          <w:tcPr>
            <w:tcW w:w="834" w:type="dxa"/>
            <w:tcBorders>
              <w:left w:val="single" w:color="000000" w:sz="4" w:space="0"/>
              <w:right w:val="single" w:color="000000" w:sz="4" w:space="0"/>
            </w:tcBorders>
            <w:vAlign w:val="top"/>
          </w:tcPr>
          <w:p w14:paraId="709D1E7E">
            <w:pPr>
              <w:rPr>
                <w:rFonts w:ascii="Arial"/>
                <w:color w:val="auto"/>
                <w:sz w:val="21"/>
                <w:highlight w:val="none"/>
              </w:rPr>
            </w:pPr>
          </w:p>
        </w:tc>
        <w:tc>
          <w:tcPr>
            <w:tcW w:w="770" w:type="dxa"/>
            <w:tcBorders>
              <w:left w:val="single" w:color="000000" w:sz="4" w:space="0"/>
            </w:tcBorders>
            <w:vAlign w:val="top"/>
          </w:tcPr>
          <w:p w14:paraId="5855A56B">
            <w:pPr>
              <w:rPr>
                <w:rFonts w:ascii="Arial"/>
                <w:color w:val="auto"/>
                <w:sz w:val="21"/>
                <w:highlight w:val="none"/>
              </w:rPr>
            </w:pPr>
          </w:p>
        </w:tc>
        <w:tc>
          <w:tcPr>
            <w:tcW w:w="736" w:type="dxa"/>
            <w:tcBorders>
              <w:right w:val="single" w:color="000000" w:sz="4" w:space="0"/>
            </w:tcBorders>
            <w:vAlign w:val="top"/>
          </w:tcPr>
          <w:p w14:paraId="3C064A53">
            <w:pPr>
              <w:rPr>
                <w:rFonts w:ascii="Arial"/>
                <w:color w:val="auto"/>
                <w:sz w:val="21"/>
                <w:highlight w:val="none"/>
              </w:rPr>
            </w:pPr>
          </w:p>
        </w:tc>
        <w:tc>
          <w:tcPr>
            <w:tcW w:w="947" w:type="dxa"/>
            <w:tcBorders>
              <w:left w:val="single" w:color="000000" w:sz="4" w:space="0"/>
              <w:right w:val="single" w:color="000000" w:sz="4" w:space="0"/>
            </w:tcBorders>
            <w:vAlign w:val="top"/>
          </w:tcPr>
          <w:p w14:paraId="63E204AF">
            <w:pPr>
              <w:rPr>
                <w:rFonts w:ascii="Arial"/>
                <w:color w:val="auto"/>
                <w:sz w:val="21"/>
                <w:highlight w:val="none"/>
              </w:rPr>
            </w:pPr>
          </w:p>
        </w:tc>
      </w:tr>
      <w:tr w14:paraId="203A8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58CF004A">
            <w:pPr>
              <w:rPr>
                <w:rFonts w:ascii="Arial"/>
                <w:color w:val="auto"/>
                <w:sz w:val="21"/>
                <w:highlight w:val="none"/>
              </w:rPr>
            </w:pPr>
          </w:p>
        </w:tc>
        <w:tc>
          <w:tcPr>
            <w:tcW w:w="1043" w:type="dxa"/>
            <w:tcBorders>
              <w:right w:val="single" w:color="000000" w:sz="4" w:space="0"/>
            </w:tcBorders>
            <w:vAlign w:val="top"/>
          </w:tcPr>
          <w:p w14:paraId="3A846A9C">
            <w:pPr>
              <w:rPr>
                <w:rFonts w:ascii="Arial"/>
                <w:color w:val="auto"/>
                <w:sz w:val="21"/>
                <w:highlight w:val="none"/>
              </w:rPr>
            </w:pPr>
          </w:p>
        </w:tc>
        <w:tc>
          <w:tcPr>
            <w:tcW w:w="1027" w:type="dxa"/>
            <w:tcBorders>
              <w:left w:val="single" w:color="000000" w:sz="4" w:space="0"/>
              <w:right w:val="single" w:color="000000" w:sz="4" w:space="0"/>
            </w:tcBorders>
            <w:vAlign w:val="top"/>
          </w:tcPr>
          <w:p w14:paraId="3E5E1DB0">
            <w:pPr>
              <w:rPr>
                <w:rFonts w:ascii="Arial"/>
                <w:color w:val="auto"/>
                <w:sz w:val="21"/>
                <w:highlight w:val="none"/>
              </w:rPr>
            </w:pPr>
          </w:p>
        </w:tc>
        <w:tc>
          <w:tcPr>
            <w:tcW w:w="1455" w:type="dxa"/>
            <w:tcBorders>
              <w:left w:val="single" w:color="000000" w:sz="4" w:space="0"/>
            </w:tcBorders>
            <w:vAlign w:val="top"/>
          </w:tcPr>
          <w:p w14:paraId="3E2AF0E4">
            <w:pPr>
              <w:rPr>
                <w:rFonts w:ascii="Arial"/>
                <w:color w:val="auto"/>
                <w:sz w:val="21"/>
                <w:highlight w:val="none"/>
              </w:rPr>
            </w:pPr>
          </w:p>
        </w:tc>
        <w:tc>
          <w:tcPr>
            <w:tcW w:w="1019" w:type="dxa"/>
            <w:tcBorders>
              <w:right w:val="single" w:color="000000" w:sz="4" w:space="0"/>
            </w:tcBorders>
            <w:vAlign w:val="top"/>
          </w:tcPr>
          <w:p w14:paraId="55301174">
            <w:pPr>
              <w:rPr>
                <w:rFonts w:ascii="Arial"/>
                <w:color w:val="auto"/>
                <w:sz w:val="21"/>
                <w:highlight w:val="none"/>
              </w:rPr>
            </w:pPr>
          </w:p>
        </w:tc>
        <w:tc>
          <w:tcPr>
            <w:tcW w:w="834" w:type="dxa"/>
            <w:tcBorders>
              <w:left w:val="single" w:color="000000" w:sz="4" w:space="0"/>
              <w:right w:val="single" w:color="000000" w:sz="4" w:space="0"/>
            </w:tcBorders>
            <w:vAlign w:val="top"/>
          </w:tcPr>
          <w:p w14:paraId="4CB5A470">
            <w:pPr>
              <w:rPr>
                <w:rFonts w:ascii="Arial"/>
                <w:color w:val="auto"/>
                <w:sz w:val="21"/>
                <w:highlight w:val="none"/>
              </w:rPr>
            </w:pPr>
          </w:p>
        </w:tc>
        <w:tc>
          <w:tcPr>
            <w:tcW w:w="770" w:type="dxa"/>
            <w:tcBorders>
              <w:left w:val="single" w:color="000000" w:sz="4" w:space="0"/>
            </w:tcBorders>
            <w:vAlign w:val="top"/>
          </w:tcPr>
          <w:p w14:paraId="74DC34B0">
            <w:pPr>
              <w:rPr>
                <w:rFonts w:ascii="Arial"/>
                <w:color w:val="auto"/>
                <w:sz w:val="21"/>
                <w:highlight w:val="none"/>
              </w:rPr>
            </w:pPr>
          </w:p>
        </w:tc>
        <w:tc>
          <w:tcPr>
            <w:tcW w:w="736" w:type="dxa"/>
            <w:tcBorders>
              <w:right w:val="single" w:color="000000" w:sz="4" w:space="0"/>
            </w:tcBorders>
            <w:vAlign w:val="top"/>
          </w:tcPr>
          <w:p w14:paraId="59DA6C97">
            <w:pPr>
              <w:rPr>
                <w:rFonts w:ascii="Arial"/>
                <w:color w:val="auto"/>
                <w:sz w:val="21"/>
                <w:highlight w:val="none"/>
              </w:rPr>
            </w:pPr>
          </w:p>
        </w:tc>
        <w:tc>
          <w:tcPr>
            <w:tcW w:w="947" w:type="dxa"/>
            <w:tcBorders>
              <w:left w:val="single" w:color="000000" w:sz="4" w:space="0"/>
              <w:right w:val="single" w:color="000000" w:sz="4" w:space="0"/>
            </w:tcBorders>
            <w:vAlign w:val="top"/>
          </w:tcPr>
          <w:p w14:paraId="7EBCDBE5">
            <w:pPr>
              <w:rPr>
                <w:rFonts w:ascii="Arial"/>
                <w:color w:val="auto"/>
                <w:sz w:val="21"/>
                <w:highlight w:val="none"/>
              </w:rPr>
            </w:pPr>
          </w:p>
        </w:tc>
      </w:tr>
      <w:tr w14:paraId="08D45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14:paraId="0CAEF0F4">
            <w:pPr>
              <w:pStyle w:val="11"/>
              <w:spacing w:before="148" w:line="220" w:lineRule="auto"/>
              <w:ind w:left="2986"/>
              <w:rPr>
                <w:color w:val="auto"/>
                <w:highlight w:val="none"/>
              </w:rPr>
            </w:pPr>
            <w:r>
              <w:rPr>
                <w:color w:val="auto"/>
                <w:spacing w:val="-1"/>
                <w:highlight w:val="none"/>
              </w:rPr>
              <w:t>本页小计</w:t>
            </w:r>
          </w:p>
        </w:tc>
        <w:tc>
          <w:tcPr>
            <w:tcW w:w="736" w:type="dxa"/>
            <w:tcBorders>
              <w:right w:val="single" w:color="000000" w:sz="4" w:space="0"/>
            </w:tcBorders>
            <w:vAlign w:val="top"/>
          </w:tcPr>
          <w:p w14:paraId="1198C302">
            <w:pPr>
              <w:rPr>
                <w:rFonts w:ascii="Arial"/>
                <w:color w:val="auto"/>
                <w:sz w:val="21"/>
                <w:highlight w:val="none"/>
              </w:rPr>
            </w:pPr>
          </w:p>
        </w:tc>
        <w:tc>
          <w:tcPr>
            <w:tcW w:w="947" w:type="dxa"/>
            <w:tcBorders>
              <w:left w:val="single" w:color="000000" w:sz="4" w:space="0"/>
              <w:right w:val="single" w:color="000000" w:sz="4" w:space="0"/>
            </w:tcBorders>
            <w:vAlign w:val="top"/>
          </w:tcPr>
          <w:p w14:paraId="058BEDCC">
            <w:pPr>
              <w:rPr>
                <w:rFonts w:ascii="Arial"/>
                <w:color w:val="auto"/>
                <w:sz w:val="21"/>
                <w:highlight w:val="none"/>
              </w:rPr>
            </w:pPr>
          </w:p>
        </w:tc>
      </w:tr>
      <w:tr w14:paraId="1DC4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14:paraId="1674CC39">
            <w:pPr>
              <w:pStyle w:val="11"/>
              <w:spacing w:before="149" w:line="222" w:lineRule="auto"/>
              <w:ind w:left="3144"/>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736" w:type="dxa"/>
            <w:tcBorders>
              <w:bottom w:val="single" w:color="000000" w:sz="4" w:space="0"/>
              <w:right w:val="single" w:color="000000" w:sz="4" w:space="0"/>
            </w:tcBorders>
            <w:vAlign w:val="top"/>
          </w:tcPr>
          <w:p w14:paraId="3AA981AB">
            <w:pPr>
              <w:rPr>
                <w:rFonts w:ascii="Arial"/>
                <w:color w:val="auto"/>
                <w:sz w:val="21"/>
                <w:highlight w:val="none"/>
              </w:rPr>
            </w:pPr>
          </w:p>
        </w:tc>
        <w:tc>
          <w:tcPr>
            <w:tcW w:w="947" w:type="dxa"/>
            <w:tcBorders>
              <w:left w:val="single" w:color="000000" w:sz="4" w:space="0"/>
              <w:bottom w:val="single" w:color="000000" w:sz="4" w:space="0"/>
              <w:right w:val="single" w:color="000000" w:sz="4" w:space="0"/>
            </w:tcBorders>
            <w:vAlign w:val="top"/>
          </w:tcPr>
          <w:p w14:paraId="2AE08C0E">
            <w:pPr>
              <w:rPr>
                <w:rFonts w:ascii="Arial"/>
                <w:color w:val="auto"/>
                <w:sz w:val="21"/>
                <w:highlight w:val="none"/>
              </w:rPr>
            </w:pPr>
          </w:p>
        </w:tc>
      </w:tr>
    </w:tbl>
    <w:p w14:paraId="63A4FE20">
      <w:pPr>
        <w:pStyle w:val="3"/>
        <w:rPr>
          <w:color w:val="auto"/>
          <w:highlight w:val="none"/>
        </w:rPr>
      </w:pPr>
    </w:p>
    <w:p w14:paraId="0C354420">
      <w:pPr>
        <w:rPr>
          <w:color w:val="auto"/>
          <w:highlight w:val="none"/>
        </w:rPr>
        <w:sectPr>
          <w:footerReference r:id="rId188" w:type="default"/>
          <w:pgSz w:w="11905" w:h="16839"/>
          <w:pgMar w:top="400" w:right="1700" w:bottom="1004" w:left="1709" w:header="0" w:footer="828" w:gutter="0"/>
          <w:pgNumType w:fmt="decimal"/>
          <w:cols w:space="720" w:num="1"/>
        </w:sectPr>
      </w:pPr>
    </w:p>
    <w:p w14:paraId="155E90F3">
      <w:pPr>
        <w:pStyle w:val="3"/>
        <w:spacing w:line="267" w:lineRule="auto"/>
        <w:rPr>
          <w:color w:val="auto"/>
          <w:highlight w:val="none"/>
        </w:rPr>
      </w:pPr>
    </w:p>
    <w:p w14:paraId="49088947">
      <w:pPr>
        <w:pStyle w:val="3"/>
        <w:spacing w:line="267" w:lineRule="auto"/>
        <w:rPr>
          <w:color w:val="auto"/>
          <w:highlight w:val="none"/>
        </w:rPr>
      </w:pPr>
    </w:p>
    <w:p w14:paraId="61FE34D1">
      <w:pPr>
        <w:pStyle w:val="3"/>
        <w:spacing w:line="268" w:lineRule="auto"/>
        <w:rPr>
          <w:color w:val="auto"/>
          <w:highlight w:val="none"/>
        </w:rPr>
      </w:pPr>
    </w:p>
    <w:p w14:paraId="0E568A6A">
      <w:pPr>
        <w:pStyle w:val="3"/>
        <w:spacing w:line="268" w:lineRule="auto"/>
        <w:rPr>
          <w:color w:val="auto"/>
          <w:highlight w:val="none"/>
        </w:rPr>
      </w:pPr>
    </w:p>
    <w:p w14:paraId="5E4E5297">
      <w:pPr>
        <w:spacing w:before="78" w:line="219" w:lineRule="auto"/>
        <w:ind w:left="32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4.10 </w:t>
      </w:r>
      <w:r>
        <w:rPr>
          <w:rFonts w:ascii="黑体" w:hAnsi="黑体" w:eastAsia="黑体" w:cs="黑体"/>
          <w:color w:val="auto"/>
          <w:spacing w:val="-1"/>
          <w:sz w:val="24"/>
          <w:szCs w:val="24"/>
          <w:highlight w:val="none"/>
        </w:rPr>
        <w:t>综合单价分析表</w:t>
      </w:r>
    </w:p>
    <w:p w14:paraId="618076B2">
      <w:pPr>
        <w:spacing w:before="161" w:line="225" w:lineRule="auto"/>
        <w:ind w:left="3509"/>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综合单价分析表</w:t>
      </w:r>
    </w:p>
    <w:p w14:paraId="4FC54A66">
      <w:pPr>
        <w:spacing w:before="143" w:line="234" w:lineRule="auto"/>
        <w:ind w:left="3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工程名称</w:t>
      </w:r>
      <w:r>
        <w:rPr>
          <w:rFonts w:ascii="Times New Roman" w:hAnsi="Times New Roman" w:eastAsia="Times New Roman" w:cs="Times New Roman"/>
          <w:color w:val="auto"/>
          <w:spacing w:val="-3"/>
          <w:sz w:val="21"/>
          <w:szCs w:val="21"/>
          <w:highlight w:val="none"/>
        </w:rPr>
        <w:t xml:space="preserve">:                           </w:t>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标段名称：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4"/>
          <w:sz w:val="21"/>
          <w:szCs w:val="21"/>
          <w:highlight w:val="none"/>
        </w:rPr>
        <w:t>页</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4"/>
          <w:sz w:val="21"/>
          <w:szCs w:val="21"/>
          <w:highlight w:val="none"/>
        </w:rPr>
        <w:t>页</w:t>
      </w:r>
    </w:p>
    <w:p w14:paraId="1A57E721">
      <w:pPr>
        <w:spacing w:line="97" w:lineRule="exact"/>
        <w:rPr>
          <w:color w:val="auto"/>
          <w:highlight w:val="none"/>
        </w:rPr>
      </w:pPr>
    </w:p>
    <w:tbl>
      <w:tblPr>
        <w:tblStyle w:val="10"/>
        <w:tblW w:w="894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511"/>
        <w:gridCol w:w="158"/>
        <w:gridCol w:w="672"/>
        <w:gridCol w:w="254"/>
        <w:gridCol w:w="173"/>
        <w:gridCol w:w="427"/>
        <w:gridCol w:w="434"/>
        <w:gridCol w:w="230"/>
        <w:gridCol w:w="419"/>
        <w:gridCol w:w="739"/>
        <w:gridCol w:w="844"/>
        <w:gridCol w:w="86"/>
        <w:gridCol w:w="873"/>
        <w:gridCol w:w="46"/>
        <w:gridCol w:w="338"/>
        <w:gridCol w:w="878"/>
        <w:gridCol w:w="57"/>
        <w:gridCol w:w="1105"/>
      </w:tblGrid>
      <w:tr w14:paraId="6A7F2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212" w:type="dxa"/>
            <w:gridSpan w:val="2"/>
            <w:tcBorders>
              <w:top w:val="single" w:color="000000" w:sz="4" w:space="0"/>
              <w:left w:val="single" w:color="000000" w:sz="4" w:space="0"/>
              <w:right w:val="single" w:color="000000" w:sz="4" w:space="0"/>
            </w:tcBorders>
            <w:vAlign w:val="top"/>
          </w:tcPr>
          <w:p w14:paraId="3D4515DC">
            <w:pPr>
              <w:pStyle w:val="11"/>
              <w:spacing w:before="162" w:line="221" w:lineRule="auto"/>
              <w:ind w:left="217"/>
              <w:rPr>
                <w:color w:val="auto"/>
                <w:sz w:val="20"/>
                <w:szCs w:val="20"/>
                <w:highlight w:val="none"/>
              </w:rPr>
            </w:pPr>
            <w:r>
              <w:rPr>
                <w:color w:val="auto"/>
                <w:spacing w:val="-1"/>
                <w:sz w:val="20"/>
                <w:szCs w:val="20"/>
                <w:highlight w:val="none"/>
              </w:rPr>
              <w:t>项目编码</w:t>
            </w:r>
          </w:p>
        </w:tc>
        <w:tc>
          <w:tcPr>
            <w:tcW w:w="1084" w:type="dxa"/>
            <w:gridSpan w:val="3"/>
            <w:tcBorders>
              <w:top w:val="single" w:color="000000" w:sz="4" w:space="0"/>
              <w:left w:val="single" w:color="000000" w:sz="4" w:space="0"/>
              <w:right w:val="single" w:color="000000" w:sz="4" w:space="0"/>
            </w:tcBorders>
            <w:vAlign w:val="top"/>
          </w:tcPr>
          <w:p w14:paraId="4B633331">
            <w:pPr>
              <w:rPr>
                <w:rFonts w:ascii="Arial"/>
                <w:color w:val="auto"/>
                <w:sz w:val="21"/>
                <w:highlight w:val="none"/>
              </w:rPr>
            </w:pPr>
          </w:p>
        </w:tc>
        <w:tc>
          <w:tcPr>
            <w:tcW w:w="1034" w:type="dxa"/>
            <w:gridSpan w:val="3"/>
            <w:tcBorders>
              <w:top w:val="single" w:color="000000" w:sz="4" w:space="0"/>
              <w:left w:val="single" w:color="000000" w:sz="4" w:space="0"/>
            </w:tcBorders>
            <w:vAlign w:val="top"/>
          </w:tcPr>
          <w:p w14:paraId="24E7EC81">
            <w:pPr>
              <w:pStyle w:val="11"/>
              <w:spacing w:before="162" w:line="222" w:lineRule="auto"/>
              <w:ind w:left="115"/>
              <w:rPr>
                <w:color w:val="auto"/>
                <w:sz w:val="20"/>
                <w:szCs w:val="20"/>
                <w:highlight w:val="none"/>
              </w:rPr>
            </w:pPr>
            <w:r>
              <w:rPr>
                <w:color w:val="auto"/>
                <w:spacing w:val="-1"/>
                <w:sz w:val="20"/>
                <w:szCs w:val="20"/>
                <w:highlight w:val="none"/>
              </w:rPr>
              <w:t>项目名称</w:t>
            </w:r>
          </w:p>
        </w:tc>
        <w:tc>
          <w:tcPr>
            <w:tcW w:w="1388" w:type="dxa"/>
            <w:gridSpan w:val="3"/>
            <w:tcBorders>
              <w:top w:val="single" w:color="000000" w:sz="4" w:space="0"/>
              <w:right w:val="single" w:color="000000" w:sz="4" w:space="0"/>
            </w:tcBorders>
            <w:vAlign w:val="top"/>
          </w:tcPr>
          <w:p w14:paraId="5990C969">
            <w:pPr>
              <w:rPr>
                <w:rFonts w:ascii="Arial"/>
                <w:color w:val="auto"/>
                <w:sz w:val="21"/>
                <w:highlight w:val="none"/>
              </w:rPr>
            </w:pPr>
          </w:p>
        </w:tc>
        <w:tc>
          <w:tcPr>
            <w:tcW w:w="930" w:type="dxa"/>
            <w:gridSpan w:val="2"/>
            <w:tcBorders>
              <w:top w:val="single" w:color="000000" w:sz="4" w:space="0"/>
              <w:left w:val="single" w:color="000000" w:sz="4" w:space="0"/>
              <w:right w:val="single" w:color="000000" w:sz="4" w:space="0"/>
            </w:tcBorders>
            <w:vAlign w:val="top"/>
          </w:tcPr>
          <w:p w14:paraId="0B176426">
            <w:pPr>
              <w:pStyle w:val="11"/>
              <w:spacing w:before="33" w:line="239" w:lineRule="auto"/>
              <w:ind w:left="268"/>
              <w:rPr>
                <w:color w:val="auto"/>
                <w:sz w:val="20"/>
                <w:szCs w:val="20"/>
                <w:highlight w:val="none"/>
              </w:rPr>
            </w:pPr>
            <w:r>
              <w:rPr>
                <w:color w:val="auto"/>
                <w:spacing w:val="-2"/>
                <w:sz w:val="20"/>
                <w:szCs w:val="20"/>
                <w:highlight w:val="none"/>
              </w:rPr>
              <w:t>计量</w:t>
            </w:r>
          </w:p>
          <w:p w14:paraId="0403514C">
            <w:pPr>
              <w:pStyle w:val="11"/>
              <w:spacing w:line="207" w:lineRule="auto"/>
              <w:ind w:left="270"/>
              <w:rPr>
                <w:color w:val="auto"/>
                <w:sz w:val="20"/>
                <w:szCs w:val="20"/>
                <w:highlight w:val="none"/>
              </w:rPr>
            </w:pPr>
            <w:r>
              <w:rPr>
                <w:color w:val="auto"/>
                <w:spacing w:val="-2"/>
                <w:sz w:val="20"/>
                <w:szCs w:val="20"/>
                <w:highlight w:val="none"/>
              </w:rPr>
              <w:t>单位</w:t>
            </w:r>
          </w:p>
        </w:tc>
        <w:tc>
          <w:tcPr>
            <w:tcW w:w="873" w:type="dxa"/>
            <w:tcBorders>
              <w:top w:val="single" w:color="000000" w:sz="4" w:space="0"/>
              <w:left w:val="single" w:color="000000" w:sz="4" w:space="0"/>
              <w:right w:val="single" w:color="000000" w:sz="4" w:space="0"/>
            </w:tcBorders>
            <w:vAlign w:val="top"/>
          </w:tcPr>
          <w:p w14:paraId="49BC41EC">
            <w:pPr>
              <w:rPr>
                <w:rFonts w:ascii="Arial"/>
                <w:color w:val="auto"/>
                <w:sz w:val="21"/>
                <w:highlight w:val="none"/>
              </w:rPr>
            </w:pPr>
          </w:p>
        </w:tc>
        <w:tc>
          <w:tcPr>
            <w:tcW w:w="1262" w:type="dxa"/>
            <w:gridSpan w:val="3"/>
            <w:tcBorders>
              <w:top w:val="single" w:color="000000" w:sz="4" w:space="0"/>
              <w:left w:val="single" w:color="000000" w:sz="4" w:space="0"/>
              <w:right w:val="single" w:color="000000" w:sz="4" w:space="0"/>
            </w:tcBorders>
            <w:vAlign w:val="top"/>
          </w:tcPr>
          <w:p w14:paraId="521468D9">
            <w:pPr>
              <w:pStyle w:val="11"/>
              <w:spacing w:before="162" w:line="222" w:lineRule="auto"/>
              <w:ind w:left="341"/>
              <w:rPr>
                <w:color w:val="auto"/>
                <w:sz w:val="20"/>
                <w:szCs w:val="20"/>
                <w:highlight w:val="none"/>
              </w:rPr>
            </w:pPr>
            <w:r>
              <w:rPr>
                <w:color w:val="auto"/>
                <w:spacing w:val="-2"/>
                <w:sz w:val="20"/>
                <w:szCs w:val="20"/>
                <w:highlight w:val="none"/>
              </w:rPr>
              <w:t>工程量</w:t>
            </w:r>
          </w:p>
        </w:tc>
        <w:tc>
          <w:tcPr>
            <w:tcW w:w="1162" w:type="dxa"/>
            <w:gridSpan w:val="2"/>
            <w:tcBorders>
              <w:top w:val="single" w:color="000000" w:sz="4" w:space="0"/>
              <w:left w:val="single" w:color="000000" w:sz="4" w:space="0"/>
              <w:right w:val="single" w:color="000000" w:sz="4" w:space="0"/>
            </w:tcBorders>
            <w:vAlign w:val="top"/>
          </w:tcPr>
          <w:p w14:paraId="48DF08C7">
            <w:pPr>
              <w:rPr>
                <w:rFonts w:ascii="Arial"/>
                <w:color w:val="auto"/>
                <w:sz w:val="21"/>
                <w:highlight w:val="none"/>
              </w:rPr>
            </w:pPr>
          </w:p>
        </w:tc>
      </w:tr>
      <w:tr w14:paraId="2CF9E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45" w:type="dxa"/>
            <w:gridSpan w:val="19"/>
            <w:tcBorders>
              <w:left w:val="single" w:color="000000" w:sz="4" w:space="0"/>
              <w:right w:val="single" w:color="000000" w:sz="4" w:space="0"/>
            </w:tcBorders>
            <w:vAlign w:val="top"/>
          </w:tcPr>
          <w:p w14:paraId="1F380151">
            <w:pPr>
              <w:pStyle w:val="11"/>
              <w:spacing w:before="169" w:line="219" w:lineRule="auto"/>
              <w:ind w:left="3431"/>
              <w:rPr>
                <w:color w:val="auto"/>
                <w:highlight w:val="none"/>
              </w:rPr>
            </w:pPr>
            <w:r>
              <w:rPr>
                <w:color w:val="auto"/>
                <w:spacing w:val="-1"/>
                <w:highlight w:val="none"/>
              </w:rPr>
              <w:t>清单综合单价组成明细</w:t>
            </w:r>
          </w:p>
        </w:tc>
      </w:tr>
      <w:tr w14:paraId="01AFB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vAlign w:val="top"/>
          </w:tcPr>
          <w:p w14:paraId="36F5C4A3">
            <w:pPr>
              <w:spacing w:line="376" w:lineRule="auto"/>
              <w:rPr>
                <w:rFonts w:ascii="Arial"/>
                <w:color w:val="auto"/>
                <w:sz w:val="21"/>
                <w:highlight w:val="none"/>
              </w:rPr>
            </w:pPr>
          </w:p>
          <w:p w14:paraId="3FDDEEFD">
            <w:pPr>
              <w:pStyle w:val="11"/>
              <w:spacing w:before="69" w:line="231" w:lineRule="auto"/>
              <w:ind w:left="148" w:right="132" w:firstLine="3"/>
              <w:rPr>
                <w:color w:val="auto"/>
                <w:highlight w:val="none"/>
              </w:rPr>
            </w:pPr>
            <w:r>
              <w:rPr>
                <w:color w:val="auto"/>
                <w:spacing w:val="-6"/>
                <w:highlight w:val="none"/>
              </w:rPr>
              <w:t>定额</w:t>
            </w:r>
            <w:r>
              <w:rPr>
                <w:color w:val="auto"/>
                <w:highlight w:val="none"/>
              </w:rPr>
              <w:t xml:space="preserve"> </w:t>
            </w:r>
            <w:r>
              <w:rPr>
                <w:color w:val="auto"/>
                <w:spacing w:val="-4"/>
                <w:highlight w:val="none"/>
              </w:rPr>
              <w:t>编号</w:t>
            </w:r>
          </w:p>
        </w:tc>
        <w:tc>
          <w:tcPr>
            <w:tcW w:w="669" w:type="dxa"/>
            <w:gridSpan w:val="2"/>
            <w:vMerge w:val="restart"/>
            <w:tcBorders>
              <w:bottom w:val="nil"/>
              <w:right w:val="single" w:color="000000" w:sz="4" w:space="0"/>
            </w:tcBorders>
            <w:vAlign w:val="top"/>
          </w:tcPr>
          <w:p w14:paraId="6A8D8787">
            <w:pPr>
              <w:spacing w:line="245" w:lineRule="auto"/>
              <w:rPr>
                <w:rFonts w:ascii="Arial"/>
                <w:color w:val="auto"/>
                <w:sz w:val="21"/>
                <w:highlight w:val="none"/>
              </w:rPr>
            </w:pPr>
          </w:p>
          <w:p w14:paraId="405A8DB3">
            <w:pPr>
              <w:pStyle w:val="11"/>
              <w:spacing w:before="68" w:line="233" w:lineRule="auto"/>
              <w:ind w:left="133" w:right="116" w:firstLine="2"/>
              <w:jc w:val="both"/>
              <w:rPr>
                <w:color w:val="auto"/>
                <w:highlight w:val="none"/>
              </w:rPr>
            </w:pPr>
            <w:r>
              <w:rPr>
                <w:color w:val="auto"/>
                <w:spacing w:val="-6"/>
                <w:highlight w:val="none"/>
              </w:rPr>
              <w:t>定额</w:t>
            </w:r>
            <w:r>
              <w:rPr>
                <w:color w:val="auto"/>
                <w:highlight w:val="none"/>
              </w:rPr>
              <w:t xml:space="preserve"> </w:t>
            </w:r>
            <w:r>
              <w:rPr>
                <w:color w:val="auto"/>
                <w:spacing w:val="-5"/>
                <w:highlight w:val="none"/>
              </w:rPr>
              <w:t>项目</w:t>
            </w:r>
            <w:r>
              <w:rPr>
                <w:color w:val="auto"/>
                <w:highlight w:val="none"/>
              </w:rPr>
              <w:t xml:space="preserve"> </w:t>
            </w:r>
            <w:r>
              <w:rPr>
                <w:color w:val="auto"/>
                <w:spacing w:val="-5"/>
                <w:highlight w:val="none"/>
              </w:rPr>
              <w:t>名称</w:t>
            </w:r>
          </w:p>
        </w:tc>
        <w:tc>
          <w:tcPr>
            <w:tcW w:w="672" w:type="dxa"/>
            <w:vMerge w:val="restart"/>
            <w:tcBorders>
              <w:left w:val="single" w:color="000000" w:sz="4" w:space="0"/>
              <w:bottom w:val="nil"/>
              <w:right w:val="single" w:color="000000" w:sz="4" w:space="0"/>
            </w:tcBorders>
            <w:vAlign w:val="top"/>
          </w:tcPr>
          <w:p w14:paraId="7FBD9077">
            <w:pPr>
              <w:spacing w:line="377" w:lineRule="auto"/>
              <w:rPr>
                <w:rFonts w:ascii="Arial"/>
                <w:color w:val="auto"/>
                <w:sz w:val="21"/>
                <w:highlight w:val="none"/>
              </w:rPr>
            </w:pPr>
          </w:p>
          <w:p w14:paraId="568032B7">
            <w:pPr>
              <w:pStyle w:val="11"/>
              <w:spacing w:before="69" w:line="231" w:lineRule="auto"/>
              <w:ind w:left="132" w:right="116" w:firstLine="3"/>
              <w:rPr>
                <w:color w:val="auto"/>
                <w:highlight w:val="none"/>
              </w:rPr>
            </w:pPr>
            <w:r>
              <w:rPr>
                <w:color w:val="auto"/>
                <w:spacing w:val="-6"/>
                <w:highlight w:val="none"/>
              </w:rPr>
              <w:t>定额</w:t>
            </w:r>
            <w:r>
              <w:rPr>
                <w:color w:val="auto"/>
                <w:highlight w:val="none"/>
              </w:rPr>
              <w:t xml:space="preserve"> </w:t>
            </w:r>
            <w:r>
              <w:rPr>
                <w:color w:val="auto"/>
                <w:spacing w:val="-4"/>
                <w:highlight w:val="none"/>
              </w:rPr>
              <w:t>单位</w:t>
            </w:r>
          </w:p>
        </w:tc>
        <w:tc>
          <w:tcPr>
            <w:tcW w:w="427" w:type="dxa"/>
            <w:gridSpan w:val="2"/>
            <w:vMerge w:val="restart"/>
            <w:tcBorders>
              <w:left w:val="single" w:color="000000" w:sz="4" w:space="0"/>
              <w:bottom w:val="nil"/>
              <w:right w:val="single" w:color="000000" w:sz="4" w:space="0"/>
            </w:tcBorders>
            <w:textDirection w:val="tbRlV"/>
            <w:vAlign w:val="top"/>
          </w:tcPr>
          <w:p w14:paraId="6F89F4E2">
            <w:pPr>
              <w:pStyle w:val="11"/>
              <w:spacing w:before="101" w:line="209" w:lineRule="auto"/>
              <w:ind w:left="448"/>
              <w:rPr>
                <w:color w:val="auto"/>
                <w:highlight w:val="none"/>
              </w:rPr>
            </w:pPr>
            <w:r>
              <w:rPr>
                <w:color w:val="auto"/>
                <w:spacing w:val="1"/>
                <w:highlight w:val="none"/>
              </w:rPr>
              <w:t>数</w:t>
            </w:r>
            <w:r>
              <w:rPr>
                <w:color w:val="auto"/>
                <w:spacing w:val="-43"/>
                <w:highlight w:val="none"/>
              </w:rPr>
              <w:t xml:space="preserve"> </w:t>
            </w:r>
            <w:r>
              <w:rPr>
                <w:color w:val="auto"/>
                <w:spacing w:val="1"/>
                <w:highlight w:val="none"/>
              </w:rPr>
              <w:t>量</w:t>
            </w:r>
          </w:p>
        </w:tc>
        <w:tc>
          <w:tcPr>
            <w:tcW w:w="2249" w:type="dxa"/>
            <w:gridSpan w:val="5"/>
            <w:tcBorders>
              <w:left w:val="single" w:color="000000" w:sz="4" w:space="0"/>
              <w:right w:val="single" w:color="000000" w:sz="4" w:space="0"/>
            </w:tcBorders>
            <w:vAlign w:val="top"/>
          </w:tcPr>
          <w:p w14:paraId="0D7BF2A2">
            <w:pPr>
              <w:pStyle w:val="11"/>
              <w:spacing w:before="174" w:line="219" w:lineRule="auto"/>
              <w:ind w:left="921"/>
              <w:rPr>
                <w:color w:val="auto"/>
                <w:highlight w:val="none"/>
              </w:rPr>
            </w:pPr>
            <w:r>
              <w:rPr>
                <w:color w:val="auto"/>
                <w:spacing w:val="-2"/>
                <w:highlight w:val="none"/>
              </w:rPr>
              <w:t>单价</w:t>
            </w:r>
          </w:p>
        </w:tc>
        <w:tc>
          <w:tcPr>
            <w:tcW w:w="4227" w:type="dxa"/>
            <w:gridSpan w:val="8"/>
            <w:tcBorders>
              <w:left w:val="single" w:color="000000" w:sz="4" w:space="0"/>
              <w:right w:val="single" w:color="000000" w:sz="4" w:space="0"/>
            </w:tcBorders>
            <w:vAlign w:val="top"/>
          </w:tcPr>
          <w:p w14:paraId="20913A0F">
            <w:pPr>
              <w:pStyle w:val="11"/>
              <w:spacing w:before="174" w:line="219" w:lineRule="auto"/>
              <w:ind w:left="1908"/>
              <w:rPr>
                <w:color w:val="auto"/>
                <w:highlight w:val="none"/>
              </w:rPr>
            </w:pPr>
            <w:r>
              <w:rPr>
                <w:color w:val="auto"/>
                <w:spacing w:val="-2"/>
                <w:highlight w:val="none"/>
              </w:rPr>
              <w:t>合价</w:t>
            </w:r>
          </w:p>
        </w:tc>
      </w:tr>
      <w:tr w14:paraId="4C62A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1" w:type="dxa"/>
            <w:vMerge w:val="continue"/>
            <w:tcBorders>
              <w:top w:val="nil"/>
              <w:left w:val="single" w:color="000000" w:sz="4" w:space="0"/>
            </w:tcBorders>
            <w:vAlign w:val="top"/>
          </w:tcPr>
          <w:p w14:paraId="5FE5962D">
            <w:pPr>
              <w:rPr>
                <w:rFonts w:ascii="Arial"/>
                <w:color w:val="auto"/>
                <w:sz w:val="21"/>
                <w:highlight w:val="none"/>
              </w:rPr>
            </w:pPr>
          </w:p>
        </w:tc>
        <w:tc>
          <w:tcPr>
            <w:tcW w:w="669" w:type="dxa"/>
            <w:gridSpan w:val="2"/>
            <w:vMerge w:val="continue"/>
            <w:tcBorders>
              <w:top w:val="nil"/>
              <w:right w:val="single" w:color="000000" w:sz="4" w:space="0"/>
            </w:tcBorders>
            <w:vAlign w:val="top"/>
          </w:tcPr>
          <w:p w14:paraId="7EDBA1A6">
            <w:pPr>
              <w:rPr>
                <w:rFonts w:ascii="Arial"/>
                <w:color w:val="auto"/>
                <w:sz w:val="21"/>
                <w:highlight w:val="none"/>
              </w:rPr>
            </w:pPr>
          </w:p>
        </w:tc>
        <w:tc>
          <w:tcPr>
            <w:tcW w:w="672" w:type="dxa"/>
            <w:vMerge w:val="continue"/>
            <w:tcBorders>
              <w:top w:val="nil"/>
              <w:left w:val="single" w:color="000000" w:sz="4" w:space="0"/>
              <w:right w:val="single" w:color="000000" w:sz="4" w:space="0"/>
            </w:tcBorders>
            <w:vAlign w:val="top"/>
          </w:tcPr>
          <w:p w14:paraId="33F52842">
            <w:pPr>
              <w:rPr>
                <w:rFonts w:ascii="Arial"/>
                <w:color w:val="auto"/>
                <w:sz w:val="21"/>
                <w:highlight w:val="none"/>
              </w:rPr>
            </w:pPr>
          </w:p>
        </w:tc>
        <w:tc>
          <w:tcPr>
            <w:tcW w:w="427" w:type="dxa"/>
            <w:gridSpan w:val="2"/>
            <w:vMerge w:val="continue"/>
            <w:tcBorders>
              <w:top w:val="nil"/>
              <w:left w:val="single" w:color="000000" w:sz="4" w:space="0"/>
              <w:right w:val="single" w:color="000000" w:sz="4" w:space="0"/>
            </w:tcBorders>
            <w:textDirection w:val="tbRlV"/>
            <w:vAlign w:val="top"/>
          </w:tcPr>
          <w:p w14:paraId="7101E035">
            <w:pPr>
              <w:rPr>
                <w:rFonts w:ascii="Arial"/>
                <w:color w:val="auto"/>
                <w:sz w:val="21"/>
                <w:highlight w:val="none"/>
              </w:rPr>
            </w:pPr>
          </w:p>
        </w:tc>
        <w:tc>
          <w:tcPr>
            <w:tcW w:w="427" w:type="dxa"/>
            <w:tcBorders>
              <w:left w:val="single" w:color="000000" w:sz="4" w:space="0"/>
              <w:right w:val="single" w:color="000000" w:sz="4" w:space="0"/>
            </w:tcBorders>
            <w:textDirection w:val="tbRlV"/>
            <w:vAlign w:val="top"/>
          </w:tcPr>
          <w:p w14:paraId="4F962316">
            <w:pPr>
              <w:pStyle w:val="11"/>
              <w:spacing w:before="101" w:line="208" w:lineRule="auto"/>
              <w:ind w:left="31"/>
              <w:rPr>
                <w:color w:val="auto"/>
                <w:highlight w:val="none"/>
              </w:rPr>
            </w:pPr>
            <w:r>
              <w:rPr>
                <w:color w:val="auto"/>
                <w:spacing w:val="41"/>
                <w:highlight w:val="none"/>
              </w:rPr>
              <w:t>人工费</w:t>
            </w:r>
          </w:p>
        </w:tc>
        <w:tc>
          <w:tcPr>
            <w:tcW w:w="664" w:type="dxa"/>
            <w:gridSpan w:val="2"/>
            <w:tcBorders>
              <w:left w:val="single" w:color="000000" w:sz="4" w:space="0"/>
            </w:tcBorders>
            <w:vAlign w:val="top"/>
          </w:tcPr>
          <w:p w14:paraId="60094563">
            <w:pPr>
              <w:pStyle w:val="11"/>
              <w:spacing w:before="165" w:line="220" w:lineRule="auto"/>
              <w:ind w:left="127"/>
              <w:rPr>
                <w:color w:val="auto"/>
                <w:highlight w:val="none"/>
              </w:rPr>
            </w:pPr>
            <w:r>
              <w:rPr>
                <w:color w:val="auto"/>
                <w:spacing w:val="-2"/>
                <w:highlight w:val="none"/>
              </w:rPr>
              <w:t>材料</w:t>
            </w:r>
          </w:p>
          <w:p w14:paraId="004B3B5D">
            <w:pPr>
              <w:pStyle w:val="11"/>
              <w:spacing w:before="23" w:line="221" w:lineRule="auto"/>
              <w:ind w:left="240"/>
              <w:rPr>
                <w:color w:val="auto"/>
                <w:highlight w:val="none"/>
              </w:rPr>
            </w:pPr>
            <w:r>
              <w:rPr>
                <w:color w:val="auto"/>
                <w:highlight w:val="none"/>
              </w:rPr>
              <w:t>费</w:t>
            </w:r>
          </w:p>
        </w:tc>
        <w:tc>
          <w:tcPr>
            <w:tcW w:w="419" w:type="dxa"/>
            <w:tcBorders>
              <w:right w:val="single" w:color="000000" w:sz="4" w:space="0"/>
            </w:tcBorders>
            <w:textDirection w:val="tbRlV"/>
            <w:vAlign w:val="top"/>
          </w:tcPr>
          <w:p w14:paraId="41CFFFB7">
            <w:pPr>
              <w:pStyle w:val="11"/>
              <w:spacing w:before="94" w:line="209" w:lineRule="auto"/>
              <w:ind w:left="31"/>
              <w:rPr>
                <w:color w:val="auto"/>
                <w:highlight w:val="none"/>
              </w:rPr>
            </w:pPr>
            <w:r>
              <w:rPr>
                <w:color w:val="auto"/>
                <w:spacing w:val="41"/>
                <w:highlight w:val="none"/>
              </w:rPr>
              <w:t>机械费</w:t>
            </w:r>
          </w:p>
        </w:tc>
        <w:tc>
          <w:tcPr>
            <w:tcW w:w="739" w:type="dxa"/>
            <w:tcBorders>
              <w:left w:val="single" w:color="000000" w:sz="4" w:space="0"/>
              <w:right w:val="single" w:color="000000" w:sz="4" w:space="0"/>
            </w:tcBorders>
            <w:vAlign w:val="top"/>
          </w:tcPr>
          <w:p w14:paraId="65E51754">
            <w:pPr>
              <w:pStyle w:val="11"/>
              <w:spacing w:before="30" w:line="241" w:lineRule="auto"/>
              <w:ind w:left="168"/>
              <w:rPr>
                <w:color w:val="auto"/>
                <w:highlight w:val="none"/>
              </w:rPr>
            </w:pPr>
            <w:r>
              <w:rPr>
                <w:color w:val="auto"/>
                <w:spacing w:val="-3"/>
                <w:highlight w:val="none"/>
              </w:rPr>
              <w:t>管理</w:t>
            </w:r>
          </w:p>
          <w:p w14:paraId="2CBB0975">
            <w:pPr>
              <w:pStyle w:val="11"/>
              <w:spacing w:line="221" w:lineRule="auto"/>
              <w:ind w:left="175"/>
              <w:rPr>
                <w:color w:val="auto"/>
                <w:highlight w:val="none"/>
              </w:rPr>
            </w:pPr>
            <w:r>
              <w:rPr>
                <w:color w:val="auto"/>
                <w:spacing w:val="-5"/>
                <w:highlight w:val="none"/>
              </w:rPr>
              <w:t>费和</w:t>
            </w:r>
          </w:p>
          <w:p w14:paraId="707469B7">
            <w:pPr>
              <w:pStyle w:val="11"/>
              <w:spacing w:before="16" w:line="208" w:lineRule="auto"/>
              <w:ind w:left="164"/>
              <w:rPr>
                <w:color w:val="auto"/>
                <w:highlight w:val="none"/>
              </w:rPr>
            </w:pPr>
            <w:r>
              <w:rPr>
                <w:color w:val="auto"/>
                <w:spacing w:val="-2"/>
                <w:highlight w:val="none"/>
              </w:rPr>
              <w:t>利润</w:t>
            </w:r>
          </w:p>
        </w:tc>
        <w:tc>
          <w:tcPr>
            <w:tcW w:w="844" w:type="dxa"/>
            <w:tcBorders>
              <w:left w:val="single" w:color="000000" w:sz="4" w:space="0"/>
              <w:right w:val="single" w:color="000000" w:sz="4" w:space="0"/>
            </w:tcBorders>
            <w:vAlign w:val="top"/>
          </w:tcPr>
          <w:p w14:paraId="6D1EA32C">
            <w:pPr>
              <w:pStyle w:val="11"/>
              <w:spacing w:before="305" w:line="221" w:lineRule="auto"/>
              <w:ind w:left="112"/>
              <w:rPr>
                <w:color w:val="auto"/>
                <w:highlight w:val="none"/>
              </w:rPr>
            </w:pPr>
            <w:r>
              <w:rPr>
                <w:color w:val="auto"/>
                <w:spacing w:val="-2"/>
                <w:highlight w:val="none"/>
              </w:rPr>
              <w:t>人工费</w:t>
            </w:r>
          </w:p>
        </w:tc>
        <w:tc>
          <w:tcPr>
            <w:tcW w:w="1343" w:type="dxa"/>
            <w:gridSpan w:val="4"/>
            <w:tcBorders>
              <w:left w:val="single" w:color="000000" w:sz="4" w:space="0"/>
              <w:right w:val="single" w:color="000000" w:sz="4" w:space="0"/>
            </w:tcBorders>
            <w:vAlign w:val="top"/>
          </w:tcPr>
          <w:p w14:paraId="70C92B27">
            <w:pPr>
              <w:pStyle w:val="11"/>
              <w:spacing w:before="304" w:line="220" w:lineRule="auto"/>
              <w:ind w:left="366"/>
              <w:rPr>
                <w:color w:val="auto"/>
                <w:highlight w:val="none"/>
              </w:rPr>
            </w:pPr>
            <w:r>
              <w:rPr>
                <w:color w:val="auto"/>
                <w:spacing w:val="-2"/>
                <w:highlight w:val="none"/>
              </w:rPr>
              <w:t>材料费</w:t>
            </w:r>
          </w:p>
        </w:tc>
        <w:tc>
          <w:tcPr>
            <w:tcW w:w="935" w:type="dxa"/>
            <w:gridSpan w:val="2"/>
            <w:tcBorders>
              <w:left w:val="single" w:color="000000" w:sz="4" w:space="0"/>
              <w:right w:val="single" w:color="000000" w:sz="4" w:space="0"/>
            </w:tcBorders>
            <w:vAlign w:val="top"/>
          </w:tcPr>
          <w:p w14:paraId="375DB4C2">
            <w:pPr>
              <w:pStyle w:val="11"/>
              <w:spacing w:before="304" w:line="220" w:lineRule="auto"/>
              <w:ind w:left="156"/>
              <w:rPr>
                <w:color w:val="auto"/>
                <w:highlight w:val="none"/>
              </w:rPr>
            </w:pPr>
            <w:r>
              <w:rPr>
                <w:color w:val="auto"/>
                <w:spacing w:val="-1"/>
                <w:highlight w:val="none"/>
              </w:rPr>
              <w:t>机械费</w:t>
            </w:r>
          </w:p>
        </w:tc>
        <w:tc>
          <w:tcPr>
            <w:tcW w:w="1105" w:type="dxa"/>
            <w:tcBorders>
              <w:left w:val="single" w:color="000000" w:sz="4" w:space="0"/>
              <w:right w:val="single" w:color="000000" w:sz="4" w:space="0"/>
            </w:tcBorders>
            <w:vAlign w:val="top"/>
          </w:tcPr>
          <w:p w14:paraId="4AC30819">
            <w:pPr>
              <w:pStyle w:val="11"/>
              <w:spacing w:before="30" w:line="241" w:lineRule="auto"/>
              <w:ind w:left="355"/>
              <w:rPr>
                <w:color w:val="auto"/>
                <w:highlight w:val="none"/>
              </w:rPr>
            </w:pPr>
            <w:r>
              <w:rPr>
                <w:color w:val="auto"/>
                <w:spacing w:val="-3"/>
                <w:highlight w:val="none"/>
              </w:rPr>
              <w:t>管理</w:t>
            </w:r>
          </w:p>
          <w:p w14:paraId="1B36C746">
            <w:pPr>
              <w:pStyle w:val="11"/>
              <w:spacing w:line="221" w:lineRule="auto"/>
              <w:ind w:left="361"/>
              <w:rPr>
                <w:color w:val="auto"/>
                <w:highlight w:val="none"/>
              </w:rPr>
            </w:pPr>
            <w:r>
              <w:rPr>
                <w:color w:val="auto"/>
                <w:spacing w:val="-5"/>
                <w:highlight w:val="none"/>
              </w:rPr>
              <w:t>费和</w:t>
            </w:r>
          </w:p>
          <w:p w14:paraId="45AADB75">
            <w:pPr>
              <w:pStyle w:val="11"/>
              <w:spacing w:before="16" w:line="208" w:lineRule="auto"/>
              <w:ind w:left="351"/>
              <w:rPr>
                <w:color w:val="auto"/>
                <w:highlight w:val="none"/>
              </w:rPr>
            </w:pPr>
            <w:r>
              <w:rPr>
                <w:color w:val="auto"/>
                <w:spacing w:val="-2"/>
                <w:highlight w:val="none"/>
              </w:rPr>
              <w:t>利润</w:t>
            </w:r>
          </w:p>
        </w:tc>
      </w:tr>
      <w:tr w14:paraId="3D0AB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58FF5C9E">
            <w:pPr>
              <w:rPr>
                <w:rFonts w:ascii="Arial"/>
                <w:color w:val="auto"/>
                <w:sz w:val="21"/>
                <w:highlight w:val="none"/>
              </w:rPr>
            </w:pPr>
          </w:p>
        </w:tc>
        <w:tc>
          <w:tcPr>
            <w:tcW w:w="669" w:type="dxa"/>
            <w:gridSpan w:val="2"/>
            <w:tcBorders>
              <w:right w:val="single" w:color="000000" w:sz="4" w:space="0"/>
            </w:tcBorders>
            <w:vAlign w:val="top"/>
          </w:tcPr>
          <w:p w14:paraId="06FCF535">
            <w:pPr>
              <w:rPr>
                <w:rFonts w:ascii="Arial"/>
                <w:color w:val="auto"/>
                <w:sz w:val="21"/>
                <w:highlight w:val="none"/>
              </w:rPr>
            </w:pPr>
          </w:p>
        </w:tc>
        <w:tc>
          <w:tcPr>
            <w:tcW w:w="672" w:type="dxa"/>
            <w:tcBorders>
              <w:left w:val="single" w:color="000000" w:sz="4" w:space="0"/>
              <w:right w:val="single" w:color="000000" w:sz="4" w:space="0"/>
            </w:tcBorders>
            <w:vAlign w:val="top"/>
          </w:tcPr>
          <w:p w14:paraId="6478D415">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2673D720">
            <w:pPr>
              <w:rPr>
                <w:rFonts w:ascii="Arial"/>
                <w:color w:val="auto"/>
                <w:sz w:val="21"/>
                <w:highlight w:val="none"/>
              </w:rPr>
            </w:pPr>
          </w:p>
        </w:tc>
        <w:tc>
          <w:tcPr>
            <w:tcW w:w="427" w:type="dxa"/>
            <w:tcBorders>
              <w:left w:val="single" w:color="000000" w:sz="4" w:space="0"/>
              <w:right w:val="single" w:color="000000" w:sz="4" w:space="0"/>
            </w:tcBorders>
            <w:vAlign w:val="top"/>
          </w:tcPr>
          <w:p w14:paraId="196FC81E">
            <w:pPr>
              <w:rPr>
                <w:rFonts w:ascii="Arial"/>
                <w:color w:val="auto"/>
                <w:sz w:val="21"/>
                <w:highlight w:val="none"/>
              </w:rPr>
            </w:pPr>
          </w:p>
        </w:tc>
        <w:tc>
          <w:tcPr>
            <w:tcW w:w="664" w:type="dxa"/>
            <w:gridSpan w:val="2"/>
            <w:tcBorders>
              <w:left w:val="single" w:color="000000" w:sz="4" w:space="0"/>
            </w:tcBorders>
            <w:vAlign w:val="top"/>
          </w:tcPr>
          <w:p w14:paraId="23947FAE">
            <w:pPr>
              <w:rPr>
                <w:rFonts w:ascii="Arial"/>
                <w:color w:val="auto"/>
                <w:sz w:val="21"/>
                <w:highlight w:val="none"/>
              </w:rPr>
            </w:pPr>
          </w:p>
        </w:tc>
        <w:tc>
          <w:tcPr>
            <w:tcW w:w="419" w:type="dxa"/>
            <w:tcBorders>
              <w:right w:val="single" w:color="000000" w:sz="4" w:space="0"/>
            </w:tcBorders>
            <w:vAlign w:val="top"/>
          </w:tcPr>
          <w:p w14:paraId="2B04317E">
            <w:pPr>
              <w:rPr>
                <w:rFonts w:ascii="Arial"/>
                <w:color w:val="auto"/>
                <w:sz w:val="21"/>
                <w:highlight w:val="none"/>
              </w:rPr>
            </w:pPr>
          </w:p>
        </w:tc>
        <w:tc>
          <w:tcPr>
            <w:tcW w:w="739" w:type="dxa"/>
            <w:tcBorders>
              <w:left w:val="single" w:color="000000" w:sz="4" w:space="0"/>
              <w:right w:val="single" w:color="000000" w:sz="4" w:space="0"/>
            </w:tcBorders>
            <w:vAlign w:val="top"/>
          </w:tcPr>
          <w:p w14:paraId="1CFDA8BE">
            <w:pPr>
              <w:rPr>
                <w:rFonts w:ascii="Arial"/>
                <w:color w:val="auto"/>
                <w:sz w:val="21"/>
                <w:highlight w:val="none"/>
              </w:rPr>
            </w:pPr>
          </w:p>
        </w:tc>
        <w:tc>
          <w:tcPr>
            <w:tcW w:w="844" w:type="dxa"/>
            <w:tcBorders>
              <w:left w:val="single" w:color="000000" w:sz="4" w:space="0"/>
              <w:right w:val="single" w:color="000000" w:sz="4" w:space="0"/>
            </w:tcBorders>
            <w:vAlign w:val="top"/>
          </w:tcPr>
          <w:p w14:paraId="6B2582A7">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7B0857CA">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628C4E5C">
            <w:pPr>
              <w:rPr>
                <w:rFonts w:ascii="Arial"/>
                <w:color w:val="auto"/>
                <w:sz w:val="21"/>
                <w:highlight w:val="none"/>
              </w:rPr>
            </w:pPr>
          </w:p>
        </w:tc>
        <w:tc>
          <w:tcPr>
            <w:tcW w:w="1105" w:type="dxa"/>
            <w:tcBorders>
              <w:left w:val="single" w:color="000000" w:sz="4" w:space="0"/>
              <w:right w:val="single" w:color="000000" w:sz="4" w:space="0"/>
            </w:tcBorders>
            <w:vAlign w:val="top"/>
          </w:tcPr>
          <w:p w14:paraId="63A7A949">
            <w:pPr>
              <w:rPr>
                <w:rFonts w:ascii="Arial"/>
                <w:color w:val="auto"/>
                <w:sz w:val="21"/>
                <w:highlight w:val="none"/>
              </w:rPr>
            </w:pPr>
          </w:p>
        </w:tc>
      </w:tr>
      <w:tr w14:paraId="4BEC4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727A14BA">
            <w:pPr>
              <w:rPr>
                <w:rFonts w:ascii="Arial"/>
                <w:color w:val="auto"/>
                <w:sz w:val="21"/>
                <w:highlight w:val="none"/>
              </w:rPr>
            </w:pPr>
          </w:p>
        </w:tc>
        <w:tc>
          <w:tcPr>
            <w:tcW w:w="669" w:type="dxa"/>
            <w:gridSpan w:val="2"/>
            <w:tcBorders>
              <w:right w:val="single" w:color="000000" w:sz="4" w:space="0"/>
            </w:tcBorders>
            <w:vAlign w:val="top"/>
          </w:tcPr>
          <w:p w14:paraId="781EBD0C">
            <w:pPr>
              <w:rPr>
                <w:rFonts w:ascii="Arial"/>
                <w:color w:val="auto"/>
                <w:sz w:val="21"/>
                <w:highlight w:val="none"/>
              </w:rPr>
            </w:pPr>
          </w:p>
        </w:tc>
        <w:tc>
          <w:tcPr>
            <w:tcW w:w="672" w:type="dxa"/>
            <w:tcBorders>
              <w:left w:val="single" w:color="000000" w:sz="4" w:space="0"/>
              <w:right w:val="single" w:color="000000" w:sz="4" w:space="0"/>
            </w:tcBorders>
            <w:vAlign w:val="top"/>
          </w:tcPr>
          <w:p w14:paraId="7A8D0E45">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63831DA4">
            <w:pPr>
              <w:rPr>
                <w:rFonts w:ascii="Arial"/>
                <w:color w:val="auto"/>
                <w:sz w:val="21"/>
                <w:highlight w:val="none"/>
              </w:rPr>
            </w:pPr>
          </w:p>
        </w:tc>
        <w:tc>
          <w:tcPr>
            <w:tcW w:w="427" w:type="dxa"/>
            <w:tcBorders>
              <w:left w:val="single" w:color="000000" w:sz="4" w:space="0"/>
              <w:right w:val="single" w:color="000000" w:sz="4" w:space="0"/>
            </w:tcBorders>
            <w:vAlign w:val="top"/>
          </w:tcPr>
          <w:p w14:paraId="039D783E">
            <w:pPr>
              <w:rPr>
                <w:rFonts w:ascii="Arial"/>
                <w:color w:val="auto"/>
                <w:sz w:val="21"/>
                <w:highlight w:val="none"/>
              </w:rPr>
            </w:pPr>
          </w:p>
        </w:tc>
        <w:tc>
          <w:tcPr>
            <w:tcW w:w="664" w:type="dxa"/>
            <w:gridSpan w:val="2"/>
            <w:tcBorders>
              <w:left w:val="single" w:color="000000" w:sz="4" w:space="0"/>
            </w:tcBorders>
            <w:vAlign w:val="top"/>
          </w:tcPr>
          <w:p w14:paraId="724745CD">
            <w:pPr>
              <w:rPr>
                <w:rFonts w:ascii="Arial"/>
                <w:color w:val="auto"/>
                <w:sz w:val="21"/>
                <w:highlight w:val="none"/>
              </w:rPr>
            </w:pPr>
          </w:p>
        </w:tc>
        <w:tc>
          <w:tcPr>
            <w:tcW w:w="419" w:type="dxa"/>
            <w:tcBorders>
              <w:right w:val="single" w:color="000000" w:sz="4" w:space="0"/>
            </w:tcBorders>
            <w:vAlign w:val="top"/>
          </w:tcPr>
          <w:p w14:paraId="46E80BC9">
            <w:pPr>
              <w:rPr>
                <w:rFonts w:ascii="Arial"/>
                <w:color w:val="auto"/>
                <w:sz w:val="21"/>
                <w:highlight w:val="none"/>
              </w:rPr>
            </w:pPr>
          </w:p>
        </w:tc>
        <w:tc>
          <w:tcPr>
            <w:tcW w:w="739" w:type="dxa"/>
            <w:tcBorders>
              <w:left w:val="single" w:color="000000" w:sz="4" w:space="0"/>
              <w:right w:val="single" w:color="000000" w:sz="4" w:space="0"/>
            </w:tcBorders>
            <w:vAlign w:val="top"/>
          </w:tcPr>
          <w:p w14:paraId="0BDFFF49">
            <w:pPr>
              <w:rPr>
                <w:rFonts w:ascii="Arial"/>
                <w:color w:val="auto"/>
                <w:sz w:val="21"/>
                <w:highlight w:val="none"/>
              </w:rPr>
            </w:pPr>
          </w:p>
        </w:tc>
        <w:tc>
          <w:tcPr>
            <w:tcW w:w="844" w:type="dxa"/>
            <w:tcBorders>
              <w:left w:val="single" w:color="000000" w:sz="4" w:space="0"/>
              <w:right w:val="single" w:color="000000" w:sz="4" w:space="0"/>
            </w:tcBorders>
            <w:vAlign w:val="top"/>
          </w:tcPr>
          <w:p w14:paraId="66959804">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4634B91D">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27B40FB7">
            <w:pPr>
              <w:rPr>
                <w:rFonts w:ascii="Arial"/>
                <w:color w:val="auto"/>
                <w:sz w:val="21"/>
                <w:highlight w:val="none"/>
              </w:rPr>
            </w:pPr>
          </w:p>
        </w:tc>
        <w:tc>
          <w:tcPr>
            <w:tcW w:w="1105" w:type="dxa"/>
            <w:tcBorders>
              <w:left w:val="single" w:color="000000" w:sz="4" w:space="0"/>
              <w:right w:val="single" w:color="000000" w:sz="4" w:space="0"/>
            </w:tcBorders>
            <w:vAlign w:val="top"/>
          </w:tcPr>
          <w:p w14:paraId="2078609E">
            <w:pPr>
              <w:rPr>
                <w:rFonts w:ascii="Arial"/>
                <w:color w:val="auto"/>
                <w:sz w:val="21"/>
                <w:highlight w:val="none"/>
              </w:rPr>
            </w:pPr>
          </w:p>
        </w:tc>
      </w:tr>
      <w:tr w14:paraId="64ECA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493C4B0D">
            <w:pPr>
              <w:rPr>
                <w:rFonts w:ascii="Arial"/>
                <w:color w:val="auto"/>
                <w:sz w:val="21"/>
                <w:highlight w:val="none"/>
              </w:rPr>
            </w:pPr>
          </w:p>
        </w:tc>
        <w:tc>
          <w:tcPr>
            <w:tcW w:w="669" w:type="dxa"/>
            <w:gridSpan w:val="2"/>
            <w:tcBorders>
              <w:right w:val="single" w:color="000000" w:sz="4" w:space="0"/>
            </w:tcBorders>
            <w:vAlign w:val="top"/>
          </w:tcPr>
          <w:p w14:paraId="21DE1497">
            <w:pPr>
              <w:rPr>
                <w:rFonts w:ascii="Arial"/>
                <w:color w:val="auto"/>
                <w:sz w:val="21"/>
                <w:highlight w:val="none"/>
              </w:rPr>
            </w:pPr>
          </w:p>
        </w:tc>
        <w:tc>
          <w:tcPr>
            <w:tcW w:w="672" w:type="dxa"/>
            <w:tcBorders>
              <w:left w:val="single" w:color="000000" w:sz="4" w:space="0"/>
              <w:right w:val="single" w:color="000000" w:sz="4" w:space="0"/>
            </w:tcBorders>
            <w:vAlign w:val="top"/>
          </w:tcPr>
          <w:p w14:paraId="5EDEEB1F">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341A6575">
            <w:pPr>
              <w:rPr>
                <w:rFonts w:ascii="Arial"/>
                <w:color w:val="auto"/>
                <w:sz w:val="21"/>
                <w:highlight w:val="none"/>
              </w:rPr>
            </w:pPr>
          </w:p>
        </w:tc>
        <w:tc>
          <w:tcPr>
            <w:tcW w:w="427" w:type="dxa"/>
            <w:tcBorders>
              <w:left w:val="single" w:color="000000" w:sz="4" w:space="0"/>
              <w:right w:val="single" w:color="000000" w:sz="4" w:space="0"/>
            </w:tcBorders>
            <w:vAlign w:val="top"/>
          </w:tcPr>
          <w:p w14:paraId="5B3AD07F">
            <w:pPr>
              <w:rPr>
                <w:rFonts w:ascii="Arial"/>
                <w:color w:val="auto"/>
                <w:sz w:val="21"/>
                <w:highlight w:val="none"/>
              </w:rPr>
            </w:pPr>
          </w:p>
        </w:tc>
        <w:tc>
          <w:tcPr>
            <w:tcW w:w="664" w:type="dxa"/>
            <w:gridSpan w:val="2"/>
            <w:tcBorders>
              <w:left w:val="single" w:color="000000" w:sz="4" w:space="0"/>
            </w:tcBorders>
            <w:vAlign w:val="top"/>
          </w:tcPr>
          <w:p w14:paraId="085D0D1E">
            <w:pPr>
              <w:rPr>
                <w:rFonts w:ascii="Arial"/>
                <w:color w:val="auto"/>
                <w:sz w:val="21"/>
                <w:highlight w:val="none"/>
              </w:rPr>
            </w:pPr>
          </w:p>
        </w:tc>
        <w:tc>
          <w:tcPr>
            <w:tcW w:w="419" w:type="dxa"/>
            <w:tcBorders>
              <w:right w:val="single" w:color="000000" w:sz="4" w:space="0"/>
            </w:tcBorders>
            <w:vAlign w:val="top"/>
          </w:tcPr>
          <w:p w14:paraId="3656E1A4">
            <w:pPr>
              <w:rPr>
                <w:rFonts w:ascii="Arial"/>
                <w:color w:val="auto"/>
                <w:sz w:val="21"/>
                <w:highlight w:val="none"/>
              </w:rPr>
            </w:pPr>
          </w:p>
        </w:tc>
        <w:tc>
          <w:tcPr>
            <w:tcW w:w="739" w:type="dxa"/>
            <w:tcBorders>
              <w:left w:val="single" w:color="000000" w:sz="4" w:space="0"/>
              <w:right w:val="single" w:color="000000" w:sz="4" w:space="0"/>
            </w:tcBorders>
            <w:vAlign w:val="top"/>
          </w:tcPr>
          <w:p w14:paraId="2AAE6957">
            <w:pPr>
              <w:rPr>
                <w:rFonts w:ascii="Arial"/>
                <w:color w:val="auto"/>
                <w:sz w:val="21"/>
                <w:highlight w:val="none"/>
              </w:rPr>
            </w:pPr>
          </w:p>
        </w:tc>
        <w:tc>
          <w:tcPr>
            <w:tcW w:w="844" w:type="dxa"/>
            <w:tcBorders>
              <w:left w:val="single" w:color="000000" w:sz="4" w:space="0"/>
              <w:right w:val="single" w:color="000000" w:sz="4" w:space="0"/>
            </w:tcBorders>
            <w:vAlign w:val="top"/>
          </w:tcPr>
          <w:p w14:paraId="5F51C9F3">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2778106D">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F3C4E00">
            <w:pPr>
              <w:rPr>
                <w:rFonts w:ascii="Arial"/>
                <w:color w:val="auto"/>
                <w:sz w:val="21"/>
                <w:highlight w:val="none"/>
              </w:rPr>
            </w:pPr>
          </w:p>
        </w:tc>
        <w:tc>
          <w:tcPr>
            <w:tcW w:w="1105" w:type="dxa"/>
            <w:tcBorders>
              <w:left w:val="single" w:color="000000" w:sz="4" w:space="0"/>
              <w:right w:val="single" w:color="000000" w:sz="4" w:space="0"/>
            </w:tcBorders>
            <w:vAlign w:val="top"/>
          </w:tcPr>
          <w:p w14:paraId="2C93C650">
            <w:pPr>
              <w:rPr>
                <w:rFonts w:ascii="Arial"/>
                <w:color w:val="auto"/>
                <w:sz w:val="21"/>
                <w:highlight w:val="none"/>
              </w:rPr>
            </w:pPr>
          </w:p>
        </w:tc>
      </w:tr>
      <w:tr w14:paraId="002A3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1" w:type="dxa"/>
            <w:tcBorders>
              <w:left w:val="single" w:color="000000" w:sz="4" w:space="0"/>
            </w:tcBorders>
            <w:vAlign w:val="top"/>
          </w:tcPr>
          <w:p w14:paraId="10429F51">
            <w:pPr>
              <w:rPr>
                <w:rFonts w:ascii="Arial"/>
                <w:color w:val="auto"/>
                <w:sz w:val="21"/>
                <w:highlight w:val="none"/>
              </w:rPr>
            </w:pPr>
          </w:p>
        </w:tc>
        <w:tc>
          <w:tcPr>
            <w:tcW w:w="669" w:type="dxa"/>
            <w:gridSpan w:val="2"/>
            <w:tcBorders>
              <w:right w:val="single" w:color="000000" w:sz="4" w:space="0"/>
            </w:tcBorders>
            <w:vAlign w:val="top"/>
          </w:tcPr>
          <w:p w14:paraId="44542EAE">
            <w:pPr>
              <w:rPr>
                <w:rFonts w:ascii="Arial"/>
                <w:color w:val="auto"/>
                <w:sz w:val="21"/>
                <w:highlight w:val="none"/>
              </w:rPr>
            </w:pPr>
          </w:p>
        </w:tc>
        <w:tc>
          <w:tcPr>
            <w:tcW w:w="672" w:type="dxa"/>
            <w:tcBorders>
              <w:left w:val="single" w:color="000000" w:sz="4" w:space="0"/>
              <w:right w:val="single" w:color="000000" w:sz="4" w:space="0"/>
            </w:tcBorders>
            <w:vAlign w:val="top"/>
          </w:tcPr>
          <w:p w14:paraId="446934BF">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28BDAEDB">
            <w:pPr>
              <w:rPr>
                <w:rFonts w:ascii="Arial"/>
                <w:color w:val="auto"/>
                <w:sz w:val="21"/>
                <w:highlight w:val="none"/>
              </w:rPr>
            </w:pPr>
          </w:p>
        </w:tc>
        <w:tc>
          <w:tcPr>
            <w:tcW w:w="427" w:type="dxa"/>
            <w:tcBorders>
              <w:left w:val="single" w:color="000000" w:sz="4" w:space="0"/>
              <w:right w:val="single" w:color="000000" w:sz="4" w:space="0"/>
            </w:tcBorders>
            <w:vAlign w:val="top"/>
          </w:tcPr>
          <w:p w14:paraId="16AAAFFB">
            <w:pPr>
              <w:rPr>
                <w:rFonts w:ascii="Arial"/>
                <w:color w:val="auto"/>
                <w:sz w:val="21"/>
                <w:highlight w:val="none"/>
              </w:rPr>
            </w:pPr>
          </w:p>
        </w:tc>
        <w:tc>
          <w:tcPr>
            <w:tcW w:w="664" w:type="dxa"/>
            <w:gridSpan w:val="2"/>
            <w:tcBorders>
              <w:left w:val="single" w:color="000000" w:sz="4" w:space="0"/>
            </w:tcBorders>
            <w:vAlign w:val="top"/>
          </w:tcPr>
          <w:p w14:paraId="500D907F">
            <w:pPr>
              <w:rPr>
                <w:rFonts w:ascii="Arial"/>
                <w:color w:val="auto"/>
                <w:sz w:val="21"/>
                <w:highlight w:val="none"/>
              </w:rPr>
            </w:pPr>
          </w:p>
        </w:tc>
        <w:tc>
          <w:tcPr>
            <w:tcW w:w="419" w:type="dxa"/>
            <w:tcBorders>
              <w:right w:val="single" w:color="000000" w:sz="4" w:space="0"/>
            </w:tcBorders>
            <w:vAlign w:val="top"/>
          </w:tcPr>
          <w:p w14:paraId="46D3C829">
            <w:pPr>
              <w:rPr>
                <w:rFonts w:ascii="Arial"/>
                <w:color w:val="auto"/>
                <w:sz w:val="21"/>
                <w:highlight w:val="none"/>
              </w:rPr>
            </w:pPr>
          </w:p>
        </w:tc>
        <w:tc>
          <w:tcPr>
            <w:tcW w:w="739" w:type="dxa"/>
            <w:tcBorders>
              <w:left w:val="single" w:color="000000" w:sz="4" w:space="0"/>
              <w:right w:val="single" w:color="000000" w:sz="4" w:space="0"/>
            </w:tcBorders>
            <w:vAlign w:val="top"/>
          </w:tcPr>
          <w:p w14:paraId="56FACFAE">
            <w:pPr>
              <w:rPr>
                <w:rFonts w:ascii="Arial"/>
                <w:color w:val="auto"/>
                <w:sz w:val="21"/>
                <w:highlight w:val="none"/>
              </w:rPr>
            </w:pPr>
          </w:p>
        </w:tc>
        <w:tc>
          <w:tcPr>
            <w:tcW w:w="844" w:type="dxa"/>
            <w:tcBorders>
              <w:left w:val="single" w:color="000000" w:sz="4" w:space="0"/>
              <w:right w:val="single" w:color="000000" w:sz="4" w:space="0"/>
            </w:tcBorders>
            <w:vAlign w:val="top"/>
          </w:tcPr>
          <w:p w14:paraId="684A52C4">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454E5E4B">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AAD204A">
            <w:pPr>
              <w:rPr>
                <w:rFonts w:ascii="Arial"/>
                <w:color w:val="auto"/>
                <w:sz w:val="21"/>
                <w:highlight w:val="none"/>
              </w:rPr>
            </w:pPr>
          </w:p>
        </w:tc>
        <w:tc>
          <w:tcPr>
            <w:tcW w:w="1105" w:type="dxa"/>
            <w:tcBorders>
              <w:left w:val="single" w:color="000000" w:sz="4" w:space="0"/>
              <w:right w:val="single" w:color="000000" w:sz="4" w:space="0"/>
            </w:tcBorders>
            <w:vAlign w:val="top"/>
          </w:tcPr>
          <w:p w14:paraId="4259C888">
            <w:pPr>
              <w:rPr>
                <w:rFonts w:ascii="Arial"/>
                <w:color w:val="auto"/>
                <w:sz w:val="21"/>
                <w:highlight w:val="none"/>
              </w:rPr>
            </w:pPr>
          </w:p>
        </w:tc>
      </w:tr>
      <w:tr w14:paraId="3EE36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3B3886BC">
            <w:pPr>
              <w:pStyle w:val="11"/>
              <w:spacing w:before="173" w:line="219" w:lineRule="auto"/>
              <w:ind w:left="273"/>
              <w:rPr>
                <w:color w:val="auto"/>
                <w:highlight w:val="none"/>
              </w:rPr>
            </w:pPr>
            <w:r>
              <w:rPr>
                <w:color w:val="auto"/>
                <w:spacing w:val="-1"/>
                <w:highlight w:val="none"/>
              </w:rPr>
              <w:t>人工单价</w:t>
            </w:r>
          </w:p>
        </w:tc>
        <w:tc>
          <w:tcPr>
            <w:tcW w:w="3348" w:type="dxa"/>
            <w:gridSpan w:val="8"/>
            <w:tcBorders>
              <w:left w:val="single" w:color="000000" w:sz="4" w:space="0"/>
              <w:right w:val="single" w:color="000000" w:sz="4" w:space="0"/>
            </w:tcBorders>
            <w:vAlign w:val="top"/>
          </w:tcPr>
          <w:p w14:paraId="163BAEC3">
            <w:pPr>
              <w:pStyle w:val="11"/>
              <w:spacing w:before="173" w:line="222" w:lineRule="auto"/>
              <w:ind w:left="1477"/>
              <w:rPr>
                <w:color w:val="auto"/>
                <w:highlight w:val="none"/>
              </w:rPr>
            </w:pPr>
            <w:r>
              <w:rPr>
                <w:color w:val="auto"/>
                <w:spacing w:val="-3"/>
                <w:highlight w:val="none"/>
              </w:rPr>
              <w:t>小计</w:t>
            </w:r>
          </w:p>
        </w:tc>
        <w:tc>
          <w:tcPr>
            <w:tcW w:w="844" w:type="dxa"/>
            <w:tcBorders>
              <w:left w:val="single" w:color="000000" w:sz="4" w:space="0"/>
              <w:right w:val="single" w:color="000000" w:sz="4" w:space="0"/>
            </w:tcBorders>
            <w:vAlign w:val="top"/>
          </w:tcPr>
          <w:p w14:paraId="4121376C">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317DDC49">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8166917">
            <w:pPr>
              <w:rPr>
                <w:rFonts w:ascii="Arial"/>
                <w:color w:val="auto"/>
                <w:sz w:val="21"/>
                <w:highlight w:val="none"/>
              </w:rPr>
            </w:pPr>
          </w:p>
        </w:tc>
        <w:tc>
          <w:tcPr>
            <w:tcW w:w="1105" w:type="dxa"/>
            <w:tcBorders>
              <w:left w:val="single" w:color="000000" w:sz="4" w:space="0"/>
              <w:right w:val="single" w:color="000000" w:sz="4" w:space="0"/>
            </w:tcBorders>
            <w:vAlign w:val="top"/>
          </w:tcPr>
          <w:p w14:paraId="4193F6CC">
            <w:pPr>
              <w:rPr>
                <w:rFonts w:ascii="Arial"/>
                <w:color w:val="auto"/>
                <w:sz w:val="21"/>
                <w:highlight w:val="none"/>
              </w:rPr>
            </w:pPr>
          </w:p>
        </w:tc>
      </w:tr>
      <w:tr w14:paraId="58EF1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3372E81C">
            <w:pPr>
              <w:pStyle w:val="11"/>
              <w:spacing w:before="174" w:line="235" w:lineRule="auto"/>
              <w:ind w:left="456"/>
              <w:rPr>
                <w:color w:val="auto"/>
                <w:highlight w:val="none"/>
              </w:rPr>
            </w:pPr>
            <w:r>
              <w:rPr>
                <w:color w:val="auto"/>
                <w:spacing w:val="-2"/>
                <w:highlight w:val="none"/>
              </w:rPr>
              <w:t>元</w:t>
            </w:r>
            <w:r>
              <w:rPr>
                <w:rFonts w:ascii="Times New Roman" w:hAnsi="Times New Roman" w:eastAsia="Times New Roman" w:cs="Times New Roman"/>
                <w:color w:val="auto"/>
                <w:spacing w:val="-2"/>
                <w:highlight w:val="none"/>
              </w:rPr>
              <w:t>/</w:t>
            </w:r>
            <w:r>
              <w:rPr>
                <w:color w:val="auto"/>
                <w:spacing w:val="-2"/>
                <w:highlight w:val="none"/>
              </w:rPr>
              <w:t>工日</w:t>
            </w:r>
          </w:p>
        </w:tc>
        <w:tc>
          <w:tcPr>
            <w:tcW w:w="3348" w:type="dxa"/>
            <w:gridSpan w:val="8"/>
            <w:tcBorders>
              <w:left w:val="single" w:color="000000" w:sz="4" w:space="0"/>
              <w:right w:val="single" w:color="000000" w:sz="4" w:space="0"/>
            </w:tcBorders>
            <w:vAlign w:val="top"/>
          </w:tcPr>
          <w:p w14:paraId="46E07D0B">
            <w:pPr>
              <w:pStyle w:val="11"/>
              <w:spacing w:before="174" w:line="219" w:lineRule="auto"/>
              <w:ind w:left="1051"/>
              <w:rPr>
                <w:color w:val="auto"/>
                <w:highlight w:val="none"/>
              </w:rPr>
            </w:pPr>
            <w:r>
              <w:rPr>
                <w:color w:val="auto"/>
                <w:spacing w:val="-1"/>
                <w:highlight w:val="none"/>
              </w:rPr>
              <w:t>未计价材料费</w:t>
            </w:r>
          </w:p>
        </w:tc>
        <w:tc>
          <w:tcPr>
            <w:tcW w:w="4227" w:type="dxa"/>
            <w:gridSpan w:val="8"/>
            <w:tcBorders>
              <w:left w:val="single" w:color="000000" w:sz="4" w:space="0"/>
              <w:right w:val="single" w:color="000000" w:sz="4" w:space="0"/>
            </w:tcBorders>
            <w:vAlign w:val="top"/>
          </w:tcPr>
          <w:p w14:paraId="21117992">
            <w:pPr>
              <w:rPr>
                <w:rFonts w:ascii="Arial"/>
                <w:color w:val="auto"/>
                <w:sz w:val="21"/>
                <w:highlight w:val="none"/>
              </w:rPr>
            </w:pPr>
          </w:p>
        </w:tc>
      </w:tr>
      <w:tr w14:paraId="757E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718" w:type="dxa"/>
            <w:gridSpan w:val="11"/>
            <w:tcBorders>
              <w:left w:val="single" w:color="000000" w:sz="4" w:space="0"/>
              <w:right w:val="single" w:color="000000" w:sz="4" w:space="0"/>
            </w:tcBorders>
            <w:vAlign w:val="top"/>
          </w:tcPr>
          <w:p w14:paraId="5432A197">
            <w:pPr>
              <w:pStyle w:val="11"/>
              <w:spacing w:before="174" w:line="219" w:lineRule="auto"/>
              <w:ind w:left="1525"/>
              <w:rPr>
                <w:color w:val="auto"/>
                <w:highlight w:val="none"/>
              </w:rPr>
            </w:pPr>
            <w:r>
              <w:rPr>
                <w:color w:val="auto"/>
                <w:spacing w:val="-1"/>
                <w:highlight w:val="none"/>
              </w:rPr>
              <w:t>清单项目综合单价</w:t>
            </w:r>
          </w:p>
        </w:tc>
        <w:tc>
          <w:tcPr>
            <w:tcW w:w="4227" w:type="dxa"/>
            <w:gridSpan w:val="8"/>
            <w:tcBorders>
              <w:left w:val="single" w:color="000000" w:sz="4" w:space="0"/>
              <w:right w:val="single" w:color="000000" w:sz="4" w:space="0"/>
            </w:tcBorders>
            <w:vAlign w:val="top"/>
          </w:tcPr>
          <w:p w14:paraId="64F61805">
            <w:pPr>
              <w:rPr>
                <w:rFonts w:ascii="Arial"/>
                <w:color w:val="auto"/>
                <w:sz w:val="21"/>
                <w:highlight w:val="none"/>
              </w:rPr>
            </w:pPr>
          </w:p>
        </w:tc>
      </w:tr>
      <w:tr w14:paraId="21FB6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textDirection w:val="tbRlV"/>
            <w:vAlign w:val="top"/>
          </w:tcPr>
          <w:p w14:paraId="70C033EA">
            <w:pPr>
              <w:pStyle w:val="11"/>
              <w:spacing w:before="242" w:line="208" w:lineRule="auto"/>
              <w:ind w:left="1331"/>
              <w:rPr>
                <w:color w:val="auto"/>
                <w:highlight w:val="none"/>
              </w:rPr>
            </w:pPr>
            <w:r>
              <w:rPr>
                <w:color w:val="auto"/>
                <w:spacing w:val="1"/>
                <w:highlight w:val="none"/>
              </w:rPr>
              <w:t>材</w:t>
            </w:r>
            <w:r>
              <w:rPr>
                <w:color w:val="auto"/>
                <w:spacing w:val="-43"/>
                <w:highlight w:val="none"/>
              </w:rPr>
              <w:t xml:space="preserve"> </w:t>
            </w:r>
            <w:r>
              <w:rPr>
                <w:color w:val="auto"/>
                <w:spacing w:val="1"/>
                <w:highlight w:val="none"/>
              </w:rPr>
              <w:t>料</w:t>
            </w:r>
            <w:r>
              <w:rPr>
                <w:color w:val="auto"/>
                <w:spacing w:val="-43"/>
                <w:highlight w:val="none"/>
              </w:rPr>
              <w:t xml:space="preserve"> </w:t>
            </w:r>
            <w:r>
              <w:rPr>
                <w:color w:val="auto"/>
                <w:spacing w:val="1"/>
                <w:highlight w:val="none"/>
              </w:rPr>
              <w:t>费</w:t>
            </w:r>
            <w:r>
              <w:rPr>
                <w:color w:val="auto"/>
                <w:spacing w:val="-47"/>
                <w:highlight w:val="none"/>
              </w:rPr>
              <w:t xml:space="preserve"> </w:t>
            </w:r>
            <w:r>
              <w:rPr>
                <w:color w:val="auto"/>
                <w:spacing w:val="1"/>
                <w:highlight w:val="none"/>
              </w:rPr>
              <w:t>明</w:t>
            </w:r>
            <w:r>
              <w:rPr>
                <w:color w:val="auto"/>
                <w:spacing w:val="-42"/>
                <w:highlight w:val="none"/>
              </w:rPr>
              <w:t xml:space="preserve"> </w:t>
            </w:r>
            <w:r>
              <w:rPr>
                <w:color w:val="auto"/>
                <w:spacing w:val="1"/>
                <w:highlight w:val="none"/>
              </w:rPr>
              <w:t>细</w:t>
            </w:r>
          </w:p>
        </w:tc>
        <w:tc>
          <w:tcPr>
            <w:tcW w:w="2195" w:type="dxa"/>
            <w:gridSpan w:val="6"/>
            <w:tcBorders>
              <w:right w:val="single" w:color="000000" w:sz="4" w:space="0"/>
            </w:tcBorders>
            <w:vAlign w:val="top"/>
          </w:tcPr>
          <w:p w14:paraId="7200BA8B">
            <w:pPr>
              <w:pStyle w:val="11"/>
              <w:spacing w:before="41" w:line="224" w:lineRule="auto"/>
              <w:ind w:left="681" w:right="250" w:hanging="420"/>
              <w:rPr>
                <w:color w:val="auto"/>
                <w:highlight w:val="none"/>
              </w:rPr>
            </w:pPr>
            <w:r>
              <w:rPr>
                <w:color w:val="auto"/>
                <w:spacing w:val="-1"/>
                <w:highlight w:val="none"/>
              </w:rPr>
              <w:t>主要材料名称、规</w:t>
            </w:r>
            <w:r>
              <w:rPr>
                <w:color w:val="auto"/>
                <w:spacing w:val="1"/>
                <w:highlight w:val="none"/>
              </w:rPr>
              <w:t xml:space="preserve"> </w:t>
            </w:r>
            <w:r>
              <w:rPr>
                <w:color w:val="auto"/>
                <w:spacing w:val="-1"/>
                <w:highlight w:val="none"/>
              </w:rPr>
              <w:t>格、型号</w:t>
            </w:r>
          </w:p>
        </w:tc>
        <w:tc>
          <w:tcPr>
            <w:tcW w:w="664" w:type="dxa"/>
            <w:gridSpan w:val="2"/>
            <w:tcBorders>
              <w:left w:val="single" w:color="000000" w:sz="4" w:space="0"/>
            </w:tcBorders>
            <w:vAlign w:val="top"/>
          </w:tcPr>
          <w:p w14:paraId="74F3061B">
            <w:pPr>
              <w:pStyle w:val="11"/>
              <w:spacing w:before="175" w:line="221" w:lineRule="auto"/>
              <w:ind w:left="129"/>
              <w:rPr>
                <w:color w:val="auto"/>
                <w:highlight w:val="none"/>
              </w:rPr>
            </w:pPr>
            <w:r>
              <w:rPr>
                <w:color w:val="auto"/>
                <w:spacing w:val="-2"/>
                <w:highlight w:val="none"/>
              </w:rPr>
              <w:t>单位</w:t>
            </w:r>
          </w:p>
        </w:tc>
        <w:tc>
          <w:tcPr>
            <w:tcW w:w="1158" w:type="dxa"/>
            <w:gridSpan w:val="2"/>
            <w:tcBorders>
              <w:right w:val="single" w:color="000000" w:sz="4" w:space="0"/>
            </w:tcBorders>
            <w:vAlign w:val="top"/>
          </w:tcPr>
          <w:p w14:paraId="5113D19A">
            <w:pPr>
              <w:pStyle w:val="11"/>
              <w:spacing w:before="174" w:line="221" w:lineRule="auto"/>
              <w:ind w:left="379"/>
              <w:rPr>
                <w:color w:val="auto"/>
                <w:highlight w:val="none"/>
              </w:rPr>
            </w:pPr>
            <w:r>
              <w:rPr>
                <w:color w:val="auto"/>
                <w:spacing w:val="-2"/>
                <w:highlight w:val="none"/>
              </w:rPr>
              <w:t>数量</w:t>
            </w:r>
          </w:p>
        </w:tc>
        <w:tc>
          <w:tcPr>
            <w:tcW w:w="844" w:type="dxa"/>
            <w:tcBorders>
              <w:left w:val="single" w:color="000000" w:sz="4" w:space="0"/>
              <w:right w:val="single" w:color="000000" w:sz="4" w:space="0"/>
            </w:tcBorders>
            <w:vAlign w:val="top"/>
          </w:tcPr>
          <w:p w14:paraId="5EBEB056">
            <w:pPr>
              <w:pStyle w:val="11"/>
              <w:spacing w:before="41" w:line="224" w:lineRule="auto"/>
              <w:ind w:left="117" w:right="112" w:firstLine="100"/>
              <w:rPr>
                <w:color w:val="auto"/>
                <w:highlight w:val="none"/>
              </w:rPr>
            </w:pPr>
            <w:r>
              <w:rPr>
                <w:color w:val="auto"/>
                <w:spacing w:val="-4"/>
                <w:highlight w:val="none"/>
              </w:rPr>
              <w:t>单价</w:t>
            </w:r>
            <w:r>
              <w:rPr>
                <w:color w:val="auto"/>
                <w:highlight w:val="none"/>
              </w:rPr>
              <w:t xml:space="preserve">  </w:t>
            </w:r>
            <w:r>
              <w:rPr>
                <w:color w:val="auto"/>
                <w:spacing w:val="-9"/>
                <w:highlight w:val="none"/>
              </w:rPr>
              <w:t>（元）</w:t>
            </w:r>
          </w:p>
        </w:tc>
        <w:tc>
          <w:tcPr>
            <w:tcW w:w="1005" w:type="dxa"/>
            <w:gridSpan w:val="3"/>
            <w:tcBorders>
              <w:left w:val="single" w:color="000000" w:sz="4" w:space="0"/>
            </w:tcBorders>
            <w:vAlign w:val="top"/>
          </w:tcPr>
          <w:p w14:paraId="0B80C73B">
            <w:pPr>
              <w:pStyle w:val="11"/>
              <w:spacing w:before="41" w:line="224" w:lineRule="auto"/>
              <w:ind w:left="200" w:right="192" w:firstLine="100"/>
              <w:rPr>
                <w:color w:val="auto"/>
                <w:highlight w:val="none"/>
              </w:rPr>
            </w:pPr>
            <w:r>
              <w:rPr>
                <w:color w:val="auto"/>
                <w:spacing w:val="-4"/>
                <w:highlight w:val="none"/>
              </w:rPr>
              <w:t>合价</w:t>
            </w:r>
            <w:r>
              <w:rPr>
                <w:color w:val="auto"/>
                <w:highlight w:val="none"/>
              </w:rPr>
              <w:t xml:space="preserve">  </w:t>
            </w:r>
            <w:r>
              <w:rPr>
                <w:color w:val="auto"/>
                <w:spacing w:val="-9"/>
                <w:highlight w:val="none"/>
              </w:rPr>
              <w:t>（元）</w:t>
            </w:r>
          </w:p>
        </w:tc>
        <w:tc>
          <w:tcPr>
            <w:tcW w:w="1273" w:type="dxa"/>
            <w:gridSpan w:val="3"/>
            <w:tcBorders>
              <w:right w:val="single" w:color="000000" w:sz="4" w:space="0"/>
            </w:tcBorders>
            <w:vAlign w:val="top"/>
          </w:tcPr>
          <w:p w14:paraId="712620C2">
            <w:pPr>
              <w:pStyle w:val="11"/>
              <w:spacing w:before="41" w:line="224" w:lineRule="auto"/>
              <w:ind w:left="340" w:right="200" w:hanging="105"/>
              <w:rPr>
                <w:color w:val="auto"/>
                <w:highlight w:val="none"/>
              </w:rPr>
            </w:pPr>
            <w:r>
              <w:rPr>
                <w:color w:val="auto"/>
                <w:spacing w:val="-3"/>
                <w:highlight w:val="none"/>
              </w:rPr>
              <w:t>暂估单价</w:t>
            </w:r>
            <w:r>
              <w:rPr>
                <w:color w:val="auto"/>
                <w:spacing w:val="1"/>
                <w:highlight w:val="none"/>
              </w:rPr>
              <w:t xml:space="preserve"> </w:t>
            </w:r>
            <w:r>
              <w:rPr>
                <w:color w:val="auto"/>
                <w:spacing w:val="-6"/>
                <w:highlight w:val="none"/>
              </w:rPr>
              <w:t>（元）</w:t>
            </w:r>
          </w:p>
        </w:tc>
        <w:tc>
          <w:tcPr>
            <w:tcW w:w="1105" w:type="dxa"/>
            <w:tcBorders>
              <w:left w:val="single" w:color="000000" w:sz="4" w:space="0"/>
              <w:right w:val="single" w:color="000000" w:sz="4" w:space="0"/>
            </w:tcBorders>
            <w:vAlign w:val="top"/>
          </w:tcPr>
          <w:p w14:paraId="42AC1BA9">
            <w:pPr>
              <w:pStyle w:val="11"/>
              <w:spacing w:before="41" w:line="224" w:lineRule="auto"/>
              <w:ind w:left="250" w:right="119" w:hanging="105"/>
              <w:rPr>
                <w:color w:val="auto"/>
                <w:highlight w:val="none"/>
              </w:rPr>
            </w:pPr>
            <w:r>
              <w:rPr>
                <w:color w:val="auto"/>
                <w:spacing w:val="-3"/>
                <w:highlight w:val="none"/>
              </w:rPr>
              <w:t>暂估合价</w:t>
            </w:r>
            <w:r>
              <w:rPr>
                <w:color w:val="auto"/>
                <w:spacing w:val="1"/>
                <w:highlight w:val="none"/>
              </w:rPr>
              <w:t xml:space="preserve"> </w:t>
            </w:r>
            <w:r>
              <w:rPr>
                <w:color w:val="auto"/>
                <w:spacing w:val="-6"/>
                <w:highlight w:val="none"/>
              </w:rPr>
              <w:t>（元）</w:t>
            </w:r>
          </w:p>
        </w:tc>
      </w:tr>
      <w:tr w14:paraId="6306B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55D813DC">
            <w:pPr>
              <w:rPr>
                <w:rFonts w:ascii="Arial"/>
                <w:color w:val="auto"/>
                <w:sz w:val="21"/>
                <w:highlight w:val="none"/>
              </w:rPr>
            </w:pPr>
          </w:p>
        </w:tc>
        <w:tc>
          <w:tcPr>
            <w:tcW w:w="2195" w:type="dxa"/>
            <w:gridSpan w:val="6"/>
            <w:tcBorders>
              <w:right w:val="single" w:color="000000" w:sz="4" w:space="0"/>
            </w:tcBorders>
            <w:vAlign w:val="top"/>
          </w:tcPr>
          <w:p w14:paraId="17E0A525">
            <w:pPr>
              <w:rPr>
                <w:rFonts w:ascii="Arial"/>
                <w:color w:val="auto"/>
                <w:sz w:val="21"/>
                <w:highlight w:val="none"/>
              </w:rPr>
            </w:pPr>
          </w:p>
        </w:tc>
        <w:tc>
          <w:tcPr>
            <w:tcW w:w="664" w:type="dxa"/>
            <w:gridSpan w:val="2"/>
            <w:tcBorders>
              <w:left w:val="single" w:color="000000" w:sz="4" w:space="0"/>
            </w:tcBorders>
            <w:vAlign w:val="top"/>
          </w:tcPr>
          <w:p w14:paraId="2341FC2C">
            <w:pPr>
              <w:rPr>
                <w:rFonts w:ascii="Arial"/>
                <w:color w:val="auto"/>
                <w:sz w:val="21"/>
                <w:highlight w:val="none"/>
              </w:rPr>
            </w:pPr>
          </w:p>
        </w:tc>
        <w:tc>
          <w:tcPr>
            <w:tcW w:w="1158" w:type="dxa"/>
            <w:gridSpan w:val="2"/>
            <w:tcBorders>
              <w:right w:val="single" w:color="000000" w:sz="4" w:space="0"/>
            </w:tcBorders>
            <w:vAlign w:val="top"/>
          </w:tcPr>
          <w:p w14:paraId="29CE563E">
            <w:pPr>
              <w:rPr>
                <w:rFonts w:ascii="Arial"/>
                <w:color w:val="auto"/>
                <w:sz w:val="21"/>
                <w:highlight w:val="none"/>
              </w:rPr>
            </w:pPr>
          </w:p>
        </w:tc>
        <w:tc>
          <w:tcPr>
            <w:tcW w:w="844" w:type="dxa"/>
            <w:tcBorders>
              <w:left w:val="single" w:color="000000" w:sz="4" w:space="0"/>
              <w:right w:val="single" w:color="000000" w:sz="4" w:space="0"/>
            </w:tcBorders>
            <w:vAlign w:val="top"/>
          </w:tcPr>
          <w:p w14:paraId="7578CF4C">
            <w:pPr>
              <w:rPr>
                <w:rFonts w:ascii="Arial"/>
                <w:color w:val="auto"/>
                <w:sz w:val="21"/>
                <w:highlight w:val="none"/>
              </w:rPr>
            </w:pPr>
          </w:p>
        </w:tc>
        <w:tc>
          <w:tcPr>
            <w:tcW w:w="1005" w:type="dxa"/>
            <w:gridSpan w:val="3"/>
            <w:tcBorders>
              <w:left w:val="single" w:color="000000" w:sz="4" w:space="0"/>
            </w:tcBorders>
            <w:vAlign w:val="top"/>
          </w:tcPr>
          <w:p w14:paraId="0C0543F4">
            <w:pPr>
              <w:rPr>
                <w:rFonts w:ascii="Arial"/>
                <w:color w:val="auto"/>
                <w:sz w:val="21"/>
                <w:highlight w:val="none"/>
              </w:rPr>
            </w:pPr>
          </w:p>
        </w:tc>
        <w:tc>
          <w:tcPr>
            <w:tcW w:w="1273" w:type="dxa"/>
            <w:gridSpan w:val="3"/>
            <w:tcBorders>
              <w:right w:val="single" w:color="000000" w:sz="4" w:space="0"/>
            </w:tcBorders>
            <w:vAlign w:val="top"/>
          </w:tcPr>
          <w:p w14:paraId="23ABBA40">
            <w:pPr>
              <w:rPr>
                <w:rFonts w:ascii="Arial"/>
                <w:color w:val="auto"/>
                <w:sz w:val="21"/>
                <w:highlight w:val="none"/>
              </w:rPr>
            </w:pPr>
          </w:p>
        </w:tc>
        <w:tc>
          <w:tcPr>
            <w:tcW w:w="1105" w:type="dxa"/>
            <w:tcBorders>
              <w:left w:val="single" w:color="000000" w:sz="4" w:space="0"/>
              <w:right w:val="single" w:color="000000" w:sz="4" w:space="0"/>
            </w:tcBorders>
            <w:vAlign w:val="top"/>
          </w:tcPr>
          <w:p w14:paraId="5F870CB2">
            <w:pPr>
              <w:rPr>
                <w:rFonts w:ascii="Arial"/>
                <w:color w:val="auto"/>
                <w:sz w:val="21"/>
                <w:highlight w:val="none"/>
              </w:rPr>
            </w:pPr>
          </w:p>
        </w:tc>
      </w:tr>
      <w:tr w14:paraId="3CFF3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154F02EB">
            <w:pPr>
              <w:rPr>
                <w:rFonts w:ascii="Arial"/>
                <w:color w:val="auto"/>
                <w:sz w:val="21"/>
                <w:highlight w:val="none"/>
              </w:rPr>
            </w:pPr>
          </w:p>
        </w:tc>
        <w:tc>
          <w:tcPr>
            <w:tcW w:w="2195" w:type="dxa"/>
            <w:gridSpan w:val="6"/>
            <w:tcBorders>
              <w:right w:val="single" w:color="000000" w:sz="4" w:space="0"/>
            </w:tcBorders>
            <w:vAlign w:val="top"/>
          </w:tcPr>
          <w:p w14:paraId="3DF09285">
            <w:pPr>
              <w:rPr>
                <w:rFonts w:ascii="Arial"/>
                <w:color w:val="auto"/>
                <w:sz w:val="21"/>
                <w:highlight w:val="none"/>
              </w:rPr>
            </w:pPr>
          </w:p>
        </w:tc>
        <w:tc>
          <w:tcPr>
            <w:tcW w:w="664" w:type="dxa"/>
            <w:gridSpan w:val="2"/>
            <w:tcBorders>
              <w:left w:val="single" w:color="000000" w:sz="4" w:space="0"/>
            </w:tcBorders>
            <w:vAlign w:val="top"/>
          </w:tcPr>
          <w:p w14:paraId="4E59A7BF">
            <w:pPr>
              <w:rPr>
                <w:rFonts w:ascii="Arial"/>
                <w:color w:val="auto"/>
                <w:sz w:val="21"/>
                <w:highlight w:val="none"/>
              </w:rPr>
            </w:pPr>
          </w:p>
        </w:tc>
        <w:tc>
          <w:tcPr>
            <w:tcW w:w="1158" w:type="dxa"/>
            <w:gridSpan w:val="2"/>
            <w:tcBorders>
              <w:right w:val="single" w:color="000000" w:sz="4" w:space="0"/>
            </w:tcBorders>
            <w:vAlign w:val="top"/>
          </w:tcPr>
          <w:p w14:paraId="4575F350">
            <w:pPr>
              <w:rPr>
                <w:rFonts w:ascii="Arial"/>
                <w:color w:val="auto"/>
                <w:sz w:val="21"/>
                <w:highlight w:val="none"/>
              </w:rPr>
            </w:pPr>
          </w:p>
        </w:tc>
        <w:tc>
          <w:tcPr>
            <w:tcW w:w="844" w:type="dxa"/>
            <w:tcBorders>
              <w:left w:val="single" w:color="000000" w:sz="4" w:space="0"/>
              <w:right w:val="single" w:color="000000" w:sz="4" w:space="0"/>
            </w:tcBorders>
            <w:vAlign w:val="top"/>
          </w:tcPr>
          <w:p w14:paraId="0F810016">
            <w:pPr>
              <w:rPr>
                <w:rFonts w:ascii="Arial"/>
                <w:color w:val="auto"/>
                <w:sz w:val="21"/>
                <w:highlight w:val="none"/>
              </w:rPr>
            </w:pPr>
          </w:p>
        </w:tc>
        <w:tc>
          <w:tcPr>
            <w:tcW w:w="1005" w:type="dxa"/>
            <w:gridSpan w:val="3"/>
            <w:tcBorders>
              <w:left w:val="single" w:color="000000" w:sz="4" w:space="0"/>
            </w:tcBorders>
            <w:vAlign w:val="top"/>
          </w:tcPr>
          <w:p w14:paraId="1FAE7A45">
            <w:pPr>
              <w:rPr>
                <w:rFonts w:ascii="Arial"/>
                <w:color w:val="auto"/>
                <w:sz w:val="21"/>
                <w:highlight w:val="none"/>
              </w:rPr>
            </w:pPr>
          </w:p>
        </w:tc>
        <w:tc>
          <w:tcPr>
            <w:tcW w:w="1273" w:type="dxa"/>
            <w:gridSpan w:val="3"/>
            <w:tcBorders>
              <w:right w:val="single" w:color="000000" w:sz="4" w:space="0"/>
            </w:tcBorders>
            <w:vAlign w:val="top"/>
          </w:tcPr>
          <w:p w14:paraId="2545BEE2">
            <w:pPr>
              <w:rPr>
                <w:rFonts w:ascii="Arial"/>
                <w:color w:val="auto"/>
                <w:sz w:val="21"/>
                <w:highlight w:val="none"/>
              </w:rPr>
            </w:pPr>
          </w:p>
        </w:tc>
        <w:tc>
          <w:tcPr>
            <w:tcW w:w="1105" w:type="dxa"/>
            <w:tcBorders>
              <w:left w:val="single" w:color="000000" w:sz="4" w:space="0"/>
              <w:right w:val="single" w:color="000000" w:sz="4" w:space="0"/>
            </w:tcBorders>
            <w:vAlign w:val="top"/>
          </w:tcPr>
          <w:p w14:paraId="7CE9B27A">
            <w:pPr>
              <w:rPr>
                <w:rFonts w:ascii="Arial"/>
                <w:color w:val="auto"/>
                <w:sz w:val="21"/>
                <w:highlight w:val="none"/>
              </w:rPr>
            </w:pPr>
          </w:p>
        </w:tc>
      </w:tr>
      <w:tr w14:paraId="76981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54A7CD05">
            <w:pPr>
              <w:rPr>
                <w:rFonts w:ascii="Arial"/>
                <w:color w:val="auto"/>
                <w:sz w:val="21"/>
                <w:highlight w:val="none"/>
              </w:rPr>
            </w:pPr>
          </w:p>
        </w:tc>
        <w:tc>
          <w:tcPr>
            <w:tcW w:w="2195" w:type="dxa"/>
            <w:gridSpan w:val="6"/>
            <w:tcBorders>
              <w:right w:val="single" w:color="000000" w:sz="4" w:space="0"/>
            </w:tcBorders>
            <w:vAlign w:val="top"/>
          </w:tcPr>
          <w:p w14:paraId="02788D8C">
            <w:pPr>
              <w:rPr>
                <w:rFonts w:ascii="Arial"/>
                <w:color w:val="auto"/>
                <w:sz w:val="21"/>
                <w:highlight w:val="none"/>
              </w:rPr>
            </w:pPr>
          </w:p>
        </w:tc>
        <w:tc>
          <w:tcPr>
            <w:tcW w:w="664" w:type="dxa"/>
            <w:gridSpan w:val="2"/>
            <w:tcBorders>
              <w:left w:val="single" w:color="000000" w:sz="4" w:space="0"/>
            </w:tcBorders>
            <w:vAlign w:val="top"/>
          </w:tcPr>
          <w:p w14:paraId="5B7DE348">
            <w:pPr>
              <w:rPr>
                <w:rFonts w:ascii="Arial"/>
                <w:color w:val="auto"/>
                <w:sz w:val="21"/>
                <w:highlight w:val="none"/>
              </w:rPr>
            </w:pPr>
          </w:p>
        </w:tc>
        <w:tc>
          <w:tcPr>
            <w:tcW w:w="1158" w:type="dxa"/>
            <w:gridSpan w:val="2"/>
            <w:tcBorders>
              <w:right w:val="single" w:color="000000" w:sz="4" w:space="0"/>
            </w:tcBorders>
            <w:vAlign w:val="top"/>
          </w:tcPr>
          <w:p w14:paraId="304FB0FA">
            <w:pPr>
              <w:rPr>
                <w:rFonts w:ascii="Arial"/>
                <w:color w:val="auto"/>
                <w:sz w:val="21"/>
                <w:highlight w:val="none"/>
              </w:rPr>
            </w:pPr>
          </w:p>
        </w:tc>
        <w:tc>
          <w:tcPr>
            <w:tcW w:w="844" w:type="dxa"/>
            <w:tcBorders>
              <w:left w:val="single" w:color="000000" w:sz="4" w:space="0"/>
              <w:right w:val="single" w:color="000000" w:sz="4" w:space="0"/>
            </w:tcBorders>
            <w:vAlign w:val="top"/>
          </w:tcPr>
          <w:p w14:paraId="043358CF">
            <w:pPr>
              <w:rPr>
                <w:rFonts w:ascii="Arial"/>
                <w:color w:val="auto"/>
                <w:sz w:val="21"/>
                <w:highlight w:val="none"/>
              </w:rPr>
            </w:pPr>
          </w:p>
        </w:tc>
        <w:tc>
          <w:tcPr>
            <w:tcW w:w="1005" w:type="dxa"/>
            <w:gridSpan w:val="3"/>
            <w:tcBorders>
              <w:left w:val="single" w:color="000000" w:sz="4" w:space="0"/>
            </w:tcBorders>
            <w:vAlign w:val="top"/>
          </w:tcPr>
          <w:p w14:paraId="60B50D4D">
            <w:pPr>
              <w:rPr>
                <w:rFonts w:ascii="Arial"/>
                <w:color w:val="auto"/>
                <w:sz w:val="21"/>
                <w:highlight w:val="none"/>
              </w:rPr>
            </w:pPr>
          </w:p>
        </w:tc>
        <w:tc>
          <w:tcPr>
            <w:tcW w:w="1273" w:type="dxa"/>
            <w:gridSpan w:val="3"/>
            <w:tcBorders>
              <w:right w:val="single" w:color="000000" w:sz="4" w:space="0"/>
            </w:tcBorders>
            <w:vAlign w:val="top"/>
          </w:tcPr>
          <w:p w14:paraId="04F96AEB">
            <w:pPr>
              <w:rPr>
                <w:rFonts w:ascii="Arial"/>
                <w:color w:val="auto"/>
                <w:sz w:val="21"/>
                <w:highlight w:val="none"/>
              </w:rPr>
            </w:pPr>
          </w:p>
        </w:tc>
        <w:tc>
          <w:tcPr>
            <w:tcW w:w="1105" w:type="dxa"/>
            <w:tcBorders>
              <w:left w:val="single" w:color="000000" w:sz="4" w:space="0"/>
              <w:right w:val="single" w:color="000000" w:sz="4" w:space="0"/>
            </w:tcBorders>
            <w:vAlign w:val="top"/>
          </w:tcPr>
          <w:p w14:paraId="1506553F">
            <w:pPr>
              <w:rPr>
                <w:rFonts w:ascii="Arial"/>
                <w:color w:val="auto"/>
                <w:sz w:val="21"/>
                <w:highlight w:val="none"/>
              </w:rPr>
            </w:pPr>
          </w:p>
        </w:tc>
      </w:tr>
      <w:tr w14:paraId="7FC6F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3FFA5E6B">
            <w:pPr>
              <w:rPr>
                <w:rFonts w:ascii="Arial"/>
                <w:color w:val="auto"/>
                <w:sz w:val="21"/>
                <w:highlight w:val="none"/>
              </w:rPr>
            </w:pPr>
          </w:p>
        </w:tc>
        <w:tc>
          <w:tcPr>
            <w:tcW w:w="2195" w:type="dxa"/>
            <w:gridSpan w:val="6"/>
            <w:tcBorders>
              <w:right w:val="single" w:color="000000" w:sz="4" w:space="0"/>
            </w:tcBorders>
            <w:vAlign w:val="top"/>
          </w:tcPr>
          <w:p w14:paraId="218B18AA">
            <w:pPr>
              <w:rPr>
                <w:rFonts w:ascii="Arial"/>
                <w:color w:val="auto"/>
                <w:sz w:val="21"/>
                <w:highlight w:val="none"/>
              </w:rPr>
            </w:pPr>
          </w:p>
        </w:tc>
        <w:tc>
          <w:tcPr>
            <w:tcW w:w="664" w:type="dxa"/>
            <w:gridSpan w:val="2"/>
            <w:tcBorders>
              <w:left w:val="single" w:color="000000" w:sz="4" w:space="0"/>
            </w:tcBorders>
            <w:vAlign w:val="top"/>
          </w:tcPr>
          <w:p w14:paraId="308AD2C8">
            <w:pPr>
              <w:rPr>
                <w:rFonts w:ascii="Arial"/>
                <w:color w:val="auto"/>
                <w:sz w:val="21"/>
                <w:highlight w:val="none"/>
              </w:rPr>
            </w:pPr>
          </w:p>
        </w:tc>
        <w:tc>
          <w:tcPr>
            <w:tcW w:w="1158" w:type="dxa"/>
            <w:gridSpan w:val="2"/>
            <w:tcBorders>
              <w:right w:val="single" w:color="000000" w:sz="4" w:space="0"/>
            </w:tcBorders>
            <w:vAlign w:val="top"/>
          </w:tcPr>
          <w:p w14:paraId="698FFC3B">
            <w:pPr>
              <w:rPr>
                <w:rFonts w:ascii="Arial"/>
                <w:color w:val="auto"/>
                <w:sz w:val="21"/>
                <w:highlight w:val="none"/>
              </w:rPr>
            </w:pPr>
          </w:p>
        </w:tc>
        <w:tc>
          <w:tcPr>
            <w:tcW w:w="844" w:type="dxa"/>
            <w:tcBorders>
              <w:left w:val="single" w:color="000000" w:sz="4" w:space="0"/>
              <w:right w:val="single" w:color="000000" w:sz="4" w:space="0"/>
            </w:tcBorders>
            <w:vAlign w:val="top"/>
          </w:tcPr>
          <w:p w14:paraId="5EAE856C">
            <w:pPr>
              <w:rPr>
                <w:rFonts w:ascii="Arial"/>
                <w:color w:val="auto"/>
                <w:sz w:val="21"/>
                <w:highlight w:val="none"/>
              </w:rPr>
            </w:pPr>
          </w:p>
        </w:tc>
        <w:tc>
          <w:tcPr>
            <w:tcW w:w="1005" w:type="dxa"/>
            <w:gridSpan w:val="3"/>
            <w:tcBorders>
              <w:left w:val="single" w:color="000000" w:sz="4" w:space="0"/>
            </w:tcBorders>
            <w:vAlign w:val="top"/>
          </w:tcPr>
          <w:p w14:paraId="4F78D609">
            <w:pPr>
              <w:rPr>
                <w:rFonts w:ascii="Arial"/>
                <w:color w:val="auto"/>
                <w:sz w:val="21"/>
                <w:highlight w:val="none"/>
              </w:rPr>
            </w:pPr>
          </w:p>
        </w:tc>
        <w:tc>
          <w:tcPr>
            <w:tcW w:w="1273" w:type="dxa"/>
            <w:gridSpan w:val="3"/>
            <w:tcBorders>
              <w:right w:val="single" w:color="000000" w:sz="4" w:space="0"/>
            </w:tcBorders>
            <w:vAlign w:val="top"/>
          </w:tcPr>
          <w:p w14:paraId="4B95D6C9">
            <w:pPr>
              <w:rPr>
                <w:rFonts w:ascii="Arial"/>
                <w:color w:val="auto"/>
                <w:sz w:val="21"/>
                <w:highlight w:val="none"/>
              </w:rPr>
            </w:pPr>
          </w:p>
        </w:tc>
        <w:tc>
          <w:tcPr>
            <w:tcW w:w="1105" w:type="dxa"/>
            <w:tcBorders>
              <w:left w:val="single" w:color="000000" w:sz="4" w:space="0"/>
              <w:right w:val="single" w:color="000000" w:sz="4" w:space="0"/>
            </w:tcBorders>
            <w:vAlign w:val="top"/>
          </w:tcPr>
          <w:p w14:paraId="366FC4F2">
            <w:pPr>
              <w:rPr>
                <w:rFonts w:ascii="Arial"/>
                <w:color w:val="auto"/>
                <w:sz w:val="21"/>
                <w:highlight w:val="none"/>
              </w:rPr>
            </w:pPr>
          </w:p>
        </w:tc>
      </w:tr>
      <w:tr w14:paraId="37C27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1076FC9F">
            <w:pPr>
              <w:rPr>
                <w:rFonts w:ascii="Arial"/>
                <w:color w:val="auto"/>
                <w:sz w:val="21"/>
                <w:highlight w:val="none"/>
              </w:rPr>
            </w:pPr>
          </w:p>
        </w:tc>
        <w:tc>
          <w:tcPr>
            <w:tcW w:w="4017" w:type="dxa"/>
            <w:gridSpan w:val="10"/>
            <w:tcBorders>
              <w:right w:val="single" w:color="000000" w:sz="4" w:space="0"/>
            </w:tcBorders>
            <w:vAlign w:val="top"/>
          </w:tcPr>
          <w:p w14:paraId="33E8C556">
            <w:pPr>
              <w:pStyle w:val="11"/>
              <w:spacing w:before="182" w:line="220" w:lineRule="auto"/>
              <w:ind w:left="1490"/>
              <w:rPr>
                <w:color w:val="auto"/>
                <w:highlight w:val="none"/>
              </w:rPr>
            </w:pPr>
            <w:r>
              <w:rPr>
                <w:color w:val="auto"/>
                <w:spacing w:val="-1"/>
                <w:highlight w:val="none"/>
              </w:rPr>
              <w:t>其他材料费</w:t>
            </w:r>
          </w:p>
        </w:tc>
        <w:tc>
          <w:tcPr>
            <w:tcW w:w="844" w:type="dxa"/>
            <w:tcBorders>
              <w:left w:val="single" w:color="000000" w:sz="4" w:space="0"/>
              <w:right w:val="single" w:color="000000" w:sz="4" w:space="0"/>
            </w:tcBorders>
            <w:vAlign w:val="top"/>
          </w:tcPr>
          <w:p w14:paraId="789A555E">
            <w:pPr>
              <w:pStyle w:val="11"/>
              <w:spacing w:before="282" w:line="142" w:lineRule="exact"/>
              <w:ind w:left="315"/>
              <w:rPr>
                <w:color w:val="auto"/>
                <w:highlight w:val="none"/>
              </w:rPr>
            </w:pPr>
            <w:r>
              <w:rPr>
                <w:color w:val="auto"/>
                <w:position w:val="-3"/>
                <w:highlight w:val="none"/>
              </w:rPr>
              <w:t>—</w:t>
            </w:r>
          </w:p>
        </w:tc>
        <w:tc>
          <w:tcPr>
            <w:tcW w:w="1005" w:type="dxa"/>
            <w:gridSpan w:val="3"/>
            <w:tcBorders>
              <w:left w:val="single" w:color="000000" w:sz="4" w:space="0"/>
            </w:tcBorders>
            <w:vAlign w:val="top"/>
          </w:tcPr>
          <w:p w14:paraId="1F4434DF">
            <w:pPr>
              <w:rPr>
                <w:rFonts w:ascii="Arial"/>
                <w:color w:val="auto"/>
                <w:sz w:val="21"/>
                <w:highlight w:val="none"/>
              </w:rPr>
            </w:pPr>
          </w:p>
        </w:tc>
        <w:tc>
          <w:tcPr>
            <w:tcW w:w="1273" w:type="dxa"/>
            <w:gridSpan w:val="3"/>
            <w:tcBorders>
              <w:right w:val="single" w:color="000000" w:sz="4" w:space="0"/>
            </w:tcBorders>
            <w:vAlign w:val="top"/>
          </w:tcPr>
          <w:p w14:paraId="112C8593">
            <w:pPr>
              <w:pStyle w:val="11"/>
              <w:spacing w:before="282" w:line="142" w:lineRule="exact"/>
              <w:ind w:left="538"/>
              <w:rPr>
                <w:color w:val="auto"/>
                <w:highlight w:val="none"/>
              </w:rPr>
            </w:pPr>
            <w:r>
              <w:rPr>
                <w:color w:val="auto"/>
                <w:position w:val="-3"/>
                <w:highlight w:val="none"/>
              </w:rPr>
              <w:t>—</w:t>
            </w:r>
          </w:p>
        </w:tc>
        <w:tc>
          <w:tcPr>
            <w:tcW w:w="1105" w:type="dxa"/>
            <w:tcBorders>
              <w:left w:val="single" w:color="000000" w:sz="4" w:space="0"/>
              <w:right w:val="single" w:color="000000" w:sz="4" w:space="0"/>
            </w:tcBorders>
            <w:vAlign w:val="top"/>
          </w:tcPr>
          <w:p w14:paraId="31ED1A5C">
            <w:pPr>
              <w:rPr>
                <w:rFonts w:ascii="Arial"/>
                <w:color w:val="auto"/>
                <w:sz w:val="21"/>
                <w:highlight w:val="none"/>
              </w:rPr>
            </w:pPr>
          </w:p>
        </w:tc>
      </w:tr>
      <w:tr w14:paraId="10AF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01" w:type="dxa"/>
            <w:vMerge w:val="continue"/>
            <w:tcBorders>
              <w:top w:val="nil"/>
              <w:left w:val="single" w:color="000000" w:sz="4" w:space="0"/>
              <w:bottom w:val="single" w:color="000000" w:sz="4" w:space="0"/>
            </w:tcBorders>
            <w:textDirection w:val="tbRlV"/>
            <w:vAlign w:val="top"/>
          </w:tcPr>
          <w:p w14:paraId="3FC99FB4">
            <w:pPr>
              <w:rPr>
                <w:rFonts w:ascii="Arial"/>
                <w:color w:val="auto"/>
                <w:sz w:val="21"/>
                <w:highlight w:val="none"/>
              </w:rPr>
            </w:pPr>
          </w:p>
        </w:tc>
        <w:tc>
          <w:tcPr>
            <w:tcW w:w="4017" w:type="dxa"/>
            <w:gridSpan w:val="10"/>
            <w:tcBorders>
              <w:bottom w:val="single" w:color="000000" w:sz="4" w:space="0"/>
              <w:right w:val="single" w:color="000000" w:sz="4" w:space="0"/>
            </w:tcBorders>
            <w:vAlign w:val="top"/>
          </w:tcPr>
          <w:p w14:paraId="412605FF">
            <w:pPr>
              <w:pStyle w:val="11"/>
              <w:spacing w:before="182" w:line="220" w:lineRule="auto"/>
              <w:ind w:left="1489"/>
              <w:rPr>
                <w:color w:val="auto"/>
                <w:highlight w:val="none"/>
              </w:rPr>
            </w:pPr>
            <w:r>
              <w:rPr>
                <w:color w:val="auto"/>
                <w:spacing w:val="-1"/>
                <w:highlight w:val="none"/>
              </w:rPr>
              <w:t>材料费小计</w:t>
            </w:r>
          </w:p>
        </w:tc>
        <w:tc>
          <w:tcPr>
            <w:tcW w:w="844" w:type="dxa"/>
            <w:tcBorders>
              <w:left w:val="single" w:color="000000" w:sz="4" w:space="0"/>
              <w:bottom w:val="single" w:color="000000" w:sz="4" w:space="0"/>
              <w:right w:val="single" w:color="000000" w:sz="4" w:space="0"/>
            </w:tcBorders>
            <w:vAlign w:val="top"/>
          </w:tcPr>
          <w:p w14:paraId="180CF62F">
            <w:pPr>
              <w:pStyle w:val="11"/>
              <w:spacing w:before="282" w:line="142" w:lineRule="exact"/>
              <w:ind w:left="315"/>
              <w:rPr>
                <w:color w:val="auto"/>
                <w:highlight w:val="none"/>
              </w:rPr>
            </w:pPr>
            <w:r>
              <w:rPr>
                <w:color w:val="auto"/>
                <w:position w:val="-3"/>
                <w:highlight w:val="none"/>
              </w:rPr>
              <w:t>—</w:t>
            </w:r>
          </w:p>
        </w:tc>
        <w:tc>
          <w:tcPr>
            <w:tcW w:w="1005" w:type="dxa"/>
            <w:gridSpan w:val="3"/>
            <w:tcBorders>
              <w:left w:val="single" w:color="000000" w:sz="4" w:space="0"/>
              <w:bottom w:val="single" w:color="000000" w:sz="4" w:space="0"/>
            </w:tcBorders>
            <w:vAlign w:val="top"/>
          </w:tcPr>
          <w:p w14:paraId="0950BA98">
            <w:pPr>
              <w:rPr>
                <w:rFonts w:ascii="Arial"/>
                <w:color w:val="auto"/>
                <w:sz w:val="21"/>
                <w:highlight w:val="none"/>
              </w:rPr>
            </w:pPr>
          </w:p>
        </w:tc>
        <w:tc>
          <w:tcPr>
            <w:tcW w:w="1273" w:type="dxa"/>
            <w:gridSpan w:val="3"/>
            <w:tcBorders>
              <w:bottom w:val="single" w:color="000000" w:sz="4" w:space="0"/>
              <w:right w:val="single" w:color="000000" w:sz="4" w:space="0"/>
            </w:tcBorders>
            <w:vAlign w:val="top"/>
          </w:tcPr>
          <w:p w14:paraId="03EED3AD">
            <w:pPr>
              <w:tabs>
                <w:tab w:val="left" w:pos="743"/>
              </w:tabs>
              <w:spacing w:before="90" w:line="241" w:lineRule="exact"/>
              <w:ind w:left="538"/>
              <w:rPr>
                <w:rFonts w:ascii="Arial"/>
                <w:color w:val="auto"/>
                <w:sz w:val="21"/>
                <w:highlight w:val="none"/>
              </w:rPr>
            </w:pPr>
            <w:r>
              <w:rPr>
                <w:rFonts w:ascii="Arial" w:hAnsi="Arial" w:eastAsia="Arial" w:cs="Arial"/>
                <w:color w:val="auto"/>
                <w:sz w:val="21"/>
                <w:szCs w:val="21"/>
                <w:highlight w:val="none"/>
                <w:u w:val="single" w:color="auto"/>
              </w:rPr>
              <w:tab/>
            </w:r>
          </w:p>
        </w:tc>
        <w:tc>
          <w:tcPr>
            <w:tcW w:w="1105" w:type="dxa"/>
            <w:tcBorders>
              <w:left w:val="single" w:color="000000" w:sz="4" w:space="0"/>
              <w:bottom w:val="single" w:color="000000" w:sz="4" w:space="0"/>
              <w:right w:val="single" w:color="000000" w:sz="4" w:space="0"/>
            </w:tcBorders>
            <w:vAlign w:val="top"/>
          </w:tcPr>
          <w:p w14:paraId="118E7541">
            <w:pPr>
              <w:rPr>
                <w:rFonts w:ascii="Arial"/>
                <w:color w:val="auto"/>
                <w:sz w:val="21"/>
                <w:highlight w:val="none"/>
              </w:rPr>
            </w:pPr>
          </w:p>
        </w:tc>
      </w:tr>
    </w:tbl>
    <w:p w14:paraId="498541E8">
      <w:pPr>
        <w:spacing w:before="25" w:line="219" w:lineRule="auto"/>
        <w:ind w:left="329"/>
        <w:rPr>
          <w:rFonts w:ascii="宋体" w:hAnsi="宋体" w:eastAsia="宋体" w:cs="宋体"/>
          <w:color w:val="auto"/>
          <w:sz w:val="21"/>
          <w:szCs w:val="21"/>
          <w:highlight w:val="none"/>
        </w:rPr>
      </w:pPr>
      <w:r>
        <w:rPr>
          <w:rFonts w:ascii="宋体" w:hAnsi="宋体" w:eastAsia="宋体" w:cs="宋体"/>
          <w:color w:val="auto"/>
          <w:sz w:val="21"/>
          <w:szCs w:val="21"/>
          <w:highlight w:val="none"/>
        </w:rPr>
        <w:t>注</w:t>
      </w:r>
      <w:r>
        <w:rPr>
          <w:rFonts w:ascii="黑体" w:hAnsi="黑体" w:eastAsia="黑体" w:cs="黑体"/>
          <w:color w:val="auto"/>
          <w:sz w:val="21"/>
          <w:szCs w:val="21"/>
          <w:highlight w:val="none"/>
        </w:rPr>
        <w:t>：1.</w:t>
      </w:r>
      <w:r>
        <w:rPr>
          <w:rFonts w:ascii="宋体" w:hAnsi="宋体" w:eastAsia="宋体" w:cs="宋体"/>
          <w:color w:val="auto"/>
          <w:sz w:val="21"/>
          <w:szCs w:val="21"/>
          <w:highlight w:val="none"/>
        </w:rPr>
        <w:t>招标文件提供了暂估单价的材料， 按暂估的单价填入表内“暂估单价”栏及“暂估</w:t>
      </w:r>
    </w:p>
    <w:p w14:paraId="00038B58">
      <w:pPr>
        <w:spacing w:before="25" w:line="219" w:lineRule="auto"/>
        <w:ind w:left="33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合价”栏。</w:t>
      </w:r>
    </w:p>
    <w:p w14:paraId="5E908E12">
      <w:pPr>
        <w:spacing w:line="219" w:lineRule="auto"/>
        <w:rPr>
          <w:rFonts w:ascii="宋体" w:hAnsi="宋体" w:eastAsia="宋体" w:cs="宋体"/>
          <w:color w:val="auto"/>
          <w:sz w:val="21"/>
          <w:szCs w:val="21"/>
          <w:highlight w:val="none"/>
        </w:rPr>
        <w:sectPr>
          <w:footerReference r:id="rId189" w:type="default"/>
          <w:pgSz w:w="11905" w:h="16839"/>
          <w:pgMar w:top="400" w:right="1474" w:bottom="1004" w:left="1474" w:header="0" w:footer="828" w:gutter="0"/>
          <w:pgNumType w:fmt="decimal"/>
          <w:cols w:space="720" w:num="1"/>
        </w:sectPr>
      </w:pPr>
    </w:p>
    <w:p w14:paraId="29670188">
      <w:pPr>
        <w:pStyle w:val="3"/>
        <w:spacing w:line="267" w:lineRule="auto"/>
        <w:rPr>
          <w:color w:val="auto"/>
          <w:highlight w:val="none"/>
        </w:rPr>
      </w:pPr>
    </w:p>
    <w:p w14:paraId="6A312629">
      <w:pPr>
        <w:pStyle w:val="3"/>
        <w:spacing w:line="267" w:lineRule="auto"/>
        <w:rPr>
          <w:color w:val="auto"/>
          <w:highlight w:val="none"/>
        </w:rPr>
      </w:pPr>
    </w:p>
    <w:p w14:paraId="2F953D8D">
      <w:pPr>
        <w:pStyle w:val="3"/>
        <w:spacing w:line="268" w:lineRule="auto"/>
        <w:rPr>
          <w:color w:val="auto"/>
          <w:highlight w:val="none"/>
        </w:rPr>
      </w:pPr>
    </w:p>
    <w:p w14:paraId="284547C7">
      <w:pPr>
        <w:pStyle w:val="3"/>
        <w:spacing w:line="268" w:lineRule="auto"/>
        <w:rPr>
          <w:color w:val="auto"/>
          <w:highlight w:val="none"/>
        </w:rPr>
      </w:pPr>
    </w:p>
    <w:p w14:paraId="689893CF">
      <w:pPr>
        <w:spacing w:before="78" w:line="219" w:lineRule="auto"/>
        <w:ind w:left="25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4.11 </w:t>
      </w:r>
      <w:r>
        <w:rPr>
          <w:rFonts w:ascii="黑体" w:hAnsi="黑体" w:eastAsia="黑体" w:cs="黑体"/>
          <w:color w:val="auto"/>
          <w:spacing w:val="-2"/>
          <w:sz w:val="24"/>
          <w:szCs w:val="24"/>
          <w:highlight w:val="none"/>
        </w:rPr>
        <w:t>总价措施项目清单与计价表</w:t>
      </w:r>
    </w:p>
    <w:p w14:paraId="04C0110D">
      <w:pPr>
        <w:spacing w:before="161" w:line="225" w:lineRule="auto"/>
        <w:ind w:left="2748"/>
        <w:rPr>
          <w:rFonts w:ascii="黑体" w:hAnsi="黑体" w:eastAsia="黑体" w:cs="黑体"/>
          <w:color w:val="auto"/>
          <w:sz w:val="27"/>
          <w:szCs w:val="27"/>
          <w:highlight w:val="none"/>
        </w:rPr>
      </w:pPr>
      <w:bookmarkStart w:id="1306" w:name="bookmark252"/>
      <w:bookmarkEnd w:id="1306"/>
      <w:r>
        <w:rPr>
          <w:rFonts w:ascii="黑体" w:hAnsi="黑体" w:eastAsia="黑体" w:cs="黑体"/>
          <w:color w:val="auto"/>
          <w:spacing w:val="8"/>
          <w:sz w:val="27"/>
          <w:szCs w:val="27"/>
          <w:highlight w:val="none"/>
        </w:rPr>
        <w:t>总价措施项目清单与计价表</w:t>
      </w:r>
    </w:p>
    <w:p w14:paraId="4709B294">
      <w:pPr>
        <w:spacing w:before="143" w:line="214" w:lineRule="auto"/>
        <w:ind w:left="26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标段名称：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7"/>
          <w:sz w:val="21"/>
          <w:szCs w:val="21"/>
          <w:highlight w:val="none"/>
        </w:rPr>
        <w:t>第 页</w:t>
      </w:r>
      <w:r>
        <w:rPr>
          <w:rFonts w:ascii="宋体" w:hAnsi="宋体" w:eastAsia="宋体" w:cs="宋体"/>
          <w:color w:val="auto"/>
          <w:spacing w:val="-36"/>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15"/>
          <w:sz w:val="21"/>
          <w:szCs w:val="21"/>
          <w:highlight w:val="none"/>
        </w:rPr>
        <w:t xml:space="preserve"> </w:t>
      </w:r>
      <w:r>
        <w:rPr>
          <w:rFonts w:ascii="宋体" w:hAnsi="宋体" w:eastAsia="宋体" w:cs="宋体"/>
          <w:color w:val="auto"/>
          <w:spacing w:val="-17"/>
          <w:sz w:val="21"/>
          <w:szCs w:val="21"/>
          <w:highlight w:val="none"/>
        </w:rPr>
        <w:t>页</w:t>
      </w:r>
    </w:p>
    <w:tbl>
      <w:tblPr>
        <w:tblStyle w:val="10"/>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14:paraId="5474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14:paraId="026CF7A1">
            <w:pPr>
              <w:pStyle w:val="11"/>
              <w:spacing w:before="185" w:line="211" w:lineRule="auto"/>
              <w:ind w:left="173"/>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127" w:type="dxa"/>
            <w:tcBorders>
              <w:top w:val="single" w:color="000000" w:sz="4" w:space="0"/>
            </w:tcBorders>
            <w:vAlign w:val="top"/>
          </w:tcPr>
          <w:p w14:paraId="696B4568">
            <w:pPr>
              <w:spacing w:line="242" w:lineRule="auto"/>
              <w:rPr>
                <w:rFonts w:ascii="Arial"/>
                <w:color w:val="auto"/>
                <w:sz w:val="21"/>
                <w:highlight w:val="none"/>
              </w:rPr>
            </w:pPr>
          </w:p>
          <w:p w14:paraId="37EFC88D">
            <w:pPr>
              <w:pStyle w:val="11"/>
              <w:spacing w:before="68" w:line="221" w:lineRule="auto"/>
              <w:ind w:left="143"/>
              <w:rPr>
                <w:color w:val="auto"/>
                <w:highlight w:val="none"/>
              </w:rPr>
            </w:pPr>
            <w:r>
              <w:rPr>
                <w:color w:val="auto"/>
                <w:spacing w:val="-2"/>
                <w:highlight w:val="none"/>
              </w:rPr>
              <w:t>项目编码</w:t>
            </w:r>
          </w:p>
        </w:tc>
        <w:tc>
          <w:tcPr>
            <w:tcW w:w="1386" w:type="dxa"/>
            <w:tcBorders>
              <w:top w:val="single" w:color="000000" w:sz="4" w:space="0"/>
            </w:tcBorders>
            <w:vAlign w:val="top"/>
          </w:tcPr>
          <w:p w14:paraId="7EA4D523">
            <w:pPr>
              <w:spacing w:line="243" w:lineRule="auto"/>
              <w:rPr>
                <w:rFonts w:ascii="Arial"/>
                <w:color w:val="auto"/>
                <w:sz w:val="21"/>
                <w:highlight w:val="none"/>
              </w:rPr>
            </w:pPr>
          </w:p>
          <w:p w14:paraId="2D87CB91">
            <w:pPr>
              <w:pStyle w:val="11"/>
              <w:spacing w:before="68" w:line="221" w:lineRule="auto"/>
              <w:ind w:left="274"/>
              <w:rPr>
                <w:color w:val="auto"/>
                <w:highlight w:val="none"/>
              </w:rPr>
            </w:pPr>
            <w:r>
              <w:rPr>
                <w:color w:val="auto"/>
                <w:spacing w:val="-2"/>
                <w:highlight w:val="none"/>
              </w:rPr>
              <w:t>项目名称</w:t>
            </w:r>
          </w:p>
        </w:tc>
        <w:tc>
          <w:tcPr>
            <w:tcW w:w="1271" w:type="dxa"/>
            <w:tcBorders>
              <w:top w:val="single" w:color="000000" w:sz="4" w:space="0"/>
            </w:tcBorders>
            <w:vAlign w:val="top"/>
          </w:tcPr>
          <w:p w14:paraId="179B60E2">
            <w:pPr>
              <w:spacing w:line="242" w:lineRule="auto"/>
              <w:rPr>
                <w:rFonts w:ascii="Arial"/>
                <w:color w:val="auto"/>
                <w:sz w:val="21"/>
                <w:highlight w:val="none"/>
              </w:rPr>
            </w:pPr>
          </w:p>
          <w:p w14:paraId="0F0DEEF1">
            <w:pPr>
              <w:pStyle w:val="11"/>
              <w:spacing w:before="68" w:line="221" w:lineRule="auto"/>
              <w:ind w:left="220"/>
              <w:rPr>
                <w:color w:val="auto"/>
                <w:highlight w:val="none"/>
              </w:rPr>
            </w:pPr>
            <w:r>
              <w:rPr>
                <w:color w:val="auto"/>
                <w:spacing w:val="-1"/>
                <w:highlight w:val="none"/>
              </w:rPr>
              <w:t>计算基础</w:t>
            </w:r>
          </w:p>
        </w:tc>
        <w:tc>
          <w:tcPr>
            <w:tcW w:w="854" w:type="dxa"/>
            <w:tcBorders>
              <w:top w:val="single" w:color="000000" w:sz="4" w:space="0"/>
            </w:tcBorders>
            <w:vAlign w:val="top"/>
          </w:tcPr>
          <w:p w14:paraId="3F354467">
            <w:pPr>
              <w:pStyle w:val="11"/>
              <w:spacing w:before="172" w:line="241" w:lineRule="auto"/>
              <w:ind w:left="233"/>
              <w:rPr>
                <w:color w:val="auto"/>
                <w:highlight w:val="none"/>
              </w:rPr>
            </w:pPr>
            <w:r>
              <w:rPr>
                <w:color w:val="auto"/>
                <w:spacing w:val="-5"/>
                <w:highlight w:val="none"/>
              </w:rPr>
              <w:t>费率</w:t>
            </w:r>
          </w:p>
          <w:p w14:paraId="58880706">
            <w:pPr>
              <w:pStyle w:val="11"/>
              <w:spacing w:line="223" w:lineRule="auto"/>
              <w:ind w:left="227"/>
              <w:rPr>
                <w:color w:val="auto"/>
                <w:highlight w:val="none"/>
              </w:rPr>
            </w:pPr>
            <w:r>
              <w:rPr>
                <w:color w:val="auto"/>
                <w:spacing w:val="14"/>
                <w:w w:val="111"/>
                <w:highlight w:val="none"/>
              </w:rPr>
              <w:t>(%)</w:t>
            </w:r>
          </w:p>
        </w:tc>
        <w:tc>
          <w:tcPr>
            <w:tcW w:w="1271" w:type="dxa"/>
            <w:tcBorders>
              <w:top w:val="single" w:color="000000" w:sz="4" w:space="0"/>
            </w:tcBorders>
            <w:vAlign w:val="top"/>
          </w:tcPr>
          <w:p w14:paraId="25133D86">
            <w:pPr>
              <w:spacing w:line="242" w:lineRule="auto"/>
              <w:rPr>
                <w:rFonts w:ascii="Arial"/>
                <w:color w:val="auto"/>
                <w:sz w:val="21"/>
                <w:highlight w:val="none"/>
              </w:rPr>
            </w:pPr>
          </w:p>
          <w:p w14:paraId="7A35D379">
            <w:pPr>
              <w:pStyle w:val="11"/>
              <w:spacing w:before="68" w:line="221" w:lineRule="auto"/>
              <w:ind w:left="118"/>
              <w:rPr>
                <w:color w:val="auto"/>
                <w:highlight w:val="none"/>
              </w:rPr>
            </w:pPr>
            <w:r>
              <w:rPr>
                <w:color w:val="auto"/>
                <w:spacing w:val="-2"/>
                <w:highlight w:val="none"/>
              </w:rPr>
              <w:t>金额（元）</w:t>
            </w:r>
          </w:p>
        </w:tc>
        <w:tc>
          <w:tcPr>
            <w:tcW w:w="853" w:type="dxa"/>
            <w:tcBorders>
              <w:top w:val="single" w:color="000000" w:sz="4" w:space="0"/>
            </w:tcBorders>
            <w:vAlign w:val="top"/>
          </w:tcPr>
          <w:p w14:paraId="1FB51896">
            <w:pPr>
              <w:pStyle w:val="11"/>
              <w:spacing w:before="37" w:line="231" w:lineRule="auto"/>
              <w:ind w:left="326" w:right="108" w:hanging="211"/>
              <w:rPr>
                <w:color w:val="auto"/>
                <w:highlight w:val="none"/>
              </w:rPr>
            </w:pPr>
            <w:r>
              <w:rPr>
                <w:color w:val="auto"/>
                <w:spacing w:val="-3"/>
                <w:highlight w:val="none"/>
              </w:rPr>
              <w:t>调整费</w:t>
            </w:r>
            <w:r>
              <w:rPr>
                <w:color w:val="auto"/>
                <w:spacing w:val="1"/>
                <w:highlight w:val="none"/>
              </w:rPr>
              <w:t xml:space="preserve"> </w:t>
            </w:r>
            <w:r>
              <w:rPr>
                <w:color w:val="auto"/>
                <w:highlight w:val="none"/>
              </w:rPr>
              <w:t>率</w:t>
            </w:r>
          </w:p>
          <w:p w14:paraId="57E4E7E9">
            <w:pPr>
              <w:pStyle w:val="11"/>
              <w:spacing w:before="23" w:line="213" w:lineRule="auto"/>
              <w:ind w:left="172"/>
              <w:rPr>
                <w:color w:val="auto"/>
                <w:highlight w:val="none"/>
              </w:rPr>
            </w:pPr>
            <w:r>
              <w:rPr>
                <w:color w:val="auto"/>
                <w:spacing w:val="-5"/>
                <w:highlight w:val="none"/>
              </w:rPr>
              <w:t>（%）</w:t>
            </w:r>
          </w:p>
        </w:tc>
        <w:tc>
          <w:tcPr>
            <w:tcW w:w="950" w:type="dxa"/>
            <w:tcBorders>
              <w:top w:val="single" w:color="000000" w:sz="4" w:space="0"/>
            </w:tcBorders>
            <w:vAlign w:val="top"/>
          </w:tcPr>
          <w:p w14:paraId="4549AE5D">
            <w:pPr>
              <w:pStyle w:val="11"/>
              <w:spacing w:before="37" w:line="232" w:lineRule="auto"/>
              <w:ind w:left="173" w:right="151" w:hanging="4"/>
              <w:rPr>
                <w:color w:val="auto"/>
                <w:highlight w:val="none"/>
              </w:rPr>
            </w:pPr>
            <w:r>
              <w:rPr>
                <w:color w:val="auto"/>
                <w:spacing w:val="-3"/>
                <w:highlight w:val="none"/>
              </w:rPr>
              <w:t>调整后</w:t>
            </w:r>
            <w:r>
              <w:rPr>
                <w:color w:val="auto"/>
                <w:spacing w:val="1"/>
                <w:highlight w:val="none"/>
              </w:rPr>
              <w:t xml:space="preserve"> </w:t>
            </w:r>
            <w:r>
              <w:rPr>
                <w:color w:val="auto"/>
                <w:spacing w:val="38"/>
                <w:highlight w:val="none"/>
              </w:rPr>
              <w:t xml:space="preserve">金额 </w:t>
            </w:r>
            <w:r>
              <w:rPr>
                <w:color w:val="auto"/>
                <w:spacing w:val="-4"/>
                <w:highlight w:val="none"/>
              </w:rPr>
              <w:t>（元）</w:t>
            </w:r>
          </w:p>
        </w:tc>
        <w:tc>
          <w:tcPr>
            <w:tcW w:w="527" w:type="dxa"/>
            <w:tcBorders>
              <w:top w:val="single" w:color="000000" w:sz="4" w:space="0"/>
              <w:right w:val="single" w:color="000000" w:sz="4" w:space="0"/>
            </w:tcBorders>
            <w:textDirection w:val="tbRlV"/>
            <w:vAlign w:val="top"/>
          </w:tcPr>
          <w:p w14:paraId="08968B35">
            <w:pPr>
              <w:pStyle w:val="11"/>
              <w:spacing w:before="152" w:line="210" w:lineRule="auto"/>
              <w:ind w:left="173"/>
              <w:rPr>
                <w:color w:val="auto"/>
                <w:highlight w:val="none"/>
              </w:rPr>
            </w:pPr>
            <w:r>
              <w:rPr>
                <w:color w:val="auto"/>
                <w:spacing w:val="1"/>
                <w:highlight w:val="none"/>
              </w:rPr>
              <w:t>备</w:t>
            </w:r>
            <w:r>
              <w:rPr>
                <w:color w:val="auto"/>
                <w:spacing w:val="-43"/>
                <w:highlight w:val="none"/>
              </w:rPr>
              <w:t xml:space="preserve"> </w:t>
            </w:r>
            <w:r>
              <w:rPr>
                <w:color w:val="auto"/>
                <w:spacing w:val="1"/>
                <w:highlight w:val="none"/>
              </w:rPr>
              <w:t>注</w:t>
            </w:r>
          </w:p>
        </w:tc>
      </w:tr>
      <w:tr w14:paraId="492DB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5EF4D7FD">
            <w:pPr>
              <w:rPr>
                <w:rFonts w:ascii="Arial"/>
                <w:color w:val="auto"/>
                <w:sz w:val="21"/>
                <w:highlight w:val="none"/>
              </w:rPr>
            </w:pPr>
          </w:p>
        </w:tc>
        <w:tc>
          <w:tcPr>
            <w:tcW w:w="1127" w:type="dxa"/>
            <w:vAlign w:val="top"/>
          </w:tcPr>
          <w:p w14:paraId="7C1E5A07">
            <w:pPr>
              <w:rPr>
                <w:rFonts w:ascii="Arial"/>
                <w:color w:val="auto"/>
                <w:sz w:val="21"/>
                <w:highlight w:val="none"/>
              </w:rPr>
            </w:pPr>
          </w:p>
        </w:tc>
        <w:tc>
          <w:tcPr>
            <w:tcW w:w="1386" w:type="dxa"/>
            <w:vAlign w:val="top"/>
          </w:tcPr>
          <w:p w14:paraId="117859A3">
            <w:pPr>
              <w:rPr>
                <w:rFonts w:ascii="Arial"/>
                <w:color w:val="auto"/>
                <w:sz w:val="21"/>
                <w:highlight w:val="none"/>
              </w:rPr>
            </w:pPr>
          </w:p>
        </w:tc>
        <w:tc>
          <w:tcPr>
            <w:tcW w:w="1271" w:type="dxa"/>
            <w:vAlign w:val="top"/>
          </w:tcPr>
          <w:p w14:paraId="5DF45AEF">
            <w:pPr>
              <w:rPr>
                <w:rFonts w:ascii="Arial"/>
                <w:color w:val="auto"/>
                <w:sz w:val="21"/>
                <w:highlight w:val="none"/>
              </w:rPr>
            </w:pPr>
          </w:p>
        </w:tc>
        <w:tc>
          <w:tcPr>
            <w:tcW w:w="854" w:type="dxa"/>
            <w:vAlign w:val="top"/>
          </w:tcPr>
          <w:p w14:paraId="1F5AB5CC">
            <w:pPr>
              <w:rPr>
                <w:rFonts w:ascii="Arial"/>
                <w:color w:val="auto"/>
                <w:sz w:val="21"/>
                <w:highlight w:val="none"/>
              </w:rPr>
            </w:pPr>
          </w:p>
        </w:tc>
        <w:tc>
          <w:tcPr>
            <w:tcW w:w="1271" w:type="dxa"/>
            <w:vAlign w:val="top"/>
          </w:tcPr>
          <w:p w14:paraId="2A724C11">
            <w:pPr>
              <w:rPr>
                <w:rFonts w:ascii="Arial"/>
                <w:color w:val="auto"/>
                <w:sz w:val="21"/>
                <w:highlight w:val="none"/>
              </w:rPr>
            </w:pPr>
          </w:p>
        </w:tc>
        <w:tc>
          <w:tcPr>
            <w:tcW w:w="853" w:type="dxa"/>
            <w:vAlign w:val="top"/>
          </w:tcPr>
          <w:p w14:paraId="12AF3332">
            <w:pPr>
              <w:rPr>
                <w:rFonts w:ascii="Arial"/>
                <w:color w:val="auto"/>
                <w:sz w:val="21"/>
                <w:highlight w:val="none"/>
              </w:rPr>
            </w:pPr>
          </w:p>
        </w:tc>
        <w:tc>
          <w:tcPr>
            <w:tcW w:w="950" w:type="dxa"/>
            <w:vAlign w:val="top"/>
          </w:tcPr>
          <w:p w14:paraId="3871961A">
            <w:pPr>
              <w:rPr>
                <w:rFonts w:ascii="Arial"/>
                <w:color w:val="auto"/>
                <w:sz w:val="21"/>
                <w:highlight w:val="none"/>
              </w:rPr>
            </w:pPr>
          </w:p>
        </w:tc>
        <w:tc>
          <w:tcPr>
            <w:tcW w:w="527" w:type="dxa"/>
            <w:tcBorders>
              <w:right w:val="single" w:color="000000" w:sz="4" w:space="0"/>
            </w:tcBorders>
            <w:vAlign w:val="top"/>
          </w:tcPr>
          <w:p w14:paraId="55269D86">
            <w:pPr>
              <w:rPr>
                <w:rFonts w:ascii="Arial"/>
                <w:color w:val="auto"/>
                <w:sz w:val="21"/>
                <w:highlight w:val="none"/>
              </w:rPr>
            </w:pPr>
          </w:p>
        </w:tc>
      </w:tr>
      <w:tr w14:paraId="5DDD8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14:paraId="55FB5F6B">
            <w:pPr>
              <w:rPr>
                <w:rFonts w:ascii="Arial"/>
                <w:color w:val="auto"/>
                <w:sz w:val="21"/>
                <w:highlight w:val="none"/>
              </w:rPr>
            </w:pPr>
          </w:p>
        </w:tc>
        <w:tc>
          <w:tcPr>
            <w:tcW w:w="1127" w:type="dxa"/>
            <w:vAlign w:val="top"/>
          </w:tcPr>
          <w:p w14:paraId="67E4D8AD">
            <w:pPr>
              <w:rPr>
                <w:rFonts w:ascii="Arial"/>
                <w:color w:val="auto"/>
                <w:sz w:val="21"/>
                <w:highlight w:val="none"/>
              </w:rPr>
            </w:pPr>
          </w:p>
        </w:tc>
        <w:tc>
          <w:tcPr>
            <w:tcW w:w="1386" w:type="dxa"/>
            <w:vAlign w:val="top"/>
          </w:tcPr>
          <w:p w14:paraId="3AE89146">
            <w:pPr>
              <w:rPr>
                <w:rFonts w:ascii="Arial"/>
                <w:color w:val="auto"/>
                <w:sz w:val="21"/>
                <w:highlight w:val="none"/>
              </w:rPr>
            </w:pPr>
          </w:p>
        </w:tc>
        <w:tc>
          <w:tcPr>
            <w:tcW w:w="1271" w:type="dxa"/>
            <w:vAlign w:val="top"/>
          </w:tcPr>
          <w:p w14:paraId="09645294">
            <w:pPr>
              <w:rPr>
                <w:rFonts w:ascii="Arial"/>
                <w:color w:val="auto"/>
                <w:sz w:val="21"/>
                <w:highlight w:val="none"/>
              </w:rPr>
            </w:pPr>
          </w:p>
        </w:tc>
        <w:tc>
          <w:tcPr>
            <w:tcW w:w="854" w:type="dxa"/>
            <w:vAlign w:val="top"/>
          </w:tcPr>
          <w:p w14:paraId="73CCF189">
            <w:pPr>
              <w:rPr>
                <w:rFonts w:ascii="Arial"/>
                <w:color w:val="auto"/>
                <w:sz w:val="21"/>
                <w:highlight w:val="none"/>
              </w:rPr>
            </w:pPr>
          </w:p>
        </w:tc>
        <w:tc>
          <w:tcPr>
            <w:tcW w:w="1271" w:type="dxa"/>
            <w:vAlign w:val="top"/>
          </w:tcPr>
          <w:p w14:paraId="5E353A2E">
            <w:pPr>
              <w:rPr>
                <w:rFonts w:ascii="Arial"/>
                <w:color w:val="auto"/>
                <w:sz w:val="21"/>
                <w:highlight w:val="none"/>
              </w:rPr>
            </w:pPr>
          </w:p>
        </w:tc>
        <w:tc>
          <w:tcPr>
            <w:tcW w:w="853" w:type="dxa"/>
            <w:vAlign w:val="top"/>
          </w:tcPr>
          <w:p w14:paraId="416E4D4F">
            <w:pPr>
              <w:rPr>
                <w:rFonts w:ascii="Arial"/>
                <w:color w:val="auto"/>
                <w:sz w:val="21"/>
                <w:highlight w:val="none"/>
              </w:rPr>
            </w:pPr>
          </w:p>
        </w:tc>
        <w:tc>
          <w:tcPr>
            <w:tcW w:w="950" w:type="dxa"/>
            <w:vAlign w:val="top"/>
          </w:tcPr>
          <w:p w14:paraId="301069D1">
            <w:pPr>
              <w:rPr>
                <w:rFonts w:ascii="Arial"/>
                <w:color w:val="auto"/>
                <w:sz w:val="21"/>
                <w:highlight w:val="none"/>
              </w:rPr>
            </w:pPr>
          </w:p>
        </w:tc>
        <w:tc>
          <w:tcPr>
            <w:tcW w:w="527" w:type="dxa"/>
            <w:tcBorders>
              <w:right w:val="single" w:color="000000" w:sz="4" w:space="0"/>
            </w:tcBorders>
            <w:vAlign w:val="top"/>
          </w:tcPr>
          <w:p w14:paraId="3C3FDCA0">
            <w:pPr>
              <w:rPr>
                <w:rFonts w:ascii="Arial"/>
                <w:color w:val="auto"/>
                <w:sz w:val="21"/>
                <w:highlight w:val="none"/>
              </w:rPr>
            </w:pPr>
          </w:p>
        </w:tc>
      </w:tr>
      <w:tr w14:paraId="707EE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14:paraId="0BCC99D9">
            <w:pPr>
              <w:rPr>
                <w:rFonts w:ascii="Arial"/>
                <w:color w:val="auto"/>
                <w:sz w:val="21"/>
                <w:highlight w:val="none"/>
              </w:rPr>
            </w:pPr>
          </w:p>
        </w:tc>
        <w:tc>
          <w:tcPr>
            <w:tcW w:w="1127" w:type="dxa"/>
            <w:vAlign w:val="top"/>
          </w:tcPr>
          <w:p w14:paraId="2C857247">
            <w:pPr>
              <w:rPr>
                <w:rFonts w:ascii="Arial"/>
                <w:color w:val="auto"/>
                <w:sz w:val="21"/>
                <w:highlight w:val="none"/>
              </w:rPr>
            </w:pPr>
          </w:p>
        </w:tc>
        <w:tc>
          <w:tcPr>
            <w:tcW w:w="1386" w:type="dxa"/>
            <w:vAlign w:val="top"/>
          </w:tcPr>
          <w:p w14:paraId="6460D169">
            <w:pPr>
              <w:rPr>
                <w:rFonts w:ascii="Arial"/>
                <w:color w:val="auto"/>
                <w:sz w:val="21"/>
                <w:highlight w:val="none"/>
              </w:rPr>
            </w:pPr>
          </w:p>
        </w:tc>
        <w:tc>
          <w:tcPr>
            <w:tcW w:w="1271" w:type="dxa"/>
            <w:vAlign w:val="top"/>
          </w:tcPr>
          <w:p w14:paraId="1E4ED1E8">
            <w:pPr>
              <w:rPr>
                <w:rFonts w:ascii="Arial"/>
                <w:color w:val="auto"/>
                <w:sz w:val="21"/>
                <w:highlight w:val="none"/>
              </w:rPr>
            </w:pPr>
          </w:p>
        </w:tc>
        <w:tc>
          <w:tcPr>
            <w:tcW w:w="854" w:type="dxa"/>
            <w:vAlign w:val="top"/>
          </w:tcPr>
          <w:p w14:paraId="4A19F68D">
            <w:pPr>
              <w:rPr>
                <w:rFonts w:ascii="Arial"/>
                <w:color w:val="auto"/>
                <w:sz w:val="21"/>
                <w:highlight w:val="none"/>
              </w:rPr>
            </w:pPr>
          </w:p>
        </w:tc>
        <w:tc>
          <w:tcPr>
            <w:tcW w:w="1271" w:type="dxa"/>
            <w:vAlign w:val="top"/>
          </w:tcPr>
          <w:p w14:paraId="67FDF990">
            <w:pPr>
              <w:rPr>
                <w:rFonts w:ascii="Arial"/>
                <w:color w:val="auto"/>
                <w:sz w:val="21"/>
                <w:highlight w:val="none"/>
              </w:rPr>
            </w:pPr>
          </w:p>
        </w:tc>
        <w:tc>
          <w:tcPr>
            <w:tcW w:w="853" w:type="dxa"/>
            <w:vAlign w:val="top"/>
          </w:tcPr>
          <w:p w14:paraId="4E833921">
            <w:pPr>
              <w:rPr>
                <w:rFonts w:ascii="Arial"/>
                <w:color w:val="auto"/>
                <w:sz w:val="21"/>
                <w:highlight w:val="none"/>
              </w:rPr>
            </w:pPr>
          </w:p>
        </w:tc>
        <w:tc>
          <w:tcPr>
            <w:tcW w:w="950" w:type="dxa"/>
            <w:vAlign w:val="top"/>
          </w:tcPr>
          <w:p w14:paraId="684A44AC">
            <w:pPr>
              <w:rPr>
                <w:rFonts w:ascii="Arial"/>
                <w:color w:val="auto"/>
                <w:sz w:val="21"/>
                <w:highlight w:val="none"/>
              </w:rPr>
            </w:pPr>
          </w:p>
        </w:tc>
        <w:tc>
          <w:tcPr>
            <w:tcW w:w="527" w:type="dxa"/>
            <w:tcBorders>
              <w:right w:val="single" w:color="000000" w:sz="4" w:space="0"/>
            </w:tcBorders>
            <w:vAlign w:val="top"/>
          </w:tcPr>
          <w:p w14:paraId="73459262">
            <w:pPr>
              <w:rPr>
                <w:rFonts w:ascii="Arial"/>
                <w:color w:val="auto"/>
                <w:sz w:val="21"/>
                <w:highlight w:val="none"/>
              </w:rPr>
            </w:pPr>
          </w:p>
        </w:tc>
      </w:tr>
      <w:tr w14:paraId="5051B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2C554EA3">
            <w:pPr>
              <w:rPr>
                <w:rFonts w:ascii="Arial"/>
                <w:color w:val="auto"/>
                <w:sz w:val="21"/>
                <w:highlight w:val="none"/>
              </w:rPr>
            </w:pPr>
          </w:p>
        </w:tc>
        <w:tc>
          <w:tcPr>
            <w:tcW w:w="1127" w:type="dxa"/>
            <w:vAlign w:val="top"/>
          </w:tcPr>
          <w:p w14:paraId="5F8754E7">
            <w:pPr>
              <w:rPr>
                <w:rFonts w:ascii="Arial"/>
                <w:color w:val="auto"/>
                <w:sz w:val="21"/>
                <w:highlight w:val="none"/>
              </w:rPr>
            </w:pPr>
          </w:p>
        </w:tc>
        <w:tc>
          <w:tcPr>
            <w:tcW w:w="1386" w:type="dxa"/>
            <w:vAlign w:val="top"/>
          </w:tcPr>
          <w:p w14:paraId="366ED27A">
            <w:pPr>
              <w:rPr>
                <w:rFonts w:ascii="Arial"/>
                <w:color w:val="auto"/>
                <w:sz w:val="21"/>
                <w:highlight w:val="none"/>
              </w:rPr>
            </w:pPr>
          </w:p>
        </w:tc>
        <w:tc>
          <w:tcPr>
            <w:tcW w:w="1271" w:type="dxa"/>
            <w:vAlign w:val="top"/>
          </w:tcPr>
          <w:p w14:paraId="6D17A541">
            <w:pPr>
              <w:rPr>
                <w:rFonts w:ascii="Arial"/>
                <w:color w:val="auto"/>
                <w:sz w:val="21"/>
                <w:highlight w:val="none"/>
              </w:rPr>
            </w:pPr>
          </w:p>
        </w:tc>
        <w:tc>
          <w:tcPr>
            <w:tcW w:w="854" w:type="dxa"/>
            <w:vAlign w:val="top"/>
          </w:tcPr>
          <w:p w14:paraId="2E48DB57">
            <w:pPr>
              <w:rPr>
                <w:rFonts w:ascii="Arial"/>
                <w:color w:val="auto"/>
                <w:sz w:val="21"/>
                <w:highlight w:val="none"/>
              </w:rPr>
            </w:pPr>
          </w:p>
        </w:tc>
        <w:tc>
          <w:tcPr>
            <w:tcW w:w="1271" w:type="dxa"/>
            <w:vAlign w:val="top"/>
          </w:tcPr>
          <w:p w14:paraId="587C1B77">
            <w:pPr>
              <w:rPr>
                <w:rFonts w:ascii="Arial"/>
                <w:color w:val="auto"/>
                <w:sz w:val="21"/>
                <w:highlight w:val="none"/>
              </w:rPr>
            </w:pPr>
          </w:p>
        </w:tc>
        <w:tc>
          <w:tcPr>
            <w:tcW w:w="853" w:type="dxa"/>
            <w:vAlign w:val="top"/>
          </w:tcPr>
          <w:p w14:paraId="1C0AB611">
            <w:pPr>
              <w:rPr>
                <w:rFonts w:ascii="Arial"/>
                <w:color w:val="auto"/>
                <w:sz w:val="21"/>
                <w:highlight w:val="none"/>
              </w:rPr>
            </w:pPr>
          </w:p>
        </w:tc>
        <w:tc>
          <w:tcPr>
            <w:tcW w:w="950" w:type="dxa"/>
            <w:vAlign w:val="top"/>
          </w:tcPr>
          <w:p w14:paraId="44C26FB8">
            <w:pPr>
              <w:rPr>
                <w:rFonts w:ascii="Arial"/>
                <w:color w:val="auto"/>
                <w:sz w:val="21"/>
                <w:highlight w:val="none"/>
              </w:rPr>
            </w:pPr>
          </w:p>
        </w:tc>
        <w:tc>
          <w:tcPr>
            <w:tcW w:w="527" w:type="dxa"/>
            <w:tcBorders>
              <w:right w:val="single" w:color="000000" w:sz="4" w:space="0"/>
            </w:tcBorders>
            <w:vAlign w:val="top"/>
          </w:tcPr>
          <w:p w14:paraId="44C4663B">
            <w:pPr>
              <w:rPr>
                <w:rFonts w:ascii="Arial"/>
                <w:color w:val="auto"/>
                <w:sz w:val="21"/>
                <w:highlight w:val="none"/>
              </w:rPr>
            </w:pPr>
          </w:p>
        </w:tc>
      </w:tr>
      <w:tr w14:paraId="702F8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44C230AC">
            <w:pPr>
              <w:rPr>
                <w:rFonts w:ascii="Arial"/>
                <w:color w:val="auto"/>
                <w:sz w:val="21"/>
                <w:highlight w:val="none"/>
              </w:rPr>
            </w:pPr>
          </w:p>
        </w:tc>
        <w:tc>
          <w:tcPr>
            <w:tcW w:w="1127" w:type="dxa"/>
            <w:vAlign w:val="top"/>
          </w:tcPr>
          <w:p w14:paraId="4DDE047F">
            <w:pPr>
              <w:rPr>
                <w:rFonts w:ascii="Arial"/>
                <w:color w:val="auto"/>
                <w:sz w:val="21"/>
                <w:highlight w:val="none"/>
              </w:rPr>
            </w:pPr>
          </w:p>
        </w:tc>
        <w:tc>
          <w:tcPr>
            <w:tcW w:w="1386" w:type="dxa"/>
            <w:vAlign w:val="top"/>
          </w:tcPr>
          <w:p w14:paraId="14BDDE87">
            <w:pPr>
              <w:rPr>
                <w:rFonts w:ascii="Arial"/>
                <w:color w:val="auto"/>
                <w:sz w:val="21"/>
                <w:highlight w:val="none"/>
              </w:rPr>
            </w:pPr>
          </w:p>
        </w:tc>
        <w:tc>
          <w:tcPr>
            <w:tcW w:w="1271" w:type="dxa"/>
            <w:vAlign w:val="top"/>
          </w:tcPr>
          <w:p w14:paraId="757CB5C7">
            <w:pPr>
              <w:rPr>
                <w:rFonts w:ascii="Arial"/>
                <w:color w:val="auto"/>
                <w:sz w:val="21"/>
                <w:highlight w:val="none"/>
              </w:rPr>
            </w:pPr>
          </w:p>
        </w:tc>
        <w:tc>
          <w:tcPr>
            <w:tcW w:w="854" w:type="dxa"/>
            <w:vAlign w:val="top"/>
          </w:tcPr>
          <w:p w14:paraId="5666926F">
            <w:pPr>
              <w:rPr>
                <w:rFonts w:ascii="Arial"/>
                <w:color w:val="auto"/>
                <w:sz w:val="21"/>
                <w:highlight w:val="none"/>
              </w:rPr>
            </w:pPr>
          </w:p>
        </w:tc>
        <w:tc>
          <w:tcPr>
            <w:tcW w:w="1271" w:type="dxa"/>
            <w:vAlign w:val="top"/>
          </w:tcPr>
          <w:p w14:paraId="50A5EA59">
            <w:pPr>
              <w:rPr>
                <w:rFonts w:ascii="Arial"/>
                <w:color w:val="auto"/>
                <w:sz w:val="21"/>
                <w:highlight w:val="none"/>
              </w:rPr>
            </w:pPr>
          </w:p>
        </w:tc>
        <w:tc>
          <w:tcPr>
            <w:tcW w:w="853" w:type="dxa"/>
            <w:vAlign w:val="top"/>
          </w:tcPr>
          <w:p w14:paraId="5DEBD31F">
            <w:pPr>
              <w:rPr>
                <w:rFonts w:ascii="Arial"/>
                <w:color w:val="auto"/>
                <w:sz w:val="21"/>
                <w:highlight w:val="none"/>
              </w:rPr>
            </w:pPr>
          </w:p>
        </w:tc>
        <w:tc>
          <w:tcPr>
            <w:tcW w:w="950" w:type="dxa"/>
            <w:vAlign w:val="top"/>
          </w:tcPr>
          <w:p w14:paraId="4ADCBF31">
            <w:pPr>
              <w:rPr>
                <w:rFonts w:ascii="Arial"/>
                <w:color w:val="auto"/>
                <w:sz w:val="21"/>
                <w:highlight w:val="none"/>
              </w:rPr>
            </w:pPr>
          </w:p>
        </w:tc>
        <w:tc>
          <w:tcPr>
            <w:tcW w:w="527" w:type="dxa"/>
            <w:tcBorders>
              <w:right w:val="single" w:color="000000" w:sz="4" w:space="0"/>
            </w:tcBorders>
            <w:vAlign w:val="top"/>
          </w:tcPr>
          <w:p w14:paraId="7FD03DE8">
            <w:pPr>
              <w:rPr>
                <w:rFonts w:ascii="Arial"/>
                <w:color w:val="auto"/>
                <w:sz w:val="21"/>
                <w:highlight w:val="none"/>
              </w:rPr>
            </w:pPr>
          </w:p>
        </w:tc>
      </w:tr>
      <w:tr w14:paraId="3E0A9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127C5745">
            <w:pPr>
              <w:rPr>
                <w:rFonts w:ascii="Arial"/>
                <w:color w:val="auto"/>
                <w:sz w:val="21"/>
                <w:highlight w:val="none"/>
              </w:rPr>
            </w:pPr>
          </w:p>
        </w:tc>
        <w:tc>
          <w:tcPr>
            <w:tcW w:w="1127" w:type="dxa"/>
            <w:vAlign w:val="top"/>
          </w:tcPr>
          <w:p w14:paraId="2950B948">
            <w:pPr>
              <w:rPr>
                <w:rFonts w:ascii="Arial"/>
                <w:color w:val="auto"/>
                <w:sz w:val="21"/>
                <w:highlight w:val="none"/>
              </w:rPr>
            </w:pPr>
          </w:p>
        </w:tc>
        <w:tc>
          <w:tcPr>
            <w:tcW w:w="1386" w:type="dxa"/>
            <w:vAlign w:val="top"/>
          </w:tcPr>
          <w:p w14:paraId="7054F744">
            <w:pPr>
              <w:rPr>
                <w:rFonts w:ascii="Arial"/>
                <w:color w:val="auto"/>
                <w:sz w:val="21"/>
                <w:highlight w:val="none"/>
              </w:rPr>
            </w:pPr>
          </w:p>
        </w:tc>
        <w:tc>
          <w:tcPr>
            <w:tcW w:w="1271" w:type="dxa"/>
            <w:vAlign w:val="top"/>
          </w:tcPr>
          <w:p w14:paraId="31B8DC82">
            <w:pPr>
              <w:rPr>
                <w:rFonts w:ascii="Arial"/>
                <w:color w:val="auto"/>
                <w:sz w:val="21"/>
                <w:highlight w:val="none"/>
              </w:rPr>
            </w:pPr>
          </w:p>
        </w:tc>
        <w:tc>
          <w:tcPr>
            <w:tcW w:w="854" w:type="dxa"/>
            <w:vAlign w:val="top"/>
          </w:tcPr>
          <w:p w14:paraId="36234770">
            <w:pPr>
              <w:rPr>
                <w:rFonts w:ascii="Arial"/>
                <w:color w:val="auto"/>
                <w:sz w:val="21"/>
                <w:highlight w:val="none"/>
              </w:rPr>
            </w:pPr>
          </w:p>
        </w:tc>
        <w:tc>
          <w:tcPr>
            <w:tcW w:w="1271" w:type="dxa"/>
            <w:vAlign w:val="top"/>
          </w:tcPr>
          <w:p w14:paraId="24F9171C">
            <w:pPr>
              <w:rPr>
                <w:rFonts w:ascii="Arial"/>
                <w:color w:val="auto"/>
                <w:sz w:val="21"/>
                <w:highlight w:val="none"/>
              </w:rPr>
            </w:pPr>
          </w:p>
        </w:tc>
        <w:tc>
          <w:tcPr>
            <w:tcW w:w="853" w:type="dxa"/>
            <w:vAlign w:val="top"/>
          </w:tcPr>
          <w:p w14:paraId="25D09B66">
            <w:pPr>
              <w:rPr>
                <w:rFonts w:ascii="Arial"/>
                <w:color w:val="auto"/>
                <w:sz w:val="21"/>
                <w:highlight w:val="none"/>
              </w:rPr>
            </w:pPr>
          </w:p>
        </w:tc>
        <w:tc>
          <w:tcPr>
            <w:tcW w:w="950" w:type="dxa"/>
            <w:vAlign w:val="top"/>
          </w:tcPr>
          <w:p w14:paraId="6EECA2B4">
            <w:pPr>
              <w:rPr>
                <w:rFonts w:ascii="Arial"/>
                <w:color w:val="auto"/>
                <w:sz w:val="21"/>
                <w:highlight w:val="none"/>
              </w:rPr>
            </w:pPr>
          </w:p>
        </w:tc>
        <w:tc>
          <w:tcPr>
            <w:tcW w:w="527" w:type="dxa"/>
            <w:tcBorders>
              <w:right w:val="single" w:color="000000" w:sz="4" w:space="0"/>
            </w:tcBorders>
            <w:vAlign w:val="top"/>
          </w:tcPr>
          <w:p w14:paraId="3D236F2B">
            <w:pPr>
              <w:rPr>
                <w:rFonts w:ascii="Arial"/>
                <w:color w:val="auto"/>
                <w:sz w:val="21"/>
                <w:highlight w:val="none"/>
              </w:rPr>
            </w:pPr>
          </w:p>
        </w:tc>
      </w:tr>
      <w:tr w14:paraId="525CA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23DE6F7C">
            <w:pPr>
              <w:rPr>
                <w:rFonts w:ascii="Arial"/>
                <w:color w:val="auto"/>
                <w:sz w:val="21"/>
                <w:highlight w:val="none"/>
              </w:rPr>
            </w:pPr>
          </w:p>
        </w:tc>
        <w:tc>
          <w:tcPr>
            <w:tcW w:w="1127" w:type="dxa"/>
            <w:vAlign w:val="top"/>
          </w:tcPr>
          <w:p w14:paraId="2A475F61">
            <w:pPr>
              <w:rPr>
                <w:rFonts w:ascii="Arial"/>
                <w:color w:val="auto"/>
                <w:sz w:val="21"/>
                <w:highlight w:val="none"/>
              </w:rPr>
            </w:pPr>
          </w:p>
        </w:tc>
        <w:tc>
          <w:tcPr>
            <w:tcW w:w="1386" w:type="dxa"/>
            <w:vAlign w:val="top"/>
          </w:tcPr>
          <w:p w14:paraId="2A964088">
            <w:pPr>
              <w:rPr>
                <w:rFonts w:ascii="Arial"/>
                <w:color w:val="auto"/>
                <w:sz w:val="21"/>
                <w:highlight w:val="none"/>
              </w:rPr>
            </w:pPr>
          </w:p>
        </w:tc>
        <w:tc>
          <w:tcPr>
            <w:tcW w:w="1271" w:type="dxa"/>
            <w:vAlign w:val="top"/>
          </w:tcPr>
          <w:p w14:paraId="52FDB32F">
            <w:pPr>
              <w:rPr>
                <w:rFonts w:ascii="Arial"/>
                <w:color w:val="auto"/>
                <w:sz w:val="21"/>
                <w:highlight w:val="none"/>
              </w:rPr>
            </w:pPr>
          </w:p>
        </w:tc>
        <w:tc>
          <w:tcPr>
            <w:tcW w:w="854" w:type="dxa"/>
            <w:vAlign w:val="top"/>
          </w:tcPr>
          <w:p w14:paraId="30E5ABD5">
            <w:pPr>
              <w:rPr>
                <w:rFonts w:ascii="Arial"/>
                <w:color w:val="auto"/>
                <w:sz w:val="21"/>
                <w:highlight w:val="none"/>
              </w:rPr>
            </w:pPr>
          </w:p>
        </w:tc>
        <w:tc>
          <w:tcPr>
            <w:tcW w:w="1271" w:type="dxa"/>
            <w:vAlign w:val="top"/>
          </w:tcPr>
          <w:p w14:paraId="63A47D15">
            <w:pPr>
              <w:rPr>
                <w:rFonts w:ascii="Arial"/>
                <w:color w:val="auto"/>
                <w:sz w:val="21"/>
                <w:highlight w:val="none"/>
              </w:rPr>
            </w:pPr>
          </w:p>
        </w:tc>
        <w:tc>
          <w:tcPr>
            <w:tcW w:w="853" w:type="dxa"/>
            <w:vAlign w:val="top"/>
          </w:tcPr>
          <w:p w14:paraId="0F4C3779">
            <w:pPr>
              <w:rPr>
                <w:rFonts w:ascii="Arial"/>
                <w:color w:val="auto"/>
                <w:sz w:val="21"/>
                <w:highlight w:val="none"/>
              </w:rPr>
            </w:pPr>
          </w:p>
        </w:tc>
        <w:tc>
          <w:tcPr>
            <w:tcW w:w="950" w:type="dxa"/>
            <w:vAlign w:val="top"/>
          </w:tcPr>
          <w:p w14:paraId="4267CBCB">
            <w:pPr>
              <w:rPr>
                <w:rFonts w:ascii="Arial"/>
                <w:color w:val="auto"/>
                <w:sz w:val="21"/>
                <w:highlight w:val="none"/>
              </w:rPr>
            </w:pPr>
          </w:p>
        </w:tc>
        <w:tc>
          <w:tcPr>
            <w:tcW w:w="527" w:type="dxa"/>
            <w:tcBorders>
              <w:right w:val="single" w:color="000000" w:sz="4" w:space="0"/>
            </w:tcBorders>
            <w:vAlign w:val="top"/>
          </w:tcPr>
          <w:p w14:paraId="4A4EF608">
            <w:pPr>
              <w:rPr>
                <w:rFonts w:ascii="Arial"/>
                <w:color w:val="auto"/>
                <w:sz w:val="21"/>
                <w:highlight w:val="none"/>
              </w:rPr>
            </w:pPr>
          </w:p>
        </w:tc>
      </w:tr>
      <w:tr w14:paraId="5AFA6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2639A5CE">
            <w:pPr>
              <w:rPr>
                <w:rFonts w:ascii="Arial"/>
                <w:color w:val="auto"/>
                <w:sz w:val="21"/>
                <w:highlight w:val="none"/>
              </w:rPr>
            </w:pPr>
          </w:p>
        </w:tc>
        <w:tc>
          <w:tcPr>
            <w:tcW w:w="1127" w:type="dxa"/>
            <w:vAlign w:val="top"/>
          </w:tcPr>
          <w:p w14:paraId="3D464D6D">
            <w:pPr>
              <w:rPr>
                <w:rFonts w:ascii="Arial"/>
                <w:color w:val="auto"/>
                <w:sz w:val="21"/>
                <w:highlight w:val="none"/>
              </w:rPr>
            </w:pPr>
          </w:p>
        </w:tc>
        <w:tc>
          <w:tcPr>
            <w:tcW w:w="1386" w:type="dxa"/>
            <w:vAlign w:val="top"/>
          </w:tcPr>
          <w:p w14:paraId="458E89BD">
            <w:pPr>
              <w:rPr>
                <w:rFonts w:ascii="Arial"/>
                <w:color w:val="auto"/>
                <w:sz w:val="21"/>
                <w:highlight w:val="none"/>
              </w:rPr>
            </w:pPr>
          </w:p>
        </w:tc>
        <w:tc>
          <w:tcPr>
            <w:tcW w:w="1271" w:type="dxa"/>
            <w:vAlign w:val="top"/>
          </w:tcPr>
          <w:p w14:paraId="3311C34B">
            <w:pPr>
              <w:rPr>
                <w:rFonts w:ascii="Arial"/>
                <w:color w:val="auto"/>
                <w:sz w:val="21"/>
                <w:highlight w:val="none"/>
              </w:rPr>
            </w:pPr>
          </w:p>
        </w:tc>
        <w:tc>
          <w:tcPr>
            <w:tcW w:w="854" w:type="dxa"/>
            <w:vAlign w:val="top"/>
          </w:tcPr>
          <w:p w14:paraId="79895B6E">
            <w:pPr>
              <w:rPr>
                <w:rFonts w:ascii="Arial"/>
                <w:color w:val="auto"/>
                <w:sz w:val="21"/>
                <w:highlight w:val="none"/>
              </w:rPr>
            </w:pPr>
          </w:p>
        </w:tc>
        <w:tc>
          <w:tcPr>
            <w:tcW w:w="1271" w:type="dxa"/>
            <w:vAlign w:val="top"/>
          </w:tcPr>
          <w:p w14:paraId="49D9AF0E">
            <w:pPr>
              <w:rPr>
                <w:rFonts w:ascii="Arial"/>
                <w:color w:val="auto"/>
                <w:sz w:val="21"/>
                <w:highlight w:val="none"/>
              </w:rPr>
            </w:pPr>
          </w:p>
        </w:tc>
        <w:tc>
          <w:tcPr>
            <w:tcW w:w="853" w:type="dxa"/>
            <w:vAlign w:val="top"/>
          </w:tcPr>
          <w:p w14:paraId="3C351236">
            <w:pPr>
              <w:rPr>
                <w:rFonts w:ascii="Arial"/>
                <w:color w:val="auto"/>
                <w:sz w:val="21"/>
                <w:highlight w:val="none"/>
              </w:rPr>
            </w:pPr>
          </w:p>
        </w:tc>
        <w:tc>
          <w:tcPr>
            <w:tcW w:w="950" w:type="dxa"/>
            <w:vAlign w:val="top"/>
          </w:tcPr>
          <w:p w14:paraId="7E88C9BB">
            <w:pPr>
              <w:rPr>
                <w:rFonts w:ascii="Arial"/>
                <w:color w:val="auto"/>
                <w:sz w:val="21"/>
                <w:highlight w:val="none"/>
              </w:rPr>
            </w:pPr>
          </w:p>
        </w:tc>
        <w:tc>
          <w:tcPr>
            <w:tcW w:w="527" w:type="dxa"/>
            <w:tcBorders>
              <w:right w:val="single" w:color="000000" w:sz="4" w:space="0"/>
            </w:tcBorders>
            <w:vAlign w:val="top"/>
          </w:tcPr>
          <w:p w14:paraId="5B3B827C">
            <w:pPr>
              <w:rPr>
                <w:rFonts w:ascii="Arial"/>
                <w:color w:val="auto"/>
                <w:sz w:val="21"/>
                <w:highlight w:val="none"/>
              </w:rPr>
            </w:pPr>
          </w:p>
        </w:tc>
      </w:tr>
      <w:tr w14:paraId="1A53A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14:paraId="6D900210">
            <w:pPr>
              <w:rPr>
                <w:rFonts w:ascii="Arial"/>
                <w:color w:val="auto"/>
                <w:sz w:val="21"/>
                <w:highlight w:val="none"/>
              </w:rPr>
            </w:pPr>
          </w:p>
        </w:tc>
        <w:tc>
          <w:tcPr>
            <w:tcW w:w="1127" w:type="dxa"/>
            <w:vAlign w:val="top"/>
          </w:tcPr>
          <w:p w14:paraId="5626F5B3">
            <w:pPr>
              <w:rPr>
                <w:rFonts w:ascii="Arial"/>
                <w:color w:val="auto"/>
                <w:sz w:val="21"/>
                <w:highlight w:val="none"/>
              </w:rPr>
            </w:pPr>
          </w:p>
        </w:tc>
        <w:tc>
          <w:tcPr>
            <w:tcW w:w="1386" w:type="dxa"/>
            <w:vAlign w:val="top"/>
          </w:tcPr>
          <w:p w14:paraId="7F208271">
            <w:pPr>
              <w:rPr>
                <w:rFonts w:ascii="Arial"/>
                <w:color w:val="auto"/>
                <w:sz w:val="21"/>
                <w:highlight w:val="none"/>
              </w:rPr>
            </w:pPr>
          </w:p>
        </w:tc>
        <w:tc>
          <w:tcPr>
            <w:tcW w:w="1271" w:type="dxa"/>
            <w:vAlign w:val="top"/>
          </w:tcPr>
          <w:p w14:paraId="31265DA3">
            <w:pPr>
              <w:rPr>
                <w:rFonts w:ascii="Arial"/>
                <w:color w:val="auto"/>
                <w:sz w:val="21"/>
                <w:highlight w:val="none"/>
              </w:rPr>
            </w:pPr>
          </w:p>
        </w:tc>
        <w:tc>
          <w:tcPr>
            <w:tcW w:w="854" w:type="dxa"/>
            <w:vAlign w:val="top"/>
          </w:tcPr>
          <w:p w14:paraId="7E8EF17C">
            <w:pPr>
              <w:rPr>
                <w:rFonts w:ascii="Arial"/>
                <w:color w:val="auto"/>
                <w:sz w:val="21"/>
                <w:highlight w:val="none"/>
              </w:rPr>
            </w:pPr>
          </w:p>
        </w:tc>
        <w:tc>
          <w:tcPr>
            <w:tcW w:w="1271" w:type="dxa"/>
            <w:vAlign w:val="top"/>
          </w:tcPr>
          <w:p w14:paraId="05E5C84C">
            <w:pPr>
              <w:rPr>
                <w:rFonts w:ascii="Arial"/>
                <w:color w:val="auto"/>
                <w:sz w:val="21"/>
                <w:highlight w:val="none"/>
              </w:rPr>
            </w:pPr>
          </w:p>
        </w:tc>
        <w:tc>
          <w:tcPr>
            <w:tcW w:w="853" w:type="dxa"/>
            <w:vAlign w:val="top"/>
          </w:tcPr>
          <w:p w14:paraId="0A34AB36">
            <w:pPr>
              <w:rPr>
                <w:rFonts w:ascii="Arial"/>
                <w:color w:val="auto"/>
                <w:sz w:val="21"/>
                <w:highlight w:val="none"/>
              </w:rPr>
            </w:pPr>
          </w:p>
        </w:tc>
        <w:tc>
          <w:tcPr>
            <w:tcW w:w="950" w:type="dxa"/>
            <w:vAlign w:val="top"/>
          </w:tcPr>
          <w:p w14:paraId="5886AFFA">
            <w:pPr>
              <w:rPr>
                <w:rFonts w:ascii="Arial"/>
                <w:color w:val="auto"/>
                <w:sz w:val="21"/>
                <w:highlight w:val="none"/>
              </w:rPr>
            </w:pPr>
          </w:p>
        </w:tc>
        <w:tc>
          <w:tcPr>
            <w:tcW w:w="527" w:type="dxa"/>
            <w:tcBorders>
              <w:right w:val="single" w:color="000000" w:sz="4" w:space="0"/>
            </w:tcBorders>
            <w:vAlign w:val="top"/>
          </w:tcPr>
          <w:p w14:paraId="71A5581E">
            <w:pPr>
              <w:rPr>
                <w:rFonts w:ascii="Arial"/>
                <w:color w:val="auto"/>
                <w:sz w:val="21"/>
                <w:highlight w:val="none"/>
              </w:rPr>
            </w:pPr>
          </w:p>
        </w:tc>
      </w:tr>
      <w:tr w14:paraId="3D459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14:paraId="7E1C9DFB">
            <w:pPr>
              <w:spacing w:line="248" w:lineRule="auto"/>
              <w:rPr>
                <w:rFonts w:ascii="Arial"/>
                <w:color w:val="auto"/>
                <w:sz w:val="21"/>
                <w:highlight w:val="none"/>
              </w:rPr>
            </w:pPr>
          </w:p>
          <w:p w14:paraId="5B0E2CFB">
            <w:pPr>
              <w:pStyle w:val="11"/>
              <w:spacing w:before="68" w:line="222" w:lineRule="auto"/>
              <w:ind w:left="2404"/>
              <w:rPr>
                <w:color w:val="auto"/>
                <w:highlight w:val="none"/>
              </w:rPr>
            </w:pPr>
            <w:r>
              <w:rPr>
                <w:color w:val="auto"/>
                <w:spacing w:val="-2"/>
                <w:highlight w:val="none"/>
              </w:rPr>
              <w:t>合计</w:t>
            </w:r>
          </w:p>
        </w:tc>
        <w:tc>
          <w:tcPr>
            <w:tcW w:w="1271" w:type="dxa"/>
            <w:tcBorders>
              <w:bottom w:val="single" w:color="000000" w:sz="4" w:space="0"/>
            </w:tcBorders>
            <w:vAlign w:val="top"/>
          </w:tcPr>
          <w:p w14:paraId="23A2BB80">
            <w:pPr>
              <w:rPr>
                <w:rFonts w:ascii="Arial"/>
                <w:color w:val="auto"/>
                <w:sz w:val="21"/>
                <w:highlight w:val="none"/>
              </w:rPr>
            </w:pPr>
          </w:p>
        </w:tc>
        <w:tc>
          <w:tcPr>
            <w:tcW w:w="853" w:type="dxa"/>
            <w:tcBorders>
              <w:bottom w:val="single" w:color="000000" w:sz="4" w:space="0"/>
            </w:tcBorders>
            <w:vAlign w:val="top"/>
          </w:tcPr>
          <w:p w14:paraId="362795C3">
            <w:pPr>
              <w:rPr>
                <w:rFonts w:ascii="Arial"/>
                <w:color w:val="auto"/>
                <w:sz w:val="21"/>
                <w:highlight w:val="none"/>
              </w:rPr>
            </w:pPr>
          </w:p>
        </w:tc>
        <w:tc>
          <w:tcPr>
            <w:tcW w:w="950" w:type="dxa"/>
            <w:tcBorders>
              <w:bottom w:val="single" w:color="000000" w:sz="4" w:space="0"/>
            </w:tcBorders>
            <w:vAlign w:val="top"/>
          </w:tcPr>
          <w:p w14:paraId="1AAC4469">
            <w:pPr>
              <w:rPr>
                <w:rFonts w:ascii="Arial"/>
                <w:color w:val="auto"/>
                <w:sz w:val="21"/>
                <w:highlight w:val="none"/>
              </w:rPr>
            </w:pPr>
          </w:p>
        </w:tc>
        <w:tc>
          <w:tcPr>
            <w:tcW w:w="527" w:type="dxa"/>
            <w:tcBorders>
              <w:bottom w:val="single" w:color="000000" w:sz="4" w:space="0"/>
              <w:right w:val="single" w:color="000000" w:sz="4" w:space="0"/>
            </w:tcBorders>
            <w:vAlign w:val="top"/>
          </w:tcPr>
          <w:p w14:paraId="584150EE">
            <w:pPr>
              <w:rPr>
                <w:rFonts w:ascii="Arial"/>
                <w:color w:val="auto"/>
                <w:sz w:val="21"/>
                <w:highlight w:val="none"/>
              </w:rPr>
            </w:pPr>
          </w:p>
        </w:tc>
      </w:tr>
    </w:tbl>
    <w:p w14:paraId="743D3156">
      <w:pPr>
        <w:spacing w:before="274" w:line="219" w:lineRule="auto"/>
        <w:ind w:left="2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编制人（造价人员</w:t>
      </w:r>
      <w:r>
        <w:rPr>
          <w:rFonts w:ascii="宋体" w:hAnsi="宋体" w:eastAsia="宋体" w:cs="宋体"/>
          <w:color w:val="auto"/>
          <w:spacing w:val="-1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2"/>
          <w:sz w:val="21"/>
          <w:szCs w:val="21"/>
          <w:highlight w:val="none"/>
        </w:rPr>
        <w:t>复核人（造价工程师</w:t>
      </w:r>
      <w:r>
        <w:rPr>
          <w:rFonts w:ascii="宋体" w:hAnsi="宋体" w:eastAsia="宋体" w:cs="宋体"/>
          <w:color w:val="auto"/>
          <w:spacing w:val="-13"/>
          <w:sz w:val="21"/>
          <w:szCs w:val="21"/>
          <w:highlight w:val="none"/>
        </w:rPr>
        <w:t>）：</w:t>
      </w:r>
    </w:p>
    <w:p w14:paraId="4F5256C6">
      <w:pPr>
        <w:spacing w:before="298" w:line="219" w:lineRule="auto"/>
        <w:ind w:left="26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 1．“计价基础</w:t>
      </w:r>
      <w:r>
        <w:rPr>
          <w:rFonts w:ascii="宋体" w:hAnsi="宋体" w:eastAsia="宋体" w:cs="宋体"/>
          <w:color w:val="auto"/>
          <w:spacing w:val="-77"/>
          <w:sz w:val="21"/>
          <w:szCs w:val="21"/>
          <w:highlight w:val="none"/>
        </w:rPr>
        <w:t xml:space="preserve"> </w:t>
      </w:r>
      <w:r>
        <w:rPr>
          <w:rFonts w:ascii="宋体" w:hAnsi="宋体" w:eastAsia="宋体" w:cs="宋体"/>
          <w:color w:val="auto"/>
          <w:spacing w:val="-1"/>
          <w:sz w:val="21"/>
          <w:szCs w:val="21"/>
          <w:highlight w:val="none"/>
        </w:rPr>
        <w:t>”中安全文明施工费可为“定额人工费+定额</w:t>
      </w:r>
      <w:r>
        <w:rPr>
          <w:rFonts w:ascii="宋体" w:hAnsi="宋体" w:eastAsia="宋体" w:cs="宋体"/>
          <w:color w:val="auto"/>
          <w:spacing w:val="-2"/>
          <w:sz w:val="21"/>
          <w:szCs w:val="21"/>
          <w:highlight w:val="none"/>
        </w:rPr>
        <w:t>机械费</w:t>
      </w:r>
      <w:r>
        <w:rPr>
          <w:rFonts w:ascii="宋体" w:hAnsi="宋体" w:eastAsia="宋体" w:cs="宋体"/>
          <w:color w:val="auto"/>
          <w:spacing w:val="-76"/>
          <w:sz w:val="21"/>
          <w:szCs w:val="21"/>
          <w:highlight w:val="none"/>
        </w:rPr>
        <w:t xml:space="preserve"> </w:t>
      </w:r>
      <w:r>
        <w:rPr>
          <w:rFonts w:ascii="宋体" w:hAnsi="宋体" w:eastAsia="宋体" w:cs="宋体"/>
          <w:color w:val="auto"/>
          <w:spacing w:val="-2"/>
          <w:sz w:val="21"/>
          <w:szCs w:val="21"/>
          <w:highlight w:val="none"/>
        </w:rPr>
        <w:t>”，其他项目可为</w:t>
      </w:r>
    </w:p>
    <w:p w14:paraId="58C6BDD7">
      <w:pPr>
        <w:spacing w:before="25" w:line="220" w:lineRule="auto"/>
        <w:ind w:left="983"/>
        <w:rPr>
          <w:rFonts w:ascii="宋体" w:hAnsi="宋体" w:eastAsia="宋体" w:cs="宋体"/>
          <w:color w:val="auto"/>
          <w:sz w:val="21"/>
          <w:szCs w:val="21"/>
          <w:highlight w:val="none"/>
        </w:rPr>
      </w:pPr>
      <w:r>
        <w:rPr>
          <w:rFonts w:ascii="宋体" w:hAnsi="宋体" w:eastAsia="宋体" w:cs="宋体"/>
          <w:color w:val="auto"/>
          <w:sz w:val="21"/>
          <w:szCs w:val="21"/>
          <w:highlight w:val="none"/>
        </w:rPr>
        <w:t>“定额人工费+定额机械费</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w:t>
      </w:r>
    </w:p>
    <w:p w14:paraId="252DE880">
      <w:pPr>
        <w:spacing w:before="24" w:line="228" w:lineRule="auto"/>
        <w:ind w:left="995" w:right="95" w:hanging="31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18"/>
          <w:sz w:val="21"/>
          <w:szCs w:val="21"/>
          <w:highlight w:val="none"/>
        </w:rPr>
        <w:t xml:space="preserve"> </w:t>
      </w:r>
      <w:r>
        <w:rPr>
          <w:rFonts w:ascii="宋体" w:hAnsi="宋体" w:eastAsia="宋体" w:cs="宋体"/>
          <w:color w:val="auto"/>
          <w:spacing w:val="-1"/>
          <w:sz w:val="21"/>
          <w:szCs w:val="21"/>
          <w:highlight w:val="none"/>
        </w:rPr>
        <w:t>．按施工方案计算的措施费，若无</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计算基础</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和</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费率</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24"/>
          <w:sz w:val="21"/>
          <w:szCs w:val="21"/>
          <w:highlight w:val="none"/>
        </w:rPr>
        <w:t xml:space="preserve"> </w:t>
      </w:r>
      <w:r>
        <w:rPr>
          <w:rFonts w:ascii="宋体" w:hAnsi="宋体" w:eastAsia="宋体" w:cs="宋体"/>
          <w:color w:val="auto"/>
          <w:spacing w:val="-1"/>
          <w:sz w:val="21"/>
          <w:szCs w:val="21"/>
          <w:highlight w:val="none"/>
        </w:rPr>
        <w:t>的数值，也可只填</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金额</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数值，</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但应在备注栏说明施工方案出处或计算方法。</w:t>
      </w:r>
    </w:p>
    <w:p w14:paraId="368C3213">
      <w:pPr>
        <w:spacing w:line="228" w:lineRule="auto"/>
        <w:rPr>
          <w:rFonts w:ascii="宋体" w:hAnsi="宋体" w:eastAsia="宋体" w:cs="宋体"/>
          <w:color w:val="auto"/>
          <w:sz w:val="21"/>
          <w:szCs w:val="21"/>
          <w:highlight w:val="none"/>
        </w:rPr>
        <w:sectPr>
          <w:footerReference r:id="rId190" w:type="default"/>
          <w:pgSz w:w="11905" w:h="16839"/>
          <w:pgMar w:top="400" w:right="1532" w:bottom="1004" w:left="1541" w:header="0" w:footer="828" w:gutter="0"/>
          <w:pgNumType w:fmt="decimal"/>
          <w:cols w:space="720" w:num="1"/>
        </w:sectPr>
      </w:pPr>
    </w:p>
    <w:p w14:paraId="4B23B52D">
      <w:pPr>
        <w:pStyle w:val="3"/>
        <w:spacing w:line="267" w:lineRule="auto"/>
        <w:rPr>
          <w:color w:val="auto"/>
          <w:highlight w:val="none"/>
        </w:rPr>
      </w:pPr>
    </w:p>
    <w:p w14:paraId="441E3D38">
      <w:pPr>
        <w:pStyle w:val="3"/>
        <w:spacing w:line="267" w:lineRule="auto"/>
        <w:rPr>
          <w:color w:val="auto"/>
          <w:highlight w:val="none"/>
        </w:rPr>
      </w:pPr>
    </w:p>
    <w:p w14:paraId="3CAE438F">
      <w:pPr>
        <w:pStyle w:val="3"/>
        <w:spacing w:line="268" w:lineRule="auto"/>
        <w:rPr>
          <w:color w:val="auto"/>
          <w:highlight w:val="none"/>
        </w:rPr>
      </w:pPr>
    </w:p>
    <w:p w14:paraId="35D6A257">
      <w:pPr>
        <w:pStyle w:val="3"/>
        <w:spacing w:line="268" w:lineRule="auto"/>
        <w:rPr>
          <w:color w:val="auto"/>
          <w:highlight w:val="none"/>
        </w:rPr>
      </w:pPr>
    </w:p>
    <w:p w14:paraId="3BE6181C">
      <w:pPr>
        <w:spacing w:before="78" w:line="219" w:lineRule="auto"/>
        <w:ind w:left="8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 </w:t>
      </w:r>
      <w:r>
        <w:rPr>
          <w:rFonts w:ascii="黑体" w:hAnsi="黑体" w:eastAsia="黑体" w:cs="黑体"/>
          <w:color w:val="auto"/>
          <w:spacing w:val="-1"/>
          <w:sz w:val="24"/>
          <w:szCs w:val="24"/>
          <w:highlight w:val="none"/>
        </w:rPr>
        <w:t>其他项目清单与计价汇总表</w:t>
      </w:r>
    </w:p>
    <w:p w14:paraId="03C3205C">
      <w:pPr>
        <w:spacing w:before="161" w:line="225" w:lineRule="auto"/>
        <w:ind w:left="2573"/>
        <w:rPr>
          <w:rFonts w:ascii="黑体" w:hAnsi="黑体" w:eastAsia="黑体" w:cs="黑体"/>
          <w:color w:val="auto"/>
          <w:sz w:val="27"/>
          <w:szCs w:val="27"/>
          <w:highlight w:val="none"/>
        </w:rPr>
      </w:pPr>
      <w:bookmarkStart w:id="1307" w:name="bookmark253"/>
      <w:bookmarkEnd w:id="1307"/>
      <w:r>
        <w:rPr>
          <w:rFonts w:ascii="黑体" w:hAnsi="黑体" w:eastAsia="黑体" w:cs="黑体"/>
          <w:color w:val="auto"/>
          <w:spacing w:val="8"/>
          <w:sz w:val="27"/>
          <w:szCs w:val="27"/>
          <w:highlight w:val="none"/>
        </w:rPr>
        <w:t>其他项目清单与计价汇总表</w:t>
      </w:r>
    </w:p>
    <w:p w14:paraId="6D47D513">
      <w:pPr>
        <w:spacing w:before="143" w:line="214" w:lineRule="auto"/>
        <w:ind w:left="9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工程名称：               标段名称：</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38"/>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tbl>
      <w:tblPr>
        <w:tblStyle w:val="10"/>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14:paraId="01359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14:paraId="573D75D5">
            <w:pPr>
              <w:spacing w:line="271" w:lineRule="auto"/>
              <w:rPr>
                <w:rFonts w:ascii="Arial"/>
                <w:color w:val="auto"/>
                <w:sz w:val="21"/>
                <w:highlight w:val="none"/>
              </w:rPr>
            </w:pPr>
          </w:p>
          <w:p w14:paraId="231AEFEA">
            <w:pPr>
              <w:pStyle w:val="11"/>
              <w:spacing w:before="68" w:line="222" w:lineRule="auto"/>
              <w:ind w:left="204"/>
              <w:rPr>
                <w:color w:val="auto"/>
                <w:highlight w:val="none"/>
              </w:rPr>
            </w:pPr>
            <w:r>
              <w:rPr>
                <w:color w:val="auto"/>
                <w:spacing w:val="-2"/>
                <w:highlight w:val="none"/>
              </w:rPr>
              <w:t>序号</w:t>
            </w:r>
          </w:p>
        </w:tc>
        <w:tc>
          <w:tcPr>
            <w:tcW w:w="2921" w:type="dxa"/>
            <w:tcBorders>
              <w:top w:val="single" w:color="000000" w:sz="4" w:space="0"/>
            </w:tcBorders>
            <w:vAlign w:val="top"/>
          </w:tcPr>
          <w:p w14:paraId="73E340E6">
            <w:pPr>
              <w:spacing w:line="271" w:lineRule="auto"/>
              <w:rPr>
                <w:rFonts w:ascii="Arial"/>
                <w:color w:val="auto"/>
                <w:sz w:val="21"/>
                <w:highlight w:val="none"/>
              </w:rPr>
            </w:pPr>
          </w:p>
          <w:p w14:paraId="37CA3CA7">
            <w:pPr>
              <w:pStyle w:val="11"/>
              <w:spacing w:before="69" w:line="221" w:lineRule="auto"/>
              <w:ind w:left="1047"/>
              <w:rPr>
                <w:color w:val="auto"/>
                <w:highlight w:val="none"/>
              </w:rPr>
            </w:pPr>
            <w:r>
              <w:rPr>
                <w:color w:val="auto"/>
                <w:spacing w:val="-2"/>
                <w:highlight w:val="none"/>
              </w:rPr>
              <w:t>项目名称</w:t>
            </w:r>
          </w:p>
        </w:tc>
        <w:tc>
          <w:tcPr>
            <w:tcW w:w="1573" w:type="dxa"/>
            <w:tcBorders>
              <w:top w:val="single" w:color="000000" w:sz="4" w:space="0"/>
            </w:tcBorders>
            <w:vAlign w:val="top"/>
          </w:tcPr>
          <w:p w14:paraId="1D466390">
            <w:pPr>
              <w:spacing w:line="270" w:lineRule="auto"/>
              <w:rPr>
                <w:rFonts w:ascii="Arial"/>
                <w:color w:val="auto"/>
                <w:sz w:val="21"/>
                <w:highlight w:val="none"/>
              </w:rPr>
            </w:pPr>
          </w:p>
          <w:p w14:paraId="5BDD771B">
            <w:pPr>
              <w:pStyle w:val="11"/>
              <w:spacing w:before="69" w:line="221" w:lineRule="auto"/>
              <w:ind w:left="271"/>
              <w:rPr>
                <w:color w:val="auto"/>
                <w:highlight w:val="none"/>
              </w:rPr>
            </w:pPr>
            <w:r>
              <w:rPr>
                <w:color w:val="auto"/>
                <w:spacing w:val="-2"/>
                <w:highlight w:val="none"/>
              </w:rPr>
              <w:t>金额（元）</w:t>
            </w:r>
          </w:p>
        </w:tc>
        <w:tc>
          <w:tcPr>
            <w:tcW w:w="1573" w:type="dxa"/>
            <w:tcBorders>
              <w:top w:val="single" w:color="000000" w:sz="4" w:space="0"/>
            </w:tcBorders>
            <w:vAlign w:val="top"/>
          </w:tcPr>
          <w:p w14:paraId="7DEAA8E1">
            <w:pPr>
              <w:pStyle w:val="11"/>
              <w:spacing w:before="206" w:line="241" w:lineRule="auto"/>
              <w:ind w:left="381"/>
              <w:rPr>
                <w:color w:val="auto"/>
                <w:highlight w:val="none"/>
              </w:rPr>
            </w:pPr>
            <w:r>
              <w:rPr>
                <w:color w:val="auto"/>
                <w:spacing w:val="-2"/>
                <w:highlight w:val="none"/>
              </w:rPr>
              <w:t>结算金额</w:t>
            </w:r>
          </w:p>
          <w:p w14:paraId="0CFFB0CF">
            <w:pPr>
              <w:pStyle w:val="11"/>
              <w:spacing w:line="221" w:lineRule="auto"/>
              <w:ind w:left="488"/>
              <w:rPr>
                <w:color w:val="auto"/>
                <w:highlight w:val="none"/>
              </w:rPr>
            </w:pPr>
            <w:r>
              <w:rPr>
                <w:color w:val="auto"/>
                <w:spacing w:val="-5"/>
                <w:highlight w:val="none"/>
              </w:rPr>
              <w:t>（元）</w:t>
            </w:r>
          </w:p>
        </w:tc>
        <w:tc>
          <w:tcPr>
            <w:tcW w:w="1578" w:type="dxa"/>
            <w:tcBorders>
              <w:top w:val="single" w:color="000000" w:sz="4" w:space="0"/>
              <w:right w:val="single" w:color="000000" w:sz="4" w:space="0"/>
            </w:tcBorders>
            <w:vAlign w:val="top"/>
          </w:tcPr>
          <w:p w14:paraId="5ABE0980">
            <w:pPr>
              <w:spacing w:line="271" w:lineRule="auto"/>
              <w:rPr>
                <w:rFonts w:ascii="Arial"/>
                <w:color w:val="auto"/>
                <w:sz w:val="21"/>
                <w:highlight w:val="none"/>
              </w:rPr>
            </w:pPr>
          </w:p>
          <w:p w14:paraId="2097D3A5">
            <w:pPr>
              <w:pStyle w:val="11"/>
              <w:spacing w:before="68" w:line="222" w:lineRule="auto"/>
              <w:ind w:left="587"/>
              <w:rPr>
                <w:color w:val="auto"/>
                <w:highlight w:val="none"/>
              </w:rPr>
            </w:pPr>
            <w:r>
              <w:rPr>
                <w:color w:val="auto"/>
                <w:spacing w:val="-3"/>
                <w:highlight w:val="none"/>
              </w:rPr>
              <w:t>备注</w:t>
            </w:r>
          </w:p>
        </w:tc>
      </w:tr>
      <w:tr w14:paraId="39ACC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177CEFD">
            <w:pPr>
              <w:spacing w:line="306" w:lineRule="auto"/>
              <w:rPr>
                <w:rFonts w:ascii="Arial"/>
                <w:color w:val="auto"/>
                <w:sz w:val="21"/>
                <w:highlight w:val="none"/>
              </w:rPr>
            </w:pPr>
          </w:p>
          <w:p w14:paraId="19D6B476">
            <w:pPr>
              <w:spacing w:before="69" w:line="183" w:lineRule="auto"/>
              <w:ind w:left="374"/>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2921" w:type="dxa"/>
            <w:vAlign w:val="top"/>
          </w:tcPr>
          <w:p w14:paraId="0B4021EF">
            <w:pPr>
              <w:spacing w:line="272" w:lineRule="auto"/>
              <w:rPr>
                <w:rFonts w:ascii="Arial"/>
                <w:color w:val="auto"/>
                <w:sz w:val="21"/>
                <w:highlight w:val="none"/>
              </w:rPr>
            </w:pPr>
          </w:p>
          <w:p w14:paraId="4389A56F">
            <w:pPr>
              <w:pStyle w:val="11"/>
              <w:spacing w:before="68" w:line="221" w:lineRule="auto"/>
              <w:ind w:left="118"/>
              <w:rPr>
                <w:color w:val="auto"/>
                <w:highlight w:val="none"/>
              </w:rPr>
            </w:pPr>
            <w:r>
              <w:rPr>
                <w:color w:val="auto"/>
                <w:spacing w:val="-2"/>
                <w:highlight w:val="none"/>
              </w:rPr>
              <w:t>暂列金额</w:t>
            </w:r>
          </w:p>
        </w:tc>
        <w:tc>
          <w:tcPr>
            <w:tcW w:w="1573" w:type="dxa"/>
            <w:vAlign w:val="top"/>
          </w:tcPr>
          <w:p w14:paraId="45A9ECA9">
            <w:pPr>
              <w:rPr>
                <w:rFonts w:ascii="Arial"/>
                <w:color w:val="auto"/>
                <w:sz w:val="21"/>
                <w:highlight w:val="none"/>
              </w:rPr>
            </w:pPr>
          </w:p>
        </w:tc>
        <w:tc>
          <w:tcPr>
            <w:tcW w:w="1573" w:type="dxa"/>
            <w:vAlign w:val="top"/>
          </w:tcPr>
          <w:p w14:paraId="7BD20682">
            <w:pPr>
              <w:rPr>
                <w:rFonts w:ascii="Arial"/>
                <w:color w:val="auto"/>
                <w:sz w:val="21"/>
                <w:highlight w:val="none"/>
              </w:rPr>
            </w:pPr>
          </w:p>
        </w:tc>
        <w:tc>
          <w:tcPr>
            <w:tcW w:w="1578" w:type="dxa"/>
            <w:tcBorders>
              <w:right w:val="single" w:color="000000" w:sz="4" w:space="0"/>
            </w:tcBorders>
            <w:vAlign w:val="top"/>
          </w:tcPr>
          <w:p w14:paraId="1B5D4F28">
            <w:pPr>
              <w:pStyle w:val="11"/>
              <w:spacing w:before="208" w:line="236" w:lineRule="auto"/>
              <w:ind w:left="393"/>
              <w:rPr>
                <w:color w:val="auto"/>
                <w:highlight w:val="none"/>
              </w:rPr>
            </w:pPr>
            <w:r>
              <w:rPr>
                <w:color w:val="auto"/>
                <w:spacing w:val="-5"/>
                <w:highlight w:val="none"/>
              </w:rPr>
              <w:t>明细详见</w:t>
            </w:r>
          </w:p>
          <w:p w14:paraId="0EF5F336">
            <w:pPr>
              <w:pStyle w:val="11"/>
              <w:spacing w:line="222" w:lineRule="auto"/>
              <w:ind w:left="387"/>
              <w:rPr>
                <w:rFonts w:ascii="Times New Roman" w:hAnsi="Times New Roman" w:eastAsia="Times New Roman" w:cs="Times New Roman"/>
                <w:color w:val="auto"/>
                <w:highlight w:val="none"/>
              </w:rPr>
            </w:pPr>
            <w:r>
              <w:rPr>
                <w:color w:val="auto"/>
                <w:spacing w:val="-2"/>
                <w:highlight w:val="none"/>
              </w:rPr>
              <w:t>表</w:t>
            </w:r>
            <w:r>
              <w:rPr>
                <w:color w:val="auto"/>
                <w:spacing w:val="-43"/>
                <w:highlight w:val="none"/>
              </w:rPr>
              <w:t xml:space="preserve"> </w:t>
            </w:r>
            <w:r>
              <w:rPr>
                <w:rFonts w:ascii="Times New Roman" w:hAnsi="Times New Roman" w:eastAsia="Times New Roman" w:cs="Times New Roman"/>
                <w:color w:val="auto"/>
                <w:spacing w:val="-2"/>
                <w:highlight w:val="none"/>
              </w:rPr>
              <w:t>4.12-</w:t>
            </w:r>
            <w:r>
              <w:rPr>
                <w:rFonts w:ascii="Times New Roman" w:hAnsi="Times New Roman" w:eastAsia="Times New Roman" w:cs="Times New Roman"/>
                <w:color w:val="auto"/>
                <w:spacing w:val="-26"/>
                <w:highlight w:val="none"/>
              </w:rPr>
              <w:t xml:space="preserve"> </w:t>
            </w:r>
            <w:r>
              <w:rPr>
                <w:rFonts w:ascii="Times New Roman" w:hAnsi="Times New Roman" w:eastAsia="Times New Roman" w:cs="Times New Roman"/>
                <w:color w:val="auto"/>
                <w:spacing w:val="-2"/>
                <w:highlight w:val="none"/>
              </w:rPr>
              <w:t>1</w:t>
            </w:r>
          </w:p>
        </w:tc>
      </w:tr>
      <w:tr w14:paraId="4E0FE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14:paraId="38E628F3">
            <w:pPr>
              <w:spacing w:line="306" w:lineRule="auto"/>
              <w:rPr>
                <w:rFonts w:ascii="Arial"/>
                <w:color w:val="auto"/>
                <w:sz w:val="21"/>
                <w:highlight w:val="none"/>
              </w:rPr>
            </w:pPr>
          </w:p>
          <w:p w14:paraId="25E46199">
            <w:pPr>
              <w:spacing w:before="68" w:line="184" w:lineRule="auto"/>
              <w:ind w:left="361"/>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2921" w:type="dxa"/>
            <w:vAlign w:val="top"/>
          </w:tcPr>
          <w:p w14:paraId="1A033378">
            <w:pPr>
              <w:spacing w:line="273" w:lineRule="auto"/>
              <w:rPr>
                <w:rFonts w:ascii="Arial"/>
                <w:color w:val="auto"/>
                <w:sz w:val="21"/>
                <w:highlight w:val="none"/>
              </w:rPr>
            </w:pPr>
          </w:p>
          <w:p w14:paraId="102A22F9">
            <w:pPr>
              <w:pStyle w:val="11"/>
              <w:spacing w:before="68" w:line="219" w:lineRule="auto"/>
              <w:ind w:left="118"/>
              <w:rPr>
                <w:color w:val="auto"/>
                <w:highlight w:val="none"/>
              </w:rPr>
            </w:pPr>
            <w:r>
              <w:rPr>
                <w:color w:val="auto"/>
                <w:spacing w:val="-3"/>
                <w:highlight w:val="none"/>
              </w:rPr>
              <w:t>暂估价</w:t>
            </w:r>
          </w:p>
        </w:tc>
        <w:tc>
          <w:tcPr>
            <w:tcW w:w="1573" w:type="dxa"/>
            <w:vAlign w:val="top"/>
          </w:tcPr>
          <w:p w14:paraId="4908B3E6">
            <w:pPr>
              <w:rPr>
                <w:rFonts w:ascii="Arial"/>
                <w:color w:val="auto"/>
                <w:sz w:val="21"/>
                <w:highlight w:val="none"/>
              </w:rPr>
            </w:pPr>
          </w:p>
        </w:tc>
        <w:tc>
          <w:tcPr>
            <w:tcW w:w="1573" w:type="dxa"/>
            <w:vAlign w:val="top"/>
          </w:tcPr>
          <w:p w14:paraId="6A09EF7F">
            <w:pPr>
              <w:rPr>
                <w:rFonts w:ascii="Arial"/>
                <w:color w:val="auto"/>
                <w:sz w:val="21"/>
                <w:highlight w:val="none"/>
              </w:rPr>
            </w:pPr>
          </w:p>
        </w:tc>
        <w:tc>
          <w:tcPr>
            <w:tcW w:w="1578" w:type="dxa"/>
            <w:tcBorders>
              <w:right w:val="single" w:color="000000" w:sz="4" w:space="0"/>
            </w:tcBorders>
            <w:vAlign w:val="top"/>
          </w:tcPr>
          <w:p w14:paraId="59B2A671">
            <w:pPr>
              <w:rPr>
                <w:rFonts w:ascii="Arial"/>
                <w:color w:val="auto"/>
                <w:sz w:val="21"/>
                <w:highlight w:val="none"/>
              </w:rPr>
            </w:pPr>
          </w:p>
        </w:tc>
      </w:tr>
      <w:tr w14:paraId="72B1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14:paraId="786F940C">
            <w:pPr>
              <w:spacing w:line="307" w:lineRule="auto"/>
              <w:rPr>
                <w:rFonts w:ascii="Arial"/>
                <w:color w:val="auto"/>
                <w:sz w:val="21"/>
                <w:highlight w:val="none"/>
              </w:rPr>
            </w:pPr>
          </w:p>
          <w:p w14:paraId="41E84C1A">
            <w:pPr>
              <w:spacing w:before="68" w:line="184" w:lineRule="auto"/>
              <w:ind w:left="256"/>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2.1</w:t>
            </w:r>
          </w:p>
        </w:tc>
        <w:tc>
          <w:tcPr>
            <w:tcW w:w="2921" w:type="dxa"/>
            <w:vAlign w:val="top"/>
          </w:tcPr>
          <w:p w14:paraId="0A9EFF64">
            <w:pPr>
              <w:spacing w:line="274" w:lineRule="auto"/>
              <w:rPr>
                <w:rFonts w:ascii="Arial"/>
                <w:color w:val="auto"/>
                <w:sz w:val="21"/>
                <w:highlight w:val="none"/>
              </w:rPr>
            </w:pPr>
          </w:p>
          <w:p w14:paraId="3CBDAE76">
            <w:pPr>
              <w:pStyle w:val="11"/>
              <w:spacing w:before="68" w:line="219" w:lineRule="auto"/>
              <w:ind w:left="112"/>
              <w:rPr>
                <w:color w:val="auto"/>
                <w:highlight w:val="none"/>
              </w:rPr>
            </w:pPr>
            <w:r>
              <w:rPr>
                <w:color w:val="auto"/>
                <w:spacing w:val="-1"/>
                <w:highlight w:val="none"/>
              </w:rPr>
              <w:t>材料（工程设备）暂估价</w:t>
            </w:r>
          </w:p>
        </w:tc>
        <w:tc>
          <w:tcPr>
            <w:tcW w:w="1573" w:type="dxa"/>
            <w:vAlign w:val="top"/>
          </w:tcPr>
          <w:p w14:paraId="746DAC93">
            <w:pPr>
              <w:spacing w:line="373" w:lineRule="auto"/>
              <w:rPr>
                <w:rFonts w:ascii="Arial"/>
                <w:color w:val="auto"/>
                <w:sz w:val="21"/>
                <w:highlight w:val="none"/>
              </w:rPr>
            </w:pPr>
          </w:p>
          <w:p w14:paraId="5A39CF1D">
            <w:pPr>
              <w:pStyle w:val="11"/>
              <w:spacing w:before="68" w:line="142" w:lineRule="exact"/>
              <w:ind w:left="685"/>
              <w:rPr>
                <w:color w:val="auto"/>
                <w:highlight w:val="none"/>
              </w:rPr>
            </w:pPr>
            <w:r>
              <w:rPr>
                <w:color w:val="auto"/>
                <w:position w:val="-3"/>
                <w:highlight w:val="none"/>
              </w:rPr>
              <w:t>—</w:t>
            </w:r>
          </w:p>
        </w:tc>
        <w:tc>
          <w:tcPr>
            <w:tcW w:w="1573" w:type="dxa"/>
            <w:vAlign w:val="top"/>
          </w:tcPr>
          <w:p w14:paraId="027DC4D0">
            <w:pPr>
              <w:rPr>
                <w:rFonts w:ascii="Arial"/>
                <w:color w:val="auto"/>
                <w:sz w:val="21"/>
                <w:highlight w:val="none"/>
              </w:rPr>
            </w:pPr>
          </w:p>
        </w:tc>
        <w:tc>
          <w:tcPr>
            <w:tcW w:w="1578" w:type="dxa"/>
            <w:tcBorders>
              <w:right w:val="single" w:color="000000" w:sz="4" w:space="0"/>
            </w:tcBorders>
            <w:vAlign w:val="top"/>
          </w:tcPr>
          <w:p w14:paraId="6E0A2E0E">
            <w:pPr>
              <w:pStyle w:val="11"/>
              <w:spacing w:before="204" w:line="241" w:lineRule="auto"/>
              <w:ind w:left="393"/>
              <w:rPr>
                <w:color w:val="auto"/>
                <w:highlight w:val="none"/>
              </w:rPr>
            </w:pPr>
            <w:r>
              <w:rPr>
                <w:color w:val="auto"/>
                <w:spacing w:val="-5"/>
                <w:highlight w:val="none"/>
              </w:rPr>
              <w:t>明细详见</w:t>
            </w:r>
          </w:p>
          <w:p w14:paraId="7F88665B">
            <w:pPr>
              <w:pStyle w:val="11"/>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4.12-2</w:t>
            </w:r>
          </w:p>
        </w:tc>
      </w:tr>
      <w:tr w14:paraId="48B38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4E656D08">
            <w:pPr>
              <w:spacing w:line="306" w:lineRule="auto"/>
              <w:rPr>
                <w:rFonts w:ascii="Arial"/>
                <w:color w:val="auto"/>
                <w:sz w:val="21"/>
                <w:highlight w:val="none"/>
              </w:rPr>
            </w:pPr>
          </w:p>
          <w:p w14:paraId="5ECB4C06">
            <w:pPr>
              <w:spacing w:before="68" w:line="184" w:lineRule="auto"/>
              <w:ind w:left="256"/>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2.2</w:t>
            </w:r>
          </w:p>
        </w:tc>
        <w:tc>
          <w:tcPr>
            <w:tcW w:w="2921" w:type="dxa"/>
            <w:vAlign w:val="top"/>
          </w:tcPr>
          <w:p w14:paraId="0D558B2C">
            <w:pPr>
              <w:spacing w:line="273" w:lineRule="auto"/>
              <w:rPr>
                <w:rFonts w:ascii="Arial"/>
                <w:color w:val="auto"/>
                <w:sz w:val="21"/>
                <w:highlight w:val="none"/>
              </w:rPr>
            </w:pPr>
          </w:p>
          <w:p w14:paraId="465A2B13">
            <w:pPr>
              <w:pStyle w:val="11"/>
              <w:spacing w:before="68" w:line="219" w:lineRule="auto"/>
              <w:ind w:left="113"/>
              <w:rPr>
                <w:color w:val="auto"/>
                <w:highlight w:val="none"/>
              </w:rPr>
            </w:pPr>
            <w:r>
              <w:rPr>
                <w:color w:val="auto"/>
                <w:spacing w:val="-1"/>
                <w:highlight w:val="none"/>
              </w:rPr>
              <w:t>专业工程暂估价</w:t>
            </w:r>
          </w:p>
        </w:tc>
        <w:tc>
          <w:tcPr>
            <w:tcW w:w="1573" w:type="dxa"/>
            <w:vAlign w:val="top"/>
          </w:tcPr>
          <w:p w14:paraId="30945C9C">
            <w:pPr>
              <w:rPr>
                <w:rFonts w:ascii="Arial"/>
                <w:color w:val="auto"/>
                <w:sz w:val="21"/>
                <w:highlight w:val="none"/>
              </w:rPr>
            </w:pPr>
          </w:p>
        </w:tc>
        <w:tc>
          <w:tcPr>
            <w:tcW w:w="1573" w:type="dxa"/>
            <w:vAlign w:val="top"/>
          </w:tcPr>
          <w:p w14:paraId="349838F8">
            <w:pPr>
              <w:rPr>
                <w:rFonts w:ascii="Arial"/>
                <w:color w:val="auto"/>
                <w:sz w:val="21"/>
                <w:highlight w:val="none"/>
              </w:rPr>
            </w:pPr>
          </w:p>
        </w:tc>
        <w:tc>
          <w:tcPr>
            <w:tcW w:w="1578" w:type="dxa"/>
            <w:tcBorders>
              <w:right w:val="single" w:color="000000" w:sz="4" w:space="0"/>
            </w:tcBorders>
            <w:vAlign w:val="top"/>
          </w:tcPr>
          <w:p w14:paraId="241ED1E1">
            <w:pPr>
              <w:pStyle w:val="11"/>
              <w:spacing w:before="208" w:line="241" w:lineRule="auto"/>
              <w:ind w:left="393"/>
              <w:rPr>
                <w:color w:val="auto"/>
                <w:highlight w:val="none"/>
              </w:rPr>
            </w:pPr>
            <w:r>
              <w:rPr>
                <w:color w:val="auto"/>
                <w:spacing w:val="-5"/>
                <w:highlight w:val="none"/>
              </w:rPr>
              <w:t>明细详见</w:t>
            </w:r>
          </w:p>
          <w:p w14:paraId="1412D227">
            <w:pPr>
              <w:pStyle w:val="11"/>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4.12-3</w:t>
            </w:r>
          </w:p>
        </w:tc>
      </w:tr>
      <w:tr w14:paraId="16E77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6CCE57D5">
            <w:pPr>
              <w:spacing w:line="311" w:lineRule="auto"/>
              <w:rPr>
                <w:rFonts w:ascii="Arial"/>
                <w:color w:val="auto"/>
                <w:sz w:val="21"/>
                <w:highlight w:val="none"/>
              </w:rPr>
            </w:pPr>
          </w:p>
          <w:p w14:paraId="34FE0CDA">
            <w:pPr>
              <w:spacing w:before="68"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2921" w:type="dxa"/>
            <w:vAlign w:val="top"/>
          </w:tcPr>
          <w:p w14:paraId="67BE4E4C">
            <w:pPr>
              <w:spacing w:line="278" w:lineRule="auto"/>
              <w:rPr>
                <w:rFonts w:ascii="Arial"/>
                <w:color w:val="auto"/>
                <w:sz w:val="21"/>
                <w:highlight w:val="none"/>
              </w:rPr>
            </w:pPr>
          </w:p>
          <w:p w14:paraId="76FE7E64">
            <w:pPr>
              <w:pStyle w:val="11"/>
              <w:spacing w:before="68" w:line="222" w:lineRule="auto"/>
              <w:ind w:left="112"/>
              <w:rPr>
                <w:color w:val="auto"/>
                <w:highlight w:val="none"/>
              </w:rPr>
            </w:pPr>
            <w:r>
              <w:rPr>
                <w:color w:val="auto"/>
                <w:spacing w:val="-2"/>
                <w:highlight w:val="none"/>
              </w:rPr>
              <w:t>计日工</w:t>
            </w:r>
          </w:p>
        </w:tc>
        <w:tc>
          <w:tcPr>
            <w:tcW w:w="1573" w:type="dxa"/>
            <w:vAlign w:val="top"/>
          </w:tcPr>
          <w:p w14:paraId="1C0D1C37">
            <w:pPr>
              <w:rPr>
                <w:rFonts w:ascii="Arial"/>
                <w:color w:val="auto"/>
                <w:sz w:val="21"/>
                <w:highlight w:val="none"/>
              </w:rPr>
            </w:pPr>
          </w:p>
        </w:tc>
        <w:tc>
          <w:tcPr>
            <w:tcW w:w="1573" w:type="dxa"/>
            <w:vAlign w:val="top"/>
          </w:tcPr>
          <w:p w14:paraId="29984B2F">
            <w:pPr>
              <w:rPr>
                <w:rFonts w:ascii="Arial"/>
                <w:color w:val="auto"/>
                <w:sz w:val="21"/>
                <w:highlight w:val="none"/>
              </w:rPr>
            </w:pPr>
          </w:p>
        </w:tc>
        <w:tc>
          <w:tcPr>
            <w:tcW w:w="1578" w:type="dxa"/>
            <w:tcBorders>
              <w:right w:val="single" w:color="000000" w:sz="4" w:space="0"/>
            </w:tcBorders>
            <w:vAlign w:val="top"/>
          </w:tcPr>
          <w:p w14:paraId="05FC66FA">
            <w:pPr>
              <w:pStyle w:val="11"/>
              <w:spacing w:before="214" w:line="236" w:lineRule="auto"/>
              <w:ind w:left="393"/>
              <w:rPr>
                <w:color w:val="auto"/>
                <w:highlight w:val="none"/>
              </w:rPr>
            </w:pPr>
            <w:r>
              <w:rPr>
                <w:color w:val="auto"/>
                <w:spacing w:val="-5"/>
                <w:highlight w:val="none"/>
              </w:rPr>
              <w:t>明细详见</w:t>
            </w:r>
          </w:p>
          <w:p w14:paraId="43557B64">
            <w:pPr>
              <w:pStyle w:val="11"/>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4.12-4</w:t>
            </w:r>
          </w:p>
        </w:tc>
      </w:tr>
      <w:tr w14:paraId="02731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C58131E">
            <w:pPr>
              <w:spacing w:line="313" w:lineRule="auto"/>
              <w:rPr>
                <w:rFonts w:ascii="Arial"/>
                <w:color w:val="auto"/>
                <w:sz w:val="21"/>
                <w:highlight w:val="none"/>
              </w:rPr>
            </w:pPr>
          </w:p>
          <w:p w14:paraId="20B49E4F">
            <w:pPr>
              <w:spacing w:before="68" w:line="183" w:lineRule="auto"/>
              <w:ind w:left="357"/>
              <w:rPr>
                <w:rFonts w:ascii="黑体" w:hAnsi="黑体" w:eastAsia="黑体" w:cs="黑体"/>
                <w:color w:val="auto"/>
                <w:sz w:val="21"/>
                <w:szCs w:val="21"/>
                <w:highlight w:val="none"/>
              </w:rPr>
            </w:pPr>
            <w:r>
              <w:rPr>
                <w:rFonts w:ascii="黑体" w:hAnsi="黑体" w:eastAsia="黑体" w:cs="黑体"/>
                <w:color w:val="auto"/>
                <w:sz w:val="21"/>
                <w:szCs w:val="21"/>
                <w:highlight w:val="none"/>
              </w:rPr>
              <w:t>4</w:t>
            </w:r>
          </w:p>
        </w:tc>
        <w:tc>
          <w:tcPr>
            <w:tcW w:w="2921" w:type="dxa"/>
            <w:vAlign w:val="top"/>
          </w:tcPr>
          <w:p w14:paraId="03BD6493">
            <w:pPr>
              <w:spacing w:line="278" w:lineRule="auto"/>
              <w:rPr>
                <w:rFonts w:ascii="Arial"/>
                <w:color w:val="auto"/>
                <w:sz w:val="21"/>
                <w:highlight w:val="none"/>
              </w:rPr>
            </w:pPr>
          </w:p>
          <w:p w14:paraId="4D4AA944">
            <w:pPr>
              <w:pStyle w:val="11"/>
              <w:spacing w:before="68" w:line="221" w:lineRule="auto"/>
              <w:ind w:left="117"/>
              <w:rPr>
                <w:color w:val="auto"/>
                <w:highlight w:val="none"/>
              </w:rPr>
            </w:pPr>
            <w:r>
              <w:rPr>
                <w:color w:val="auto"/>
                <w:spacing w:val="-2"/>
                <w:highlight w:val="none"/>
              </w:rPr>
              <w:t>总承包服务费</w:t>
            </w:r>
          </w:p>
        </w:tc>
        <w:tc>
          <w:tcPr>
            <w:tcW w:w="1573" w:type="dxa"/>
            <w:vAlign w:val="top"/>
          </w:tcPr>
          <w:p w14:paraId="34B085FE">
            <w:pPr>
              <w:rPr>
                <w:rFonts w:ascii="Arial"/>
                <w:color w:val="auto"/>
                <w:sz w:val="21"/>
                <w:highlight w:val="none"/>
              </w:rPr>
            </w:pPr>
          </w:p>
        </w:tc>
        <w:tc>
          <w:tcPr>
            <w:tcW w:w="1573" w:type="dxa"/>
            <w:vAlign w:val="top"/>
          </w:tcPr>
          <w:p w14:paraId="394C8638">
            <w:pPr>
              <w:rPr>
                <w:rFonts w:ascii="Arial"/>
                <w:color w:val="auto"/>
                <w:sz w:val="21"/>
                <w:highlight w:val="none"/>
              </w:rPr>
            </w:pPr>
          </w:p>
        </w:tc>
        <w:tc>
          <w:tcPr>
            <w:tcW w:w="1578" w:type="dxa"/>
            <w:tcBorders>
              <w:right w:val="single" w:color="000000" w:sz="4" w:space="0"/>
            </w:tcBorders>
            <w:vAlign w:val="top"/>
          </w:tcPr>
          <w:p w14:paraId="6CA685F0">
            <w:pPr>
              <w:pStyle w:val="11"/>
              <w:spacing w:before="209" w:line="241" w:lineRule="auto"/>
              <w:ind w:left="393"/>
              <w:rPr>
                <w:color w:val="auto"/>
                <w:highlight w:val="none"/>
              </w:rPr>
            </w:pPr>
            <w:r>
              <w:rPr>
                <w:color w:val="auto"/>
                <w:spacing w:val="-5"/>
                <w:highlight w:val="none"/>
              </w:rPr>
              <w:t>明细详见</w:t>
            </w:r>
          </w:p>
          <w:p w14:paraId="2986DB75">
            <w:pPr>
              <w:pStyle w:val="11"/>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4.12-5</w:t>
            </w:r>
          </w:p>
        </w:tc>
      </w:tr>
      <w:tr w14:paraId="34203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0B337271">
            <w:pPr>
              <w:spacing w:line="326" w:lineRule="auto"/>
              <w:rPr>
                <w:rFonts w:ascii="Arial"/>
                <w:color w:val="auto"/>
                <w:sz w:val="21"/>
                <w:highlight w:val="none"/>
              </w:rPr>
            </w:pPr>
          </w:p>
          <w:p w14:paraId="28C6C358">
            <w:pPr>
              <w:spacing w:before="60" w:line="186" w:lineRule="auto"/>
              <w:ind w:left="36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2921" w:type="dxa"/>
            <w:vAlign w:val="top"/>
          </w:tcPr>
          <w:p w14:paraId="6A4F20B3">
            <w:pPr>
              <w:spacing w:line="274" w:lineRule="auto"/>
              <w:rPr>
                <w:rFonts w:ascii="Arial"/>
                <w:color w:val="auto"/>
                <w:sz w:val="21"/>
                <w:highlight w:val="none"/>
              </w:rPr>
            </w:pPr>
          </w:p>
          <w:p w14:paraId="6414C23F">
            <w:pPr>
              <w:pStyle w:val="11"/>
              <w:spacing w:before="69" w:line="221" w:lineRule="auto"/>
              <w:ind w:left="113"/>
              <w:rPr>
                <w:color w:val="auto"/>
                <w:highlight w:val="none"/>
              </w:rPr>
            </w:pPr>
            <w:r>
              <w:rPr>
                <w:color w:val="auto"/>
                <w:spacing w:val="-2"/>
                <w:highlight w:val="none"/>
              </w:rPr>
              <w:t>其他</w:t>
            </w:r>
          </w:p>
        </w:tc>
        <w:tc>
          <w:tcPr>
            <w:tcW w:w="1573" w:type="dxa"/>
            <w:vAlign w:val="top"/>
          </w:tcPr>
          <w:p w14:paraId="6872A9B6">
            <w:pPr>
              <w:rPr>
                <w:rFonts w:ascii="Arial"/>
                <w:color w:val="auto"/>
                <w:sz w:val="21"/>
                <w:highlight w:val="none"/>
              </w:rPr>
            </w:pPr>
          </w:p>
        </w:tc>
        <w:tc>
          <w:tcPr>
            <w:tcW w:w="1573" w:type="dxa"/>
            <w:vAlign w:val="top"/>
          </w:tcPr>
          <w:p w14:paraId="22C59656">
            <w:pPr>
              <w:rPr>
                <w:rFonts w:ascii="Arial"/>
                <w:color w:val="auto"/>
                <w:sz w:val="21"/>
                <w:highlight w:val="none"/>
              </w:rPr>
            </w:pPr>
          </w:p>
        </w:tc>
        <w:tc>
          <w:tcPr>
            <w:tcW w:w="1578" w:type="dxa"/>
            <w:tcBorders>
              <w:right w:val="single" w:color="000000" w:sz="4" w:space="0"/>
            </w:tcBorders>
            <w:vAlign w:val="top"/>
          </w:tcPr>
          <w:p w14:paraId="746ECBF0">
            <w:pPr>
              <w:rPr>
                <w:rFonts w:ascii="Arial"/>
                <w:color w:val="auto"/>
                <w:sz w:val="21"/>
                <w:highlight w:val="none"/>
              </w:rPr>
            </w:pPr>
          </w:p>
        </w:tc>
      </w:tr>
      <w:tr w14:paraId="56A69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61F6031">
            <w:pPr>
              <w:rPr>
                <w:rFonts w:ascii="Arial"/>
                <w:color w:val="auto"/>
                <w:sz w:val="21"/>
                <w:highlight w:val="none"/>
              </w:rPr>
            </w:pPr>
          </w:p>
        </w:tc>
        <w:tc>
          <w:tcPr>
            <w:tcW w:w="2921" w:type="dxa"/>
            <w:vAlign w:val="top"/>
          </w:tcPr>
          <w:p w14:paraId="74FF89E9">
            <w:pPr>
              <w:rPr>
                <w:rFonts w:ascii="Arial"/>
                <w:color w:val="auto"/>
                <w:sz w:val="21"/>
                <w:highlight w:val="none"/>
              </w:rPr>
            </w:pPr>
          </w:p>
        </w:tc>
        <w:tc>
          <w:tcPr>
            <w:tcW w:w="1573" w:type="dxa"/>
            <w:vAlign w:val="top"/>
          </w:tcPr>
          <w:p w14:paraId="5AB117C5">
            <w:pPr>
              <w:rPr>
                <w:rFonts w:ascii="Arial"/>
                <w:color w:val="auto"/>
                <w:sz w:val="21"/>
                <w:highlight w:val="none"/>
              </w:rPr>
            </w:pPr>
          </w:p>
        </w:tc>
        <w:tc>
          <w:tcPr>
            <w:tcW w:w="1573" w:type="dxa"/>
            <w:vAlign w:val="top"/>
          </w:tcPr>
          <w:p w14:paraId="28321965">
            <w:pPr>
              <w:rPr>
                <w:rFonts w:ascii="Arial"/>
                <w:color w:val="auto"/>
                <w:sz w:val="21"/>
                <w:highlight w:val="none"/>
              </w:rPr>
            </w:pPr>
          </w:p>
        </w:tc>
        <w:tc>
          <w:tcPr>
            <w:tcW w:w="1578" w:type="dxa"/>
            <w:tcBorders>
              <w:right w:val="single" w:color="000000" w:sz="4" w:space="0"/>
            </w:tcBorders>
            <w:vAlign w:val="top"/>
          </w:tcPr>
          <w:p w14:paraId="2D0CD1BB">
            <w:pPr>
              <w:rPr>
                <w:rFonts w:ascii="Arial"/>
                <w:color w:val="auto"/>
                <w:sz w:val="21"/>
                <w:highlight w:val="none"/>
              </w:rPr>
            </w:pPr>
          </w:p>
        </w:tc>
      </w:tr>
      <w:tr w14:paraId="62C8F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05BEDD8">
            <w:pPr>
              <w:rPr>
                <w:rFonts w:ascii="Arial"/>
                <w:color w:val="auto"/>
                <w:sz w:val="21"/>
                <w:highlight w:val="none"/>
              </w:rPr>
            </w:pPr>
          </w:p>
        </w:tc>
        <w:tc>
          <w:tcPr>
            <w:tcW w:w="2921" w:type="dxa"/>
            <w:vAlign w:val="top"/>
          </w:tcPr>
          <w:p w14:paraId="531BEA3D">
            <w:pPr>
              <w:rPr>
                <w:rFonts w:ascii="Arial"/>
                <w:color w:val="auto"/>
                <w:sz w:val="21"/>
                <w:highlight w:val="none"/>
              </w:rPr>
            </w:pPr>
          </w:p>
        </w:tc>
        <w:tc>
          <w:tcPr>
            <w:tcW w:w="1573" w:type="dxa"/>
            <w:vAlign w:val="top"/>
          </w:tcPr>
          <w:p w14:paraId="1263B4CD">
            <w:pPr>
              <w:rPr>
                <w:rFonts w:ascii="Arial"/>
                <w:color w:val="auto"/>
                <w:sz w:val="21"/>
                <w:highlight w:val="none"/>
              </w:rPr>
            </w:pPr>
          </w:p>
        </w:tc>
        <w:tc>
          <w:tcPr>
            <w:tcW w:w="1573" w:type="dxa"/>
            <w:vAlign w:val="top"/>
          </w:tcPr>
          <w:p w14:paraId="774BADEE">
            <w:pPr>
              <w:rPr>
                <w:rFonts w:ascii="Arial"/>
                <w:color w:val="auto"/>
                <w:sz w:val="21"/>
                <w:highlight w:val="none"/>
              </w:rPr>
            </w:pPr>
          </w:p>
        </w:tc>
        <w:tc>
          <w:tcPr>
            <w:tcW w:w="1578" w:type="dxa"/>
            <w:tcBorders>
              <w:right w:val="single" w:color="000000" w:sz="4" w:space="0"/>
            </w:tcBorders>
            <w:vAlign w:val="top"/>
          </w:tcPr>
          <w:p w14:paraId="577BE111">
            <w:pPr>
              <w:rPr>
                <w:rFonts w:ascii="Arial"/>
                <w:color w:val="auto"/>
                <w:sz w:val="21"/>
                <w:highlight w:val="none"/>
              </w:rPr>
            </w:pPr>
          </w:p>
        </w:tc>
      </w:tr>
      <w:tr w14:paraId="4A074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746" w:type="dxa"/>
            <w:gridSpan w:val="2"/>
            <w:tcBorders>
              <w:left w:val="single" w:color="000000" w:sz="4" w:space="0"/>
              <w:bottom w:val="single" w:color="000000" w:sz="4" w:space="0"/>
            </w:tcBorders>
            <w:vAlign w:val="top"/>
          </w:tcPr>
          <w:p w14:paraId="24A4A770">
            <w:pPr>
              <w:spacing w:line="276" w:lineRule="auto"/>
              <w:rPr>
                <w:rFonts w:ascii="Arial"/>
                <w:color w:val="auto"/>
                <w:sz w:val="21"/>
                <w:highlight w:val="none"/>
              </w:rPr>
            </w:pPr>
          </w:p>
          <w:p w14:paraId="1BC1BE54">
            <w:pPr>
              <w:pStyle w:val="11"/>
              <w:spacing w:before="68" w:line="222" w:lineRule="auto"/>
              <w:ind w:left="1670"/>
              <w:rPr>
                <w:color w:val="auto"/>
                <w:highlight w:val="none"/>
              </w:rPr>
            </w:pPr>
            <w:r>
              <w:rPr>
                <w:color w:val="auto"/>
                <w:spacing w:val="-2"/>
                <w:highlight w:val="none"/>
              </w:rPr>
              <w:t>合计</w:t>
            </w:r>
          </w:p>
        </w:tc>
        <w:tc>
          <w:tcPr>
            <w:tcW w:w="1573" w:type="dxa"/>
            <w:tcBorders>
              <w:bottom w:val="single" w:color="000000" w:sz="4" w:space="0"/>
            </w:tcBorders>
            <w:vAlign w:val="top"/>
          </w:tcPr>
          <w:p w14:paraId="49C79893">
            <w:pPr>
              <w:rPr>
                <w:rFonts w:ascii="Arial"/>
                <w:color w:val="auto"/>
                <w:sz w:val="21"/>
                <w:highlight w:val="none"/>
              </w:rPr>
            </w:pPr>
          </w:p>
        </w:tc>
        <w:tc>
          <w:tcPr>
            <w:tcW w:w="1573" w:type="dxa"/>
            <w:tcBorders>
              <w:bottom w:val="single" w:color="000000" w:sz="4" w:space="0"/>
            </w:tcBorders>
            <w:vAlign w:val="top"/>
          </w:tcPr>
          <w:p w14:paraId="3428035A">
            <w:pPr>
              <w:rPr>
                <w:rFonts w:ascii="Arial"/>
                <w:color w:val="auto"/>
                <w:sz w:val="21"/>
                <w:highlight w:val="none"/>
              </w:rPr>
            </w:pPr>
          </w:p>
        </w:tc>
        <w:tc>
          <w:tcPr>
            <w:tcW w:w="1578" w:type="dxa"/>
            <w:tcBorders>
              <w:bottom w:val="single" w:color="000000" w:sz="4" w:space="0"/>
              <w:right w:val="single" w:color="000000" w:sz="4" w:space="0"/>
            </w:tcBorders>
            <w:vAlign w:val="top"/>
          </w:tcPr>
          <w:p w14:paraId="73DA0CD3">
            <w:pPr>
              <w:spacing w:line="375" w:lineRule="auto"/>
              <w:rPr>
                <w:rFonts w:ascii="Arial"/>
                <w:color w:val="auto"/>
                <w:sz w:val="21"/>
                <w:highlight w:val="none"/>
              </w:rPr>
            </w:pPr>
          </w:p>
          <w:p w14:paraId="3BE12D5F">
            <w:pPr>
              <w:pStyle w:val="11"/>
              <w:spacing w:before="68" w:line="142" w:lineRule="exact"/>
              <w:ind w:left="684"/>
              <w:rPr>
                <w:color w:val="auto"/>
                <w:highlight w:val="none"/>
              </w:rPr>
            </w:pPr>
            <w:r>
              <w:rPr>
                <w:color w:val="auto"/>
                <w:position w:val="-3"/>
                <w:highlight w:val="none"/>
              </w:rPr>
              <w:t>—</w:t>
            </w:r>
          </w:p>
        </w:tc>
      </w:tr>
    </w:tbl>
    <w:p w14:paraId="44240C24">
      <w:pPr>
        <w:spacing w:before="145" w:line="219" w:lineRule="auto"/>
        <w:ind w:left="8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注：材料（工程设备）暂估单价进入清单项目综合单价，此处不汇总。</w:t>
      </w:r>
    </w:p>
    <w:p w14:paraId="68BDD11C">
      <w:pPr>
        <w:spacing w:line="219" w:lineRule="auto"/>
        <w:rPr>
          <w:rFonts w:ascii="宋体" w:hAnsi="宋体" w:eastAsia="宋体" w:cs="宋体"/>
          <w:color w:val="auto"/>
          <w:sz w:val="21"/>
          <w:szCs w:val="21"/>
          <w:highlight w:val="none"/>
        </w:rPr>
        <w:sectPr>
          <w:footerReference r:id="rId191" w:type="default"/>
          <w:pgSz w:w="11905" w:h="16839"/>
          <w:pgMar w:top="400" w:right="1709" w:bottom="1004" w:left="1714" w:header="0" w:footer="828" w:gutter="0"/>
          <w:pgNumType w:fmt="decimal"/>
          <w:cols w:space="720" w:num="1"/>
        </w:sectPr>
      </w:pPr>
    </w:p>
    <w:p w14:paraId="22909C5C">
      <w:pPr>
        <w:pStyle w:val="3"/>
        <w:spacing w:line="267" w:lineRule="auto"/>
        <w:rPr>
          <w:color w:val="auto"/>
          <w:highlight w:val="none"/>
        </w:rPr>
      </w:pPr>
    </w:p>
    <w:p w14:paraId="3C0B6DF8">
      <w:pPr>
        <w:pStyle w:val="3"/>
        <w:spacing w:line="268" w:lineRule="auto"/>
        <w:rPr>
          <w:color w:val="auto"/>
          <w:highlight w:val="none"/>
        </w:rPr>
      </w:pPr>
    </w:p>
    <w:p w14:paraId="67352B4B">
      <w:pPr>
        <w:pStyle w:val="3"/>
        <w:spacing w:line="268" w:lineRule="auto"/>
        <w:rPr>
          <w:color w:val="auto"/>
          <w:highlight w:val="none"/>
        </w:rPr>
      </w:pPr>
    </w:p>
    <w:p w14:paraId="2BE49F19">
      <w:pPr>
        <w:pStyle w:val="3"/>
        <w:spacing w:line="268" w:lineRule="auto"/>
        <w:rPr>
          <w:color w:val="auto"/>
          <w:highlight w:val="none"/>
        </w:rPr>
      </w:pPr>
    </w:p>
    <w:p w14:paraId="71F56E4F">
      <w:pPr>
        <w:spacing w:before="78" w:line="218" w:lineRule="auto"/>
        <w:ind w:left="9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4.12-</w:t>
      </w:r>
      <w:r>
        <w:rPr>
          <w:rFonts w:ascii="Times New Roman" w:hAnsi="Times New Roman" w:eastAsia="Times New Roman" w:cs="Times New Roman"/>
          <w:color w:val="auto"/>
          <w:spacing w:val="-28"/>
          <w:sz w:val="24"/>
          <w:szCs w:val="24"/>
          <w:highlight w:val="none"/>
        </w:rPr>
        <w:t xml:space="preserve"> </w:t>
      </w:r>
      <w:r>
        <w:rPr>
          <w:rFonts w:ascii="Times New Roman" w:hAnsi="Times New Roman" w:eastAsia="Times New Roman" w:cs="Times New Roman"/>
          <w:color w:val="auto"/>
          <w:spacing w:val="-3"/>
          <w:sz w:val="24"/>
          <w:szCs w:val="24"/>
          <w:highlight w:val="none"/>
        </w:rPr>
        <w:t xml:space="preserve">1 </w:t>
      </w:r>
      <w:r>
        <w:rPr>
          <w:rFonts w:ascii="黑体" w:hAnsi="黑体" w:eastAsia="黑体" w:cs="黑体"/>
          <w:color w:val="auto"/>
          <w:spacing w:val="-3"/>
          <w:sz w:val="24"/>
          <w:szCs w:val="24"/>
          <w:highlight w:val="none"/>
        </w:rPr>
        <w:t>暂列金额明细表</w:t>
      </w:r>
    </w:p>
    <w:p w14:paraId="5D0CC61D">
      <w:pPr>
        <w:spacing w:before="163" w:line="224" w:lineRule="auto"/>
        <w:ind w:left="3286"/>
        <w:rPr>
          <w:rFonts w:ascii="黑体" w:hAnsi="黑体" w:eastAsia="黑体" w:cs="黑体"/>
          <w:color w:val="auto"/>
          <w:sz w:val="27"/>
          <w:szCs w:val="27"/>
          <w:highlight w:val="none"/>
        </w:rPr>
      </w:pPr>
      <w:bookmarkStart w:id="1308" w:name="bookmark254"/>
      <w:bookmarkEnd w:id="1308"/>
      <w:r>
        <w:rPr>
          <w:rFonts w:ascii="黑体" w:hAnsi="黑体" w:eastAsia="黑体" w:cs="黑体"/>
          <w:color w:val="auto"/>
          <w:spacing w:val="6"/>
          <w:sz w:val="27"/>
          <w:szCs w:val="27"/>
          <w:highlight w:val="none"/>
        </w:rPr>
        <w:t>暂列金额明细表</w:t>
      </w:r>
    </w:p>
    <w:p w14:paraId="125E33D5">
      <w:pPr>
        <w:spacing w:before="144" w:line="214" w:lineRule="auto"/>
        <w:ind w:left="97"/>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工程名称：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8"/>
          <w:sz w:val="21"/>
          <w:szCs w:val="21"/>
          <w:highlight w:val="none"/>
        </w:rPr>
        <w:t>标段名称：</w:t>
      </w:r>
      <w:r>
        <w:rPr>
          <w:rFonts w:ascii="宋体" w:hAnsi="宋体" w:eastAsia="宋体" w:cs="宋体"/>
          <w:color w:val="auto"/>
          <w:spacing w:val="8"/>
          <w:sz w:val="21"/>
          <w:szCs w:val="21"/>
          <w:highlight w:val="none"/>
        </w:rPr>
        <w:t xml:space="preserve">        </w:t>
      </w:r>
      <w:r>
        <w:rPr>
          <w:rFonts w:ascii="宋体" w:hAnsi="宋体" w:eastAsia="宋体" w:cs="宋体"/>
          <w:color w:val="auto"/>
          <w:spacing w:val="-18"/>
          <w:sz w:val="21"/>
          <w:szCs w:val="21"/>
          <w:highlight w:val="none"/>
        </w:rPr>
        <w:t>第 页</w:t>
      </w:r>
      <w:r>
        <w:rPr>
          <w:rFonts w:ascii="宋体" w:hAnsi="宋体" w:eastAsia="宋体" w:cs="宋体"/>
          <w:color w:val="auto"/>
          <w:spacing w:val="9"/>
          <w:sz w:val="21"/>
          <w:szCs w:val="21"/>
          <w:highlight w:val="none"/>
        </w:rPr>
        <w:t xml:space="preserve"> </w:t>
      </w:r>
      <w:r>
        <w:rPr>
          <w:rFonts w:ascii="宋体" w:hAnsi="宋体" w:eastAsia="宋体" w:cs="宋体"/>
          <w:color w:val="auto"/>
          <w:spacing w:val="-18"/>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8"/>
          <w:sz w:val="21"/>
          <w:szCs w:val="21"/>
          <w:highlight w:val="none"/>
        </w:rPr>
        <w:t>页</w:t>
      </w:r>
    </w:p>
    <w:tbl>
      <w:tblPr>
        <w:tblStyle w:val="10"/>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14:paraId="6D999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14:paraId="78F7E161">
            <w:pPr>
              <w:spacing w:line="257" w:lineRule="auto"/>
              <w:rPr>
                <w:rFonts w:ascii="Arial"/>
                <w:color w:val="auto"/>
                <w:sz w:val="21"/>
                <w:highlight w:val="none"/>
              </w:rPr>
            </w:pPr>
          </w:p>
          <w:p w14:paraId="3383DC19">
            <w:pPr>
              <w:pStyle w:val="11"/>
              <w:spacing w:before="68" w:line="222" w:lineRule="auto"/>
              <w:ind w:left="209"/>
              <w:rPr>
                <w:color w:val="auto"/>
                <w:highlight w:val="none"/>
              </w:rPr>
            </w:pPr>
            <w:r>
              <w:rPr>
                <w:color w:val="auto"/>
                <w:spacing w:val="-2"/>
                <w:highlight w:val="none"/>
              </w:rPr>
              <w:t>序号</w:t>
            </w:r>
          </w:p>
        </w:tc>
        <w:tc>
          <w:tcPr>
            <w:tcW w:w="3069" w:type="dxa"/>
            <w:tcBorders>
              <w:top w:val="single" w:color="000000" w:sz="4" w:space="0"/>
            </w:tcBorders>
            <w:vAlign w:val="top"/>
          </w:tcPr>
          <w:p w14:paraId="2DE1766A">
            <w:pPr>
              <w:spacing w:line="257" w:lineRule="auto"/>
              <w:rPr>
                <w:rFonts w:ascii="Arial"/>
                <w:color w:val="auto"/>
                <w:sz w:val="21"/>
                <w:highlight w:val="none"/>
              </w:rPr>
            </w:pPr>
          </w:p>
          <w:p w14:paraId="103318FC">
            <w:pPr>
              <w:pStyle w:val="11"/>
              <w:spacing w:before="68" w:line="221" w:lineRule="auto"/>
              <w:ind w:left="1119"/>
              <w:rPr>
                <w:color w:val="auto"/>
                <w:highlight w:val="none"/>
              </w:rPr>
            </w:pPr>
            <w:r>
              <w:rPr>
                <w:color w:val="auto"/>
                <w:spacing w:val="-2"/>
                <w:highlight w:val="none"/>
              </w:rPr>
              <w:t>项目名称</w:t>
            </w:r>
          </w:p>
        </w:tc>
        <w:tc>
          <w:tcPr>
            <w:tcW w:w="1525" w:type="dxa"/>
            <w:tcBorders>
              <w:top w:val="single" w:color="000000" w:sz="4" w:space="0"/>
            </w:tcBorders>
            <w:vAlign w:val="top"/>
          </w:tcPr>
          <w:p w14:paraId="5B01A76A">
            <w:pPr>
              <w:spacing w:line="257" w:lineRule="auto"/>
              <w:rPr>
                <w:rFonts w:ascii="Arial"/>
                <w:color w:val="auto"/>
                <w:sz w:val="21"/>
                <w:highlight w:val="none"/>
              </w:rPr>
            </w:pPr>
          </w:p>
          <w:p w14:paraId="73052978">
            <w:pPr>
              <w:pStyle w:val="11"/>
              <w:spacing w:before="68" w:line="221" w:lineRule="auto"/>
              <w:ind w:left="351"/>
              <w:rPr>
                <w:color w:val="auto"/>
                <w:highlight w:val="none"/>
              </w:rPr>
            </w:pPr>
            <w:r>
              <w:rPr>
                <w:color w:val="auto"/>
                <w:spacing w:val="-1"/>
                <w:highlight w:val="none"/>
              </w:rPr>
              <w:t>计量单位</w:t>
            </w:r>
          </w:p>
        </w:tc>
        <w:tc>
          <w:tcPr>
            <w:tcW w:w="1525" w:type="dxa"/>
            <w:tcBorders>
              <w:top w:val="single" w:color="000000" w:sz="4" w:space="0"/>
            </w:tcBorders>
            <w:vAlign w:val="top"/>
          </w:tcPr>
          <w:p w14:paraId="21F25E71">
            <w:pPr>
              <w:pStyle w:val="11"/>
              <w:spacing w:before="187" w:line="241" w:lineRule="auto"/>
              <w:ind w:left="360"/>
              <w:rPr>
                <w:color w:val="auto"/>
                <w:highlight w:val="none"/>
              </w:rPr>
            </w:pPr>
            <w:r>
              <w:rPr>
                <w:color w:val="auto"/>
                <w:spacing w:val="-2"/>
                <w:highlight w:val="none"/>
              </w:rPr>
              <w:t>暂定金额</w:t>
            </w:r>
          </w:p>
          <w:p w14:paraId="54D5D2AE">
            <w:pPr>
              <w:pStyle w:val="11"/>
              <w:spacing w:line="221" w:lineRule="auto"/>
              <w:ind w:left="465"/>
              <w:rPr>
                <w:color w:val="auto"/>
                <w:highlight w:val="none"/>
              </w:rPr>
            </w:pPr>
            <w:r>
              <w:rPr>
                <w:color w:val="auto"/>
                <w:spacing w:val="-5"/>
                <w:highlight w:val="none"/>
              </w:rPr>
              <w:t>（元）</w:t>
            </w:r>
          </w:p>
        </w:tc>
        <w:tc>
          <w:tcPr>
            <w:tcW w:w="1530" w:type="dxa"/>
            <w:tcBorders>
              <w:top w:val="single" w:color="000000" w:sz="4" w:space="0"/>
              <w:right w:val="single" w:color="000000" w:sz="4" w:space="0"/>
            </w:tcBorders>
            <w:vAlign w:val="top"/>
          </w:tcPr>
          <w:p w14:paraId="3E80DF43">
            <w:pPr>
              <w:spacing w:line="257" w:lineRule="auto"/>
              <w:rPr>
                <w:rFonts w:ascii="Arial"/>
                <w:color w:val="auto"/>
                <w:sz w:val="21"/>
                <w:highlight w:val="none"/>
              </w:rPr>
            </w:pPr>
          </w:p>
          <w:p w14:paraId="5E4084D1">
            <w:pPr>
              <w:pStyle w:val="11"/>
              <w:spacing w:before="68" w:line="222" w:lineRule="auto"/>
              <w:ind w:left="569"/>
              <w:rPr>
                <w:color w:val="auto"/>
                <w:highlight w:val="none"/>
              </w:rPr>
            </w:pPr>
            <w:r>
              <w:rPr>
                <w:color w:val="auto"/>
                <w:spacing w:val="-3"/>
                <w:highlight w:val="none"/>
              </w:rPr>
              <w:t>备注</w:t>
            </w:r>
          </w:p>
        </w:tc>
      </w:tr>
      <w:tr w14:paraId="1879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298BA23A">
            <w:pPr>
              <w:rPr>
                <w:rFonts w:ascii="Arial"/>
                <w:color w:val="auto"/>
                <w:sz w:val="21"/>
                <w:highlight w:val="none"/>
              </w:rPr>
            </w:pPr>
          </w:p>
        </w:tc>
        <w:tc>
          <w:tcPr>
            <w:tcW w:w="3069" w:type="dxa"/>
            <w:vAlign w:val="top"/>
          </w:tcPr>
          <w:p w14:paraId="3B0433D3">
            <w:pPr>
              <w:rPr>
                <w:rFonts w:ascii="Arial"/>
                <w:color w:val="auto"/>
                <w:sz w:val="21"/>
                <w:highlight w:val="none"/>
              </w:rPr>
            </w:pPr>
          </w:p>
        </w:tc>
        <w:tc>
          <w:tcPr>
            <w:tcW w:w="1525" w:type="dxa"/>
            <w:vAlign w:val="top"/>
          </w:tcPr>
          <w:p w14:paraId="4C2C0555">
            <w:pPr>
              <w:rPr>
                <w:rFonts w:ascii="Arial"/>
                <w:color w:val="auto"/>
                <w:sz w:val="21"/>
                <w:highlight w:val="none"/>
              </w:rPr>
            </w:pPr>
          </w:p>
        </w:tc>
        <w:tc>
          <w:tcPr>
            <w:tcW w:w="1525" w:type="dxa"/>
            <w:vAlign w:val="top"/>
          </w:tcPr>
          <w:p w14:paraId="4ED9647B">
            <w:pPr>
              <w:rPr>
                <w:rFonts w:ascii="Arial"/>
                <w:color w:val="auto"/>
                <w:sz w:val="21"/>
                <w:highlight w:val="none"/>
              </w:rPr>
            </w:pPr>
          </w:p>
        </w:tc>
        <w:tc>
          <w:tcPr>
            <w:tcW w:w="1530" w:type="dxa"/>
            <w:tcBorders>
              <w:right w:val="single" w:color="000000" w:sz="4" w:space="0"/>
            </w:tcBorders>
            <w:vAlign w:val="top"/>
          </w:tcPr>
          <w:p w14:paraId="52FBBE7C">
            <w:pPr>
              <w:rPr>
                <w:rFonts w:ascii="Arial"/>
                <w:color w:val="auto"/>
                <w:sz w:val="21"/>
                <w:highlight w:val="none"/>
              </w:rPr>
            </w:pPr>
          </w:p>
        </w:tc>
      </w:tr>
      <w:tr w14:paraId="471D0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14:paraId="32C70E52">
            <w:pPr>
              <w:rPr>
                <w:rFonts w:ascii="Arial"/>
                <w:color w:val="auto"/>
                <w:sz w:val="21"/>
                <w:highlight w:val="none"/>
              </w:rPr>
            </w:pPr>
          </w:p>
        </w:tc>
        <w:tc>
          <w:tcPr>
            <w:tcW w:w="3069" w:type="dxa"/>
            <w:vAlign w:val="top"/>
          </w:tcPr>
          <w:p w14:paraId="5D1ACFCB">
            <w:pPr>
              <w:rPr>
                <w:rFonts w:ascii="Arial"/>
                <w:color w:val="auto"/>
                <w:sz w:val="21"/>
                <w:highlight w:val="none"/>
              </w:rPr>
            </w:pPr>
          </w:p>
        </w:tc>
        <w:tc>
          <w:tcPr>
            <w:tcW w:w="1525" w:type="dxa"/>
            <w:vAlign w:val="top"/>
          </w:tcPr>
          <w:p w14:paraId="1D7542B4">
            <w:pPr>
              <w:rPr>
                <w:rFonts w:ascii="Arial"/>
                <w:color w:val="auto"/>
                <w:sz w:val="21"/>
                <w:highlight w:val="none"/>
              </w:rPr>
            </w:pPr>
          </w:p>
        </w:tc>
        <w:tc>
          <w:tcPr>
            <w:tcW w:w="1525" w:type="dxa"/>
            <w:vAlign w:val="top"/>
          </w:tcPr>
          <w:p w14:paraId="5BA3CDB0">
            <w:pPr>
              <w:rPr>
                <w:rFonts w:ascii="Arial"/>
                <w:color w:val="auto"/>
                <w:sz w:val="21"/>
                <w:highlight w:val="none"/>
              </w:rPr>
            </w:pPr>
          </w:p>
        </w:tc>
        <w:tc>
          <w:tcPr>
            <w:tcW w:w="1530" w:type="dxa"/>
            <w:tcBorders>
              <w:right w:val="single" w:color="000000" w:sz="4" w:space="0"/>
            </w:tcBorders>
            <w:vAlign w:val="top"/>
          </w:tcPr>
          <w:p w14:paraId="4785CC7F">
            <w:pPr>
              <w:rPr>
                <w:rFonts w:ascii="Arial"/>
                <w:color w:val="auto"/>
                <w:sz w:val="21"/>
                <w:highlight w:val="none"/>
              </w:rPr>
            </w:pPr>
          </w:p>
        </w:tc>
      </w:tr>
      <w:tr w14:paraId="542F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14:paraId="766AEC77">
            <w:pPr>
              <w:rPr>
                <w:rFonts w:ascii="Arial"/>
                <w:color w:val="auto"/>
                <w:sz w:val="21"/>
                <w:highlight w:val="none"/>
              </w:rPr>
            </w:pPr>
          </w:p>
        </w:tc>
        <w:tc>
          <w:tcPr>
            <w:tcW w:w="3069" w:type="dxa"/>
            <w:vAlign w:val="top"/>
          </w:tcPr>
          <w:p w14:paraId="1D84A419">
            <w:pPr>
              <w:rPr>
                <w:rFonts w:ascii="Arial"/>
                <w:color w:val="auto"/>
                <w:sz w:val="21"/>
                <w:highlight w:val="none"/>
              </w:rPr>
            </w:pPr>
          </w:p>
        </w:tc>
        <w:tc>
          <w:tcPr>
            <w:tcW w:w="1525" w:type="dxa"/>
            <w:vAlign w:val="top"/>
          </w:tcPr>
          <w:p w14:paraId="5EB9CCD1">
            <w:pPr>
              <w:rPr>
                <w:rFonts w:ascii="Arial"/>
                <w:color w:val="auto"/>
                <w:sz w:val="21"/>
                <w:highlight w:val="none"/>
              </w:rPr>
            </w:pPr>
          </w:p>
        </w:tc>
        <w:tc>
          <w:tcPr>
            <w:tcW w:w="1525" w:type="dxa"/>
            <w:vAlign w:val="top"/>
          </w:tcPr>
          <w:p w14:paraId="6F210ECB">
            <w:pPr>
              <w:rPr>
                <w:rFonts w:ascii="Arial"/>
                <w:color w:val="auto"/>
                <w:sz w:val="21"/>
                <w:highlight w:val="none"/>
              </w:rPr>
            </w:pPr>
          </w:p>
        </w:tc>
        <w:tc>
          <w:tcPr>
            <w:tcW w:w="1530" w:type="dxa"/>
            <w:tcBorders>
              <w:right w:val="single" w:color="000000" w:sz="4" w:space="0"/>
            </w:tcBorders>
            <w:vAlign w:val="top"/>
          </w:tcPr>
          <w:p w14:paraId="16295A9F">
            <w:pPr>
              <w:rPr>
                <w:rFonts w:ascii="Arial"/>
                <w:color w:val="auto"/>
                <w:sz w:val="21"/>
                <w:highlight w:val="none"/>
              </w:rPr>
            </w:pPr>
          </w:p>
        </w:tc>
      </w:tr>
      <w:tr w14:paraId="21BE6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45FAC45D">
            <w:pPr>
              <w:rPr>
                <w:rFonts w:ascii="Arial"/>
                <w:color w:val="auto"/>
                <w:sz w:val="21"/>
                <w:highlight w:val="none"/>
              </w:rPr>
            </w:pPr>
          </w:p>
        </w:tc>
        <w:tc>
          <w:tcPr>
            <w:tcW w:w="3069" w:type="dxa"/>
            <w:vAlign w:val="top"/>
          </w:tcPr>
          <w:p w14:paraId="30FD2DB5">
            <w:pPr>
              <w:rPr>
                <w:rFonts w:ascii="Arial"/>
                <w:color w:val="auto"/>
                <w:sz w:val="21"/>
                <w:highlight w:val="none"/>
              </w:rPr>
            </w:pPr>
          </w:p>
        </w:tc>
        <w:tc>
          <w:tcPr>
            <w:tcW w:w="1525" w:type="dxa"/>
            <w:vAlign w:val="top"/>
          </w:tcPr>
          <w:p w14:paraId="6848E289">
            <w:pPr>
              <w:rPr>
                <w:rFonts w:ascii="Arial"/>
                <w:color w:val="auto"/>
                <w:sz w:val="21"/>
                <w:highlight w:val="none"/>
              </w:rPr>
            </w:pPr>
          </w:p>
        </w:tc>
        <w:tc>
          <w:tcPr>
            <w:tcW w:w="1525" w:type="dxa"/>
            <w:vAlign w:val="top"/>
          </w:tcPr>
          <w:p w14:paraId="2AB76C75">
            <w:pPr>
              <w:rPr>
                <w:rFonts w:ascii="Arial"/>
                <w:color w:val="auto"/>
                <w:sz w:val="21"/>
                <w:highlight w:val="none"/>
              </w:rPr>
            </w:pPr>
          </w:p>
        </w:tc>
        <w:tc>
          <w:tcPr>
            <w:tcW w:w="1530" w:type="dxa"/>
            <w:tcBorders>
              <w:right w:val="single" w:color="000000" w:sz="4" w:space="0"/>
            </w:tcBorders>
            <w:vAlign w:val="top"/>
          </w:tcPr>
          <w:p w14:paraId="74655F87">
            <w:pPr>
              <w:rPr>
                <w:rFonts w:ascii="Arial"/>
                <w:color w:val="auto"/>
                <w:sz w:val="21"/>
                <w:highlight w:val="none"/>
              </w:rPr>
            </w:pPr>
          </w:p>
        </w:tc>
      </w:tr>
      <w:tr w14:paraId="64856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5B8CA2C7">
            <w:pPr>
              <w:rPr>
                <w:rFonts w:ascii="Arial"/>
                <w:color w:val="auto"/>
                <w:sz w:val="21"/>
                <w:highlight w:val="none"/>
              </w:rPr>
            </w:pPr>
          </w:p>
        </w:tc>
        <w:tc>
          <w:tcPr>
            <w:tcW w:w="3069" w:type="dxa"/>
            <w:vAlign w:val="top"/>
          </w:tcPr>
          <w:p w14:paraId="107C5659">
            <w:pPr>
              <w:rPr>
                <w:rFonts w:ascii="Arial"/>
                <w:color w:val="auto"/>
                <w:sz w:val="21"/>
                <w:highlight w:val="none"/>
              </w:rPr>
            </w:pPr>
          </w:p>
        </w:tc>
        <w:tc>
          <w:tcPr>
            <w:tcW w:w="1525" w:type="dxa"/>
            <w:vAlign w:val="top"/>
          </w:tcPr>
          <w:p w14:paraId="49459B45">
            <w:pPr>
              <w:rPr>
                <w:rFonts w:ascii="Arial"/>
                <w:color w:val="auto"/>
                <w:sz w:val="21"/>
                <w:highlight w:val="none"/>
              </w:rPr>
            </w:pPr>
          </w:p>
        </w:tc>
        <w:tc>
          <w:tcPr>
            <w:tcW w:w="1525" w:type="dxa"/>
            <w:vAlign w:val="top"/>
          </w:tcPr>
          <w:p w14:paraId="2469621B">
            <w:pPr>
              <w:rPr>
                <w:rFonts w:ascii="Arial"/>
                <w:color w:val="auto"/>
                <w:sz w:val="21"/>
                <w:highlight w:val="none"/>
              </w:rPr>
            </w:pPr>
          </w:p>
        </w:tc>
        <w:tc>
          <w:tcPr>
            <w:tcW w:w="1530" w:type="dxa"/>
            <w:tcBorders>
              <w:right w:val="single" w:color="000000" w:sz="4" w:space="0"/>
            </w:tcBorders>
            <w:vAlign w:val="top"/>
          </w:tcPr>
          <w:p w14:paraId="49567F17">
            <w:pPr>
              <w:rPr>
                <w:rFonts w:ascii="Arial"/>
                <w:color w:val="auto"/>
                <w:sz w:val="21"/>
                <w:highlight w:val="none"/>
              </w:rPr>
            </w:pPr>
          </w:p>
        </w:tc>
      </w:tr>
      <w:tr w14:paraId="163A4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2FFA4480">
            <w:pPr>
              <w:rPr>
                <w:rFonts w:ascii="Arial"/>
                <w:color w:val="auto"/>
                <w:sz w:val="21"/>
                <w:highlight w:val="none"/>
              </w:rPr>
            </w:pPr>
          </w:p>
        </w:tc>
        <w:tc>
          <w:tcPr>
            <w:tcW w:w="3069" w:type="dxa"/>
            <w:vAlign w:val="top"/>
          </w:tcPr>
          <w:p w14:paraId="2AE05235">
            <w:pPr>
              <w:rPr>
                <w:rFonts w:ascii="Arial"/>
                <w:color w:val="auto"/>
                <w:sz w:val="21"/>
                <w:highlight w:val="none"/>
              </w:rPr>
            </w:pPr>
          </w:p>
        </w:tc>
        <w:tc>
          <w:tcPr>
            <w:tcW w:w="1525" w:type="dxa"/>
            <w:vAlign w:val="top"/>
          </w:tcPr>
          <w:p w14:paraId="005B7BB0">
            <w:pPr>
              <w:rPr>
                <w:rFonts w:ascii="Arial"/>
                <w:color w:val="auto"/>
                <w:sz w:val="21"/>
                <w:highlight w:val="none"/>
              </w:rPr>
            </w:pPr>
          </w:p>
        </w:tc>
        <w:tc>
          <w:tcPr>
            <w:tcW w:w="1525" w:type="dxa"/>
            <w:vAlign w:val="top"/>
          </w:tcPr>
          <w:p w14:paraId="11FEC43F">
            <w:pPr>
              <w:rPr>
                <w:rFonts w:ascii="Arial"/>
                <w:color w:val="auto"/>
                <w:sz w:val="21"/>
                <w:highlight w:val="none"/>
              </w:rPr>
            </w:pPr>
          </w:p>
        </w:tc>
        <w:tc>
          <w:tcPr>
            <w:tcW w:w="1530" w:type="dxa"/>
            <w:tcBorders>
              <w:right w:val="single" w:color="000000" w:sz="4" w:space="0"/>
            </w:tcBorders>
            <w:vAlign w:val="top"/>
          </w:tcPr>
          <w:p w14:paraId="5948E234">
            <w:pPr>
              <w:rPr>
                <w:rFonts w:ascii="Arial"/>
                <w:color w:val="auto"/>
                <w:sz w:val="21"/>
                <w:highlight w:val="none"/>
              </w:rPr>
            </w:pPr>
          </w:p>
        </w:tc>
      </w:tr>
      <w:tr w14:paraId="2C95C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51551191">
            <w:pPr>
              <w:rPr>
                <w:rFonts w:ascii="Arial"/>
                <w:color w:val="auto"/>
                <w:sz w:val="21"/>
                <w:highlight w:val="none"/>
              </w:rPr>
            </w:pPr>
          </w:p>
        </w:tc>
        <w:tc>
          <w:tcPr>
            <w:tcW w:w="3069" w:type="dxa"/>
            <w:vAlign w:val="top"/>
          </w:tcPr>
          <w:p w14:paraId="463F4A83">
            <w:pPr>
              <w:rPr>
                <w:rFonts w:ascii="Arial"/>
                <w:color w:val="auto"/>
                <w:sz w:val="21"/>
                <w:highlight w:val="none"/>
              </w:rPr>
            </w:pPr>
          </w:p>
        </w:tc>
        <w:tc>
          <w:tcPr>
            <w:tcW w:w="1525" w:type="dxa"/>
            <w:vAlign w:val="top"/>
          </w:tcPr>
          <w:p w14:paraId="54BAE241">
            <w:pPr>
              <w:rPr>
                <w:rFonts w:ascii="Arial"/>
                <w:color w:val="auto"/>
                <w:sz w:val="21"/>
                <w:highlight w:val="none"/>
              </w:rPr>
            </w:pPr>
          </w:p>
        </w:tc>
        <w:tc>
          <w:tcPr>
            <w:tcW w:w="1525" w:type="dxa"/>
            <w:vAlign w:val="top"/>
          </w:tcPr>
          <w:p w14:paraId="56F566F9">
            <w:pPr>
              <w:rPr>
                <w:rFonts w:ascii="Arial"/>
                <w:color w:val="auto"/>
                <w:sz w:val="21"/>
                <w:highlight w:val="none"/>
              </w:rPr>
            </w:pPr>
          </w:p>
        </w:tc>
        <w:tc>
          <w:tcPr>
            <w:tcW w:w="1530" w:type="dxa"/>
            <w:tcBorders>
              <w:right w:val="single" w:color="000000" w:sz="4" w:space="0"/>
            </w:tcBorders>
            <w:vAlign w:val="top"/>
          </w:tcPr>
          <w:p w14:paraId="32F87CCE">
            <w:pPr>
              <w:rPr>
                <w:rFonts w:ascii="Arial"/>
                <w:color w:val="auto"/>
                <w:sz w:val="21"/>
                <w:highlight w:val="none"/>
              </w:rPr>
            </w:pPr>
          </w:p>
        </w:tc>
      </w:tr>
      <w:tr w14:paraId="29D43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31E6E9BC">
            <w:pPr>
              <w:rPr>
                <w:rFonts w:ascii="Arial"/>
                <w:color w:val="auto"/>
                <w:sz w:val="21"/>
                <w:highlight w:val="none"/>
              </w:rPr>
            </w:pPr>
          </w:p>
        </w:tc>
        <w:tc>
          <w:tcPr>
            <w:tcW w:w="3069" w:type="dxa"/>
            <w:vAlign w:val="top"/>
          </w:tcPr>
          <w:p w14:paraId="2AD8B055">
            <w:pPr>
              <w:rPr>
                <w:rFonts w:ascii="Arial"/>
                <w:color w:val="auto"/>
                <w:sz w:val="21"/>
                <w:highlight w:val="none"/>
              </w:rPr>
            </w:pPr>
          </w:p>
        </w:tc>
        <w:tc>
          <w:tcPr>
            <w:tcW w:w="1525" w:type="dxa"/>
            <w:vAlign w:val="top"/>
          </w:tcPr>
          <w:p w14:paraId="35B79EDF">
            <w:pPr>
              <w:rPr>
                <w:rFonts w:ascii="Arial"/>
                <w:color w:val="auto"/>
                <w:sz w:val="21"/>
                <w:highlight w:val="none"/>
              </w:rPr>
            </w:pPr>
          </w:p>
        </w:tc>
        <w:tc>
          <w:tcPr>
            <w:tcW w:w="1525" w:type="dxa"/>
            <w:vAlign w:val="top"/>
          </w:tcPr>
          <w:p w14:paraId="42EA95E0">
            <w:pPr>
              <w:rPr>
                <w:rFonts w:ascii="Arial"/>
                <w:color w:val="auto"/>
                <w:sz w:val="21"/>
                <w:highlight w:val="none"/>
              </w:rPr>
            </w:pPr>
          </w:p>
        </w:tc>
        <w:tc>
          <w:tcPr>
            <w:tcW w:w="1530" w:type="dxa"/>
            <w:tcBorders>
              <w:right w:val="single" w:color="000000" w:sz="4" w:space="0"/>
            </w:tcBorders>
            <w:vAlign w:val="top"/>
          </w:tcPr>
          <w:p w14:paraId="6AA9B886">
            <w:pPr>
              <w:rPr>
                <w:rFonts w:ascii="Arial"/>
                <w:color w:val="auto"/>
                <w:sz w:val="21"/>
                <w:highlight w:val="none"/>
              </w:rPr>
            </w:pPr>
          </w:p>
        </w:tc>
      </w:tr>
      <w:tr w14:paraId="1D3E5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04FBB917">
            <w:pPr>
              <w:rPr>
                <w:rFonts w:ascii="Arial"/>
                <w:color w:val="auto"/>
                <w:sz w:val="21"/>
                <w:highlight w:val="none"/>
              </w:rPr>
            </w:pPr>
          </w:p>
        </w:tc>
        <w:tc>
          <w:tcPr>
            <w:tcW w:w="3069" w:type="dxa"/>
            <w:vAlign w:val="top"/>
          </w:tcPr>
          <w:p w14:paraId="73C7659C">
            <w:pPr>
              <w:rPr>
                <w:rFonts w:ascii="Arial"/>
                <w:color w:val="auto"/>
                <w:sz w:val="21"/>
                <w:highlight w:val="none"/>
              </w:rPr>
            </w:pPr>
          </w:p>
        </w:tc>
        <w:tc>
          <w:tcPr>
            <w:tcW w:w="1525" w:type="dxa"/>
            <w:vAlign w:val="top"/>
          </w:tcPr>
          <w:p w14:paraId="5015CA04">
            <w:pPr>
              <w:rPr>
                <w:rFonts w:ascii="Arial"/>
                <w:color w:val="auto"/>
                <w:sz w:val="21"/>
                <w:highlight w:val="none"/>
              </w:rPr>
            </w:pPr>
          </w:p>
        </w:tc>
        <w:tc>
          <w:tcPr>
            <w:tcW w:w="1525" w:type="dxa"/>
            <w:vAlign w:val="top"/>
          </w:tcPr>
          <w:p w14:paraId="36FD05D6">
            <w:pPr>
              <w:rPr>
                <w:rFonts w:ascii="Arial"/>
                <w:color w:val="auto"/>
                <w:sz w:val="21"/>
                <w:highlight w:val="none"/>
              </w:rPr>
            </w:pPr>
          </w:p>
        </w:tc>
        <w:tc>
          <w:tcPr>
            <w:tcW w:w="1530" w:type="dxa"/>
            <w:tcBorders>
              <w:right w:val="single" w:color="000000" w:sz="4" w:space="0"/>
            </w:tcBorders>
            <w:vAlign w:val="top"/>
          </w:tcPr>
          <w:p w14:paraId="602BCAF5">
            <w:pPr>
              <w:rPr>
                <w:rFonts w:ascii="Arial"/>
                <w:color w:val="auto"/>
                <w:sz w:val="21"/>
                <w:highlight w:val="none"/>
              </w:rPr>
            </w:pPr>
          </w:p>
        </w:tc>
      </w:tr>
      <w:tr w14:paraId="49DBD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5D61A290">
            <w:pPr>
              <w:rPr>
                <w:rFonts w:ascii="Arial"/>
                <w:color w:val="auto"/>
                <w:sz w:val="21"/>
                <w:highlight w:val="none"/>
              </w:rPr>
            </w:pPr>
          </w:p>
        </w:tc>
        <w:tc>
          <w:tcPr>
            <w:tcW w:w="3069" w:type="dxa"/>
            <w:vAlign w:val="top"/>
          </w:tcPr>
          <w:p w14:paraId="30D7CB0D">
            <w:pPr>
              <w:rPr>
                <w:rFonts w:ascii="Arial"/>
                <w:color w:val="auto"/>
                <w:sz w:val="21"/>
                <w:highlight w:val="none"/>
              </w:rPr>
            </w:pPr>
          </w:p>
        </w:tc>
        <w:tc>
          <w:tcPr>
            <w:tcW w:w="1525" w:type="dxa"/>
            <w:vAlign w:val="top"/>
          </w:tcPr>
          <w:p w14:paraId="0E0F64D9">
            <w:pPr>
              <w:rPr>
                <w:rFonts w:ascii="Arial"/>
                <w:color w:val="auto"/>
                <w:sz w:val="21"/>
                <w:highlight w:val="none"/>
              </w:rPr>
            </w:pPr>
          </w:p>
        </w:tc>
        <w:tc>
          <w:tcPr>
            <w:tcW w:w="1525" w:type="dxa"/>
            <w:vAlign w:val="top"/>
          </w:tcPr>
          <w:p w14:paraId="2CE93615">
            <w:pPr>
              <w:rPr>
                <w:rFonts w:ascii="Arial"/>
                <w:color w:val="auto"/>
                <w:sz w:val="21"/>
                <w:highlight w:val="none"/>
              </w:rPr>
            </w:pPr>
          </w:p>
        </w:tc>
        <w:tc>
          <w:tcPr>
            <w:tcW w:w="1530" w:type="dxa"/>
            <w:tcBorders>
              <w:right w:val="single" w:color="000000" w:sz="4" w:space="0"/>
            </w:tcBorders>
            <w:vAlign w:val="top"/>
          </w:tcPr>
          <w:p w14:paraId="7F6D014B">
            <w:pPr>
              <w:rPr>
                <w:rFonts w:ascii="Arial"/>
                <w:color w:val="auto"/>
                <w:sz w:val="21"/>
                <w:highlight w:val="none"/>
              </w:rPr>
            </w:pPr>
          </w:p>
        </w:tc>
      </w:tr>
      <w:tr w14:paraId="54F25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7" w:hRule="atLeast"/>
        </w:trPr>
        <w:tc>
          <w:tcPr>
            <w:tcW w:w="5419" w:type="dxa"/>
            <w:gridSpan w:val="3"/>
            <w:tcBorders>
              <w:left w:val="single" w:color="000000" w:sz="4" w:space="0"/>
              <w:bottom w:val="single" w:color="000000" w:sz="4" w:space="0"/>
            </w:tcBorders>
            <w:vAlign w:val="top"/>
          </w:tcPr>
          <w:p w14:paraId="68C63DD1">
            <w:pPr>
              <w:spacing w:line="261" w:lineRule="auto"/>
              <w:rPr>
                <w:rFonts w:ascii="Arial"/>
                <w:color w:val="auto"/>
                <w:sz w:val="21"/>
                <w:highlight w:val="none"/>
              </w:rPr>
            </w:pPr>
          </w:p>
          <w:p w14:paraId="74204A83">
            <w:pPr>
              <w:pStyle w:val="11"/>
              <w:spacing w:before="68" w:line="222" w:lineRule="auto"/>
              <w:ind w:left="2510"/>
              <w:rPr>
                <w:color w:val="auto"/>
                <w:highlight w:val="none"/>
              </w:rPr>
            </w:pPr>
            <w:r>
              <w:rPr>
                <w:color w:val="auto"/>
                <w:spacing w:val="-2"/>
                <w:highlight w:val="none"/>
              </w:rPr>
              <w:t>合计</w:t>
            </w:r>
          </w:p>
        </w:tc>
        <w:tc>
          <w:tcPr>
            <w:tcW w:w="1525" w:type="dxa"/>
            <w:tcBorders>
              <w:bottom w:val="single" w:color="000000" w:sz="4" w:space="0"/>
            </w:tcBorders>
            <w:vAlign w:val="top"/>
          </w:tcPr>
          <w:p w14:paraId="3526DB54">
            <w:pPr>
              <w:rPr>
                <w:rFonts w:ascii="Arial"/>
                <w:color w:val="auto"/>
                <w:sz w:val="21"/>
                <w:highlight w:val="none"/>
              </w:rPr>
            </w:pPr>
          </w:p>
        </w:tc>
        <w:tc>
          <w:tcPr>
            <w:tcW w:w="1530" w:type="dxa"/>
            <w:tcBorders>
              <w:bottom w:val="single" w:color="000000" w:sz="4" w:space="0"/>
              <w:right w:val="single" w:color="000000" w:sz="4" w:space="0"/>
            </w:tcBorders>
            <w:vAlign w:val="top"/>
          </w:tcPr>
          <w:p w14:paraId="34E2E70A">
            <w:pPr>
              <w:spacing w:line="360" w:lineRule="auto"/>
              <w:rPr>
                <w:rFonts w:ascii="Arial"/>
                <w:color w:val="auto"/>
                <w:sz w:val="21"/>
                <w:highlight w:val="none"/>
              </w:rPr>
            </w:pPr>
          </w:p>
          <w:p w14:paraId="64F24B40">
            <w:pPr>
              <w:pStyle w:val="11"/>
              <w:spacing w:before="68" w:line="142" w:lineRule="exact"/>
              <w:ind w:left="666"/>
              <w:rPr>
                <w:color w:val="auto"/>
                <w:highlight w:val="none"/>
              </w:rPr>
            </w:pPr>
            <w:r>
              <w:rPr>
                <w:color w:val="auto"/>
                <w:position w:val="-3"/>
                <w:highlight w:val="none"/>
              </w:rPr>
              <w:t>—</w:t>
            </w:r>
          </w:p>
        </w:tc>
      </w:tr>
    </w:tbl>
    <w:p w14:paraId="41F4A960">
      <w:pPr>
        <w:spacing w:before="149" w:line="228" w:lineRule="auto"/>
        <w:ind w:left="516" w:right="87" w:hanging="422"/>
        <w:rPr>
          <w:rFonts w:ascii="宋体" w:hAnsi="宋体" w:eastAsia="宋体" w:cs="宋体"/>
          <w:color w:val="auto"/>
          <w:sz w:val="21"/>
          <w:szCs w:val="21"/>
          <w:highlight w:val="none"/>
        </w:rPr>
      </w:pPr>
      <w:r>
        <w:rPr>
          <w:rFonts w:ascii="宋体" w:hAnsi="宋体" w:eastAsia="宋体" w:cs="宋体"/>
          <w:color w:val="auto"/>
          <w:sz w:val="21"/>
          <w:szCs w:val="21"/>
          <w:highlight w:val="none"/>
        </w:rPr>
        <w:t>注：此表由招标人填写，如不能详列明细，也可只列暂列金总额， 投标人应将上述暂列金</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额计入投标总价中。</w:t>
      </w:r>
    </w:p>
    <w:p w14:paraId="265EBE11">
      <w:pPr>
        <w:spacing w:line="228" w:lineRule="auto"/>
        <w:rPr>
          <w:rFonts w:ascii="宋体" w:hAnsi="宋体" w:eastAsia="宋体" w:cs="宋体"/>
          <w:color w:val="auto"/>
          <w:sz w:val="21"/>
          <w:szCs w:val="21"/>
          <w:highlight w:val="none"/>
        </w:rPr>
        <w:sectPr>
          <w:footerReference r:id="rId192" w:type="default"/>
          <w:pgSz w:w="11905" w:h="16839"/>
          <w:pgMar w:top="400" w:right="1709" w:bottom="1004" w:left="1709" w:header="0" w:footer="828" w:gutter="0"/>
          <w:pgNumType w:fmt="decimal"/>
          <w:cols w:space="720" w:num="1"/>
        </w:sectPr>
      </w:pPr>
    </w:p>
    <w:p w14:paraId="3CEA3EC1">
      <w:pPr>
        <w:pStyle w:val="3"/>
        <w:spacing w:line="267" w:lineRule="auto"/>
        <w:rPr>
          <w:color w:val="auto"/>
          <w:highlight w:val="none"/>
        </w:rPr>
      </w:pPr>
    </w:p>
    <w:p w14:paraId="2FCF9EFD">
      <w:pPr>
        <w:pStyle w:val="3"/>
        <w:spacing w:line="267" w:lineRule="auto"/>
        <w:rPr>
          <w:color w:val="auto"/>
          <w:highlight w:val="none"/>
        </w:rPr>
      </w:pPr>
    </w:p>
    <w:p w14:paraId="73345924">
      <w:pPr>
        <w:pStyle w:val="3"/>
        <w:spacing w:line="268" w:lineRule="auto"/>
        <w:rPr>
          <w:color w:val="auto"/>
          <w:highlight w:val="none"/>
        </w:rPr>
      </w:pPr>
    </w:p>
    <w:p w14:paraId="5A0ED8EF">
      <w:pPr>
        <w:pStyle w:val="3"/>
        <w:spacing w:line="268" w:lineRule="auto"/>
        <w:rPr>
          <w:color w:val="auto"/>
          <w:highlight w:val="none"/>
        </w:rPr>
      </w:pPr>
    </w:p>
    <w:p w14:paraId="7DA4785F">
      <w:pPr>
        <w:spacing w:before="78" w:line="219" w:lineRule="auto"/>
        <w:ind w:left="62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4.12-2 </w:t>
      </w:r>
      <w:r>
        <w:rPr>
          <w:rFonts w:ascii="黑体" w:hAnsi="黑体" w:eastAsia="黑体" w:cs="黑体"/>
          <w:color w:val="auto"/>
          <w:spacing w:val="-1"/>
          <w:sz w:val="24"/>
          <w:szCs w:val="24"/>
          <w:highlight w:val="none"/>
        </w:rPr>
        <w:t>材料（工程设备）暂估单价及调整表</w:t>
      </w:r>
    </w:p>
    <w:p w14:paraId="7C85A807">
      <w:pPr>
        <w:pStyle w:val="3"/>
        <w:spacing w:line="383" w:lineRule="auto"/>
        <w:rPr>
          <w:color w:val="auto"/>
          <w:highlight w:val="none"/>
        </w:rPr>
      </w:pPr>
    </w:p>
    <w:p w14:paraId="43E1CD49">
      <w:pPr>
        <w:spacing w:before="88" w:line="225" w:lineRule="auto"/>
        <w:ind w:left="2545"/>
        <w:rPr>
          <w:rFonts w:ascii="黑体" w:hAnsi="黑体" w:eastAsia="黑体" w:cs="黑体"/>
          <w:color w:val="auto"/>
          <w:sz w:val="27"/>
          <w:szCs w:val="27"/>
          <w:highlight w:val="none"/>
        </w:rPr>
      </w:pPr>
      <w:bookmarkStart w:id="1309" w:name="bookmark255"/>
      <w:bookmarkEnd w:id="1309"/>
      <w:r>
        <w:rPr>
          <w:rFonts w:ascii="黑体" w:hAnsi="黑体" w:eastAsia="黑体" w:cs="黑体"/>
          <w:color w:val="auto"/>
          <w:spacing w:val="8"/>
          <w:sz w:val="27"/>
          <w:szCs w:val="27"/>
          <w:highlight w:val="none"/>
        </w:rPr>
        <w:t>材料（工程设备）暂估单价及调整表</w:t>
      </w:r>
    </w:p>
    <w:p w14:paraId="37680C78">
      <w:pPr>
        <w:spacing w:line="163" w:lineRule="exact"/>
        <w:rPr>
          <w:color w:val="auto"/>
          <w:highlight w:val="none"/>
        </w:rPr>
      </w:pPr>
    </w:p>
    <w:p w14:paraId="5821B737">
      <w:pPr>
        <w:spacing w:line="163" w:lineRule="exact"/>
        <w:rPr>
          <w:color w:val="auto"/>
          <w:highlight w:val="none"/>
        </w:rPr>
        <w:sectPr>
          <w:footerReference r:id="rId193" w:type="default"/>
          <w:pgSz w:w="11905" w:h="16839"/>
          <w:pgMar w:top="400" w:right="1171" w:bottom="1004" w:left="1176" w:header="0" w:footer="828" w:gutter="0"/>
          <w:pgNumType w:fmt="decimal"/>
          <w:cols w:equalWidth="0" w:num="1">
            <w:col w:w="9556"/>
          </w:cols>
        </w:sectPr>
      </w:pPr>
    </w:p>
    <w:p w14:paraId="0EEC1A22">
      <w:pPr>
        <w:spacing w:before="40" w:line="186" w:lineRule="auto"/>
        <w:ind w:left="12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工程名称：</w:t>
      </w:r>
    </w:p>
    <w:p w14:paraId="2D7F0BF8">
      <w:pPr>
        <w:pStyle w:val="3"/>
        <w:spacing w:line="14" w:lineRule="auto"/>
        <w:rPr>
          <w:color w:val="auto"/>
          <w:sz w:val="2"/>
          <w:highlight w:val="none"/>
        </w:rPr>
      </w:pPr>
      <w:r>
        <w:rPr>
          <w:color w:val="auto"/>
          <w:sz w:val="2"/>
          <w:szCs w:val="2"/>
          <w:highlight w:val="none"/>
        </w:rPr>
        <w:br w:type="column"/>
      </w:r>
    </w:p>
    <w:p w14:paraId="02862D22">
      <w:pPr>
        <w:spacing w:before="39" w:line="186" w:lineRule="auto"/>
        <w:rPr>
          <w:rFonts w:ascii="宋体" w:hAnsi="宋体" w:eastAsia="宋体" w:cs="宋体"/>
          <w:color w:val="auto"/>
          <w:sz w:val="20"/>
          <w:szCs w:val="20"/>
          <w:highlight w:val="none"/>
        </w:rPr>
      </w:pPr>
      <w:r>
        <w:rPr>
          <w:rFonts w:ascii="宋体" w:hAnsi="宋体" w:eastAsia="宋体" w:cs="宋体"/>
          <w:color w:val="auto"/>
          <w:sz w:val="20"/>
          <w:szCs w:val="20"/>
          <w:highlight w:val="none"/>
        </w:rPr>
        <w:t>标段名称：              第</w:t>
      </w:r>
    </w:p>
    <w:p w14:paraId="6D9FBFA5">
      <w:pPr>
        <w:pStyle w:val="3"/>
        <w:spacing w:line="14" w:lineRule="auto"/>
        <w:rPr>
          <w:color w:val="auto"/>
          <w:sz w:val="2"/>
          <w:highlight w:val="none"/>
        </w:rPr>
      </w:pPr>
      <w:r>
        <w:rPr>
          <w:color w:val="auto"/>
          <w:sz w:val="2"/>
          <w:szCs w:val="2"/>
          <w:highlight w:val="none"/>
        </w:rPr>
        <w:br w:type="column"/>
      </w:r>
    </w:p>
    <w:p w14:paraId="7B755ECF">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页 共</w:t>
      </w:r>
      <w:r>
        <w:rPr>
          <w:rFonts w:ascii="宋体" w:hAnsi="宋体" w:eastAsia="宋体" w:cs="宋体"/>
          <w:color w:val="auto"/>
          <w:spacing w:val="7"/>
          <w:sz w:val="20"/>
          <w:szCs w:val="20"/>
          <w:highlight w:val="none"/>
        </w:rPr>
        <w:t xml:space="preserve">  </w:t>
      </w:r>
      <w:r>
        <w:rPr>
          <w:rFonts w:ascii="宋体" w:hAnsi="宋体" w:eastAsia="宋体" w:cs="宋体"/>
          <w:color w:val="auto"/>
          <w:spacing w:val="-4"/>
          <w:sz w:val="20"/>
          <w:szCs w:val="20"/>
          <w:highlight w:val="none"/>
        </w:rPr>
        <w:t>页</w:t>
      </w:r>
    </w:p>
    <w:p w14:paraId="7F87B1B2">
      <w:pPr>
        <w:spacing w:line="186" w:lineRule="auto"/>
        <w:rPr>
          <w:rFonts w:ascii="宋体" w:hAnsi="宋体" w:eastAsia="宋体" w:cs="宋体"/>
          <w:color w:val="auto"/>
          <w:sz w:val="20"/>
          <w:szCs w:val="20"/>
          <w:highlight w:val="none"/>
        </w:rPr>
        <w:sectPr>
          <w:type w:val="continuous"/>
          <w:pgSz w:w="11905" w:h="16839"/>
          <w:pgMar w:top="400" w:right="1171" w:bottom="1004" w:left="1176" w:header="0" w:footer="828" w:gutter="0"/>
          <w:pgNumType w:fmt="decimal"/>
          <w:cols w:equalWidth="0" w:num="3">
            <w:col w:w="5647" w:space="100"/>
            <w:col w:w="2714" w:space="100"/>
            <w:col w:w="996"/>
          </w:cols>
        </w:sectPr>
      </w:pPr>
    </w:p>
    <w:p w14:paraId="2E8B3BC7">
      <w:pPr>
        <w:spacing w:line="96" w:lineRule="exact"/>
        <w:rPr>
          <w:color w:val="auto"/>
          <w:highlight w:val="none"/>
        </w:rPr>
      </w:pPr>
    </w:p>
    <w:tbl>
      <w:tblPr>
        <w:tblStyle w:val="10"/>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14:paraId="53386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14:paraId="665A8E9C">
            <w:pPr>
              <w:pStyle w:val="11"/>
              <w:spacing w:before="177" w:line="211" w:lineRule="auto"/>
              <w:ind w:left="369"/>
              <w:rPr>
                <w:color w:val="auto"/>
                <w:sz w:val="20"/>
                <w:szCs w:val="20"/>
                <w:highlight w:val="none"/>
              </w:rPr>
            </w:pPr>
            <w:r>
              <w:rPr>
                <w:color w:val="auto"/>
                <w:spacing w:val="30"/>
                <w:sz w:val="20"/>
                <w:szCs w:val="20"/>
                <w:highlight w:val="none"/>
              </w:rPr>
              <w:t>序号</w:t>
            </w:r>
          </w:p>
        </w:tc>
        <w:tc>
          <w:tcPr>
            <w:tcW w:w="2578" w:type="dxa"/>
            <w:vMerge w:val="restart"/>
            <w:tcBorders>
              <w:bottom w:val="nil"/>
            </w:tcBorders>
            <w:vAlign w:val="top"/>
          </w:tcPr>
          <w:p w14:paraId="76B20ED7">
            <w:pPr>
              <w:spacing w:line="302" w:lineRule="auto"/>
              <w:rPr>
                <w:rFonts w:ascii="Arial"/>
                <w:color w:val="auto"/>
                <w:sz w:val="21"/>
                <w:highlight w:val="none"/>
              </w:rPr>
            </w:pPr>
          </w:p>
          <w:p w14:paraId="60C46A06">
            <w:pPr>
              <w:pStyle w:val="11"/>
              <w:spacing w:before="65" w:line="230" w:lineRule="auto"/>
              <w:ind w:left="495" w:right="484" w:hanging="2"/>
              <w:rPr>
                <w:color w:val="auto"/>
                <w:sz w:val="20"/>
                <w:szCs w:val="20"/>
                <w:highlight w:val="none"/>
              </w:rPr>
            </w:pPr>
            <w:r>
              <w:rPr>
                <w:color w:val="auto"/>
                <w:spacing w:val="-3"/>
                <w:sz w:val="20"/>
                <w:szCs w:val="20"/>
                <w:highlight w:val="none"/>
              </w:rPr>
              <w:t>材料（工程设备）</w:t>
            </w:r>
            <w:r>
              <w:rPr>
                <w:color w:val="auto"/>
                <w:spacing w:val="4"/>
                <w:sz w:val="20"/>
                <w:szCs w:val="20"/>
                <w:highlight w:val="none"/>
              </w:rPr>
              <w:t xml:space="preserve"> </w:t>
            </w:r>
            <w:r>
              <w:rPr>
                <w:color w:val="auto"/>
                <w:spacing w:val="-1"/>
                <w:sz w:val="20"/>
                <w:szCs w:val="20"/>
                <w:highlight w:val="none"/>
              </w:rPr>
              <w:t>名称、规格、型号</w:t>
            </w:r>
          </w:p>
        </w:tc>
        <w:tc>
          <w:tcPr>
            <w:tcW w:w="806" w:type="dxa"/>
            <w:vMerge w:val="restart"/>
            <w:tcBorders>
              <w:bottom w:val="nil"/>
            </w:tcBorders>
            <w:vAlign w:val="top"/>
          </w:tcPr>
          <w:p w14:paraId="78DB0791">
            <w:pPr>
              <w:spacing w:line="302" w:lineRule="auto"/>
              <w:rPr>
                <w:rFonts w:ascii="Arial"/>
                <w:color w:val="auto"/>
                <w:sz w:val="21"/>
                <w:highlight w:val="none"/>
              </w:rPr>
            </w:pPr>
          </w:p>
          <w:p w14:paraId="14ECF562">
            <w:pPr>
              <w:pStyle w:val="11"/>
              <w:spacing w:before="65" w:line="239" w:lineRule="auto"/>
              <w:ind w:left="210"/>
              <w:rPr>
                <w:color w:val="auto"/>
                <w:sz w:val="20"/>
                <w:szCs w:val="20"/>
                <w:highlight w:val="none"/>
              </w:rPr>
            </w:pPr>
            <w:r>
              <w:rPr>
                <w:color w:val="auto"/>
                <w:spacing w:val="-2"/>
                <w:sz w:val="20"/>
                <w:szCs w:val="20"/>
                <w:highlight w:val="none"/>
              </w:rPr>
              <w:t>计量</w:t>
            </w:r>
          </w:p>
          <w:p w14:paraId="7FB2D1F3">
            <w:pPr>
              <w:pStyle w:val="11"/>
              <w:spacing w:line="221" w:lineRule="auto"/>
              <w:ind w:left="212"/>
              <w:rPr>
                <w:color w:val="auto"/>
                <w:sz w:val="20"/>
                <w:szCs w:val="20"/>
                <w:highlight w:val="none"/>
              </w:rPr>
            </w:pPr>
            <w:r>
              <w:rPr>
                <w:color w:val="auto"/>
                <w:spacing w:val="-2"/>
                <w:sz w:val="20"/>
                <w:szCs w:val="20"/>
                <w:highlight w:val="none"/>
              </w:rPr>
              <w:t>单位</w:t>
            </w:r>
          </w:p>
        </w:tc>
        <w:tc>
          <w:tcPr>
            <w:tcW w:w="1118" w:type="dxa"/>
            <w:gridSpan w:val="2"/>
            <w:vAlign w:val="top"/>
          </w:tcPr>
          <w:p w14:paraId="27C13042">
            <w:pPr>
              <w:pStyle w:val="11"/>
              <w:spacing w:before="234" w:line="221" w:lineRule="auto"/>
              <w:ind w:left="366"/>
              <w:rPr>
                <w:color w:val="auto"/>
                <w:sz w:val="20"/>
                <w:szCs w:val="20"/>
                <w:highlight w:val="none"/>
              </w:rPr>
            </w:pPr>
            <w:r>
              <w:rPr>
                <w:color w:val="auto"/>
                <w:spacing w:val="-2"/>
                <w:sz w:val="20"/>
                <w:szCs w:val="20"/>
                <w:highlight w:val="none"/>
              </w:rPr>
              <w:t>数量</w:t>
            </w:r>
          </w:p>
        </w:tc>
        <w:tc>
          <w:tcPr>
            <w:tcW w:w="1238" w:type="dxa"/>
            <w:gridSpan w:val="2"/>
            <w:vAlign w:val="top"/>
          </w:tcPr>
          <w:p w14:paraId="2EA3DD38">
            <w:pPr>
              <w:pStyle w:val="11"/>
              <w:spacing w:before="234" w:line="220" w:lineRule="auto"/>
              <w:ind w:left="132"/>
              <w:rPr>
                <w:color w:val="auto"/>
                <w:sz w:val="20"/>
                <w:szCs w:val="20"/>
                <w:highlight w:val="none"/>
              </w:rPr>
            </w:pPr>
            <w:r>
              <w:rPr>
                <w:color w:val="auto"/>
                <w:spacing w:val="-2"/>
                <w:sz w:val="20"/>
                <w:szCs w:val="20"/>
                <w:highlight w:val="none"/>
              </w:rPr>
              <w:t>暂估（元）</w:t>
            </w:r>
          </w:p>
        </w:tc>
        <w:tc>
          <w:tcPr>
            <w:tcW w:w="1363" w:type="dxa"/>
            <w:gridSpan w:val="2"/>
            <w:vAlign w:val="top"/>
          </w:tcPr>
          <w:p w14:paraId="1C386940">
            <w:pPr>
              <w:pStyle w:val="11"/>
              <w:spacing w:before="234" w:line="222" w:lineRule="auto"/>
              <w:ind w:left="188"/>
              <w:rPr>
                <w:color w:val="auto"/>
                <w:sz w:val="20"/>
                <w:szCs w:val="20"/>
                <w:highlight w:val="none"/>
              </w:rPr>
            </w:pPr>
            <w:r>
              <w:rPr>
                <w:color w:val="auto"/>
                <w:spacing w:val="-1"/>
                <w:sz w:val="20"/>
                <w:szCs w:val="20"/>
                <w:highlight w:val="none"/>
              </w:rPr>
              <w:t>确认（元）</w:t>
            </w:r>
          </w:p>
        </w:tc>
        <w:tc>
          <w:tcPr>
            <w:tcW w:w="1252" w:type="dxa"/>
            <w:gridSpan w:val="2"/>
            <w:vAlign w:val="top"/>
          </w:tcPr>
          <w:p w14:paraId="592A095B">
            <w:pPr>
              <w:pStyle w:val="11"/>
              <w:spacing w:before="105" w:line="239" w:lineRule="auto"/>
              <w:ind w:left="336"/>
              <w:rPr>
                <w:color w:val="auto"/>
                <w:sz w:val="20"/>
                <w:szCs w:val="20"/>
                <w:highlight w:val="none"/>
              </w:rPr>
            </w:pPr>
            <w:r>
              <w:rPr>
                <w:color w:val="auto"/>
                <w:spacing w:val="-2"/>
                <w:sz w:val="20"/>
                <w:szCs w:val="20"/>
                <w:highlight w:val="none"/>
              </w:rPr>
              <w:t>差额±</w:t>
            </w:r>
          </w:p>
          <w:p w14:paraId="161F3F01">
            <w:pPr>
              <w:pStyle w:val="11"/>
              <w:spacing w:line="221" w:lineRule="auto"/>
              <w:ind w:left="340"/>
              <w:rPr>
                <w:color w:val="auto"/>
                <w:sz w:val="20"/>
                <w:szCs w:val="20"/>
                <w:highlight w:val="none"/>
              </w:rPr>
            </w:pPr>
            <w:r>
              <w:rPr>
                <w:color w:val="auto"/>
                <w:spacing w:val="-4"/>
                <w:sz w:val="20"/>
                <w:szCs w:val="20"/>
                <w:highlight w:val="none"/>
              </w:rPr>
              <w:t>（元）</w:t>
            </w:r>
          </w:p>
        </w:tc>
        <w:tc>
          <w:tcPr>
            <w:tcW w:w="634" w:type="dxa"/>
            <w:vMerge w:val="restart"/>
            <w:tcBorders>
              <w:bottom w:val="nil"/>
            </w:tcBorders>
            <w:vAlign w:val="top"/>
          </w:tcPr>
          <w:p w14:paraId="16F818A2">
            <w:pPr>
              <w:spacing w:line="431" w:lineRule="auto"/>
              <w:rPr>
                <w:rFonts w:ascii="Arial"/>
                <w:color w:val="auto"/>
                <w:sz w:val="21"/>
                <w:highlight w:val="none"/>
              </w:rPr>
            </w:pPr>
          </w:p>
          <w:p w14:paraId="77C6E50B">
            <w:pPr>
              <w:pStyle w:val="11"/>
              <w:spacing w:before="65" w:line="222" w:lineRule="auto"/>
              <w:ind w:left="126"/>
              <w:rPr>
                <w:color w:val="auto"/>
                <w:sz w:val="20"/>
                <w:szCs w:val="20"/>
                <w:highlight w:val="none"/>
              </w:rPr>
            </w:pPr>
            <w:r>
              <w:rPr>
                <w:color w:val="auto"/>
                <w:spacing w:val="-2"/>
                <w:sz w:val="20"/>
                <w:szCs w:val="20"/>
                <w:highlight w:val="none"/>
              </w:rPr>
              <w:t>备注</w:t>
            </w:r>
          </w:p>
        </w:tc>
      </w:tr>
      <w:tr w14:paraId="49EB7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14:paraId="23B29D05">
            <w:pPr>
              <w:rPr>
                <w:rFonts w:ascii="Arial"/>
                <w:color w:val="auto"/>
                <w:sz w:val="21"/>
                <w:highlight w:val="none"/>
              </w:rPr>
            </w:pPr>
          </w:p>
        </w:tc>
        <w:tc>
          <w:tcPr>
            <w:tcW w:w="2578" w:type="dxa"/>
            <w:vMerge w:val="continue"/>
            <w:tcBorders>
              <w:top w:val="nil"/>
            </w:tcBorders>
            <w:vAlign w:val="top"/>
          </w:tcPr>
          <w:p w14:paraId="22496F93">
            <w:pPr>
              <w:rPr>
                <w:rFonts w:ascii="Arial"/>
                <w:color w:val="auto"/>
                <w:sz w:val="21"/>
                <w:highlight w:val="none"/>
              </w:rPr>
            </w:pPr>
          </w:p>
        </w:tc>
        <w:tc>
          <w:tcPr>
            <w:tcW w:w="806" w:type="dxa"/>
            <w:vMerge w:val="continue"/>
            <w:tcBorders>
              <w:top w:val="nil"/>
            </w:tcBorders>
            <w:vAlign w:val="top"/>
          </w:tcPr>
          <w:p w14:paraId="4001A3BA">
            <w:pPr>
              <w:rPr>
                <w:rFonts w:ascii="Arial"/>
                <w:color w:val="auto"/>
                <w:sz w:val="21"/>
                <w:highlight w:val="none"/>
              </w:rPr>
            </w:pPr>
          </w:p>
        </w:tc>
        <w:tc>
          <w:tcPr>
            <w:tcW w:w="562" w:type="dxa"/>
            <w:textDirection w:val="tbRlV"/>
            <w:vAlign w:val="top"/>
          </w:tcPr>
          <w:p w14:paraId="504C2B71">
            <w:pPr>
              <w:pStyle w:val="11"/>
              <w:spacing w:before="180" w:line="208" w:lineRule="auto"/>
              <w:ind w:left="28"/>
              <w:rPr>
                <w:color w:val="auto"/>
                <w:sz w:val="20"/>
                <w:szCs w:val="20"/>
                <w:highlight w:val="none"/>
              </w:rPr>
            </w:pPr>
            <w:r>
              <w:rPr>
                <w:color w:val="auto"/>
                <w:spacing w:val="30"/>
                <w:sz w:val="20"/>
                <w:szCs w:val="20"/>
                <w:highlight w:val="none"/>
              </w:rPr>
              <w:t>暂估</w:t>
            </w:r>
          </w:p>
        </w:tc>
        <w:tc>
          <w:tcPr>
            <w:tcW w:w="556" w:type="dxa"/>
            <w:textDirection w:val="tbRlV"/>
            <w:vAlign w:val="top"/>
          </w:tcPr>
          <w:p w14:paraId="7650CB4C">
            <w:pPr>
              <w:pStyle w:val="11"/>
              <w:spacing w:before="174" w:line="210" w:lineRule="auto"/>
              <w:ind w:left="28"/>
              <w:rPr>
                <w:color w:val="auto"/>
                <w:sz w:val="20"/>
                <w:szCs w:val="20"/>
                <w:highlight w:val="none"/>
              </w:rPr>
            </w:pPr>
            <w:r>
              <w:rPr>
                <w:color w:val="auto"/>
                <w:spacing w:val="30"/>
                <w:sz w:val="20"/>
                <w:szCs w:val="20"/>
                <w:highlight w:val="none"/>
              </w:rPr>
              <w:t>确认</w:t>
            </w:r>
          </w:p>
        </w:tc>
        <w:tc>
          <w:tcPr>
            <w:tcW w:w="562" w:type="dxa"/>
            <w:textDirection w:val="tbRlV"/>
            <w:vAlign w:val="top"/>
          </w:tcPr>
          <w:p w14:paraId="1EB62D0D">
            <w:pPr>
              <w:pStyle w:val="11"/>
              <w:spacing w:before="179" w:line="207" w:lineRule="auto"/>
              <w:ind w:left="28"/>
              <w:rPr>
                <w:color w:val="auto"/>
                <w:sz w:val="20"/>
                <w:szCs w:val="20"/>
                <w:highlight w:val="none"/>
              </w:rPr>
            </w:pPr>
            <w:r>
              <w:rPr>
                <w:color w:val="auto"/>
                <w:spacing w:val="30"/>
                <w:sz w:val="20"/>
                <w:szCs w:val="20"/>
                <w:highlight w:val="none"/>
              </w:rPr>
              <w:t>单价</w:t>
            </w:r>
          </w:p>
        </w:tc>
        <w:tc>
          <w:tcPr>
            <w:tcW w:w="676" w:type="dxa"/>
            <w:vAlign w:val="top"/>
          </w:tcPr>
          <w:p w14:paraId="785FAEA5">
            <w:pPr>
              <w:pStyle w:val="11"/>
              <w:spacing w:before="157" w:line="220" w:lineRule="auto"/>
              <w:ind w:left="150"/>
              <w:rPr>
                <w:color w:val="auto"/>
                <w:sz w:val="20"/>
                <w:szCs w:val="20"/>
                <w:highlight w:val="none"/>
              </w:rPr>
            </w:pPr>
            <w:r>
              <w:rPr>
                <w:color w:val="auto"/>
                <w:spacing w:val="-2"/>
                <w:sz w:val="20"/>
                <w:szCs w:val="20"/>
                <w:highlight w:val="none"/>
              </w:rPr>
              <w:t>合价</w:t>
            </w:r>
          </w:p>
        </w:tc>
        <w:tc>
          <w:tcPr>
            <w:tcW w:w="682" w:type="dxa"/>
            <w:vAlign w:val="top"/>
          </w:tcPr>
          <w:p w14:paraId="18B6D4C0">
            <w:pPr>
              <w:pStyle w:val="11"/>
              <w:spacing w:before="157" w:line="220" w:lineRule="auto"/>
              <w:ind w:left="152"/>
              <w:rPr>
                <w:color w:val="auto"/>
                <w:sz w:val="20"/>
                <w:szCs w:val="20"/>
                <w:highlight w:val="none"/>
              </w:rPr>
            </w:pPr>
            <w:r>
              <w:rPr>
                <w:color w:val="auto"/>
                <w:spacing w:val="-2"/>
                <w:sz w:val="20"/>
                <w:szCs w:val="20"/>
                <w:highlight w:val="none"/>
              </w:rPr>
              <w:t>单价</w:t>
            </w:r>
          </w:p>
        </w:tc>
        <w:tc>
          <w:tcPr>
            <w:tcW w:w="681" w:type="dxa"/>
            <w:vAlign w:val="top"/>
          </w:tcPr>
          <w:p w14:paraId="267F632F">
            <w:pPr>
              <w:pStyle w:val="11"/>
              <w:spacing w:before="157" w:line="220" w:lineRule="auto"/>
              <w:ind w:left="151"/>
              <w:rPr>
                <w:color w:val="auto"/>
                <w:sz w:val="20"/>
                <w:szCs w:val="20"/>
                <w:highlight w:val="none"/>
              </w:rPr>
            </w:pPr>
            <w:r>
              <w:rPr>
                <w:color w:val="auto"/>
                <w:spacing w:val="-2"/>
                <w:sz w:val="20"/>
                <w:szCs w:val="20"/>
                <w:highlight w:val="none"/>
              </w:rPr>
              <w:t>合价</w:t>
            </w:r>
          </w:p>
        </w:tc>
        <w:tc>
          <w:tcPr>
            <w:tcW w:w="624" w:type="dxa"/>
            <w:vAlign w:val="top"/>
          </w:tcPr>
          <w:p w14:paraId="5EA82826">
            <w:pPr>
              <w:pStyle w:val="11"/>
              <w:spacing w:before="157" w:line="220" w:lineRule="auto"/>
              <w:ind w:left="124"/>
              <w:rPr>
                <w:color w:val="auto"/>
                <w:sz w:val="20"/>
                <w:szCs w:val="20"/>
                <w:highlight w:val="none"/>
              </w:rPr>
            </w:pPr>
            <w:r>
              <w:rPr>
                <w:color w:val="auto"/>
                <w:spacing w:val="-2"/>
                <w:sz w:val="20"/>
                <w:szCs w:val="20"/>
                <w:highlight w:val="none"/>
              </w:rPr>
              <w:t>单价</w:t>
            </w:r>
          </w:p>
        </w:tc>
        <w:tc>
          <w:tcPr>
            <w:tcW w:w="628" w:type="dxa"/>
            <w:vAlign w:val="top"/>
          </w:tcPr>
          <w:p w14:paraId="78E521DE">
            <w:pPr>
              <w:pStyle w:val="11"/>
              <w:spacing w:before="157" w:line="220" w:lineRule="auto"/>
              <w:ind w:left="123"/>
              <w:rPr>
                <w:color w:val="auto"/>
                <w:sz w:val="20"/>
                <w:szCs w:val="20"/>
                <w:highlight w:val="none"/>
              </w:rPr>
            </w:pPr>
            <w:r>
              <w:rPr>
                <w:color w:val="auto"/>
                <w:spacing w:val="-2"/>
                <w:sz w:val="20"/>
                <w:szCs w:val="20"/>
                <w:highlight w:val="none"/>
              </w:rPr>
              <w:t>合价</w:t>
            </w:r>
          </w:p>
        </w:tc>
        <w:tc>
          <w:tcPr>
            <w:tcW w:w="634" w:type="dxa"/>
            <w:vMerge w:val="continue"/>
            <w:tcBorders>
              <w:top w:val="nil"/>
            </w:tcBorders>
            <w:vAlign w:val="top"/>
          </w:tcPr>
          <w:p w14:paraId="352C591F">
            <w:pPr>
              <w:rPr>
                <w:rFonts w:ascii="Arial"/>
                <w:color w:val="auto"/>
                <w:sz w:val="21"/>
                <w:highlight w:val="none"/>
              </w:rPr>
            </w:pPr>
          </w:p>
        </w:tc>
      </w:tr>
      <w:tr w14:paraId="49068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4785EC4">
            <w:pPr>
              <w:rPr>
                <w:rFonts w:ascii="Arial"/>
                <w:color w:val="auto"/>
                <w:sz w:val="21"/>
                <w:highlight w:val="none"/>
              </w:rPr>
            </w:pPr>
          </w:p>
        </w:tc>
        <w:tc>
          <w:tcPr>
            <w:tcW w:w="2578" w:type="dxa"/>
            <w:vAlign w:val="top"/>
          </w:tcPr>
          <w:p w14:paraId="51EA6C1D">
            <w:pPr>
              <w:rPr>
                <w:rFonts w:ascii="Arial"/>
                <w:color w:val="auto"/>
                <w:sz w:val="21"/>
                <w:highlight w:val="none"/>
              </w:rPr>
            </w:pPr>
          </w:p>
        </w:tc>
        <w:tc>
          <w:tcPr>
            <w:tcW w:w="806" w:type="dxa"/>
            <w:vAlign w:val="top"/>
          </w:tcPr>
          <w:p w14:paraId="4E1549CA">
            <w:pPr>
              <w:rPr>
                <w:rFonts w:ascii="Arial"/>
                <w:color w:val="auto"/>
                <w:sz w:val="21"/>
                <w:highlight w:val="none"/>
              </w:rPr>
            </w:pPr>
          </w:p>
        </w:tc>
        <w:tc>
          <w:tcPr>
            <w:tcW w:w="562" w:type="dxa"/>
            <w:vAlign w:val="top"/>
          </w:tcPr>
          <w:p w14:paraId="5867063A">
            <w:pPr>
              <w:rPr>
                <w:rFonts w:ascii="Arial"/>
                <w:color w:val="auto"/>
                <w:sz w:val="21"/>
                <w:highlight w:val="none"/>
              </w:rPr>
            </w:pPr>
          </w:p>
        </w:tc>
        <w:tc>
          <w:tcPr>
            <w:tcW w:w="556" w:type="dxa"/>
            <w:vAlign w:val="top"/>
          </w:tcPr>
          <w:p w14:paraId="71E0B426">
            <w:pPr>
              <w:rPr>
                <w:rFonts w:ascii="Arial"/>
                <w:color w:val="auto"/>
                <w:sz w:val="21"/>
                <w:highlight w:val="none"/>
              </w:rPr>
            </w:pPr>
          </w:p>
        </w:tc>
        <w:tc>
          <w:tcPr>
            <w:tcW w:w="562" w:type="dxa"/>
            <w:vAlign w:val="top"/>
          </w:tcPr>
          <w:p w14:paraId="71419DBD">
            <w:pPr>
              <w:rPr>
                <w:rFonts w:ascii="Arial"/>
                <w:color w:val="auto"/>
                <w:sz w:val="21"/>
                <w:highlight w:val="none"/>
              </w:rPr>
            </w:pPr>
          </w:p>
        </w:tc>
        <w:tc>
          <w:tcPr>
            <w:tcW w:w="676" w:type="dxa"/>
            <w:vAlign w:val="top"/>
          </w:tcPr>
          <w:p w14:paraId="0CC8AB8A">
            <w:pPr>
              <w:rPr>
                <w:rFonts w:ascii="Arial"/>
                <w:color w:val="auto"/>
                <w:sz w:val="21"/>
                <w:highlight w:val="none"/>
              </w:rPr>
            </w:pPr>
          </w:p>
        </w:tc>
        <w:tc>
          <w:tcPr>
            <w:tcW w:w="682" w:type="dxa"/>
            <w:vAlign w:val="top"/>
          </w:tcPr>
          <w:p w14:paraId="1052B82C">
            <w:pPr>
              <w:rPr>
                <w:rFonts w:ascii="Arial"/>
                <w:color w:val="auto"/>
                <w:sz w:val="21"/>
                <w:highlight w:val="none"/>
              </w:rPr>
            </w:pPr>
          </w:p>
        </w:tc>
        <w:tc>
          <w:tcPr>
            <w:tcW w:w="681" w:type="dxa"/>
            <w:vAlign w:val="top"/>
          </w:tcPr>
          <w:p w14:paraId="1CCE59FC">
            <w:pPr>
              <w:rPr>
                <w:rFonts w:ascii="Arial"/>
                <w:color w:val="auto"/>
                <w:sz w:val="21"/>
                <w:highlight w:val="none"/>
              </w:rPr>
            </w:pPr>
          </w:p>
        </w:tc>
        <w:tc>
          <w:tcPr>
            <w:tcW w:w="624" w:type="dxa"/>
            <w:vAlign w:val="top"/>
          </w:tcPr>
          <w:p w14:paraId="718273C3">
            <w:pPr>
              <w:rPr>
                <w:rFonts w:ascii="Arial"/>
                <w:color w:val="auto"/>
                <w:sz w:val="21"/>
                <w:highlight w:val="none"/>
              </w:rPr>
            </w:pPr>
          </w:p>
        </w:tc>
        <w:tc>
          <w:tcPr>
            <w:tcW w:w="628" w:type="dxa"/>
            <w:vAlign w:val="top"/>
          </w:tcPr>
          <w:p w14:paraId="680B5E2D">
            <w:pPr>
              <w:rPr>
                <w:rFonts w:ascii="Arial"/>
                <w:color w:val="auto"/>
                <w:sz w:val="21"/>
                <w:highlight w:val="none"/>
              </w:rPr>
            </w:pPr>
          </w:p>
        </w:tc>
        <w:tc>
          <w:tcPr>
            <w:tcW w:w="634" w:type="dxa"/>
            <w:vAlign w:val="top"/>
          </w:tcPr>
          <w:p w14:paraId="678D23B2">
            <w:pPr>
              <w:rPr>
                <w:rFonts w:ascii="Arial"/>
                <w:color w:val="auto"/>
                <w:sz w:val="21"/>
                <w:highlight w:val="none"/>
              </w:rPr>
            </w:pPr>
          </w:p>
        </w:tc>
      </w:tr>
      <w:tr w14:paraId="3CE1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65A9CF5">
            <w:pPr>
              <w:rPr>
                <w:rFonts w:ascii="Arial"/>
                <w:color w:val="auto"/>
                <w:sz w:val="21"/>
                <w:highlight w:val="none"/>
              </w:rPr>
            </w:pPr>
          </w:p>
        </w:tc>
        <w:tc>
          <w:tcPr>
            <w:tcW w:w="2578" w:type="dxa"/>
            <w:vAlign w:val="top"/>
          </w:tcPr>
          <w:p w14:paraId="4432771E">
            <w:pPr>
              <w:rPr>
                <w:rFonts w:ascii="Arial"/>
                <w:color w:val="auto"/>
                <w:sz w:val="21"/>
                <w:highlight w:val="none"/>
              </w:rPr>
            </w:pPr>
          </w:p>
        </w:tc>
        <w:tc>
          <w:tcPr>
            <w:tcW w:w="806" w:type="dxa"/>
            <w:vAlign w:val="top"/>
          </w:tcPr>
          <w:p w14:paraId="0AF267A4">
            <w:pPr>
              <w:rPr>
                <w:rFonts w:ascii="Arial"/>
                <w:color w:val="auto"/>
                <w:sz w:val="21"/>
                <w:highlight w:val="none"/>
              </w:rPr>
            </w:pPr>
          </w:p>
        </w:tc>
        <w:tc>
          <w:tcPr>
            <w:tcW w:w="562" w:type="dxa"/>
            <w:vAlign w:val="top"/>
          </w:tcPr>
          <w:p w14:paraId="2D2F2976">
            <w:pPr>
              <w:rPr>
                <w:rFonts w:ascii="Arial"/>
                <w:color w:val="auto"/>
                <w:sz w:val="21"/>
                <w:highlight w:val="none"/>
              </w:rPr>
            </w:pPr>
          </w:p>
        </w:tc>
        <w:tc>
          <w:tcPr>
            <w:tcW w:w="556" w:type="dxa"/>
            <w:vAlign w:val="top"/>
          </w:tcPr>
          <w:p w14:paraId="7BB90C1C">
            <w:pPr>
              <w:rPr>
                <w:rFonts w:ascii="Arial"/>
                <w:color w:val="auto"/>
                <w:sz w:val="21"/>
                <w:highlight w:val="none"/>
              </w:rPr>
            </w:pPr>
          </w:p>
        </w:tc>
        <w:tc>
          <w:tcPr>
            <w:tcW w:w="562" w:type="dxa"/>
            <w:vAlign w:val="top"/>
          </w:tcPr>
          <w:p w14:paraId="41DEB0AC">
            <w:pPr>
              <w:rPr>
                <w:rFonts w:ascii="Arial"/>
                <w:color w:val="auto"/>
                <w:sz w:val="21"/>
                <w:highlight w:val="none"/>
              </w:rPr>
            </w:pPr>
          </w:p>
        </w:tc>
        <w:tc>
          <w:tcPr>
            <w:tcW w:w="676" w:type="dxa"/>
            <w:vAlign w:val="top"/>
          </w:tcPr>
          <w:p w14:paraId="719052CB">
            <w:pPr>
              <w:rPr>
                <w:rFonts w:ascii="Arial"/>
                <w:color w:val="auto"/>
                <w:sz w:val="21"/>
                <w:highlight w:val="none"/>
              </w:rPr>
            </w:pPr>
          </w:p>
        </w:tc>
        <w:tc>
          <w:tcPr>
            <w:tcW w:w="682" w:type="dxa"/>
            <w:vAlign w:val="top"/>
          </w:tcPr>
          <w:p w14:paraId="1AFB23F2">
            <w:pPr>
              <w:rPr>
                <w:rFonts w:ascii="Arial"/>
                <w:color w:val="auto"/>
                <w:sz w:val="21"/>
                <w:highlight w:val="none"/>
              </w:rPr>
            </w:pPr>
          </w:p>
        </w:tc>
        <w:tc>
          <w:tcPr>
            <w:tcW w:w="681" w:type="dxa"/>
            <w:vAlign w:val="top"/>
          </w:tcPr>
          <w:p w14:paraId="5B63D1B4">
            <w:pPr>
              <w:rPr>
                <w:rFonts w:ascii="Arial"/>
                <w:color w:val="auto"/>
                <w:sz w:val="21"/>
                <w:highlight w:val="none"/>
              </w:rPr>
            </w:pPr>
          </w:p>
        </w:tc>
        <w:tc>
          <w:tcPr>
            <w:tcW w:w="624" w:type="dxa"/>
            <w:vAlign w:val="top"/>
          </w:tcPr>
          <w:p w14:paraId="0DDC71A0">
            <w:pPr>
              <w:rPr>
                <w:rFonts w:ascii="Arial"/>
                <w:color w:val="auto"/>
                <w:sz w:val="21"/>
                <w:highlight w:val="none"/>
              </w:rPr>
            </w:pPr>
          </w:p>
        </w:tc>
        <w:tc>
          <w:tcPr>
            <w:tcW w:w="628" w:type="dxa"/>
            <w:vAlign w:val="top"/>
          </w:tcPr>
          <w:p w14:paraId="04F2F043">
            <w:pPr>
              <w:rPr>
                <w:rFonts w:ascii="Arial"/>
                <w:color w:val="auto"/>
                <w:sz w:val="21"/>
                <w:highlight w:val="none"/>
              </w:rPr>
            </w:pPr>
          </w:p>
        </w:tc>
        <w:tc>
          <w:tcPr>
            <w:tcW w:w="634" w:type="dxa"/>
            <w:vAlign w:val="top"/>
          </w:tcPr>
          <w:p w14:paraId="794DD018">
            <w:pPr>
              <w:rPr>
                <w:rFonts w:ascii="Arial"/>
                <w:color w:val="auto"/>
                <w:sz w:val="21"/>
                <w:highlight w:val="none"/>
              </w:rPr>
            </w:pPr>
          </w:p>
        </w:tc>
      </w:tr>
      <w:tr w14:paraId="5BE61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31FBABD">
            <w:pPr>
              <w:rPr>
                <w:rFonts w:ascii="Arial"/>
                <w:color w:val="auto"/>
                <w:sz w:val="21"/>
                <w:highlight w:val="none"/>
              </w:rPr>
            </w:pPr>
          </w:p>
        </w:tc>
        <w:tc>
          <w:tcPr>
            <w:tcW w:w="2578" w:type="dxa"/>
            <w:vAlign w:val="top"/>
          </w:tcPr>
          <w:p w14:paraId="2F06EEED">
            <w:pPr>
              <w:rPr>
                <w:rFonts w:ascii="Arial"/>
                <w:color w:val="auto"/>
                <w:sz w:val="21"/>
                <w:highlight w:val="none"/>
              </w:rPr>
            </w:pPr>
          </w:p>
        </w:tc>
        <w:tc>
          <w:tcPr>
            <w:tcW w:w="806" w:type="dxa"/>
            <w:vAlign w:val="top"/>
          </w:tcPr>
          <w:p w14:paraId="6CBA0102">
            <w:pPr>
              <w:rPr>
                <w:rFonts w:ascii="Arial"/>
                <w:color w:val="auto"/>
                <w:sz w:val="21"/>
                <w:highlight w:val="none"/>
              </w:rPr>
            </w:pPr>
          </w:p>
        </w:tc>
        <w:tc>
          <w:tcPr>
            <w:tcW w:w="562" w:type="dxa"/>
            <w:vAlign w:val="top"/>
          </w:tcPr>
          <w:p w14:paraId="7FF2D6FC">
            <w:pPr>
              <w:rPr>
                <w:rFonts w:ascii="Arial"/>
                <w:color w:val="auto"/>
                <w:sz w:val="21"/>
                <w:highlight w:val="none"/>
              </w:rPr>
            </w:pPr>
          </w:p>
        </w:tc>
        <w:tc>
          <w:tcPr>
            <w:tcW w:w="556" w:type="dxa"/>
            <w:vAlign w:val="top"/>
          </w:tcPr>
          <w:p w14:paraId="5E4CC1F4">
            <w:pPr>
              <w:rPr>
                <w:rFonts w:ascii="Arial"/>
                <w:color w:val="auto"/>
                <w:sz w:val="21"/>
                <w:highlight w:val="none"/>
              </w:rPr>
            </w:pPr>
          </w:p>
        </w:tc>
        <w:tc>
          <w:tcPr>
            <w:tcW w:w="562" w:type="dxa"/>
            <w:vAlign w:val="top"/>
          </w:tcPr>
          <w:p w14:paraId="7ABF2956">
            <w:pPr>
              <w:rPr>
                <w:rFonts w:ascii="Arial"/>
                <w:color w:val="auto"/>
                <w:sz w:val="21"/>
                <w:highlight w:val="none"/>
              </w:rPr>
            </w:pPr>
          </w:p>
        </w:tc>
        <w:tc>
          <w:tcPr>
            <w:tcW w:w="676" w:type="dxa"/>
            <w:vAlign w:val="top"/>
          </w:tcPr>
          <w:p w14:paraId="6003820C">
            <w:pPr>
              <w:rPr>
                <w:rFonts w:ascii="Arial"/>
                <w:color w:val="auto"/>
                <w:sz w:val="21"/>
                <w:highlight w:val="none"/>
              </w:rPr>
            </w:pPr>
          </w:p>
        </w:tc>
        <w:tc>
          <w:tcPr>
            <w:tcW w:w="682" w:type="dxa"/>
            <w:vAlign w:val="top"/>
          </w:tcPr>
          <w:p w14:paraId="3D2D57B0">
            <w:pPr>
              <w:rPr>
                <w:rFonts w:ascii="Arial"/>
                <w:color w:val="auto"/>
                <w:sz w:val="21"/>
                <w:highlight w:val="none"/>
              </w:rPr>
            </w:pPr>
          </w:p>
        </w:tc>
        <w:tc>
          <w:tcPr>
            <w:tcW w:w="681" w:type="dxa"/>
            <w:vAlign w:val="top"/>
          </w:tcPr>
          <w:p w14:paraId="29066216">
            <w:pPr>
              <w:rPr>
                <w:rFonts w:ascii="Arial"/>
                <w:color w:val="auto"/>
                <w:sz w:val="21"/>
                <w:highlight w:val="none"/>
              </w:rPr>
            </w:pPr>
          </w:p>
        </w:tc>
        <w:tc>
          <w:tcPr>
            <w:tcW w:w="624" w:type="dxa"/>
            <w:vAlign w:val="top"/>
          </w:tcPr>
          <w:p w14:paraId="03CDCAEE">
            <w:pPr>
              <w:rPr>
                <w:rFonts w:ascii="Arial"/>
                <w:color w:val="auto"/>
                <w:sz w:val="21"/>
                <w:highlight w:val="none"/>
              </w:rPr>
            </w:pPr>
          </w:p>
        </w:tc>
        <w:tc>
          <w:tcPr>
            <w:tcW w:w="628" w:type="dxa"/>
            <w:vAlign w:val="top"/>
          </w:tcPr>
          <w:p w14:paraId="156A5047">
            <w:pPr>
              <w:rPr>
                <w:rFonts w:ascii="Arial"/>
                <w:color w:val="auto"/>
                <w:sz w:val="21"/>
                <w:highlight w:val="none"/>
              </w:rPr>
            </w:pPr>
          </w:p>
        </w:tc>
        <w:tc>
          <w:tcPr>
            <w:tcW w:w="634" w:type="dxa"/>
            <w:vAlign w:val="top"/>
          </w:tcPr>
          <w:p w14:paraId="2C3204E3">
            <w:pPr>
              <w:rPr>
                <w:rFonts w:ascii="Arial"/>
                <w:color w:val="auto"/>
                <w:sz w:val="21"/>
                <w:highlight w:val="none"/>
              </w:rPr>
            </w:pPr>
          </w:p>
        </w:tc>
      </w:tr>
      <w:tr w14:paraId="3F0F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1" w:type="dxa"/>
            <w:vAlign w:val="top"/>
          </w:tcPr>
          <w:p w14:paraId="4462670C">
            <w:pPr>
              <w:rPr>
                <w:rFonts w:ascii="Arial"/>
                <w:color w:val="auto"/>
                <w:sz w:val="21"/>
                <w:highlight w:val="none"/>
              </w:rPr>
            </w:pPr>
          </w:p>
        </w:tc>
        <w:tc>
          <w:tcPr>
            <w:tcW w:w="2578" w:type="dxa"/>
            <w:vAlign w:val="top"/>
          </w:tcPr>
          <w:p w14:paraId="62DBCCEE">
            <w:pPr>
              <w:rPr>
                <w:rFonts w:ascii="Arial"/>
                <w:color w:val="auto"/>
                <w:sz w:val="21"/>
                <w:highlight w:val="none"/>
              </w:rPr>
            </w:pPr>
          </w:p>
        </w:tc>
        <w:tc>
          <w:tcPr>
            <w:tcW w:w="806" w:type="dxa"/>
            <w:vAlign w:val="top"/>
          </w:tcPr>
          <w:p w14:paraId="262B337C">
            <w:pPr>
              <w:rPr>
                <w:rFonts w:ascii="Arial"/>
                <w:color w:val="auto"/>
                <w:sz w:val="21"/>
                <w:highlight w:val="none"/>
              </w:rPr>
            </w:pPr>
          </w:p>
        </w:tc>
        <w:tc>
          <w:tcPr>
            <w:tcW w:w="562" w:type="dxa"/>
            <w:vAlign w:val="top"/>
          </w:tcPr>
          <w:p w14:paraId="5383B5C9">
            <w:pPr>
              <w:rPr>
                <w:rFonts w:ascii="Arial"/>
                <w:color w:val="auto"/>
                <w:sz w:val="21"/>
                <w:highlight w:val="none"/>
              </w:rPr>
            </w:pPr>
          </w:p>
        </w:tc>
        <w:tc>
          <w:tcPr>
            <w:tcW w:w="556" w:type="dxa"/>
            <w:vAlign w:val="top"/>
          </w:tcPr>
          <w:p w14:paraId="3D810612">
            <w:pPr>
              <w:rPr>
                <w:rFonts w:ascii="Arial"/>
                <w:color w:val="auto"/>
                <w:sz w:val="21"/>
                <w:highlight w:val="none"/>
              </w:rPr>
            </w:pPr>
          </w:p>
        </w:tc>
        <w:tc>
          <w:tcPr>
            <w:tcW w:w="562" w:type="dxa"/>
            <w:vAlign w:val="top"/>
          </w:tcPr>
          <w:p w14:paraId="3814AA48">
            <w:pPr>
              <w:rPr>
                <w:rFonts w:ascii="Arial"/>
                <w:color w:val="auto"/>
                <w:sz w:val="21"/>
                <w:highlight w:val="none"/>
              </w:rPr>
            </w:pPr>
          </w:p>
        </w:tc>
        <w:tc>
          <w:tcPr>
            <w:tcW w:w="676" w:type="dxa"/>
            <w:vAlign w:val="top"/>
          </w:tcPr>
          <w:p w14:paraId="512B9F9E">
            <w:pPr>
              <w:rPr>
                <w:rFonts w:ascii="Arial"/>
                <w:color w:val="auto"/>
                <w:sz w:val="21"/>
                <w:highlight w:val="none"/>
              </w:rPr>
            </w:pPr>
          </w:p>
        </w:tc>
        <w:tc>
          <w:tcPr>
            <w:tcW w:w="682" w:type="dxa"/>
            <w:vAlign w:val="top"/>
          </w:tcPr>
          <w:p w14:paraId="4EDD1E26">
            <w:pPr>
              <w:rPr>
                <w:rFonts w:ascii="Arial"/>
                <w:color w:val="auto"/>
                <w:sz w:val="21"/>
                <w:highlight w:val="none"/>
              </w:rPr>
            </w:pPr>
          </w:p>
        </w:tc>
        <w:tc>
          <w:tcPr>
            <w:tcW w:w="681" w:type="dxa"/>
            <w:vAlign w:val="top"/>
          </w:tcPr>
          <w:p w14:paraId="5309CECB">
            <w:pPr>
              <w:rPr>
                <w:rFonts w:ascii="Arial"/>
                <w:color w:val="auto"/>
                <w:sz w:val="21"/>
                <w:highlight w:val="none"/>
              </w:rPr>
            </w:pPr>
          </w:p>
        </w:tc>
        <w:tc>
          <w:tcPr>
            <w:tcW w:w="624" w:type="dxa"/>
            <w:vAlign w:val="top"/>
          </w:tcPr>
          <w:p w14:paraId="09DCEE86">
            <w:pPr>
              <w:rPr>
                <w:rFonts w:ascii="Arial"/>
                <w:color w:val="auto"/>
                <w:sz w:val="21"/>
                <w:highlight w:val="none"/>
              </w:rPr>
            </w:pPr>
          </w:p>
        </w:tc>
        <w:tc>
          <w:tcPr>
            <w:tcW w:w="628" w:type="dxa"/>
            <w:vAlign w:val="top"/>
          </w:tcPr>
          <w:p w14:paraId="568D8DE7">
            <w:pPr>
              <w:rPr>
                <w:rFonts w:ascii="Arial"/>
                <w:color w:val="auto"/>
                <w:sz w:val="21"/>
                <w:highlight w:val="none"/>
              </w:rPr>
            </w:pPr>
          </w:p>
        </w:tc>
        <w:tc>
          <w:tcPr>
            <w:tcW w:w="634" w:type="dxa"/>
            <w:vAlign w:val="top"/>
          </w:tcPr>
          <w:p w14:paraId="278C592A">
            <w:pPr>
              <w:rPr>
                <w:rFonts w:ascii="Arial"/>
                <w:color w:val="auto"/>
                <w:sz w:val="21"/>
                <w:highlight w:val="none"/>
              </w:rPr>
            </w:pPr>
          </w:p>
        </w:tc>
      </w:tr>
      <w:tr w14:paraId="59C1C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58300A89">
            <w:pPr>
              <w:rPr>
                <w:rFonts w:ascii="Arial"/>
                <w:color w:val="auto"/>
                <w:sz w:val="21"/>
                <w:highlight w:val="none"/>
              </w:rPr>
            </w:pPr>
          </w:p>
        </w:tc>
        <w:tc>
          <w:tcPr>
            <w:tcW w:w="2578" w:type="dxa"/>
            <w:vAlign w:val="top"/>
          </w:tcPr>
          <w:p w14:paraId="1230D00C">
            <w:pPr>
              <w:rPr>
                <w:rFonts w:ascii="Arial"/>
                <w:color w:val="auto"/>
                <w:sz w:val="21"/>
                <w:highlight w:val="none"/>
              </w:rPr>
            </w:pPr>
          </w:p>
        </w:tc>
        <w:tc>
          <w:tcPr>
            <w:tcW w:w="806" w:type="dxa"/>
            <w:vAlign w:val="top"/>
          </w:tcPr>
          <w:p w14:paraId="5049A72A">
            <w:pPr>
              <w:rPr>
                <w:rFonts w:ascii="Arial"/>
                <w:color w:val="auto"/>
                <w:sz w:val="21"/>
                <w:highlight w:val="none"/>
              </w:rPr>
            </w:pPr>
          </w:p>
        </w:tc>
        <w:tc>
          <w:tcPr>
            <w:tcW w:w="562" w:type="dxa"/>
            <w:vAlign w:val="top"/>
          </w:tcPr>
          <w:p w14:paraId="5C661BD0">
            <w:pPr>
              <w:rPr>
                <w:rFonts w:ascii="Arial"/>
                <w:color w:val="auto"/>
                <w:sz w:val="21"/>
                <w:highlight w:val="none"/>
              </w:rPr>
            </w:pPr>
          </w:p>
        </w:tc>
        <w:tc>
          <w:tcPr>
            <w:tcW w:w="556" w:type="dxa"/>
            <w:vAlign w:val="top"/>
          </w:tcPr>
          <w:p w14:paraId="3559209F">
            <w:pPr>
              <w:rPr>
                <w:rFonts w:ascii="Arial"/>
                <w:color w:val="auto"/>
                <w:sz w:val="21"/>
                <w:highlight w:val="none"/>
              </w:rPr>
            </w:pPr>
          </w:p>
        </w:tc>
        <w:tc>
          <w:tcPr>
            <w:tcW w:w="562" w:type="dxa"/>
            <w:vAlign w:val="top"/>
          </w:tcPr>
          <w:p w14:paraId="168B3C80">
            <w:pPr>
              <w:rPr>
                <w:rFonts w:ascii="Arial"/>
                <w:color w:val="auto"/>
                <w:sz w:val="21"/>
                <w:highlight w:val="none"/>
              </w:rPr>
            </w:pPr>
          </w:p>
        </w:tc>
        <w:tc>
          <w:tcPr>
            <w:tcW w:w="676" w:type="dxa"/>
            <w:vAlign w:val="top"/>
          </w:tcPr>
          <w:p w14:paraId="3137956F">
            <w:pPr>
              <w:rPr>
                <w:rFonts w:ascii="Arial"/>
                <w:color w:val="auto"/>
                <w:sz w:val="21"/>
                <w:highlight w:val="none"/>
              </w:rPr>
            </w:pPr>
          </w:p>
        </w:tc>
        <w:tc>
          <w:tcPr>
            <w:tcW w:w="682" w:type="dxa"/>
            <w:vAlign w:val="top"/>
          </w:tcPr>
          <w:p w14:paraId="6780C108">
            <w:pPr>
              <w:rPr>
                <w:rFonts w:ascii="Arial"/>
                <w:color w:val="auto"/>
                <w:sz w:val="21"/>
                <w:highlight w:val="none"/>
              </w:rPr>
            </w:pPr>
          </w:p>
        </w:tc>
        <w:tc>
          <w:tcPr>
            <w:tcW w:w="681" w:type="dxa"/>
            <w:vAlign w:val="top"/>
          </w:tcPr>
          <w:p w14:paraId="19A4B670">
            <w:pPr>
              <w:rPr>
                <w:rFonts w:ascii="Arial"/>
                <w:color w:val="auto"/>
                <w:sz w:val="21"/>
                <w:highlight w:val="none"/>
              </w:rPr>
            </w:pPr>
          </w:p>
        </w:tc>
        <w:tc>
          <w:tcPr>
            <w:tcW w:w="624" w:type="dxa"/>
            <w:vAlign w:val="top"/>
          </w:tcPr>
          <w:p w14:paraId="079600EF">
            <w:pPr>
              <w:rPr>
                <w:rFonts w:ascii="Arial"/>
                <w:color w:val="auto"/>
                <w:sz w:val="21"/>
                <w:highlight w:val="none"/>
              </w:rPr>
            </w:pPr>
          </w:p>
        </w:tc>
        <w:tc>
          <w:tcPr>
            <w:tcW w:w="628" w:type="dxa"/>
            <w:vAlign w:val="top"/>
          </w:tcPr>
          <w:p w14:paraId="231861C8">
            <w:pPr>
              <w:rPr>
                <w:rFonts w:ascii="Arial"/>
                <w:color w:val="auto"/>
                <w:sz w:val="21"/>
                <w:highlight w:val="none"/>
              </w:rPr>
            </w:pPr>
          </w:p>
        </w:tc>
        <w:tc>
          <w:tcPr>
            <w:tcW w:w="634" w:type="dxa"/>
            <w:vAlign w:val="top"/>
          </w:tcPr>
          <w:p w14:paraId="3093F267">
            <w:pPr>
              <w:rPr>
                <w:rFonts w:ascii="Arial"/>
                <w:color w:val="auto"/>
                <w:sz w:val="21"/>
                <w:highlight w:val="none"/>
              </w:rPr>
            </w:pPr>
          </w:p>
        </w:tc>
      </w:tr>
      <w:tr w14:paraId="7E557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EF58165">
            <w:pPr>
              <w:rPr>
                <w:rFonts w:ascii="Arial"/>
                <w:color w:val="auto"/>
                <w:sz w:val="21"/>
                <w:highlight w:val="none"/>
              </w:rPr>
            </w:pPr>
          </w:p>
        </w:tc>
        <w:tc>
          <w:tcPr>
            <w:tcW w:w="2578" w:type="dxa"/>
            <w:vAlign w:val="top"/>
          </w:tcPr>
          <w:p w14:paraId="06597AC7">
            <w:pPr>
              <w:rPr>
                <w:rFonts w:ascii="Arial"/>
                <w:color w:val="auto"/>
                <w:sz w:val="21"/>
                <w:highlight w:val="none"/>
              </w:rPr>
            </w:pPr>
          </w:p>
        </w:tc>
        <w:tc>
          <w:tcPr>
            <w:tcW w:w="806" w:type="dxa"/>
            <w:vAlign w:val="top"/>
          </w:tcPr>
          <w:p w14:paraId="117B4E10">
            <w:pPr>
              <w:rPr>
                <w:rFonts w:ascii="Arial"/>
                <w:color w:val="auto"/>
                <w:sz w:val="21"/>
                <w:highlight w:val="none"/>
              </w:rPr>
            </w:pPr>
          </w:p>
        </w:tc>
        <w:tc>
          <w:tcPr>
            <w:tcW w:w="562" w:type="dxa"/>
            <w:vAlign w:val="top"/>
          </w:tcPr>
          <w:p w14:paraId="5BC99991">
            <w:pPr>
              <w:rPr>
                <w:rFonts w:ascii="Arial"/>
                <w:color w:val="auto"/>
                <w:sz w:val="21"/>
                <w:highlight w:val="none"/>
              </w:rPr>
            </w:pPr>
          </w:p>
        </w:tc>
        <w:tc>
          <w:tcPr>
            <w:tcW w:w="556" w:type="dxa"/>
            <w:vAlign w:val="top"/>
          </w:tcPr>
          <w:p w14:paraId="423645DC">
            <w:pPr>
              <w:rPr>
                <w:rFonts w:ascii="Arial"/>
                <w:color w:val="auto"/>
                <w:sz w:val="21"/>
                <w:highlight w:val="none"/>
              </w:rPr>
            </w:pPr>
          </w:p>
        </w:tc>
        <w:tc>
          <w:tcPr>
            <w:tcW w:w="562" w:type="dxa"/>
            <w:vAlign w:val="top"/>
          </w:tcPr>
          <w:p w14:paraId="47E376FF">
            <w:pPr>
              <w:rPr>
                <w:rFonts w:ascii="Arial"/>
                <w:color w:val="auto"/>
                <w:sz w:val="21"/>
                <w:highlight w:val="none"/>
              </w:rPr>
            </w:pPr>
          </w:p>
        </w:tc>
        <w:tc>
          <w:tcPr>
            <w:tcW w:w="676" w:type="dxa"/>
            <w:vAlign w:val="top"/>
          </w:tcPr>
          <w:p w14:paraId="751E6DA2">
            <w:pPr>
              <w:rPr>
                <w:rFonts w:ascii="Arial"/>
                <w:color w:val="auto"/>
                <w:sz w:val="21"/>
                <w:highlight w:val="none"/>
              </w:rPr>
            </w:pPr>
          </w:p>
        </w:tc>
        <w:tc>
          <w:tcPr>
            <w:tcW w:w="682" w:type="dxa"/>
            <w:vAlign w:val="top"/>
          </w:tcPr>
          <w:p w14:paraId="3D89D998">
            <w:pPr>
              <w:rPr>
                <w:rFonts w:ascii="Arial"/>
                <w:color w:val="auto"/>
                <w:sz w:val="21"/>
                <w:highlight w:val="none"/>
              </w:rPr>
            </w:pPr>
          </w:p>
        </w:tc>
        <w:tc>
          <w:tcPr>
            <w:tcW w:w="681" w:type="dxa"/>
            <w:vAlign w:val="top"/>
          </w:tcPr>
          <w:p w14:paraId="4DF04790">
            <w:pPr>
              <w:rPr>
                <w:rFonts w:ascii="Arial"/>
                <w:color w:val="auto"/>
                <w:sz w:val="21"/>
                <w:highlight w:val="none"/>
              </w:rPr>
            </w:pPr>
          </w:p>
        </w:tc>
        <w:tc>
          <w:tcPr>
            <w:tcW w:w="624" w:type="dxa"/>
            <w:vAlign w:val="top"/>
          </w:tcPr>
          <w:p w14:paraId="69EED55F">
            <w:pPr>
              <w:rPr>
                <w:rFonts w:ascii="Arial"/>
                <w:color w:val="auto"/>
                <w:sz w:val="21"/>
                <w:highlight w:val="none"/>
              </w:rPr>
            </w:pPr>
          </w:p>
        </w:tc>
        <w:tc>
          <w:tcPr>
            <w:tcW w:w="628" w:type="dxa"/>
            <w:vAlign w:val="top"/>
          </w:tcPr>
          <w:p w14:paraId="49CC411D">
            <w:pPr>
              <w:rPr>
                <w:rFonts w:ascii="Arial"/>
                <w:color w:val="auto"/>
                <w:sz w:val="21"/>
                <w:highlight w:val="none"/>
              </w:rPr>
            </w:pPr>
          </w:p>
        </w:tc>
        <w:tc>
          <w:tcPr>
            <w:tcW w:w="634" w:type="dxa"/>
            <w:vAlign w:val="top"/>
          </w:tcPr>
          <w:p w14:paraId="69723A7B">
            <w:pPr>
              <w:rPr>
                <w:rFonts w:ascii="Arial"/>
                <w:color w:val="auto"/>
                <w:sz w:val="21"/>
                <w:highlight w:val="none"/>
              </w:rPr>
            </w:pPr>
          </w:p>
        </w:tc>
      </w:tr>
      <w:tr w14:paraId="14D54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2F742E5C">
            <w:pPr>
              <w:rPr>
                <w:rFonts w:ascii="Arial"/>
                <w:color w:val="auto"/>
                <w:sz w:val="21"/>
                <w:highlight w:val="none"/>
              </w:rPr>
            </w:pPr>
          </w:p>
        </w:tc>
        <w:tc>
          <w:tcPr>
            <w:tcW w:w="2578" w:type="dxa"/>
            <w:vAlign w:val="top"/>
          </w:tcPr>
          <w:p w14:paraId="3A058D20">
            <w:pPr>
              <w:rPr>
                <w:rFonts w:ascii="Arial"/>
                <w:color w:val="auto"/>
                <w:sz w:val="21"/>
                <w:highlight w:val="none"/>
              </w:rPr>
            </w:pPr>
          </w:p>
        </w:tc>
        <w:tc>
          <w:tcPr>
            <w:tcW w:w="806" w:type="dxa"/>
            <w:vAlign w:val="top"/>
          </w:tcPr>
          <w:p w14:paraId="0C270597">
            <w:pPr>
              <w:rPr>
                <w:rFonts w:ascii="Arial"/>
                <w:color w:val="auto"/>
                <w:sz w:val="21"/>
                <w:highlight w:val="none"/>
              </w:rPr>
            </w:pPr>
          </w:p>
        </w:tc>
        <w:tc>
          <w:tcPr>
            <w:tcW w:w="562" w:type="dxa"/>
            <w:vAlign w:val="top"/>
          </w:tcPr>
          <w:p w14:paraId="1E8A8BAF">
            <w:pPr>
              <w:rPr>
                <w:rFonts w:ascii="Arial"/>
                <w:color w:val="auto"/>
                <w:sz w:val="21"/>
                <w:highlight w:val="none"/>
              </w:rPr>
            </w:pPr>
          </w:p>
        </w:tc>
        <w:tc>
          <w:tcPr>
            <w:tcW w:w="556" w:type="dxa"/>
            <w:vAlign w:val="top"/>
          </w:tcPr>
          <w:p w14:paraId="334C5FEA">
            <w:pPr>
              <w:rPr>
                <w:rFonts w:ascii="Arial"/>
                <w:color w:val="auto"/>
                <w:sz w:val="21"/>
                <w:highlight w:val="none"/>
              </w:rPr>
            </w:pPr>
          </w:p>
        </w:tc>
        <w:tc>
          <w:tcPr>
            <w:tcW w:w="562" w:type="dxa"/>
            <w:vAlign w:val="top"/>
          </w:tcPr>
          <w:p w14:paraId="37E490EB">
            <w:pPr>
              <w:rPr>
                <w:rFonts w:ascii="Arial"/>
                <w:color w:val="auto"/>
                <w:sz w:val="21"/>
                <w:highlight w:val="none"/>
              </w:rPr>
            </w:pPr>
          </w:p>
        </w:tc>
        <w:tc>
          <w:tcPr>
            <w:tcW w:w="676" w:type="dxa"/>
            <w:vAlign w:val="top"/>
          </w:tcPr>
          <w:p w14:paraId="79482B6B">
            <w:pPr>
              <w:rPr>
                <w:rFonts w:ascii="Arial"/>
                <w:color w:val="auto"/>
                <w:sz w:val="21"/>
                <w:highlight w:val="none"/>
              </w:rPr>
            </w:pPr>
          </w:p>
        </w:tc>
        <w:tc>
          <w:tcPr>
            <w:tcW w:w="682" w:type="dxa"/>
            <w:vAlign w:val="top"/>
          </w:tcPr>
          <w:p w14:paraId="07AF2C38">
            <w:pPr>
              <w:rPr>
                <w:rFonts w:ascii="Arial"/>
                <w:color w:val="auto"/>
                <w:sz w:val="21"/>
                <w:highlight w:val="none"/>
              </w:rPr>
            </w:pPr>
          </w:p>
        </w:tc>
        <w:tc>
          <w:tcPr>
            <w:tcW w:w="681" w:type="dxa"/>
            <w:vAlign w:val="top"/>
          </w:tcPr>
          <w:p w14:paraId="00D69D35">
            <w:pPr>
              <w:rPr>
                <w:rFonts w:ascii="Arial"/>
                <w:color w:val="auto"/>
                <w:sz w:val="21"/>
                <w:highlight w:val="none"/>
              </w:rPr>
            </w:pPr>
          </w:p>
        </w:tc>
        <w:tc>
          <w:tcPr>
            <w:tcW w:w="624" w:type="dxa"/>
            <w:vAlign w:val="top"/>
          </w:tcPr>
          <w:p w14:paraId="4FD2E2D1">
            <w:pPr>
              <w:rPr>
                <w:rFonts w:ascii="Arial"/>
                <w:color w:val="auto"/>
                <w:sz w:val="21"/>
                <w:highlight w:val="none"/>
              </w:rPr>
            </w:pPr>
          </w:p>
        </w:tc>
        <w:tc>
          <w:tcPr>
            <w:tcW w:w="628" w:type="dxa"/>
            <w:vAlign w:val="top"/>
          </w:tcPr>
          <w:p w14:paraId="51843BD2">
            <w:pPr>
              <w:rPr>
                <w:rFonts w:ascii="Arial"/>
                <w:color w:val="auto"/>
                <w:sz w:val="21"/>
                <w:highlight w:val="none"/>
              </w:rPr>
            </w:pPr>
          </w:p>
        </w:tc>
        <w:tc>
          <w:tcPr>
            <w:tcW w:w="634" w:type="dxa"/>
            <w:vAlign w:val="top"/>
          </w:tcPr>
          <w:p w14:paraId="77C67EE4">
            <w:pPr>
              <w:rPr>
                <w:rFonts w:ascii="Arial"/>
                <w:color w:val="auto"/>
                <w:sz w:val="21"/>
                <w:highlight w:val="none"/>
              </w:rPr>
            </w:pPr>
          </w:p>
        </w:tc>
      </w:tr>
      <w:tr w14:paraId="5B9CC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6A539EDA">
            <w:pPr>
              <w:rPr>
                <w:rFonts w:ascii="Arial"/>
                <w:color w:val="auto"/>
                <w:sz w:val="21"/>
                <w:highlight w:val="none"/>
              </w:rPr>
            </w:pPr>
          </w:p>
        </w:tc>
        <w:tc>
          <w:tcPr>
            <w:tcW w:w="2578" w:type="dxa"/>
            <w:vAlign w:val="top"/>
          </w:tcPr>
          <w:p w14:paraId="7514B3C7">
            <w:pPr>
              <w:rPr>
                <w:rFonts w:ascii="Arial"/>
                <w:color w:val="auto"/>
                <w:sz w:val="21"/>
                <w:highlight w:val="none"/>
              </w:rPr>
            </w:pPr>
          </w:p>
        </w:tc>
        <w:tc>
          <w:tcPr>
            <w:tcW w:w="806" w:type="dxa"/>
            <w:vAlign w:val="top"/>
          </w:tcPr>
          <w:p w14:paraId="262E0E5D">
            <w:pPr>
              <w:rPr>
                <w:rFonts w:ascii="Arial"/>
                <w:color w:val="auto"/>
                <w:sz w:val="21"/>
                <w:highlight w:val="none"/>
              </w:rPr>
            </w:pPr>
          </w:p>
        </w:tc>
        <w:tc>
          <w:tcPr>
            <w:tcW w:w="562" w:type="dxa"/>
            <w:vAlign w:val="top"/>
          </w:tcPr>
          <w:p w14:paraId="0EB31906">
            <w:pPr>
              <w:rPr>
                <w:rFonts w:ascii="Arial"/>
                <w:color w:val="auto"/>
                <w:sz w:val="21"/>
                <w:highlight w:val="none"/>
              </w:rPr>
            </w:pPr>
          </w:p>
        </w:tc>
        <w:tc>
          <w:tcPr>
            <w:tcW w:w="556" w:type="dxa"/>
            <w:vAlign w:val="top"/>
          </w:tcPr>
          <w:p w14:paraId="2970E1B3">
            <w:pPr>
              <w:rPr>
                <w:rFonts w:ascii="Arial"/>
                <w:color w:val="auto"/>
                <w:sz w:val="21"/>
                <w:highlight w:val="none"/>
              </w:rPr>
            </w:pPr>
          </w:p>
        </w:tc>
        <w:tc>
          <w:tcPr>
            <w:tcW w:w="562" w:type="dxa"/>
            <w:vAlign w:val="top"/>
          </w:tcPr>
          <w:p w14:paraId="2D1833EF">
            <w:pPr>
              <w:rPr>
                <w:rFonts w:ascii="Arial"/>
                <w:color w:val="auto"/>
                <w:sz w:val="21"/>
                <w:highlight w:val="none"/>
              </w:rPr>
            </w:pPr>
          </w:p>
        </w:tc>
        <w:tc>
          <w:tcPr>
            <w:tcW w:w="676" w:type="dxa"/>
            <w:vAlign w:val="top"/>
          </w:tcPr>
          <w:p w14:paraId="2B21BEA1">
            <w:pPr>
              <w:rPr>
                <w:rFonts w:ascii="Arial"/>
                <w:color w:val="auto"/>
                <w:sz w:val="21"/>
                <w:highlight w:val="none"/>
              </w:rPr>
            </w:pPr>
          </w:p>
        </w:tc>
        <w:tc>
          <w:tcPr>
            <w:tcW w:w="682" w:type="dxa"/>
            <w:vAlign w:val="top"/>
          </w:tcPr>
          <w:p w14:paraId="768C2537">
            <w:pPr>
              <w:rPr>
                <w:rFonts w:ascii="Arial"/>
                <w:color w:val="auto"/>
                <w:sz w:val="21"/>
                <w:highlight w:val="none"/>
              </w:rPr>
            </w:pPr>
          </w:p>
        </w:tc>
        <w:tc>
          <w:tcPr>
            <w:tcW w:w="681" w:type="dxa"/>
            <w:vAlign w:val="top"/>
          </w:tcPr>
          <w:p w14:paraId="6CBEEEE7">
            <w:pPr>
              <w:rPr>
                <w:rFonts w:ascii="Arial"/>
                <w:color w:val="auto"/>
                <w:sz w:val="21"/>
                <w:highlight w:val="none"/>
              </w:rPr>
            </w:pPr>
          </w:p>
        </w:tc>
        <w:tc>
          <w:tcPr>
            <w:tcW w:w="624" w:type="dxa"/>
            <w:vAlign w:val="top"/>
          </w:tcPr>
          <w:p w14:paraId="259FC724">
            <w:pPr>
              <w:rPr>
                <w:rFonts w:ascii="Arial"/>
                <w:color w:val="auto"/>
                <w:sz w:val="21"/>
                <w:highlight w:val="none"/>
              </w:rPr>
            </w:pPr>
          </w:p>
        </w:tc>
        <w:tc>
          <w:tcPr>
            <w:tcW w:w="628" w:type="dxa"/>
            <w:vAlign w:val="top"/>
          </w:tcPr>
          <w:p w14:paraId="7C864C61">
            <w:pPr>
              <w:rPr>
                <w:rFonts w:ascii="Arial"/>
                <w:color w:val="auto"/>
                <w:sz w:val="21"/>
                <w:highlight w:val="none"/>
              </w:rPr>
            </w:pPr>
          </w:p>
        </w:tc>
        <w:tc>
          <w:tcPr>
            <w:tcW w:w="634" w:type="dxa"/>
            <w:vAlign w:val="top"/>
          </w:tcPr>
          <w:p w14:paraId="70C169B7">
            <w:pPr>
              <w:rPr>
                <w:rFonts w:ascii="Arial"/>
                <w:color w:val="auto"/>
                <w:sz w:val="21"/>
                <w:highlight w:val="none"/>
              </w:rPr>
            </w:pPr>
          </w:p>
        </w:tc>
      </w:tr>
      <w:tr w14:paraId="5B551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43DF671">
            <w:pPr>
              <w:rPr>
                <w:rFonts w:ascii="Arial"/>
                <w:color w:val="auto"/>
                <w:sz w:val="21"/>
                <w:highlight w:val="none"/>
              </w:rPr>
            </w:pPr>
          </w:p>
        </w:tc>
        <w:tc>
          <w:tcPr>
            <w:tcW w:w="2578" w:type="dxa"/>
            <w:vAlign w:val="top"/>
          </w:tcPr>
          <w:p w14:paraId="3E3C08B7">
            <w:pPr>
              <w:rPr>
                <w:rFonts w:ascii="Arial"/>
                <w:color w:val="auto"/>
                <w:sz w:val="21"/>
                <w:highlight w:val="none"/>
              </w:rPr>
            </w:pPr>
          </w:p>
        </w:tc>
        <w:tc>
          <w:tcPr>
            <w:tcW w:w="806" w:type="dxa"/>
            <w:vAlign w:val="top"/>
          </w:tcPr>
          <w:p w14:paraId="33E5FD19">
            <w:pPr>
              <w:rPr>
                <w:rFonts w:ascii="Arial"/>
                <w:color w:val="auto"/>
                <w:sz w:val="21"/>
                <w:highlight w:val="none"/>
              </w:rPr>
            </w:pPr>
          </w:p>
        </w:tc>
        <w:tc>
          <w:tcPr>
            <w:tcW w:w="562" w:type="dxa"/>
            <w:vAlign w:val="top"/>
          </w:tcPr>
          <w:p w14:paraId="38C2812D">
            <w:pPr>
              <w:rPr>
                <w:rFonts w:ascii="Arial"/>
                <w:color w:val="auto"/>
                <w:sz w:val="21"/>
                <w:highlight w:val="none"/>
              </w:rPr>
            </w:pPr>
          </w:p>
        </w:tc>
        <w:tc>
          <w:tcPr>
            <w:tcW w:w="556" w:type="dxa"/>
            <w:vAlign w:val="top"/>
          </w:tcPr>
          <w:p w14:paraId="36CF11A2">
            <w:pPr>
              <w:rPr>
                <w:rFonts w:ascii="Arial"/>
                <w:color w:val="auto"/>
                <w:sz w:val="21"/>
                <w:highlight w:val="none"/>
              </w:rPr>
            </w:pPr>
          </w:p>
        </w:tc>
        <w:tc>
          <w:tcPr>
            <w:tcW w:w="562" w:type="dxa"/>
            <w:vAlign w:val="top"/>
          </w:tcPr>
          <w:p w14:paraId="47160490">
            <w:pPr>
              <w:rPr>
                <w:rFonts w:ascii="Arial"/>
                <w:color w:val="auto"/>
                <w:sz w:val="21"/>
                <w:highlight w:val="none"/>
              </w:rPr>
            </w:pPr>
          </w:p>
        </w:tc>
        <w:tc>
          <w:tcPr>
            <w:tcW w:w="676" w:type="dxa"/>
            <w:vAlign w:val="top"/>
          </w:tcPr>
          <w:p w14:paraId="2D0BB91D">
            <w:pPr>
              <w:rPr>
                <w:rFonts w:ascii="Arial"/>
                <w:color w:val="auto"/>
                <w:sz w:val="21"/>
                <w:highlight w:val="none"/>
              </w:rPr>
            </w:pPr>
          </w:p>
        </w:tc>
        <w:tc>
          <w:tcPr>
            <w:tcW w:w="682" w:type="dxa"/>
            <w:vAlign w:val="top"/>
          </w:tcPr>
          <w:p w14:paraId="3A385EB1">
            <w:pPr>
              <w:rPr>
                <w:rFonts w:ascii="Arial"/>
                <w:color w:val="auto"/>
                <w:sz w:val="21"/>
                <w:highlight w:val="none"/>
              </w:rPr>
            </w:pPr>
          </w:p>
        </w:tc>
        <w:tc>
          <w:tcPr>
            <w:tcW w:w="681" w:type="dxa"/>
            <w:vAlign w:val="top"/>
          </w:tcPr>
          <w:p w14:paraId="3B7D3991">
            <w:pPr>
              <w:rPr>
                <w:rFonts w:ascii="Arial"/>
                <w:color w:val="auto"/>
                <w:sz w:val="21"/>
                <w:highlight w:val="none"/>
              </w:rPr>
            </w:pPr>
          </w:p>
        </w:tc>
        <w:tc>
          <w:tcPr>
            <w:tcW w:w="624" w:type="dxa"/>
            <w:vAlign w:val="top"/>
          </w:tcPr>
          <w:p w14:paraId="24868941">
            <w:pPr>
              <w:rPr>
                <w:rFonts w:ascii="Arial"/>
                <w:color w:val="auto"/>
                <w:sz w:val="21"/>
                <w:highlight w:val="none"/>
              </w:rPr>
            </w:pPr>
          </w:p>
        </w:tc>
        <w:tc>
          <w:tcPr>
            <w:tcW w:w="628" w:type="dxa"/>
            <w:vAlign w:val="top"/>
          </w:tcPr>
          <w:p w14:paraId="438BB73A">
            <w:pPr>
              <w:rPr>
                <w:rFonts w:ascii="Arial"/>
                <w:color w:val="auto"/>
                <w:sz w:val="21"/>
                <w:highlight w:val="none"/>
              </w:rPr>
            </w:pPr>
          </w:p>
        </w:tc>
        <w:tc>
          <w:tcPr>
            <w:tcW w:w="634" w:type="dxa"/>
            <w:vAlign w:val="top"/>
          </w:tcPr>
          <w:p w14:paraId="7C7AD434">
            <w:pPr>
              <w:rPr>
                <w:rFonts w:ascii="Arial"/>
                <w:color w:val="auto"/>
                <w:sz w:val="21"/>
                <w:highlight w:val="none"/>
              </w:rPr>
            </w:pPr>
          </w:p>
        </w:tc>
      </w:tr>
      <w:tr w14:paraId="3C92B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C6D4719">
            <w:pPr>
              <w:rPr>
                <w:rFonts w:ascii="Arial"/>
                <w:color w:val="auto"/>
                <w:sz w:val="21"/>
                <w:highlight w:val="none"/>
              </w:rPr>
            </w:pPr>
          </w:p>
        </w:tc>
        <w:tc>
          <w:tcPr>
            <w:tcW w:w="2578" w:type="dxa"/>
            <w:vAlign w:val="top"/>
          </w:tcPr>
          <w:p w14:paraId="5AB4C0F0">
            <w:pPr>
              <w:rPr>
                <w:rFonts w:ascii="Arial"/>
                <w:color w:val="auto"/>
                <w:sz w:val="21"/>
                <w:highlight w:val="none"/>
              </w:rPr>
            </w:pPr>
          </w:p>
        </w:tc>
        <w:tc>
          <w:tcPr>
            <w:tcW w:w="806" w:type="dxa"/>
            <w:vAlign w:val="top"/>
          </w:tcPr>
          <w:p w14:paraId="7F9BCEA9">
            <w:pPr>
              <w:rPr>
                <w:rFonts w:ascii="Arial"/>
                <w:color w:val="auto"/>
                <w:sz w:val="21"/>
                <w:highlight w:val="none"/>
              </w:rPr>
            </w:pPr>
          </w:p>
        </w:tc>
        <w:tc>
          <w:tcPr>
            <w:tcW w:w="562" w:type="dxa"/>
            <w:vAlign w:val="top"/>
          </w:tcPr>
          <w:p w14:paraId="02C43787">
            <w:pPr>
              <w:rPr>
                <w:rFonts w:ascii="Arial"/>
                <w:color w:val="auto"/>
                <w:sz w:val="21"/>
                <w:highlight w:val="none"/>
              </w:rPr>
            </w:pPr>
          </w:p>
        </w:tc>
        <w:tc>
          <w:tcPr>
            <w:tcW w:w="556" w:type="dxa"/>
            <w:vAlign w:val="top"/>
          </w:tcPr>
          <w:p w14:paraId="7565ECE3">
            <w:pPr>
              <w:rPr>
                <w:rFonts w:ascii="Arial"/>
                <w:color w:val="auto"/>
                <w:sz w:val="21"/>
                <w:highlight w:val="none"/>
              </w:rPr>
            </w:pPr>
          </w:p>
        </w:tc>
        <w:tc>
          <w:tcPr>
            <w:tcW w:w="562" w:type="dxa"/>
            <w:vAlign w:val="top"/>
          </w:tcPr>
          <w:p w14:paraId="3248D297">
            <w:pPr>
              <w:rPr>
                <w:rFonts w:ascii="Arial"/>
                <w:color w:val="auto"/>
                <w:sz w:val="21"/>
                <w:highlight w:val="none"/>
              </w:rPr>
            </w:pPr>
          </w:p>
        </w:tc>
        <w:tc>
          <w:tcPr>
            <w:tcW w:w="676" w:type="dxa"/>
            <w:vAlign w:val="top"/>
          </w:tcPr>
          <w:p w14:paraId="67131982">
            <w:pPr>
              <w:rPr>
                <w:rFonts w:ascii="Arial"/>
                <w:color w:val="auto"/>
                <w:sz w:val="21"/>
                <w:highlight w:val="none"/>
              </w:rPr>
            </w:pPr>
          </w:p>
        </w:tc>
        <w:tc>
          <w:tcPr>
            <w:tcW w:w="682" w:type="dxa"/>
            <w:vAlign w:val="top"/>
          </w:tcPr>
          <w:p w14:paraId="6486E0E2">
            <w:pPr>
              <w:rPr>
                <w:rFonts w:ascii="Arial"/>
                <w:color w:val="auto"/>
                <w:sz w:val="21"/>
                <w:highlight w:val="none"/>
              </w:rPr>
            </w:pPr>
          </w:p>
        </w:tc>
        <w:tc>
          <w:tcPr>
            <w:tcW w:w="681" w:type="dxa"/>
            <w:vAlign w:val="top"/>
          </w:tcPr>
          <w:p w14:paraId="7C2BA874">
            <w:pPr>
              <w:rPr>
                <w:rFonts w:ascii="Arial"/>
                <w:color w:val="auto"/>
                <w:sz w:val="21"/>
                <w:highlight w:val="none"/>
              </w:rPr>
            </w:pPr>
          </w:p>
        </w:tc>
        <w:tc>
          <w:tcPr>
            <w:tcW w:w="624" w:type="dxa"/>
            <w:vAlign w:val="top"/>
          </w:tcPr>
          <w:p w14:paraId="5A660B43">
            <w:pPr>
              <w:rPr>
                <w:rFonts w:ascii="Arial"/>
                <w:color w:val="auto"/>
                <w:sz w:val="21"/>
                <w:highlight w:val="none"/>
              </w:rPr>
            </w:pPr>
          </w:p>
        </w:tc>
        <w:tc>
          <w:tcPr>
            <w:tcW w:w="628" w:type="dxa"/>
            <w:vAlign w:val="top"/>
          </w:tcPr>
          <w:p w14:paraId="5275FECE">
            <w:pPr>
              <w:rPr>
                <w:rFonts w:ascii="Arial"/>
                <w:color w:val="auto"/>
                <w:sz w:val="21"/>
                <w:highlight w:val="none"/>
              </w:rPr>
            </w:pPr>
          </w:p>
        </w:tc>
        <w:tc>
          <w:tcPr>
            <w:tcW w:w="634" w:type="dxa"/>
            <w:vAlign w:val="top"/>
          </w:tcPr>
          <w:p w14:paraId="105A56D7">
            <w:pPr>
              <w:rPr>
                <w:rFonts w:ascii="Arial"/>
                <w:color w:val="auto"/>
                <w:sz w:val="21"/>
                <w:highlight w:val="none"/>
              </w:rPr>
            </w:pPr>
          </w:p>
        </w:tc>
      </w:tr>
      <w:tr w14:paraId="29BDE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9228CF7">
            <w:pPr>
              <w:rPr>
                <w:rFonts w:ascii="Arial"/>
                <w:color w:val="auto"/>
                <w:sz w:val="21"/>
                <w:highlight w:val="none"/>
              </w:rPr>
            </w:pPr>
          </w:p>
        </w:tc>
        <w:tc>
          <w:tcPr>
            <w:tcW w:w="2578" w:type="dxa"/>
            <w:vAlign w:val="top"/>
          </w:tcPr>
          <w:p w14:paraId="6B94CCFD">
            <w:pPr>
              <w:rPr>
                <w:rFonts w:ascii="Arial"/>
                <w:color w:val="auto"/>
                <w:sz w:val="21"/>
                <w:highlight w:val="none"/>
              </w:rPr>
            </w:pPr>
          </w:p>
        </w:tc>
        <w:tc>
          <w:tcPr>
            <w:tcW w:w="806" w:type="dxa"/>
            <w:vAlign w:val="top"/>
          </w:tcPr>
          <w:p w14:paraId="59B8299C">
            <w:pPr>
              <w:rPr>
                <w:rFonts w:ascii="Arial"/>
                <w:color w:val="auto"/>
                <w:sz w:val="21"/>
                <w:highlight w:val="none"/>
              </w:rPr>
            </w:pPr>
          </w:p>
        </w:tc>
        <w:tc>
          <w:tcPr>
            <w:tcW w:w="562" w:type="dxa"/>
            <w:vAlign w:val="top"/>
          </w:tcPr>
          <w:p w14:paraId="568530A5">
            <w:pPr>
              <w:rPr>
                <w:rFonts w:ascii="Arial"/>
                <w:color w:val="auto"/>
                <w:sz w:val="21"/>
                <w:highlight w:val="none"/>
              </w:rPr>
            </w:pPr>
          </w:p>
        </w:tc>
        <w:tc>
          <w:tcPr>
            <w:tcW w:w="556" w:type="dxa"/>
            <w:vAlign w:val="top"/>
          </w:tcPr>
          <w:p w14:paraId="317349E8">
            <w:pPr>
              <w:rPr>
                <w:rFonts w:ascii="Arial"/>
                <w:color w:val="auto"/>
                <w:sz w:val="21"/>
                <w:highlight w:val="none"/>
              </w:rPr>
            </w:pPr>
          </w:p>
        </w:tc>
        <w:tc>
          <w:tcPr>
            <w:tcW w:w="562" w:type="dxa"/>
            <w:vAlign w:val="top"/>
          </w:tcPr>
          <w:p w14:paraId="473BC036">
            <w:pPr>
              <w:rPr>
                <w:rFonts w:ascii="Arial"/>
                <w:color w:val="auto"/>
                <w:sz w:val="21"/>
                <w:highlight w:val="none"/>
              </w:rPr>
            </w:pPr>
          </w:p>
        </w:tc>
        <w:tc>
          <w:tcPr>
            <w:tcW w:w="676" w:type="dxa"/>
            <w:vAlign w:val="top"/>
          </w:tcPr>
          <w:p w14:paraId="1EA4A874">
            <w:pPr>
              <w:rPr>
                <w:rFonts w:ascii="Arial"/>
                <w:color w:val="auto"/>
                <w:sz w:val="21"/>
                <w:highlight w:val="none"/>
              </w:rPr>
            </w:pPr>
          </w:p>
        </w:tc>
        <w:tc>
          <w:tcPr>
            <w:tcW w:w="682" w:type="dxa"/>
            <w:vAlign w:val="top"/>
          </w:tcPr>
          <w:p w14:paraId="27649F1D">
            <w:pPr>
              <w:rPr>
                <w:rFonts w:ascii="Arial"/>
                <w:color w:val="auto"/>
                <w:sz w:val="21"/>
                <w:highlight w:val="none"/>
              </w:rPr>
            </w:pPr>
          </w:p>
        </w:tc>
        <w:tc>
          <w:tcPr>
            <w:tcW w:w="681" w:type="dxa"/>
            <w:vAlign w:val="top"/>
          </w:tcPr>
          <w:p w14:paraId="0B2144A8">
            <w:pPr>
              <w:rPr>
                <w:rFonts w:ascii="Arial"/>
                <w:color w:val="auto"/>
                <w:sz w:val="21"/>
                <w:highlight w:val="none"/>
              </w:rPr>
            </w:pPr>
          </w:p>
        </w:tc>
        <w:tc>
          <w:tcPr>
            <w:tcW w:w="624" w:type="dxa"/>
            <w:vAlign w:val="top"/>
          </w:tcPr>
          <w:p w14:paraId="346D16BD">
            <w:pPr>
              <w:rPr>
                <w:rFonts w:ascii="Arial"/>
                <w:color w:val="auto"/>
                <w:sz w:val="21"/>
                <w:highlight w:val="none"/>
              </w:rPr>
            </w:pPr>
          </w:p>
        </w:tc>
        <w:tc>
          <w:tcPr>
            <w:tcW w:w="628" w:type="dxa"/>
            <w:vAlign w:val="top"/>
          </w:tcPr>
          <w:p w14:paraId="130056A1">
            <w:pPr>
              <w:rPr>
                <w:rFonts w:ascii="Arial"/>
                <w:color w:val="auto"/>
                <w:sz w:val="21"/>
                <w:highlight w:val="none"/>
              </w:rPr>
            </w:pPr>
          </w:p>
        </w:tc>
        <w:tc>
          <w:tcPr>
            <w:tcW w:w="634" w:type="dxa"/>
            <w:vAlign w:val="top"/>
          </w:tcPr>
          <w:p w14:paraId="4E03DC38">
            <w:pPr>
              <w:rPr>
                <w:rFonts w:ascii="Arial"/>
                <w:color w:val="auto"/>
                <w:sz w:val="21"/>
                <w:highlight w:val="none"/>
              </w:rPr>
            </w:pPr>
          </w:p>
        </w:tc>
      </w:tr>
      <w:tr w14:paraId="24302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4D33080B">
            <w:pPr>
              <w:rPr>
                <w:rFonts w:ascii="Arial"/>
                <w:color w:val="auto"/>
                <w:sz w:val="21"/>
                <w:highlight w:val="none"/>
              </w:rPr>
            </w:pPr>
          </w:p>
        </w:tc>
        <w:tc>
          <w:tcPr>
            <w:tcW w:w="2578" w:type="dxa"/>
            <w:vAlign w:val="top"/>
          </w:tcPr>
          <w:p w14:paraId="6BE3FDD6">
            <w:pPr>
              <w:rPr>
                <w:rFonts w:ascii="Arial"/>
                <w:color w:val="auto"/>
                <w:sz w:val="21"/>
                <w:highlight w:val="none"/>
              </w:rPr>
            </w:pPr>
          </w:p>
        </w:tc>
        <w:tc>
          <w:tcPr>
            <w:tcW w:w="806" w:type="dxa"/>
            <w:vAlign w:val="top"/>
          </w:tcPr>
          <w:p w14:paraId="655B642D">
            <w:pPr>
              <w:rPr>
                <w:rFonts w:ascii="Arial"/>
                <w:color w:val="auto"/>
                <w:sz w:val="21"/>
                <w:highlight w:val="none"/>
              </w:rPr>
            </w:pPr>
          </w:p>
        </w:tc>
        <w:tc>
          <w:tcPr>
            <w:tcW w:w="562" w:type="dxa"/>
            <w:vAlign w:val="top"/>
          </w:tcPr>
          <w:p w14:paraId="0995B2FF">
            <w:pPr>
              <w:rPr>
                <w:rFonts w:ascii="Arial"/>
                <w:color w:val="auto"/>
                <w:sz w:val="21"/>
                <w:highlight w:val="none"/>
              </w:rPr>
            </w:pPr>
          </w:p>
        </w:tc>
        <w:tc>
          <w:tcPr>
            <w:tcW w:w="556" w:type="dxa"/>
            <w:vAlign w:val="top"/>
          </w:tcPr>
          <w:p w14:paraId="79F428EC">
            <w:pPr>
              <w:rPr>
                <w:rFonts w:ascii="Arial"/>
                <w:color w:val="auto"/>
                <w:sz w:val="21"/>
                <w:highlight w:val="none"/>
              </w:rPr>
            </w:pPr>
          </w:p>
        </w:tc>
        <w:tc>
          <w:tcPr>
            <w:tcW w:w="562" w:type="dxa"/>
            <w:vAlign w:val="top"/>
          </w:tcPr>
          <w:p w14:paraId="2D8CAE2A">
            <w:pPr>
              <w:rPr>
                <w:rFonts w:ascii="Arial"/>
                <w:color w:val="auto"/>
                <w:sz w:val="21"/>
                <w:highlight w:val="none"/>
              </w:rPr>
            </w:pPr>
          </w:p>
        </w:tc>
        <w:tc>
          <w:tcPr>
            <w:tcW w:w="676" w:type="dxa"/>
            <w:vAlign w:val="top"/>
          </w:tcPr>
          <w:p w14:paraId="240EA1DA">
            <w:pPr>
              <w:rPr>
                <w:rFonts w:ascii="Arial"/>
                <w:color w:val="auto"/>
                <w:sz w:val="21"/>
                <w:highlight w:val="none"/>
              </w:rPr>
            </w:pPr>
          </w:p>
        </w:tc>
        <w:tc>
          <w:tcPr>
            <w:tcW w:w="682" w:type="dxa"/>
            <w:vAlign w:val="top"/>
          </w:tcPr>
          <w:p w14:paraId="380AAE8A">
            <w:pPr>
              <w:rPr>
                <w:rFonts w:ascii="Arial"/>
                <w:color w:val="auto"/>
                <w:sz w:val="21"/>
                <w:highlight w:val="none"/>
              </w:rPr>
            </w:pPr>
          </w:p>
        </w:tc>
        <w:tc>
          <w:tcPr>
            <w:tcW w:w="681" w:type="dxa"/>
            <w:vAlign w:val="top"/>
          </w:tcPr>
          <w:p w14:paraId="41AB90F2">
            <w:pPr>
              <w:rPr>
                <w:rFonts w:ascii="Arial"/>
                <w:color w:val="auto"/>
                <w:sz w:val="21"/>
                <w:highlight w:val="none"/>
              </w:rPr>
            </w:pPr>
          </w:p>
        </w:tc>
        <w:tc>
          <w:tcPr>
            <w:tcW w:w="624" w:type="dxa"/>
            <w:vAlign w:val="top"/>
          </w:tcPr>
          <w:p w14:paraId="26D99828">
            <w:pPr>
              <w:rPr>
                <w:rFonts w:ascii="Arial"/>
                <w:color w:val="auto"/>
                <w:sz w:val="21"/>
                <w:highlight w:val="none"/>
              </w:rPr>
            </w:pPr>
          </w:p>
        </w:tc>
        <w:tc>
          <w:tcPr>
            <w:tcW w:w="628" w:type="dxa"/>
            <w:vAlign w:val="top"/>
          </w:tcPr>
          <w:p w14:paraId="25C9E88A">
            <w:pPr>
              <w:rPr>
                <w:rFonts w:ascii="Arial"/>
                <w:color w:val="auto"/>
                <w:sz w:val="21"/>
                <w:highlight w:val="none"/>
              </w:rPr>
            </w:pPr>
          </w:p>
        </w:tc>
        <w:tc>
          <w:tcPr>
            <w:tcW w:w="634" w:type="dxa"/>
            <w:vAlign w:val="top"/>
          </w:tcPr>
          <w:p w14:paraId="66798B26">
            <w:pPr>
              <w:rPr>
                <w:rFonts w:ascii="Arial"/>
                <w:color w:val="auto"/>
                <w:sz w:val="21"/>
                <w:highlight w:val="none"/>
              </w:rPr>
            </w:pPr>
          </w:p>
        </w:tc>
      </w:tr>
      <w:tr w14:paraId="389EF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5A2D91CE">
            <w:pPr>
              <w:rPr>
                <w:rFonts w:ascii="Arial"/>
                <w:color w:val="auto"/>
                <w:sz w:val="21"/>
                <w:highlight w:val="none"/>
              </w:rPr>
            </w:pPr>
          </w:p>
        </w:tc>
        <w:tc>
          <w:tcPr>
            <w:tcW w:w="2578" w:type="dxa"/>
            <w:vAlign w:val="top"/>
          </w:tcPr>
          <w:p w14:paraId="3BA7B971">
            <w:pPr>
              <w:rPr>
                <w:rFonts w:ascii="Arial"/>
                <w:color w:val="auto"/>
                <w:sz w:val="21"/>
                <w:highlight w:val="none"/>
              </w:rPr>
            </w:pPr>
          </w:p>
        </w:tc>
        <w:tc>
          <w:tcPr>
            <w:tcW w:w="806" w:type="dxa"/>
            <w:vAlign w:val="top"/>
          </w:tcPr>
          <w:p w14:paraId="4DD05862">
            <w:pPr>
              <w:rPr>
                <w:rFonts w:ascii="Arial"/>
                <w:color w:val="auto"/>
                <w:sz w:val="21"/>
                <w:highlight w:val="none"/>
              </w:rPr>
            </w:pPr>
          </w:p>
        </w:tc>
        <w:tc>
          <w:tcPr>
            <w:tcW w:w="562" w:type="dxa"/>
            <w:vAlign w:val="top"/>
          </w:tcPr>
          <w:p w14:paraId="6FE9928F">
            <w:pPr>
              <w:rPr>
                <w:rFonts w:ascii="Arial"/>
                <w:color w:val="auto"/>
                <w:sz w:val="21"/>
                <w:highlight w:val="none"/>
              </w:rPr>
            </w:pPr>
          </w:p>
        </w:tc>
        <w:tc>
          <w:tcPr>
            <w:tcW w:w="556" w:type="dxa"/>
            <w:vAlign w:val="top"/>
          </w:tcPr>
          <w:p w14:paraId="7BC5BE69">
            <w:pPr>
              <w:rPr>
                <w:rFonts w:ascii="Arial"/>
                <w:color w:val="auto"/>
                <w:sz w:val="21"/>
                <w:highlight w:val="none"/>
              </w:rPr>
            </w:pPr>
          </w:p>
        </w:tc>
        <w:tc>
          <w:tcPr>
            <w:tcW w:w="562" w:type="dxa"/>
            <w:vAlign w:val="top"/>
          </w:tcPr>
          <w:p w14:paraId="44E4DB70">
            <w:pPr>
              <w:rPr>
                <w:rFonts w:ascii="Arial"/>
                <w:color w:val="auto"/>
                <w:sz w:val="21"/>
                <w:highlight w:val="none"/>
              </w:rPr>
            </w:pPr>
          </w:p>
        </w:tc>
        <w:tc>
          <w:tcPr>
            <w:tcW w:w="676" w:type="dxa"/>
            <w:vAlign w:val="top"/>
          </w:tcPr>
          <w:p w14:paraId="44B9FF64">
            <w:pPr>
              <w:rPr>
                <w:rFonts w:ascii="Arial"/>
                <w:color w:val="auto"/>
                <w:sz w:val="21"/>
                <w:highlight w:val="none"/>
              </w:rPr>
            </w:pPr>
          </w:p>
        </w:tc>
        <w:tc>
          <w:tcPr>
            <w:tcW w:w="682" w:type="dxa"/>
            <w:vAlign w:val="top"/>
          </w:tcPr>
          <w:p w14:paraId="5499D4DC">
            <w:pPr>
              <w:rPr>
                <w:rFonts w:ascii="Arial"/>
                <w:color w:val="auto"/>
                <w:sz w:val="21"/>
                <w:highlight w:val="none"/>
              </w:rPr>
            </w:pPr>
          </w:p>
        </w:tc>
        <w:tc>
          <w:tcPr>
            <w:tcW w:w="681" w:type="dxa"/>
            <w:vAlign w:val="top"/>
          </w:tcPr>
          <w:p w14:paraId="294E889A">
            <w:pPr>
              <w:rPr>
                <w:rFonts w:ascii="Arial"/>
                <w:color w:val="auto"/>
                <w:sz w:val="21"/>
                <w:highlight w:val="none"/>
              </w:rPr>
            </w:pPr>
          </w:p>
        </w:tc>
        <w:tc>
          <w:tcPr>
            <w:tcW w:w="624" w:type="dxa"/>
            <w:vAlign w:val="top"/>
          </w:tcPr>
          <w:p w14:paraId="5CFCE76B">
            <w:pPr>
              <w:rPr>
                <w:rFonts w:ascii="Arial"/>
                <w:color w:val="auto"/>
                <w:sz w:val="21"/>
                <w:highlight w:val="none"/>
              </w:rPr>
            </w:pPr>
          </w:p>
        </w:tc>
        <w:tc>
          <w:tcPr>
            <w:tcW w:w="628" w:type="dxa"/>
            <w:vAlign w:val="top"/>
          </w:tcPr>
          <w:p w14:paraId="3CEB558A">
            <w:pPr>
              <w:rPr>
                <w:rFonts w:ascii="Arial"/>
                <w:color w:val="auto"/>
                <w:sz w:val="21"/>
                <w:highlight w:val="none"/>
              </w:rPr>
            </w:pPr>
          </w:p>
        </w:tc>
        <w:tc>
          <w:tcPr>
            <w:tcW w:w="634" w:type="dxa"/>
            <w:vAlign w:val="top"/>
          </w:tcPr>
          <w:p w14:paraId="29AB343D">
            <w:pPr>
              <w:rPr>
                <w:rFonts w:ascii="Arial"/>
                <w:color w:val="auto"/>
                <w:sz w:val="21"/>
                <w:highlight w:val="none"/>
              </w:rPr>
            </w:pPr>
          </w:p>
        </w:tc>
      </w:tr>
      <w:tr w14:paraId="72BBF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5B7F783">
            <w:pPr>
              <w:rPr>
                <w:rFonts w:ascii="Arial"/>
                <w:color w:val="auto"/>
                <w:sz w:val="21"/>
                <w:highlight w:val="none"/>
              </w:rPr>
            </w:pPr>
          </w:p>
        </w:tc>
        <w:tc>
          <w:tcPr>
            <w:tcW w:w="2578" w:type="dxa"/>
            <w:vAlign w:val="top"/>
          </w:tcPr>
          <w:p w14:paraId="3BC27DB6">
            <w:pPr>
              <w:rPr>
                <w:rFonts w:ascii="Arial"/>
                <w:color w:val="auto"/>
                <w:sz w:val="21"/>
                <w:highlight w:val="none"/>
              </w:rPr>
            </w:pPr>
          </w:p>
        </w:tc>
        <w:tc>
          <w:tcPr>
            <w:tcW w:w="806" w:type="dxa"/>
            <w:vAlign w:val="top"/>
          </w:tcPr>
          <w:p w14:paraId="2CE59C5E">
            <w:pPr>
              <w:rPr>
                <w:rFonts w:ascii="Arial"/>
                <w:color w:val="auto"/>
                <w:sz w:val="21"/>
                <w:highlight w:val="none"/>
              </w:rPr>
            </w:pPr>
          </w:p>
        </w:tc>
        <w:tc>
          <w:tcPr>
            <w:tcW w:w="562" w:type="dxa"/>
            <w:vAlign w:val="top"/>
          </w:tcPr>
          <w:p w14:paraId="40C80A61">
            <w:pPr>
              <w:rPr>
                <w:rFonts w:ascii="Arial"/>
                <w:color w:val="auto"/>
                <w:sz w:val="21"/>
                <w:highlight w:val="none"/>
              </w:rPr>
            </w:pPr>
          </w:p>
        </w:tc>
        <w:tc>
          <w:tcPr>
            <w:tcW w:w="556" w:type="dxa"/>
            <w:vAlign w:val="top"/>
          </w:tcPr>
          <w:p w14:paraId="46E729E3">
            <w:pPr>
              <w:rPr>
                <w:rFonts w:ascii="Arial"/>
                <w:color w:val="auto"/>
                <w:sz w:val="21"/>
                <w:highlight w:val="none"/>
              </w:rPr>
            </w:pPr>
          </w:p>
        </w:tc>
        <w:tc>
          <w:tcPr>
            <w:tcW w:w="562" w:type="dxa"/>
            <w:vAlign w:val="top"/>
          </w:tcPr>
          <w:p w14:paraId="072B5265">
            <w:pPr>
              <w:rPr>
                <w:rFonts w:ascii="Arial"/>
                <w:color w:val="auto"/>
                <w:sz w:val="21"/>
                <w:highlight w:val="none"/>
              </w:rPr>
            </w:pPr>
          </w:p>
        </w:tc>
        <w:tc>
          <w:tcPr>
            <w:tcW w:w="676" w:type="dxa"/>
            <w:vAlign w:val="top"/>
          </w:tcPr>
          <w:p w14:paraId="764BDDFA">
            <w:pPr>
              <w:rPr>
                <w:rFonts w:ascii="Arial"/>
                <w:color w:val="auto"/>
                <w:sz w:val="21"/>
                <w:highlight w:val="none"/>
              </w:rPr>
            </w:pPr>
          </w:p>
        </w:tc>
        <w:tc>
          <w:tcPr>
            <w:tcW w:w="682" w:type="dxa"/>
            <w:vAlign w:val="top"/>
          </w:tcPr>
          <w:p w14:paraId="2DDB75DB">
            <w:pPr>
              <w:rPr>
                <w:rFonts w:ascii="Arial"/>
                <w:color w:val="auto"/>
                <w:sz w:val="21"/>
                <w:highlight w:val="none"/>
              </w:rPr>
            </w:pPr>
          </w:p>
        </w:tc>
        <w:tc>
          <w:tcPr>
            <w:tcW w:w="681" w:type="dxa"/>
            <w:vAlign w:val="top"/>
          </w:tcPr>
          <w:p w14:paraId="60F237C6">
            <w:pPr>
              <w:rPr>
                <w:rFonts w:ascii="Arial"/>
                <w:color w:val="auto"/>
                <w:sz w:val="21"/>
                <w:highlight w:val="none"/>
              </w:rPr>
            </w:pPr>
          </w:p>
        </w:tc>
        <w:tc>
          <w:tcPr>
            <w:tcW w:w="624" w:type="dxa"/>
            <w:vAlign w:val="top"/>
          </w:tcPr>
          <w:p w14:paraId="161B7204">
            <w:pPr>
              <w:rPr>
                <w:rFonts w:ascii="Arial"/>
                <w:color w:val="auto"/>
                <w:sz w:val="21"/>
                <w:highlight w:val="none"/>
              </w:rPr>
            </w:pPr>
          </w:p>
        </w:tc>
        <w:tc>
          <w:tcPr>
            <w:tcW w:w="628" w:type="dxa"/>
            <w:vAlign w:val="top"/>
          </w:tcPr>
          <w:p w14:paraId="648FA4F1">
            <w:pPr>
              <w:rPr>
                <w:rFonts w:ascii="Arial"/>
                <w:color w:val="auto"/>
                <w:sz w:val="21"/>
                <w:highlight w:val="none"/>
              </w:rPr>
            </w:pPr>
          </w:p>
        </w:tc>
        <w:tc>
          <w:tcPr>
            <w:tcW w:w="634" w:type="dxa"/>
            <w:vAlign w:val="top"/>
          </w:tcPr>
          <w:p w14:paraId="55C7C0E0">
            <w:pPr>
              <w:rPr>
                <w:rFonts w:ascii="Arial"/>
                <w:color w:val="auto"/>
                <w:sz w:val="21"/>
                <w:highlight w:val="none"/>
              </w:rPr>
            </w:pPr>
          </w:p>
        </w:tc>
      </w:tr>
      <w:tr w14:paraId="2B2B7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6CD4B84">
            <w:pPr>
              <w:rPr>
                <w:rFonts w:ascii="Arial"/>
                <w:color w:val="auto"/>
                <w:sz w:val="21"/>
                <w:highlight w:val="none"/>
              </w:rPr>
            </w:pPr>
          </w:p>
        </w:tc>
        <w:tc>
          <w:tcPr>
            <w:tcW w:w="2578" w:type="dxa"/>
            <w:vAlign w:val="top"/>
          </w:tcPr>
          <w:p w14:paraId="344E234A">
            <w:pPr>
              <w:rPr>
                <w:rFonts w:ascii="Arial"/>
                <w:color w:val="auto"/>
                <w:sz w:val="21"/>
                <w:highlight w:val="none"/>
              </w:rPr>
            </w:pPr>
          </w:p>
        </w:tc>
        <w:tc>
          <w:tcPr>
            <w:tcW w:w="806" w:type="dxa"/>
            <w:vAlign w:val="top"/>
          </w:tcPr>
          <w:p w14:paraId="613C4AEB">
            <w:pPr>
              <w:rPr>
                <w:rFonts w:ascii="Arial"/>
                <w:color w:val="auto"/>
                <w:sz w:val="21"/>
                <w:highlight w:val="none"/>
              </w:rPr>
            </w:pPr>
          </w:p>
        </w:tc>
        <w:tc>
          <w:tcPr>
            <w:tcW w:w="562" w:type="dxa"/>
            <w:vAlign w:val="top"/>
          </w:tcPr>
          <w:p w14:paraId="147F2595">
            <w:pPr>
              <w:rPr>
                <w:rFonts w:ascii="Arial"/>
                <w:color w:val="auto"/>
                <w:sz w:val="21"/>
                <w:highlight w:val="none"/>
              </w:rPr>
            </w:pPr>
          </w:p>
        </w:tc>
        <w:tc>
          <w:tcPr>
            <w:tcW w:w="556" w:type="dxa"/>
            <w:vAlign w:val="top"/>
          </w:tcPr>
          <w:p w14:paraId="7BBD8608">
            <w:pPr>
              <w:rPr>
                <w:rFonts w:ascii="Arial"/>
                <w:color w:val="auto"/>
                <w:sz w:val="21"/>
                <w:highlight w:val="none"/>
              </w:rPr>
            </w:pPr>
          </w:p>
        </w:tc>
        <w:tc>
          <w:tcPr>
            <w:tcW w:w="562" w:type="dxa"/>
            <w:vAlign w:val="top"/>
          </w:tcPr>
          <w:p w14:paraId="14E81BCD">
            <w:pPr>
              <w:rPr>
                <w:rFonts w:ascii="Arial"/>
                <w:color w:val="auto"/>
                <w:sz w:val="21"/>
                <w:highlight w:val="none"/>
              </w:rPr>
            </w:pPr>
          </w:p>
        </w:tc>
        <w:tc>
          <w:tcPr>
            <w:tcW w:w="676" w:type="dxa"/>
            <w:vAlign w:val="top"/>
          </w:tcPr>
          <w:p w14:paraId="7A15B16E">
            <w:pPr>
              <w:rPr>
                <w:rFonts w:ascii="Arial"/>
                <w:color w:val="auto"/>
                <w:sz w:val="21"/>
                <w:highlight w:val="none"/>
              </w:rPr>
            </w:pPr>
          </w:p>
        </w:tc>
        <w:tc>
          <w:tcPr>
            <w:tcW w:w="682" w:type="dxa"/>
            <w:vAlign w:val="top"/>
          </w:tcPr>
          <w:p w14:paraId="71EB2C4A">
            <w:pPr>
              <w:rPr>
                <w:rFonts w:ascii="Arial"/>
                <w:color w:val="auto"/>
                <w:sz w:val="21"/>
                <w:highlight w:val="none"/>
              </w:rPr>
            </w:pPr>
          </w:p>
        </w:tc>
        <w:tc>
          <w:tcPr>
            <w:tcW w:w="681" w:type="dxa"/>
            <w:vAlign w:val="top"/>
          </w:tcPr>
          <w:p w14:paraId="4DCFFD8C">
            <w:pPr>
              <w:rPr>
                <w:rFonts w:ascii="Arial"/>
                <w:color w:val="auto"/>
                <w:sz w:val="21"/>
                <w:highlight w:val="none"/>
              </w:rPr>
            </w:pPr>
          </w:p>
        </w:tc>
        <w:tc>
          <w:tcPr>
            <w:tcW w:w="624" w:type="dxa"/>
            <w:vAlign w:val="top"/>
          </w:tcPr>
          <w:p w14:paraId="1E07FF6A">
            <w:pPr>
              <w:rPr>
                <w:rFonts w:ascii="Arial"/>
                <w:color w:val="auto"/>
                <w:sz w:val="21"/>
                <w:highlight w:val="none"/>
              </w:rPr>
            </w:pPr>
          </w:p>
        </w:tc>
        <w:tc>
          <w:tcPr>
            <w:tcW w:w="628" w:type="dxa"/>
            <w:vAlign w:val="top"/>
          </w:tcPr>
          <w:p w14:paraId="1F14D84F">
            <w:pPr>
              <w:rPr>
                <w:rFonts w:ascii="Arial"/>
                <w:color w:val="auto"/>
                <w:sz w:val="21"/>
                <w:highlight w:val="none"/>
              </w:rPr>
            </w:pPr>
          </w:p>
        </w:tc>
        <w:tc>
          <w:tcPr>
            <w:tcW w:w="634" w:type="dxa"/>
            <w:vAlign w:val="top"/>
          </w:tcPr>
          <w:p w14:paraId="2714B5BC">
            <w:pPr>
              <w:rPr>
                <w:rFonts w:ascii="Arial"/>
                <w:color w:val="auto"/>
                <w:sz w:val="21"/>
                <w:highlight w:val="none"/>
              </w:rPr>
            </w:pPr>
          </w:p>
        </w:tc>
      </w:tr>
      <w:tr w14:paraId="54DFC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0BC7F00">
            <w:pPr>
              <w:rPr>
                <w:rFonts w:ascii="Arial"/>
                <w:color w:val="auto"/>
                <w:sz w:val="21"/>
                <w:highlight w:val="none"/>
              </w:rPr>
            </w:pPr>
          </w:p>
        </w:tc>
        <w:tc>
          <w:tcPr>
            <w:tcW w:w="2578" w:type="dxa"/>
            <w:vAlign w:val="top"/>
          </w:tcPr>
          <w:p w14:paraId="180BF6AD">
            <w:pPr>
              <w:rPr>
                <w:rFonts w:ascii="Arial"/>
                <w:color w:val="auto"/>
                <w:sz w:val="21"/>
                <w:highlight w:val="none"/>
              </w:rPr>
            </w:pPr>
          </w:p>
        </w:tc>
        <w:tc>
          <w:tcPr>
            <w:tcW w:w="806" w:type="dxa"/>
            <w:vAlign w:val="top"/>
          </w:tcPr>
          <w:p w14:paraId="56030AEE">
            <w:pPr>
              <w:rPr>
                <w:rFonts w:ascii="Arial"/>
                <w:color w:val="auto"/>
                <w:sz w:val="21"/>
                <w:highlight w:val="none"/>
              </w:rPr>
            </w:pPr>
          </w:p>
        </w:tc>
        <w:tc>
          <w:tcPr>
            <w:tcW w:w="562" w:type="dxa"/>
            <w:vAlign w:val="top"/>
          </w:tcPr>
          <w:p w14:paraId="69D6D57E">
            <w:pPr>
              <w:rPr>
                <w:rFonts w:ascii="Arial"/>
                <w:color w:val="auto"/>
                <w:sz w:val="21"/>
                <w:highlight w:val="none"/>
              </w:rPr>
            </w:pPr>
          </w:p>
        </w:tc>
        <w:tc>
          <w:tcPr>
            <w:tcW w:w="556" w:type="dxa"/>
            <w:vAlign w:val="top"/>
          </w:tcPr>
          <w:p w14:paraId="672BD7F3">
            <w:pPr>
              <w:rPr>
                <w:rFonts w:ascii="Arial"/>
                <w:color w:val="auto"/>
                <w:sz w:val="21"/>
                <w:highlight w:val="none"/>
              </w:rPr>
            </w:pPr>
          </w:p>
        </w:tc>
        <w:tc>
          <w:tcPr>
            <w:tcW w:w="562" w:type="dxa"/>
            <w:vAlign w:val="top"/>
          </w:tcPr>
          <w:p w14:paraId="0A0C0DF1">
            <w:pPr>
              <w:rPr>
                <w:rFonts w:ascii="Arial"/>
                <w:color w:val="auto"/>
                <w:sz w:val="21"/>
                <w:highlight w:val="none"/>
              </w:rPr>
            </w:pPr>
          </w:p>
        </w:tc>
        <w:tc>
          <w:tcPr>
            <w:tcW w:w="676" w:type="dxa"/>
            <w:vAlign w:val="top"/>
          </w:tcPr>
          <w:p w14:paraId="1014534F">
            <w:pPr>
              <w:rPr>
                <w:rFonts w:ascii="Arial"/>
                <w:color w:val="auto"/>
                <w:sz w:val="21"/>
                <w:highlight w:val="none"/>
              </w:rPr>
            </w:pPr>
          </w:p>
        </w:tc>
        <w:tc>
          <w:tcPr>
            <w:tcW w:w="682" w:type="dxa"/>
            <w:vAlign w:val="top"/>
          </w:tcPr>
          <w:p w14:paraId="06F05B78">
            <w:pPr>
              <w:rPr>
                <w:rFonts w:ascii="Arial"/>
                <w:color w:val="auto"/>
                <w:sz w:val="21"/>
                <w:highlight w:val="none"/>
              </w:rPr>
            </w:pPr>
          </w:p>
        </w:tc>
        <w:tc>
          <w:tcPr>
            <w:tcW w:w="681" w:type="dxa"/>
            <w:vAlign w:val="top"/>
          </w:tcPr>
          <w:p w14:paraId="23BA8D45">
            <w:pPr>
              <w:rPr>
                <w:rFonts w:ascii="Arial"/>
                <w:color w:val="auto"/>
                <w:sz w:val="21"/>
                <w:highlight w:val="none"/>
              </w:rPr>
            </w:pPr>
          </w:p>
        </w:tc>
        <w:tc>
          <w:tcPr>
            <w:tcW w:w="624" w:type="dxa"/>
            <w:vAlign w:val="top"/>
          </w:tcPr>
          <w:p w14:paraId="1BA4962C">
            <w:pPr>
              <w:rPr>
                <w:rFonts w:ascii="Arial"/>
                <w:color w:val="auto"/>
                <w:sz w:val="21"/>
                <w:highlight w:val="none"/>
              </w:rPr>
            </w:pPr>
          </w:p>
        </w:tc>
        <w:tc>
          <w:tcPr>
            <w:tcW w:w="628" w:type="dxa"/>
            <w:vAlign w:val="top"/>
          </w:tcPr>
          <w:p w14:paraId="4B89D1F2">
            <w:pPr>
              <w:rPr>
                <w:rFonts w:ascii="Arial"/>
                <w:color w:val="auto"/>
                <w:sz w:val="21"/>
                <w:highlight w:val="none"/>
              </w:rPr>
            </w:pPr>
          </w:p>
        </w:tc>
        <w:tc>
          <w:tcPr>
            <w:tcW w:w="634" w:type="dxa"/>
            <w:vAlign w:val="top"/>
          </w:tcPr>
          <w:p w14:paraId="4832CF2F">
            <w:pPr>
              <w:rPr>
                <w:rFonts w:ascii="Arial"/>
                <w:color w:val="auto"/>
                <w:sz w:val="21"/>
                <w:highlight w:val="none"/>
              </w:rPr>
            </w:pPr>
          </w:p>
        </w:tc>
      </w:tr>
      <w:tr w14:paraId="54EC2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1FEBC7B">
            <w:pPr>
              <w:rPr>
                <w:rFonts w:ascii="Arial"/>
                <w:color w:val="auto"/>
                <w:sz w:val="21"/>
                <w:highlight w:val="none"/>
              </w:rPr>
            </w:pPr>
          </w:p>
        </w:tc>
        <w:tc>
          <w:tcPr>
            <w:tcW w:w="2578" w:type="dxa"/>
            <w:vAlign w:val="top"/>
          </w:tcPr>
          <w:p w14:paraId="5F6F7BD2">
            <w:pPr>
              <w:rPr>
                <w:rFonts w:ascii="Arial"/>
                <w:color w:val="auto"/>
                <w:sz w:val="21"/>
                <w:highlight w:val="none"/>
              </w:rPr>
            </w:pPr>
          </w:p>
        </w:tc>
        <w:tc>
          <w:tcPr>
            <w:tcW w:w="806" w:type="dxa"/>
            <w:vAlign w:val="top"/>
          </w:tcPr>
          <w:p w14:paraId="130BE34F">
            <w:pPr>
              <w:rPr>
                <w:rFonts w:ascii="Arial"/>
                <w:color w:val="auto"/>
                <w:sz w:val="21"/>
                <w:highlight w:val="none"/>
              </w:rPr>
            </w:pPr>
          </w:p>
        </w:tc>
        <w:tc>
          <w:tcPr>
            <w:tcW w:w="562" w:type="dxa"/>
            <w:vAlign w:val="top"/>
          </w:tcPr>
          <w:p w14:paraId="0D47583D">
            <w:pPr>
              <w:rPr>
                <w:rFonts w:ascii="Arial"/>
                <w:color w:val="auto"/>
                <w:sz w:val="21"/>
                <w:highlight w:val="none"/>
              </w:rPr>
            </w:pPr>
          </w:p>
        </w:tc>
        <w:tc>
          <w:tcPr>
            <w:tcW w:w="556" w:type="dxa"/>
            <w:vAlign w:val="top"/>
          </w:tcPr>
          <w:p w14:paraId="600C7CC5">
            <w:pPr>
              <w:rPr>
                <w:rFonts w:ascii="Arial"/>
                <w:color w:val="auto"/>
                <w:sz w:val="21"/>
                <w:highlight w:val="none"/>
              </w:rPr>
            </w:pPr>
          </w:p>
        </w:tc>
        <w:tc>
          <w:tcPr>
            <w:tcW w:w="562" w:type="dxa"/>
            <w:vAlign w:val="top"/>
          </w:tcPr>
          <w:p w14:paraId="5642FEDB">
            <w:pPr>
              <w:rPr>
                <w:rFonts w:ascii="Arial"/>
                <w:color w:val="auto"/>
                <w:sz w:val="21"/>
                <w:highlight w:val="none"/>
              </w:rPr>
            </w:pPr>
          </w:p>
        </w:tc>
        <w:tc>
          <w:tcPr>
            <w:tcW w:w="676" w:type="dxa"/>
            <w:vAlign w:val="top"/>
          </w:tcPr>
          <w:p w14:paraId="2FFA3C58">
            <w:pPr>
              <w:rPr>
                <w:rFonts w:ascii="Arial"/>
                <w:color w:val="auto"/>
                <w:sz w:val="21"/>
                <w:highlight w:val="none"/>
              </w:rPr>
            </w:pPr>
          </w:p>
        </w:tc>
        <w:tc>
          <w:tcPr>
            <w:tcW w:w="682" w:type="dxa"/>
            <w:vAlign w:val="top"/>
          </w:tcPr>
          <w:p w14:paraId="4DEDF854">
            <w:pPr>
              <w:rPr>
                <w:rFonts w:ascii="Arial"/>
                <w:color w:val="auto"/>
                <w:sz w:val="21"/>
                <w:highlight w:val="none"/>
              </w:rPr>
            </w:pPr>
          </w:p>
        </w:tc>
        <w:tc>
          <w:tcPr>
            <w:tcW w:w="681" w:type="dxa"/>
            <w:vAlign w:val="top"/>
          </w:tcPr>
          <w:p w14:paraId="3651E198">
            <w:pPr>
              <w:rPr>
                <w:rFonts w:ascii="Arial"/>
                <w:color w:val="auto"/>
                <w:sz w:val="21"/>
                <w:highlight w:val="none"/>
              </w:rPr>
            </w:pPr>
          </w:p>
        </w:tc>
        <w:tc>
          <w:tcPr>
            <w:tcW w:w="624" w:type="dxa"/>
            <w:vAlign w:val="top"/>
          </w:tcPr>
          <w:p w14:paraId="03A887E9">
            <w:pPr>
              <w:rPr>
                <w:rFonts w:ascii="Arial"/>
                <w:color w:val="auto"/>
                <w:sz w:val="21"/>
                <w:highlight w:val="none"/>
              </w:rPr>
            </w:pPr>
          </w:p>
        </w:tc>
        <w:tc>
          <w:tcPr>
            <w:tcW w:w="628" w:type="dxa"/>
            <w:vAlign w:val="top"/>
          </w:tcPr>
          <w:p w14:paraId="00EE952A">
            <w:pPr>
              <w:rPr>
                <w:rFonts w:ascii="Arial"/>
                <w:color w:val="auto"/>
                <w:sz w:val="21"/>
                <w:highlight w:val="none"/>
              </w:rPr>
            </w:pPr>
          </w:p>
        </w:tc>
        <w:tc>
          <w:tcPr>
            <w:tcW w:w="634" w:type="dxa"/>
            <w:vAlign w:val="top"/>
          </w:tcPr>
          <w:p w14:paraId="359E8F51">
            <w:pPr>
              <w:rPr>
                <w:rFonts w:ascii="Arial"/>
                <w:color w:val="auto"/>
                <w:sz w:val="21"/>
                <w:highlight w:val="none"/>
              </w:rPr>
            </w:pPr>
          </w:p>
        </w:tc>
      </w:tr>
      <w:tr w14:paraId="52C77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75EE42C8">
            <w:pPr>
              <w:rPr>
                <w:rFonts w:ascii="Arial"/>
                <w:color w:val="auto"/>
                <w:sz w:val="21"/>
                <w:highlight w:val="none"/>
              </w:rPr>
            </w:pPr>
          </w:p>
        </w:tc>
        <w:tc>
          <w:tcPr>
            <w:tcW w:w="2578" w:type="dxa"/>
            <w:vAlign w:val="top"/>
          </w:tcPr>
          <w:p w14:paraId="1B7E5545">
            <w:pPr>
              <w:rPr>
                <w:rFonts w:ascii="Arial"/>
                <w:color w:val="auto"/>
                <w:sz w:val="21"/>
                <w:highlight w:val="none"/>
              </w:rPr>
            </w:pPr>
          </w:p>
        </w:tc>
        <w:tc>
          <w:tcPr>
            <w:tcW w:w="806" w:type="dxa"/>
            <w:vAlign w:val="top"/>
          </w:tcPr>
          <w:p w14:paraId="4BA105D8">
            <w:pPr>
              <w:rPr>
                <w:rFonts w:ascii="Arial"/>
                <w:color w:val="auto"/>
                <w:sz w:val="21"/>
                <w:highlight w:val="none"/>
              </w:rPr>
            </w:pPr>
          </w:p>
        </w:tc>
        <w:tc>
          <w:tcPr>
            <w:tcW w:w="562" w:type="dxa"/>
            <w:vAlign w:val="top"/>
          </w:tcPr>
          <w:p w14:paraId="15D78B55">
            <w:pPr>
              <w:rPr>
                <w:rFonts w:ascii="Arial"/>
                <w:color w:val="auto"/>
                <w:sz w:val="21"/>
                <w:highlight w:val="none"/>
              </w:rPr>
            </w:pPr>
          </w:p>
        </w:tc>
        <w:tc>
          <w:tcPr>
            <w:tcW w:w="556" w:type="dxa"/>
            <w:vAlign w:val="top"/>
          </w:tcPr>
          <w:p w14:paraId="5823B32A">
            <w:pPr>
              <w:rPr>
                <w:rFonts w:ascii="Arial"/>
                <w:color w:val="auto"/>
                <w:sz w:val="21"/>
                <w:highlight w:val="none"/>
              </w:rPr>
            </w:pPr>
          </w:p>
        </w:tc>
        <w:tc>
          <w:tcPr>
            <w:tcW w:w="562" w:type="dxa"/>
            <w:vAlign w:val="top"/>
          </w:tcPr>
          <w:p w14:paraId="797D4E9E">
            <w:pPr>
              <w:rPr>
                <w:rFonts w:ascii="Arial"/>
                <w:color w:val="auto"/>
                <w:sz w:val="21"/>
                <w:highlight w:val="none"/>
              </w:rPr>
            </w:pPr>
          </w:p>
        </w:tc>
        <w:tc>
          <w:tcPr>
            <w:tcW w:w="676" w:type="dxa"/>
            <w:vAlign w:val="top"/>
          </w:tcPr>
          <w:p w14:paraId="51E1005B">
            <w:pPr>
              <w:rPr>
                <w:rFonts w:ascii="Arial"/>
                <w:color w:val="auto"/>
                <w:sz w:val="21"/>
                <w:highlight w:val="none"/>
              </w:rPr>
            </w:pPr>
          </w:p>
        </w:tc>
        <w:tc>
          <w:tcPr>
            <w:tcW w:w="682" w:type="dxa"/>
            <w:vAlign w:val="top"/>
          </w:tcPr>
          <w:p w14:paraId="0D4ADF62">
            <w:pPr>
              <w:rPr>
                <w:rFonts w:ascii="Arial"/>
                <w:color w:val="auto"/>
                <w:sz w:val="21"/>
                <w:highlight w:val="none"/>
              </w:rPr>
            </w:pPr>
          </w:p>
        </w:tc>
        <w:tc>
          <w:tcPr>
            <w:tcW w:w="681" w:type="dxa"/>
            <w:vAlign w:val="top"/>
          </w:tcPr>
          <w:p w14:paraId="736A47AC">
            <w:pPr>
              <w:rPr>
                <w:rFonts w:ascii="Arial"/>
                <w:color w:val="auto"/>
                <w:sz w:val="21"/>
                <w:highlight w:val="none"/>
              </w:rPr>
            </w:pPr>
          </w:p>
        </w:tc>
        <w:tc>
          <w:tcPr>
            <w:tcW w:w="624" w:type="dxa"/>
            <w:vAlign w:val="top"/>
          </w:tcPr>
          <w:p w14:paraId="047B2CA2">
            <w:pPr>
              <w:rPr>
                <w:rFonts w:ascii="Arial"/>
                <w:color w:val="auto"/>
                <w:sz w:val="21"/>
                <w:highlight w:val="none"/>
              </w:rPr>
            </w:pPr>
          </w:p>
        </w:tc>
        <w:tc>
          <w:tcPr>
            <w:tcW w:w="628" w:type="dxa"/>
            <w:vAlign w:val="top"/>
          </w:tcPr>
          <w:p w14:paraId="72F4FA15">
            <w:pPr>
              <w:rPr>
                <w:rFonts w:ascii="Arial"/>
                <w:color w:val="auto"/>
                <w:sz w:val="21"/>
                <w:highlight w:val="none"/>
              </w:rPr>
            </w:pPr>
          </w:p>
        </w:tc>
        <w:tc>
          <w:tcPr>
            <w:tcW w:w="634" w:type="dxa"/>
            <w:vAlign w:val="top"/>
          </w:tcPr>
          <w:p w14:paraId="23A63BA9">
            <w:pPr>
              <w:rPr>
                <w:rFonts w:ascii="Arial"/>
                <w:color w:val="auto"/>
                <w:sz w:val="21"/>
                <w:highlight w:val="none"/>
              </w:rPr>
            </w:pPr>
          </w:p>
        </w:tc>
      </w:tr>
      <w:tr w14:paraId="04A8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B060594">
            <w:pPr>
              <w:rPr>
                <w:rFonts w:ascii="Arial"/>
                <w:color w:val="auto"/>
                <w:sz w:val="21"/>
                <w:highlight w:val="none"/>
              </w:rPr>
            </w:pPr>
          </w:p>
        </w:tc>
        <w:tc>
          <w:tcPr>
            <w:tcW w:w="2578" w:type="dxa"/>
            <w:vAlign w:val="top"/>
          </w:tcPr>
          <w:p w14:paraId="6C20E450">
            <w:pPr>
              <w:rPr>
                <w:rFonts w:ascii="Arial"/>
                <w:color w:val="auto"/>
                <w:sz w:val="21"/>
                <w:highlight w:val="none"/>
              </w:rPr>
            </w:pPr>
          </w:p>
        </w:tc>
        <w:tc>
          <w:tcPr>
            <w:tcW w:w="806" w:type="dxa"/>
            <w:vAlign w:val="top"/>
          </w:tcPr>
          <w:p w14:paraId="1DFEE37A">
            <w:pPr>
              <w:rPr>
                <w:rFonts w:ascii="Arial"/>
                <w:color w:val="auto"/>
                <w:sz w:val="21"/>
                <w:highlight w:val="none"/>
              </w:rPr>
            </w:pPr>
          </w:p>
        </w:tc>
        <w:tc>
          <w:tcPr>
            <w:tcW w:w="562" w:type="dxa"/>
            <w:vAlign w:val="top"/>
          </w:tcPr>
          <w:p w14:paraId="75B7C827">
            <w:pPr>
              <w:rPr>
                <w:rFonts w:ascii="Arial"/>
                <w:color w:val="auto"/>
                <w:sz w:val="21"/>
                <w:highlight w:val="none"/>
              </w:rPr>
            </w:pPr>
          </w:p>
        </w:tc>
        <w:tc>
          <w:tcPr>
            <w:tcW w:w="556" w:type="dxa"/>
            <w:vAlign w:val="top"/>
          </w:tcPr>
          <w:p w14:paraId="18A178A4">
            <w:pPr>
              <w:rPr>
                <w:rFonts w:ascii="Arial"/>
                <w:color w:val="auto"/>
                <w:sz w:val="21"/>
                <w:highlight w:val="none"/>
              </w:rPr>
            </w:pPr>
          </w:p>
        </w:tc>
        <w:tc>
          <w:tcPr>
            <w:tcW w:w="562" w:type="dxa"/>
            <w:vAlign w:val="top"/>
          </w:tcPr>
          <w:p w14:paraId="41D6506D">
            <w:pPr>
              <w:rPr>
                <w:rFonts w:ascii="Arial"/>
                <w:color w:val="auto"/>
                <w:sz w:val="21"/>
                <w:highlight w:val="none"/>
              </w:rPr>
            </w:pPr>
          </w:p>
        </w:tc>
        <w:tc>
          <w:tcPr>
            <w:tcW w:w="676" w:type="dxa"/>
            <w:vAlign w:val="top"/>
          </w:tcPr>
          <w:p w14:paraId="7AE81D7A">
            <w:pPr>
              <w:rPr>
                <w:rFonts w:ascii="Arial"/>
                <w:color w:val="auto"/>
                <w:sz w:val="21"/>
                <w:highlight w:val="none"/>
              </w:rPr>
            </w:pPr>
          </w:p>
        </w:tc>
        <w:tc>
          <w:tcPr>
            <w:tcW w:w="682" w:type="dxa"/>
            <w:vAlign w:val="top"/>
          </w:tcPr>
          <w:p w14:paraId="33F78CD8">
            <w:pPr>
              <w:rPr>
                <w:rFonts w:ascii="Arial"/>
                <w:color w:val="auto"/>
                <w:sz w:val="21"/>
                <w:highlight w:val="none"/>
              </w:rPr>
            </w:pPr>
          </w:p>
        </w:tc>
        <w:tc>
          <w:tcPr>
            <w:tcW w:w="681" w:type="dxa"/>
            <w:vAlign w:val="top"/>
          </w:tcPr>
          <w:p w14:paraId="3BF0C7BE">
            <w:pPr>
              <w:rPr>
                <w:rFonts w:ascii="Arial"/>
                <w:color w:val="auto"/>
                <w:sz w:val="21"/>
                <w:highlight w:val="none"/>
              </w:rPr>
            </w:pPr>
          </w:p>
        </w:tc>
        <w:tc>
          <w:tcPr>
            <w:tcW w:w="624" w:type="dxa"/>
            <w:vAlign w:val="top"/>
          </w:tcPr>
          <w:p w14:paraId="0A0E9BB7">
            <w:pPr>
              <w:rPr>
                <w:rFonts w:ascii="Arial"/>
                <w:color w:val="auto"/>
                <w:sz w:val="21"/>
                <w:highlight w:val="none"/>
              </w:rPr>
            </w:pPr>
          </w:p>
        </w:tc>
        <w:tc>
          <w:tcPr>
            <w:tcW w:w="628" w:type="dxa"/>
            <w:vAlign w:val="top"/>
          </w:tcPr>
          <w:p w14:paraId="28BC05FF">
            <w:pPr>
              <w:rPr>
                <w:rFonts w:ascii="Arial"/>
                <w:color w:val="auto"/>
                <w:sz w:val="21"/>
                <w:highlight w:val="none"/>
              </w:rPr>
            </w:pPr>
          </w:p>
        </w:tc>
        <w:tc>
          <w:tcPr>
            <w:tcW w:w="634" w:type="dxa"/>
            <w:vAlign w:val="top"/>
          </w:tcPr>
          <w:p w14:paraId="4CFE9F70">
            <w:pPr>
              <w:rPr>
                <w:rFonts w:ascii="Arial"/>
                <w:color w:val="auto"/>
                <w:sz w:val="21"/>
                <w:highlight w:val="none"/>
              </w:rPr>
            </w:pPr>
          </w:p>
        </w:tc>
      </w:tr>
      <w:tr w14:paraId="46030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945" w:type="dxa"/>
            <w:gridSpan w:val="3"/>
            <w:vAlign w:val="top"/>
          </w:tcPr>
          <w:p w14:paraId="74857974">
            <w:pPr>
              <w:rPr>
                <w:rFonts w:ascii="Arial"/>
                <w:color w:val="auto"/>
                <w:sz w:val="21"/>
                <w:highlight w:val="none"/>
              </w:rPr>
            </w:pPr>
          </w:p>
        </w:tc>
        <w:tc>
          <w:tcPr>
            <w:tcW w:w="562" w:type="dxa"/>
            <w:vAlign w:val="top"/>
          </w:tcPr>
          <w:p w14:paraId="0845482A">
            <w:pPr>
              <w:rPr>
                <w:rFonts w:ascii="Arial"/>
                <w:color w:val="auto"/>
                <w:sz w:val="21"/>
                <w:highlight w:val="none"/>
              </w:rPr>
            </w:pPr>
          </w:p>
        </w:tc>
        <w:tc>
          <w:tcPr>
            <w:tcW w:w="556" w:type="dxa"/>
            <w:vAlign w:val="top"/>
          </w:tcPr>
          <w:p w14:paraId="1900B2A2">
            <w:pPr>
              <w:rPr>
                <w:rFonts w:ascii="Arial"/>
                <w:color w:val="auto"/>
                <w:sz w:val="21"/>
                <w:highlight w:val="none"/>
              </w:rPr>
            </w:pPr>
          </w:p>
        </w:tc>
        <w:tc>
          <w:tcPr>
            <w:tcW w:w="562" w:type="dxa"/>
            <w:vAlign w:val="top"/>
          </w:tcPr>
          <w:p w14:paraId="600BB352">
            <w:pPr>
              <w:rPr>
                <w:rFonts w:ascii="Arial"/>
                <w:color w:val="auto"/>
                <w:sz w:val="21"/>
                <w:highlight w:val="none"/>
              </w:rPr>
            </w:pPr>
          </w:p>
        </w:tc>
        <w:tc>
          <w:tcPr>
            <w:tcW w:w="676" w:type="dxa"/>
            <w:vAlign w:val="top"/>
          </w:tcPr>
          <w:p w14:paraId="41032BF7">
            <w:pPr>
              <w:rPr>
                <w:rFonts w:ascii="Arial"/>
                <w:color w:val="auto"/>
                <w:sz w:val="21"/>
                <w:highlight w:val="none"/>
              </w:rPr>
            </w:pPr>
          </w:p>
        </w:tc>
        <w:tc>
          <w:tcPr>
            <w:tcW w:w="682" w:type="dxa"/>
            <w:vAlign w:val="top"/>
          </w:tcPr>
          <w:p w14:paraId="32ABE29B">
            <w:pPr>
              <w:rPr>
                <w:rFonts w:ascii="Arial"/>
                <w:color w:val="auto"/>
                <w:sz w:val="21"/>
                <w:highlight w:val="none"/>
              </w:rPr>
            </w:pPr>
          </w:p>
        </w:tc>
        <w:tc>
          <w:tcPr>
            <w:tcW w:w="681" w:type="dxa"/>
            <w:vAlign w:val="top"/>
          </w:tcPr>
          <w:p w14:paraId="5609B1BD">
            <w:pPr>
              <w:rPr>
                <w:rFonts w:ascii="Arial"/>
                <w:color w:val="auto"/>
                <w:sz w:val="21"/>
                <w:highlight w:val="none"/>
              </w:rPr>
            </w:pPr>
          </w:p>
        </w:tc>
        <w:tc>
          <w:tcPr>
            <w:tcW w:w="624" w:type="dxa"/>
            <w:vAlign w:val="top"/>
          </w:tcPr>
          <w:p w14:paraId="615DAFC6">
            <w:pPr>
              <w:rPr>
                <w:rFonts w:ascii="Arial"/>
                <w:color w:val="auto"/>
                <w:sz w:val="21"/>
                <w:highlight w:val="none"/>
              </w:rPr>
            </w:pPr>
          </w:p>
        </w:tc>
        <w:tc>
          <w:tcPr>
            <w:tcW w:w="628" w:type="dxa"/>
            <w:vAlign w:val="top"/>
          </w:tcPr>
          <w:p w14:paraId="392B148C">
            <w:pPr>
              <w:rPr>
                <w:rFonts w:ascii="Arial"/>
                <w:color w:val="auto"/>
                <w:sz w:val="21"/>
                <w:highlight w:val="none"/>
              </w:rPr>
            </w:pPr>
          </w:p>
        </w:tc>
        <w:tc>
          <w:tcPr>
            <w:tcW w:w="634" w:type="dxa"/>
            <w:vAlign w:val="top"/>
          </w:tcPr>
          <w:p w14:paraId="280221D3">
            <w:pPr>
              <w:rPr>
                <w:rFonts w:ascii="Arial"/>
                <w:color w:val="auto"/>
                <w:sz w:val="21"/>
                <w:highlight w:val="none"/>
              </w:rPr>
            </w:pPr>
          </w:p>
        </w:tc>
      </w:tr>
    </w:tbl>
    <w:p w14:paraId="1A209088">
      <w:pPr>
        <w:spacing w:before="149" w:line="221" w:lineRule="auto"/>
        <w:ind w:left="1049" w:right="620" w:hanging="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注：此表由招标人填写“暂估单价”，并在备注栏说明</w:t>
      </w:r>
      <w:r>
        <w:rPr>
          <w:rFonts w:ascii="宋体" w:hAnsi="宋体" w:eastAsia="宋体" w:cs="宋体"/>
          <w:color w:val="auto"/>
          <w:spacing w:val="-3"/>
          <w:sz w:val="21"/>
          <w:szCs w:val="21"/>
          <w:highlight w:val="none"/>
        </w:rPr>
        <w:t>暂估价的材料、工程设备拟用在那些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 xml:space="preserve">清单项目上，投标人应将上述材料、工程设备暂估单价计入工程量清单综合单价报价 </w:t>
      </w:r>
      <w:r>
        <w:rPr>
          <w:rFonts w:ascii="宋体" w:hAnsi="宋体" w:eastAsia="宋体" w:cs="宋体"/>
          <w:color w:val="auto"/>
          <w:spacing w:val="-10"/>
          <w:sz w:val="21"/>
          <w:szCs w:val="21"/>
          <w:highlight w:val="none"/>
        </w:rPr>
        <w:t>中。</w:t>
      </w:r>
    </w:p>
    <w:p w14:paraId="5F14FDFE">
      <w:pPr>
        <w:spacing w:line="221" w:lineRule="auto"/>
        <w:rPr>
          <w:rFonts w:ascii="宋体" w:hAnsi="宋体" w:eastAsia="宋体" w:cs="宋体"/>
          <w:color w:val="auto"/>
          <w:sz w:val="21"/>
          <w:szCs w:val="21"/>
          <w:highlight w:val="none"/>
        </w:rPr>
        <w:sectPr>
          <w:type w:val="continuous"/>
          <w:pgSz w:w="11905" w:h="16839"/>
          <w:pgMar w:top="400" w:right="1171" w:bottom="1004" w:left="1176" w:header="0" w:footer="828" w:gutter="0"/>
          <w:pgNumType w:fmt="decimal"/>
          <w:cols w:equalWidth="0" w:num="1">
            <w:col w:w="9556"/>
          </w:cols>
        </w:sectPr>
      </w:pPr>
    </w:p>
    <w:p w14:paraId="0A64B0F2">
      <w:pPr>
        <w:pStyle w:val="3"/>
        <w:spacing w:line="267" w:lineRule="auto"/>
        <w:rPr>
          <w:color w:val="auto"/>
          <w:highlight w:val="none"/>
        </w:rPr>
      </w:pPr>
    </w:p>
    <w:p w14:paraId="2BE76E00">
      <w:pPr>
        <w:pStyle w:val="3"/>
        <w:spacing w:line="267" w:lineRule="auto"/>
        <w:rPr>
          <w:color w:val="auto"/>
          <w:highlight w:val="none"/>
        </w:rPr>
      </w:pPr>
    </w:p>
    <w:p w14:paraId="17EDD323">
      <w:pPr>
        <w:pStyle w:val="3"/>
        <w:spacing w:line="268" w:lineRule="auto"/>
        <w:rPr>
          <w:color w:val="auto"/>
          <w:highlight w:val="none"/>
        </w:rPr>
      </w:pPr>
    </w:p>
    <w:p w14:paraId="360039EA">
      <w:pPr>
        <w:pStyle w:val="3"/>
        <w:spacing w:line="268" w:lineRule="auto"/>
        <w:rPr>
          <w:color w:val="auto"/>
          <w:highlight w:val="none"/>
        </w:rPr>
      </w:pPr>
    </w:p>
    <w:p w14:paraId="57D5A575">
      <w:pPr>
        <w:spacing w:before="78" w:line="219" w:lineRule="auto"/>
        <w:ind w:left="6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4.12-3 </w:t>
      </w:r>
      <w:r>
        <w:rPr>
          <w:rFonts w:ascii="黑体" w:hAnsi="黑体" w:eastAsia="黑体" w:cs="黑体"/>
          <w:color w:val="auto"/>
          <w:spacing w:val="-1"/>
          <w:sz w:val="24"/>
          <w:szCs w:val="24"/>
          <w:highlight w:val="none"/>
        </w:rPr>
        <w:t>专业工程暂估价及结算价表</w:t>
      </w:r>
    </w:p>
    <w:p w14:paraId="38253AB9">
      <w:pPr>
        <w:pStyle w:val="3"/>
        <w:spacing w:line="278" w:lineRule="auto"/>
        <w:rPr>
          <w:color w:val="auto"/>
          <w:highlight w:val="none"/>
        </w:rPr>
      </w:pPr>
    </w:p>
    <w:p w14:paraId="10DF2D72">
      <w:pPr>
        <w:pStyle w:val="3"/>
        <w:spacing w:line="278" w:lineRule="auto"/>
        <w:rPr>
          <w:color w:val="auto"/>
          <w:highlight w:val="none"/>
        </w:rPr>
      </w:pPr>
    </w:p>
    <w:p w14:paraId="6B3ABE45">
      <w:pPr>
        <w:spacing w:before="87" w:line="225" w:lineRule="auto"/>
        <w:ind w:left="3103"/>
        <w:rPr>
          <w:rFonts w:ascii="黑体" w:hAnsi="黑体" w:eastAsia="黑体" w:cs="黑体"/>
          <w:color w:val="auto"/>
          <w:sz w:val="27"/>
          <w:szCs w:val="27"/>
          <w:highlight w:val="none"/>
        </w:rPr>
      </w:pPr>
      <w:bookmarkStart w:id="1310" w:name="bookmark256"/>
      <w:bookmarkEnd w:id="1310"/>
      <w:r>
        <w:rPr>
          <w:rFonts w:ascii="黑体" w:hAnsi="黑体" w:eastAsia="黑体" w:cs="黑体"/>
          <w:color w:val="auto"/>
          <w:spacing w:val="8"/>
          <w:sz w:val="27"/>
          <w:szCs w:val="27"/>
          <w:highlight w:val="none"/>
        </w:rPr>
        <w:t>专业工程暂估价及结算价表</w:t>
      </w:r>
    </w:p>
    <w:p w14:paraId="167CCEA6">
      <w:pPr>
        <w:spacing w:line="162" w:lineRule="exact"/>
        <w:rPr>
          <w:color w:val="auto"/>
          <w:highlight w:val="none"/>
        </w:rPr>
      </w:pPr>
    </w:p>
    <w:p w14:paraId="72FF1C2C">
      <w:pPr>
        <w:spacing w:line="162" w:lineRule="exact"/>
        <w:rPr>
          <w:color w:val="auto"/>
          <w:highlight w:val="none"/>
        </w:rPr>
        <w:sectPr>
          <w:footerReference r:id="rId194" w:type="default"/>
          <w:pgSz w:w="11905" w:h="16839"/>
          <w:pgMar w:top="400" w:right="1176" w:bottom="1004" w:left="1186" w:header="0" w:footer="829" w:gutter="0"/>
          <w:pgNumType w:fmt="decimal"/>
          <w:cols w:equalWidth="0" w:num="1">
            <w:col w:w="9542"/>
          </w:cols>
        </w:sectPr>
      </w:pPr>
    </w:p>
    <w:p w14:paraId="47CA9A5C">
      <w:pPr>
        <w:spacing w:before="41" w:line="186" w:lineRule="auto"/>
        <w:ind w:left="12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工程名称：</w:t>
      </w:r>
    </w:p>
    <w:p w14:paraId="7336E402">
      <w:pPr>
        <w:pStyle w:val="3"/>
        <w:spacing w:line="14" w:lineRule="auto"/>
        <w:rPr>
          <w:color w:val="auto"/>
          <w:sz w:val="2"/>
          <w:highlight w:val="none"/>
        </w:rPr>
      </w:pPr>
      <w:r>
        <w:rPr>
          <w:color w:val="auto"/>
          <w:sz w:val="2"/>
          <w:szCs w:val="2"/>
          <w:highlight w:val="none"/>
        </w:rPr>
        <w:br w:type="column"/>
      </w:r>
    </w:p>
    <w:p w14:paraId="7697D356">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标段名称：</w:t>
      </w:r>
      <w:r>
        <w:rPr>
          <w:rFonts w:ascii="宋体" w:hAnsi="宋体" w:eastAsia="宋体" w:cs="宋体"/>
          <w:color w:val="auto"/>
          <w:spacing w:val="2"/>
          <w:sz w:val="20"/>
          <w:szCs w:val="20"/>
          <w:highlight w:val="none"/>
        </w:rPr>
        <w:t xml:space="preserve">                       </w:t>
      </w:r>
      <w:r>
        <w:rPr>
          <w:rFonts w:ascii="宋体" w:hAnsi="宋体" w:eastAsia="宋体" w:cs="宋体"/>
          <w:color w:val="auto"/>
          <w:spacing w:val="-2"/>
          <w:sz w:val="20"/>
          <w:szCs w:val="20"/>
          <w:highlight w:val="none"/>
        </w:rPr>
        <w:t>第</w:t>
      </w:r>
    </w:p>
    <w:p w14:paraId="108945E7">
      <w:pPr>
        <w:pStyle w:val="3"/>
        <w:spacing w:line="14" w:lineRule="auto"/>
        <w:rPr>
          <w:color w:val="auto"/>
          <w:sz w:val="2"/>
          <w:highlight w:val="none"/>
        </w:rPr>
      </w:pPr>
      <w:r>
        <w:rPr>
          <w:color w:val="auto"/>
          <w:sz w:val="2"/>
          <w:szCs w:val="2"/>
          <w:highlight w:val="none"/>
        </w:rPr>
        <w:br w:type="column"/>
      </w:r>
    </w:p>
    <w:p w14:paraId="3663F6A5">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页 共</w:t>
      </w:r>
      <w:r>
        <w:rPr>
          <w:rFonts w:ascii="宋体" w:hAnsi="宋体" w:eastAsia="宋体" w:cs="宋体"/>
          <w:color w:val="auto"/>
          <w:spacing w:val="14"/>
          <w:sz w:val="20"/>
          <w:szCs w:val="20"/>
          <w:highlight w:val="none"/>
        </w:rPr>
        <w:t xml:space="preserve"> </w:t>
      </w:r>
      <w:r>
        <w:rPr>
          <w:rFonts w:ascii="宋体" w:hAnsi="宋体" w:eastAsia="宋体" w:cs="宋体"/>
          <w:color w:val="auto"/>
          <w:spacing w:val="-4"/>
          <w:sz w:val="20"/>
          <w:szCs w:val="20"/>
          <w:highlight w:val="none"/>
        </w:rPr>
        <w:t>页</w:t>
      </w:r>
    </w:p>
    <w:p w14:paraId="36B15953">
      <w:pPr>
        <w:spacing w:line="186" w:lineRule="auto"/>
        <w:rPr>
          <w:rFonts w:ascii="宋体" w:hAnsi="宋体" w:eastAsia="宋体" w:cs="宋体"/>
          <w:color w:val="auto"/>
          <w:sz w:val="20"/>
          <w:szCs w:val="20"/>
          <w:highlight w:val="none"/>
        </w:rPr>
        <w:sectPr>
          <w:type w:val="continuous"/>
          <w:pgSz w:w="11905" w:h="16839"/>
          <w:pgMar w:top="400" w:right="1176" w:bottom="1004" w:left="1186" w:header="0" w:footer="829" w:gutter="0"/>
          <w:pgNumType w:fmt="decimal"/>
          <w:cols w:equalWidth="0" w:num="3">
            <w:col w:w="4788" w:space="100"/>
            <w:col w:w="3655" w:space="100"/>
            <w:col w:w="900"/>
          </w:cols>
        </w:sectPr>
      </w:pPr>
    </w:p>
    <w:p w14:paraId="3C213222">
      <w:pPr>
        <w:spacing w:line="96" w:lineRule="exact"/>
        <w:rPr>
          <w:color w:val="auto"/>
          <w:highlight w:val="none"/>
        </w:rPr>
      </w:pPr>
    </w:p>
    <w:tbl>
      <w:tblPr>
        <w:tblStyle w:val="10"/>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14:paraId="7CE3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14:paraId="74EC0E74">
            <w:pPr>
              <w:pStyle w:val="11"/>
              <w:spacing w:before="129" w:line="211" w:lineRule="auto"/>
              <w:ind w:left="105"/>
              <w:rPr>
                <w:color w:val="auto"/>
                <w:sz w:val="20"/>
                <w:szCs w:val="20"/>
                <w:highlight w:val="none"/>
              </w:rPr>
            </w:pPr>
            <w:r>
              <w:rPr>
                <w:color w:val="auto"/>
                <w:spacing w:val="30"/>
                <w:sz w:val="20"/>
                <w:szCs w:val="20"/>
                <w:highlight w:val="none"/>
              </w:rPr>
              <w:t>序号</w:t>
            </w:r>
          </w:p>
        </w:tc>
        <w:tc>
          <w:tcPr>
            <w:tcW w:w="1934" w:type="dxa"/>
            <w:vAlign w:val="top"/>
          </w:tcPr>
          <w:p w14:paraId="4679C69F">
            <w:pPr>
              <w:pStyle w:val="11"/>
              <w:spacing w:before="234" w:line="222" w:lineRule="auto"/>
              <w:ind w:left="573"/>
              <w:rPr>
                <w:color w:val="auto"/>
                <w:sz w:val="20"/>
                <w:szCs w:val="20"/>
                <w:highlight w:val="none"/>
              </w:rPr>
            </w:pPr>
            <w:r>
              <w:rPr>
                <w:color w:val="auto"/>
                <w:spacing w:val="-1"/>
                <w:sz w:val="20"/>
                <w:szCs w:val="20"/>
                <w:highlight w:val="none"/>
              </w:rPr>
              <w:t>工程名称</w:t>
            </w:r>
          </w:p>
        </w:tc>
        <w:tc>
          <w:tcPr>
            <w:tcW w:w="2376" w:type="dxa"/>
            <w:vAlign w:val="top"/>
          </w:tcPr>
          <w:p w14:paraId="2CA7B210">
            <w:pPr>
              <w:pStyle w:val="11"/>
              <w:spacing w:before="234" w:line="221" w:lineRule="auto"/>
              <w:ind w:left="795"/>
              <w:rPr>
                <w:color w:val="auto"/>
                <w:sz w:val="20"/>
                <w:szCs w:val="20"/>
                <w:highlight w:val="none"/>
              </w:rPr>
            </w:pPr>
            <w:r>
              <w:rPr>
                <w:color w:val="auto"/>
                <w:spacing w:val="-1"/>
                <w:sz w:val="20"/>
                <w:szCs w:val="20"/>
                <w:highlight w:val="none"/>
              </w:rPr>
              <w:t>工程内容</w:t>
            </w:r>
          </w:p>
        </w:tc>
        <w:tc>
          <w:tcPr>
            <w:tcW w:w="1219" w:type="dxa"/>
            <w:vAlign w:val="top"/>
          </w:tcPr>
          <w:p w14:paraId="202348BD">
            <w:pPr>
              <w:pStyle w:val="11"/>
              <w:spacing w:before="106" w:line="230" w:lineRule="auto"/>
              <w:ind w:left="318" w:right="203" w:hanging="100"/>
              <w:rPr>
                <w:color w:val="auto"/>
                <w:sz w:val="20"/>
                <w:szCs w:val="20"/>
                <w:highlight w:val="none"/>
              </w:rPr>
            </w:pPr>
            <w:r>
              <w:rPr>
                <w:color w:val="auto"/>
                <w:spacing w:val="-2"/>
                <w:sz w:val="20"/>
                <w:szCs w:val="20"/>
                <w:highlight w:val="none"/>
              </w:rPr>
              <w:t>暂估金额</w:t>
            </w:r>
            <w:r>
              <w:rPr>
                <w:color w:val="auto"/>
                <w:sz w:val="20"/>
                <w:szCs w:val="20"/>
                <w:highlight w:val="none"/>
              </w:rPr>
              <w:t xml:space="preserve"> </w:t>
            </w:r>
            <w:r>
              <w:rPr>
                <w:color w:val="auto"/>
                <w:spacing w:val="-4"/>
                <w:sz w:val="20"/>
                <w:szCs w:val="20"/>
                <w:highlight w:val="none"/>
              </w:rPr>
              <w:t>（元）</w:t>
            </w:r>
          </w:p>
        </w:tc>
        <w:tc>
          <w:tcPr>
            <w:tcW w:w="1262" w:type="dxa"/>
            <w:vAlign w:val="top"/>
          </w:tcPr>
          <w:p w14:paraId="1F3C39DA">
            <w:pPr>
              <w:pStyle w:val="11"/>
              <w:spacing w:before="106" w:line="230" w:lineRule="auto"/>
              <w:ind w:left="343" w:right="221" w:hanging="102"/>
              <w:rPr>
                <w:color w:val="auto"/>
                <w:sz w:val="20"/>
                <w:szCs w:val="20"/>
                <w:highlight w:val="none"/>
              </w:rPr>
            </w:pPr>
            <w:r>
              <w:rPr>
                <w:color w:val="auto"/>
                <w:spacing w:val="-2"/>
                <w:sz w:val="20"/>
                <w:szCs w:val="20"/>
                <w:highlight w:val="none"/>
              </w:rPr>
              <w:t>结算金额</w:t>
            </w:r>
            <w:r>
              <w:rPr>
                <w:color w:val="auto"/>
                <w:sz w:val="20"/>
                <w:szCs w:val="20"/>
                <w:highlight w:val="none"/>
              </w:rPr>
              <w:t xml:space="preserve"> </w:t>
            </w:r>
            <w:r>
              <w:rPr>
                <w:color w:val="auto"/>
                <w:spacing w:val="-4"/>
                <w:sz w:val="20"/>
                <w:szCs w:val="20"/>
                <w:highlight w:val="none"/>
              </w:rPr>
              <w:t>（元）</w:t>
            </w:r>
          </w:p>
        </w:tc>
        <w:tc>
          <w:tcPr>
            <w:tcW w:w="1099" w:type="dxa"/>
            <w:vAlign w:val="top"/>
          </w:tcPr>
          <w:p w14:paraId="15F44F0D">
            <w:pPr>
              <w:pStyle w:val="11"/>
              <w:spacing w:before="105" w:line="239" w:lineRule="auto"/>
              <w:ind w:left="254"/>
              <w:rPr>
                <w:color w:val="auto"/>
                <w:sz w:val="20"/>
                <w:szCs w:val="20"/>
                <w:highlight w:val="none"/>
              </w:rPr>
            </w:pPr>
            <w:r>
              <w:rPr>
                <w:color w:val="auto"/>
                <w:spacing w:val="-2"/>
                <w:sz w:val="20"/>
                <w:szCs w:val="20"/>
                <w:highlight w:val="none"/>
              </w:rPr>
              <w:t>差额±</w:t>
            </w:r>
          </w:p>
          <w:p w14:paraId="2A05999D">
            <w:pPr>
              <w:pStyle w:val="11"/>
              <w:spacing w:line="221" w:lineRule="auto"/>
              <w:ind w:left="258"/>
              <w:rPr>
                <w:color w:val="auto"/>
                <w:sz w:val="20"/>
                <w:szCs w:val="20"/>
                <w:highlight w:val="none"/>
              </w:rPr>
            </w:pPr>
            <w:r>
              <w:rPr>
                <w:color w:val="auto"/>
                <w:spacing w:val="-4"/>
                <w:sz w:val="20"/>
                <w:szCs w:val="20"/>
                <w:highlight w:val="none"/>
              </w:rPr>
              <w:t>（元）</w:t>
            </w:r>
          </w:p>
        </w:tc>
        <w:tc>
          <w:tcPr>
            <w:tcW w:w="1186" w:type="dxa"/>
            <w:vAlign w:val="top"/>
          </w:tcPr>
          <w:p w14:paraId="414D9D37">
            <w:pPr>
              <w:pStyle w:val="11"/>
              <w:spacing w:before="235" w:line="222" w:lineRule="auto"/>
              <w:ind w:left="399"/>
              <w:rPr>
                <w:color w:val="auto"/>
                <w:sz w:val="20"/>
                <w:szCs w:val="20"/>
                <w:highlight w:val="none"/>
              </w:rPr>
            </w:pPr>
            <w:r>
              <w:rPr>
                <w:color w:val="auto"/>
                <w:spacing w:val="-2"/>
                <w:sz w:val="20"/>
                <w:szCs w:val="20"/>
                <w:highlight w:val="none"/>
              </w:rPr>
              <w:t>备注</w:t>
            </w:r>
          </w:p>
        </w:tc>
      </w:tr>
      <w:tr w14:paraId="6EEAC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1090C127">
            <w:pPr>
              <w:rPr>
                <w:rFonts w:ascii="Arial"/>
                <w:color w:val="auto"/>
                <w:sz w:val="21"/>
                <w:highlight w:val="none"/>
              </w:rPr>
            </w:pPr>
          </w:p>
        </w:tc>
        <w:tc>
          <w:tcPr>
            <w:tcW w:w="1934" w:type="dxa"/>
            <w:vAlign w:val="top"/>
          </w:tcPr>
          <w:p w14:paraId="57F3645B">
            <w:pPr>
              <w:rPr>
                <w:rFonts w:ascii="Arial"/>
                <w:color w:val="auto"/>
                <w:sz w:val="21"/>
                <w:highlight w:val="none"/>
              </w:rPr>
            </w:pPr>
          </w:p>
        </w:tc>
        <w:tc>
          <w:tcPr>
            <w:tcW w:w="2376" w:type="dxa"/>
            <w:vAlign w:val="top"/>
          </w:tcPr>
          <w:p w14:paraId="26B76368">
            <w:pPr>
              <w:rPr>
                <w:rFonts w:ascii="Arial"/>
                <w:color w:val="auto"/>
                <w:sz w:val="21"/>
                <w:highlight w:val="none"/>
              </w:rPr>
            </w:pPr>
          </w:p>
        </w:tc>
        <w:tc>
          <w:tcPr>
            <w:tcW w:w="1219" w:type="dxa"/>
            <w:vAlign w:val="top"/>
          </w:tcPr>
          <w:p w14:paraId="6451EF9F">
            <w:pPr>
              <w:rPr>
                <w:rFonts w:ascii="Arial"/>
                <w:color w:val="auto"/>
                <w:sz w:val="21"/>
                <w:highlight w:val="none"/>
              </w:rPr>
            </w:pPr>
          </w:p>
        </w:tc>
        <w:tc>
          <w:tcPr>
            <w:tcW w:w="1262" w:type="dxa"/>
            <w:vAlign w:val="top"/>
          </w:tcPr>
          <w:p w14:paraId="60D75AEC">
            <w:pPr>
              <w:rPr>
                <w:rFonts w:ascii="Arial"/>
                <w:color w:val="auto"/>
                <w:sz w:val="21"/>
                <w:highlight w:val="none"/>
              </w:rPr>
            </w:pPr>
          </w:p>
        </w:tc>
        <w:tc>
          <w:tcPr>
            <w:tcW w:w="1099" w:type="dxa"/>
            <w:vAlign w:val="top"/>
          </w:tcPr>
          <w:p w14:paraId="495F61BB">
            <w:pPr>
              <w:rPr>
                <w:rFonts w:ascii="Arial"/>
                <w:color w:val="auto"/>
                <w:sz w:val="21"/>
                <w:highlight w:val="none"/>
              </w:rPr>
            </w:pPr>
          </w:p>
        </w:tc>
        <w:tc>
          <w:tcPr>
            <w:tcW w:w="1186" w:type="dxa"/>
            <w:vAlign w:val="top"/>
          </w:tcPr>
          <w:p w14:paraId="388E4360">
            <w:pPr>
              <w:rPr>
                <w:rFonts w:ascii="Arial"/>
                <w:color w:val="auto"/>
                <w:sz w:val="21"/>
                <w:highlight w:val="none"/>
              </w:rPr>
            </w:pPr>
          </w:p>
        </w:tc>
      </w:tr>
      <w:tr w14:paraId="076B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327A86FA">
            <w:pPr>
              <w:rPr>
                <w:rFonts w:ascii="Arial"/>
                <w:color w:val="auto"/>
                <w:sz w:val="21"/>
                <w:highlight w:val="none"/>
              </w:rPr>
            </w:pPr>
          </w:p>
        </w:tc>
        <w:tc>
          <w:tcPr>
            <w:tcW w:w="1934" w:type="dxa"/>
            <w:vAlign w:val="top"/>
          </w:tcPr>
          <w:p w14:paraId="7B1AD527">
            <w:pPr>
              <w:rPr>
                <w:rFonts w:ascii="Arial"/>
                <w:color w:val="auto"/>
                <w:sz w:val="21"/>
                <w:highlight w:val="none"/>
              </w:rPr>
            </w:pPr>
          </w:p>
        </w:tc>
        <w:tc>
          <w:tcPr>
            <w:tcW w:w="2376" w:type="dxa"/>
            <w:vAlign w:val="top"/>
          </w:tcPr>
          <w:p w14:paraId="6064B55E">
            <w:pPr>
              <w:rPr>
                <w:rFonts w:ascii="Arial"/>
                <w:color w:val="auto"/>
                <w:sz w:val="21"/>
                <w:highlight w:val="none"/>
              </w:rPr>
            </w:pPr>
          </w:p>
        </w:tc>
        <w:tc>
          <w:tcPr>
            <w:tcW w:w="1219" w:type="dxa"/>
            <w:vAlign w:val="top"/>
          </w:tcPr>
          <w:p w14:paraId="590CCE02">
            <w:pPr>
              <w:rPr>
                <w:rFonts w:ascii="Arial"/>
                <w:color w:val="auto"/>
                <w:sz w:val="21"/>
                <w:highlight w:val="none"/>
              </w:rPr>
            </w:pPr>
          </w:p>
        </w:tc>
        <w:tc>
          <w:tcPr>
            <w:tcW w:w="1262" w:type="dxa"/>
            <w:vAlign w:val="top"/>
          </w:tcPr>
          <w:p w14:paraId="026FD8B6">
            <w:pPr>
              <w:rPr>
                <w:rFonts w:ascii="Arial"/>
                <w:color w:val="auto"/>
                <w:sz w:val="21"/>
                <w:highlight w:val="none"/>
              </w:rPr>
            </w:pPr>
          </w:p>
        </w:tc>
        <w:tc>
          <w:tcPr>
            <w:tcW w:w="1099" w:type="dxa"/>
            <w:vAlign w:val="top"/>
          </w:tcPr>
          <w:p w14:paraId="343F05FD">
            <w:pPr>
              <w:rPr>
                <w:rFonts w:ascii="Arial"/>
                <w:color w:val="auto"/>
                <w:sz w:val="21"/>
                <w:highlight w:val="none"/>
              </w:rPr>
            </w:pPr>
          </w:p>
        </w:tc>
        <w:tc>
          <w:tcPr>
            <w:tcW w:w="1186" w:type="dxa"/>
            <w:vAlign w:val="top"/>
          </w:tcPr>
          <w:p w14:paraId="2E8CB3B6">
            <w:pPr>
              <w:rPr>
                <w:rFonts w:ascii="Arial"/>
                <w:color w:val="auto"/>
                <w:sz w:val="21"/>
                <w:highlight w:val="none"/>
              </w:rPr>
            </w:pPr>
          </w:p>
        </w:tc>
      </w:tr>
      <w:tr w14:paraId="66972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3A354C8F">
            <w:pPr>
              <w:rPr>
                <w:rFonts w:ascii="Arial"/>
                <w:color w:val="auto"/>
                <w:sz w:val="21"/>
                <w:highlight w:val="none"/>
              </w:rPr>
            </w:pPr>
          </w:p>
        </w:tc>
        <w:tc>
          <w:tcPr>
            <w:tcW w:w="1934" w:type="dxa"/>
            <w:vAlign w:val="top"/>
          </w:tcPr>
          <w:p w14:paraId="7A6D252A">
            <w:pPr>
              <w:rPr>
                <w:rFonts w:ascii="Arial"/>
                <w:color w:val="auto"/>
                <w:sz w:val="21"/>
                <w:highlight w:val="none"/>
              </w:rPr>
            </w:pPr>
          </w:p>
        </w:tc>
        <w:tc>
          <w:tcPr>
            <w:tcW w:w="2376" w:type="dxa"/>
            <w:vAlign w:val="top"/>
          </w:tcPr>
          <w:p w14:paraId="37A26CFA">
            <w:pPr>
              <w:rPr>
                <w:rFonts w:ascii="Arial"/>
                <w:color w:val="auto"/>
                <w:sz w:val="21"/>
                <w:highlight w:val="none"/>
              </w:rPr>
            </w:pPr>
          </w:p>
        </w:tc>
        <w:tc>
          <w:tcPr>
            <w:tcW w:w="1219" w:type="dxa"/>
            <w:vAlign w:val="top"/>
          </w:tcPr>
          <w:p w14:paraId="1F20DDC4">
            <w:pPr>
              <w:rPr>
                <w:rFonts w:ascii="Arial"/>
                <w:color w:val="auto"/>
                <w:sz w:val="21"/>
                <w:highlight w:val="none"/>
              </w:rPr>
            </w:pPr>
          </w:p>
        </w:tc>
        <w:tc>
          <w:tcPr>
            <w:tcW w:w="1262" w:type="dxa"/>
            <w:vAlign w:val="top"/>
          </w:tcPr>
          <w:p w14:paraId="3C3C861A">
            <w:pPr>
              <w:rPr>
                <w:rFonts w:ascii="Arial"/>
                <w:color w:val="auto"/>
                <w:sz w:val="21"/>
                <w:highlight w:val="none"/>
              </w:rPr>
            </w:pPr>
          </w:p>
        </w:tc>
        <w:tc>
          <w:tcPr>
            <w:tcW w:w="1099" w:type="dxa"/>
            <w:vAlign w:val="top"/>
          </w:tcPr>
          <w:p w14:paraId="488DD7D4">
            <w:pPr>
              <w:rPr>
                <w:rFonts w:ascii="Arial"/>
                <w:color w:val="auto"/>
                <w:sz w:val="21"/>
                <w:highlight w:val="none"/>
              </w:rPr>
            </w:pPr>
          </w:p>
        </w:tc>
        <w:tc>
          <w:tcPr>
            <w:tcW w:w="1186" w:type="dxa"/>
            <w:vAlign w:val="top"/>
          </w:tcPr>
          <w:p w14:paraId="1CF411B2">
            <w:pPr>
              <w:rPr>
                <w:rFonts w:ascii="Arial"/>
                <w:color w:val="auto"/>
                <w:sz w:val="21"/>
                <w:highlight w:val="none"/>
              </w:rPr>
            </w:pPr>
          </w:p>
        </w:tc>
      </w:tr>
      <w:tr w14:paraId="35307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455739F">
            <w:pPr>
              <w:rPr>
                <w:rFonts w:ascii="Arial"/>
                <w:color w:val="auto"/>
                <w:sz w:val="21"/>
                <w:highlight w:val="none"/>
              </w:rPr>
            </w:pPr>
          </w:p>
        </w:tc>
        <w:tc>
          <w:tcPr>
            <w:tcW w:w="1934" w:type="dxa"/>
            <w:vAlign w:val="top"/>
          </w:tcPr>
          <w:p w14:paraId="5575EFDC">
            <w:pPr>
              <w:rPr>
                <w:rFonts w:ascii="Arial"/>
                <w:color w:val="auto"/>
                <w:sz w:val="21"/>
                <w:highlight w:val="none"/>
              </w:rPr>
            </w:pPr>
          </w:p>
        </w:tc>
        <w:tc>
          <w:tcPr>
            <w:tcW w:w="2376" w:type="dxa"/>
            <w:vAlign w:val="top"/>
          </w:tcPr>
          <w:p w14:paraId="24817864">
            <w:pPr>
              <w:rPr>
                <w:rFonts w:ascii="Arial"/>
                <w:color w:val="auto"/>
                <w:sz w:val="21"/>
                <w:highlight w:val="none"/>
              </w:rPr>
            </w:pPr>
          </w:p>
        </w:tc>
        <w:tc>
          <w:tcPr>
            <w:tcW w:w="1219" w:type="dxa"/>
            <w:vAlign w:val="top"/>
          </w:tcPr>
          <w:p w14:paraId="622A4F80">
            <w:pPr>
              <w:rPr>
                <w:rFonts w:ascii="Arial"/>
                <w:color w:val="auto"/>
                <w:sz w:val="21"/>
                <w:highlight w:val="none"/>
              </w:rPr>
            </w:pPr>
          </w:p>
        </w:tc>
        <w:tc>
          <w:tcPr>
            <w:tcW w:w="1262" w:type="dxa"/>
            <w:vAlign w:val="top"/>
          </w:tcPr>
          <w:p w14:paraId="64B3746D">
            <w:pPr>
              <w:rPr>
                <w:rFonts w:ascii="Arial"/>
                <w:color w:val="auto"/>
                <w:sz w:val="21"/>
                <w:highlight w:val="none"/>
              </w:rPr>
            </w:pPr>
          </w:p>
        </w:tc>
        <w:tc>
          <w:tcPr>
            <w:tcW w:w="1099" w:type="dxa"/>
            <w:vAlign w:val="top"/>
          </w:tcPr>
          <w:p w14:paraId="1FD4874F">
            <w:pPr>
              <w:rPr>
                <w:rFonts w:ascii="Arial"/>
                <w:color w:val="auto"/>
                <w:sz w:val="21"/>
                <w:highlight w:val="none"/>
              </w:rPr>
            </w:pPr>
          </w:p>
        </w:tc>
        <w:tc>
          <w:tcPr>
            <w:tcW w:w="1186" w:type="dxa"/>
            <w:vAlign w:val="top"/>
          </w:tcPr>
          <w:p w14:paraId="0E39F3FF">
            <w:pPr>
              <w:rPr>
                <w:rFonts w:ascii="Arial"/>
                <w:color w:val="auto"/>
                <w:sz w:val="21"/>
                <w:highlight w:val="none"/>
              </w:rPr>
            </w:pPr>
          </w:p>
        </w:tc>
      </w:tr>
      <w:tr w14:paraId="1AFFF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4477E57D">
            <w:pPr>
              <w:rPr>
                <w:rFonts w:ascii="Arial"/>
                <w:color w:val="auto"/>
                <w:sz w:val="21"/>
                <w:highlight w:val="none"/>
              </w:rPr>
            </w:pPr>
          </w:p>
        </w:tc>
        <w:tc>
          <w:tcPr>
            <w:tcW w:w="1934" w:type="dxa"/>
            <w:vAlign w:val="top"/>
          </w:tcPr>
          <w:p w14:paraId="7B6E6773">
            <w:pPr>
              <w:rPr>
                <w:rFonts w:ascii="Arial"/>
                <w:color w:val="auto"/>
                <w:sz w:val="21"/>
                <w:highlight w:val="none"/>
              </w:rPr>
            </w:pPr>
          </w:p>
        </w:tc>
        <w:tc>
          <w:tcPr>
            <w:tcW w:w="2376" w:type="dxa"/>
            <w:vAlign w:val="top"/>
          </w:tcPr>
          <w:p w14:paraId="4CF09EDE">
            <w:pPr>
              <w:rPr>
                <w:rFonts w:ascii="Arial"/>
                <w:color w:val="auto"/>
                <w:sz w:val="21"/>
                <w:highlight w:val="none"/>
              </w:rPr>
            </w:pPr>
          </w:p>
        </w:tc>
        <w:tc>
          <w:tcPr>
            <w:tcW w:w="1219" w:type="dxa"/>
            <w:vAlign w:val="top"/>
          </w:tcPr>
          <w:p w14:paraId="5B89174F">
            <w:pPr>
              <w:rPr>
                <w:rFonts w:ascii="Arial"/>
                <w:color w:val="auto"/>
                <w:sz w:val="21"/>
                <w:highlight w:val="none"/>
              </w:rPr>
            </w:pPr>
          </w:p>
        </w:tc>
        <w:tc>
          <w:tcPr>
            <w:tcW w:w="1262" w:type="dxa"/>
            <w:vAlign w:val="top"/>
          </w:tcPr>
          <w:p w14:paraId="509D1BA6">
            <w:pPr>
              <w:rPr>
                <w:rFonts w:ascii="Arial"/>
                <w:color w:val="auto"/>
                <w:sz w:val="21"/>
                <w:highlight w:val="none"/>
              </w:rPr>
            </w:pPr>
          </w:p>
        </w:tc>
        <w:tc>
          <w:tcPr>
            <w:tcW w:w="1099" w:type="dxa"/>
            <w:vAlign w:val="top"/>
          </w:tcPr>
          <w:p w14:paraId="377445F9">
            <w:pPr>
              <w:rPr>
                <w:rFonts w:ascii="Arial"/>
                <w:color w:val="auto"/>
                <w:sz w:val="21"/>
                <w:highlight w:val="none"/>
              </w:rPr>
            </w:pPr>
          </w:p>
        </w:tc>
        <w:tc>
          <w:tcPr>
            <w:tcW w:w="1186" w:type="dxa"/>
            <w:vAlign w:val="top"/>
          </w:tcPr>
          <w:p w14:paraId="06AEB4AB">
            <w:pPr>
              <w:rPr>
                <w:rFonts w:ascii="Arial"/>
                <w:color w:val="auto"/>
                <w:sz w:val="21"/>
                <w:highlight w:val="none"/>
              </w:rPr>
            </w:pPr>
          </w:p>
        </w:tc>
      </w:tr>
      <w:tr w14:paraId="17B01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70088988">
            <w:pPr>
              <w:rPr>
                <w:rFonts w:ascii="Arial"/>
                <w:color w:val="auto"/>
                <w:sz w:val="21"/>
                <w:highlight w:val="none"/>
              </w:rPr>
            </w:pPr>
          </w:p>
        </w:tc>
        <w:tc>
          <w:tcPr>
            <w:tcW w:w="1934" w:type="dxa"/>
            <w:vAlign w:val="top"/>
          </w:tcPr>
          <w:p w14:paraId="4A6BB9E3">
            <w:pPr>
              <w:rPr>
                <w:rFonts w:ascii="Arial"/>
                <w:color w:val="auto"/>
                <w:sz w:val="21"/>
                <w:highlight w:val="none"/>
              </w:rPr>
            </w:pPr>
          </w:p>
        </w:tc>
        <w:tc>
          <w:tcPr>
            <w:tcW w:w="2376" w:type="dxa"/>
            <w:vAlign w:val="top"/>
          </w:tcPr>
          <w:p w14:paraId="7DCCC3BB">
            <w:pPr>
              <w:rPr>
                <w:rFonts w:ascii="Arial"/>
                <w:color w:val="auto"/>
                <w:sz w:val="21"/>
                <w:highlight w:val="none"/>
              </w:rPr>
            </w:pPr>
          </w:p>
        </w:tc>
        <w:tc>
          <w:tcPr>
            <w:tcW w:w="1219" w:type="dxa"/>
            <w:vAlign w:val="top"/>
          </w:tcPr>
          <w:p w14:paraId="15D66189">
            <w:pPr>
              <w:rPr>
                <w:rFonts w:ascii="Arial"/>
                <w:color w:val="auto"/>
                <w:sz w:val="21"/>
                <w:highlight w:val="none"/>
              </w:rPr>
            </w:pPr>
          </w:p>
        </w:tc>
        <w:tc>
          <w:tcPr>
            <w:tcW w:w="1262" w:type="dxa"/>
            <w:vAlign w:val="top"/>
          </w:tcPr>
          <w:p w14:paraId="04FB0EE3">
            <w:pPr>
              <w:rPr>
                <w:rFonts w:ascii="Arial"/>
                <w:color w:val="auto"/>
                <w:sz w:val="21"/>
                <w:highlight w:val="none"/>
              </w:rPr>
            </w:pPr>
          </w:p>
        </w:tc>
        <w:tc>
          <w:tcPr>
            <w:tcW w:w="1099" w:type="dxa"/>
            <w:vAlign w:val="top"/>
          </w:tcPr>
          <w:p w14:paraId="5B62F88C">
            <w:pPr>
              <w:rPr>
                <w:rFonts w:ascii="Arial"/>
                <w:color w:val="auto"/>
                <w:sz w:val="21"/>
                <w:highlight w:val="none"/>
              </w:rPr>
            </w:pPr>
          </w:p>
        </w:tc>
        <w:tc>
          <w:tcPr>
            <w:tcW w:w="1186" w:type="dxa"/>
            <w:vAlign w:val="top"/>
          </w:tcPr>
          <w:p w14:paraId="1A45E83F">
            <w:pPr>
              <w:rPr>
                <w:rFonts w:ascii="Arial"/>
                <w:color w:val="auto"/>
                <w:sz w:val="21"/>
                <w:highlight w:val="none"/>
              </w:rPr>
            </w:pPr>
          </w:p>
        </w:tc>
      </w:tr>
      <w:tr w14:paraId="7D10B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FC1DE55">
            <w:pPr>
              <w:rPr>
                <w:rFonts w:ascii="Arial"/>
                <w:color w:val="auto"/>
                <w:sz w:val="21"/>
                <w:highlight w:val="none"/>
              </w:rPr>
            </w:pPr>
          </w:p>
        </w:tc>
        <w:tc>
          <w:tcPr>
            <w:tcW w:w="1934" w:type="dxa"/>
            <w:vAlign w:val="top"/>
          </w:tcPr>
          <w:p w14:paraId="7041C672">
            <w:pPr>
              <w:rPr>
                <w:rFonts w:ascii="Arial"/>
                <w:color w:val="auto"/>
                <w:sz w:val="21"/>
                <w:highlight w:val="none"/>
              </w:rPr>
            </w:pPr>
          </w:p>
        </w:tc>
        <w:tc>
          <w:tcPr>
            <w:tcW w:w="2376" w:type="dxa"/>
            <w:vAlign w:val="top"/>
          </w:tcPr>
          <w:p w14:paraId="5EDA298B">
            <w:pPr>
              <w:rPr>
                <w:rFonts w:ascii="Arial"/>
                <w:color w:val="auto"/>
                <w:sz w:val="21"/>
                <w:highlight w:val="none"/>
              </w:rPr>
            </w:pPr>
          </w:p>
        </w:tc>
        <w:tc>
          <w:tcPr>
            <w:tcW w:w="1219" w:type="dxa"/>
            <w:vAlign w:val="top"/>
          </w:tcPr>
          <w:p w14:paraId="5912169F">
            <w:pPr>
              <w:rPr>
                <w:rFonts w:ascii="Arial"/>
                <w:color w:val="auto"/>
                <w:sz w:val="21"/>
                <w:highlight w:val="none"/>
              </w:rPr>
            </w:pPr>
          </w:p>
        </w:tc>
        <w:tc>
          <w:tcPr>
            <w:tcW w:w="1262" w:type="dxa"/>
            <w:vAlign w:val="top"/>
          </w:tcPr>
          <w:p w14:paraId="2DF8ADFF">
            <w:pPr>
              <w:rPr>
                <w:rFonts w:ascii="Arial"/>
                <w:color w:val="auto"/>
                <w:sz w:val="21"/>
                <w:highlight w:val="none"/>
              </w:rPr>
            </w:pPr>
          </w:p>
        </w:tc>
        <w:tc>
          <w:tcPr>
            <w:tcW w:w="1099" w:type="dxa"/>
            <w:vAlign w:val="top"/>
          </w:tcPr>
          <w:p w14:paraId="58FCA5D0">
            <w:pPr>
              <w:rPr>
                <w:rFonts w:ascii="Arial"/>
                <w:color w:val="auto"/>
                <w:sz w:val="21"/>
                <w:highlight w:val="none"/>
              </w:rPr>
            </w:pPr>
          </w:p>
        </w:tc>
        <w:tc>
          <w:tcPr>
            <w:tcW w:w="1186" w:type="dxa"/>
            <w:vAlign w:val="top"/>
          </w:tcPr>
          <w:p w14:paraId="237CFAF0">
            <w:pPr>
              <w:rPr>
                <w:rFonts w:ascii="Arial"/>
                <w:color w:val="auto"/>
                <w:sz w:val="21"/>
                <w:highlight w:val="none"/>
              </w:rPr>
            </w:pPr>
          </w:p>
        </w:tc>
      </w:tr>
      <w:tr w14:paraId="13FB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03D29E6">
            <w:pPr>
              <w:rPr>
                <w:rFonts w:ascii="Arial"/>
                <w:color w:val="auto"/>
                <w:sz w:val="21"/>
                <w:highlight w:val="none"/>
              </w:rPr>
            </w:pPr>
          </w:p>
        </w:tc>
        <w:tc>
          <w:tcPr>
            <w:tcW w:w="1934" w:type="dxa"/>
            <w:vAlign w:val="top"/>
          </w:tcPr>
          <w:p w14:paraId="7626DD37">
            <w:pPr>
              <w:rPr>
                <w:rFonts w:ascii="Arial"/>
                <w:color w:val="auto"/>
                <w:sz w:val="21"/>
                <w:highlight w:val="none"/>
              </w:rPr>
            </w:pPr>
          </w:p>
        </w:tc>
        <w:tc>
          <w:tcPr>
            <w:tcW w:w="2376" w:type="dxa"/>
            <w:vAlign w:val="top"/>
          </w:tcPr>
          <w:p w14:paraId="6449110B">
            <w:pPr>
              <w:rPr>
                <w:rFonts w:ascii="Arial"/>
                <w:color w:val="auto"/>
                <w:sz w:val="21"/>
                <w:highlight w:val="none"/>
              </w:rPr>
            </w:pPr>
          </w:p>
        </w:tc>
        <w:tc>
          <w:tcPr>
            <w:tcW w:w="1219" w:type="dxa"/>
            <w:vAlign w:val="top"/>
          </w:tcPr>
          <w:p w14:paraId="2A3B6CD7">
            <w:pPr>
              <w:rPr>
                <w:rFonts w:ascii="Arial"/>
                <w:color w:val="auto"/>
                <w:sz w:val="21"/>
                <w:highlight w:val="none"/>
              </w:rPr>
            </w:pPr>
          </w:p>
        </w:tc>
        <w:tc>
          <w:tcPr>
            <w:tcW w:w="1262" w:type="dxa"/>
            <w:vAlign w:val="top"/>
          </w:tcPr>
          <w:p w14:paraId="36F6801A">
            <w:pPr>
              <w:rPr>
                <w:rFonts w:ascii="Arial"/>
                <w:color w:val="auto"/>
                <w:sz w:val="21"/>
                <w:highlight w:val="none"/>
              </w:rPr>
            </w:pPr>
          </w:p>
        </w:tc>
        <w:tc>
          <w:tcPr>
            <w:tcW w:w="1099" w:type="dxa"/>
            <w:vAlign w:val="top"/>
          </w:tcPr>
          <w:p w14:paraId="0938A999">
            <w:pPr>
              <w:rPr>
                <w:rFonts w:ascii="Arial"/>
                <w:color w:val="auto"/>
                <w:sz w:val="21"/>
                <w:highlight w:val="none"/>
              </w:rPr>
            </w:pPr>
          </w:p>
        </w:tc>
        <w:tc>
          <w:tcPr>
            <w:tcW w:w="1186" w:type="dxa"/>
            <w:vAlign w:val="top"/>
          </w:tcPr>
          <w:p w14:paraId="25FC508F">
            <w:pPr>
              <w:rPr>
                <w:rFonts w:ascii="Arial"/>
                <w:color w:val="auto"/>
                <w:sz w:val="21"/>
                <w:highlight w:val="none"/>
              </w:rPr>
            </w:pPr>
          </w:p>
        </w:tc>
      </w:tr>
      <w:tr w14:paraId="578CF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297B31D8">
            <w:pPr>
              <w:rPr>
                <w:rFonts w:ascii="Arial"/>
                <w:color w:val="auto"/>
                <w:sz w:val="21"/>
                <w:highlight w:val="none"/>
              </w:rPr>
            </w:pPr>
          </w:p>
        </w:tc>
        <w:tc>
          <w:tcPr>
            <w:tcW w:w="1934" w:type="dxa"/>
            <w:vAlign w:val="top"/>
          </w:tcPr>
          <w:p w14:paraId="62E69A18">
            <w:pPr>
              <w:rPr>
                <w:rFonts w:ascii="Arial"/>
                <w:color w:val="auto"/>
                <w:sz w:val="21"/>
                <w:highlight w:val="none"/>
              </w:rPr>
            </w:pPr>
          </w:p>
        </w:tc>
        <w:tc>
          <w:tcPr>
            <w:tcW w:w="2376" w:type="dxa"/>
            <w:vAlign w:val="top"/>
          </w:tcPr>
          <w:p w14:paraId="62F9F6C0">
            <w:pPr>
              <w:rPr>
                <w:rFonts w:ascii="Arial"/>
                <w:color w:val="auto"/>
                <w:sz w:val="21"/>
                <w:highlight w:val="none"/>
              </w:rPr>
            </w:pPr>
          </w:p>
        </w:tc>
        <w:tc>
          <w:tcPr>
            <w:tcW w:w="1219" w:type="dxa"/>
            <w:vAlign w:val="top"/>
          </w:tcPr>
          <w:p w14:paraId="302F5EC7">
            <w:pPr>
              <w:rPr>
                <w:rFonts w:ascii="Arial"/>
                <w:color w:val="auto"/>
                <w:sz w:val="21"/>
                <w:highlight w:val="none"/>
              </w:rPr>
            </w:pPr>
          </w:p>
        </w:tc>
        <w:tc>
          <w:tcPr>
            <w:tcW w:w="1262" w:type="dxa"/>
            <w:vAlign w:val="top"/>
          </w:tcPr>
          <w:p w14:paraId="17066B0F">
            <w:pPr>
              <w:rPr>
                <w:rFonts w:ascii="Arial"/>
                <w:color w:val="auto"/>
                <w:sz w:val="21"/>
                <w:highlight w:val="none"/>
              </w:rPr>
            </w:pPr>
          </w:p>
        </w:tc>
        <w:tc>
          <w:tcPr>
            <w:tcW w:w="1099" w:type="dxa"/>
            <w:vAlign w:val="top"/>
          </w:tcPr>
          <w:p w14:paraId="1A1E0E6E">
            <w:pPr>
              <w:rPr>
                <w:rFonts w:ascii="Arial"/>
                <w:color w:val="auto"/>
                <w:sz w:val="21"/>
                <w:highlight w:val="none"/>
              </w:rPr>
            </w:pPr>
          </w:p>
        </w:tc>
        <w:tc>
          <w:tcPr>
            <w:tcW w:w="1186" w:type="dxa"/>
            <w:vAlign w:val="top"/>
          </w:tcPr>
          <w:p w14:paraId="540DFB0B">
            <w:pPr>
              <w:rPr>
                <w:rFonts w:ascii="Arial"/>
                <w:color w:val="auto"/>
                <w:sz w:val="21"/>
                <w:highlight w:val="none"/>
              </w:rPr>
            </w:pPr>
          </w:p>
        </w:tc>
      </w:tr>
      <w:tr w14:paraId="758D0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60D4AB7">
            <w:pPr>
              <w:rPr>
                <w:rFonts w:ascii="Arial"/>
                <w:color w:val="auto"/>
                <w:sz w:val="21"/>
                <w:highlight w:val="none"/>
              </w:rPr>
            </w:pPr>
          </w:p>
        </w:tc>
        <w:tc>
          <w:tcPr>
            <w:tcW w:w="1934" w:type="dxa"/>
            <w:vAlign w:val="top"/>
          </w:tcPr>
          <w:p w14:paraId="7FEED472">
            <w:pPr>
              <w:rPr>
                <w:rFonts w:ascii="Arial"/>
                <w:color w:val="auto"/>
                <w:sz w:val="21"/>
                <w:highlight w:val="none"/>
              </w:rPr>
            </w:pPr>
          </w:p>
        </w:tc>
        <w:tc>
          <w:tcPr>
            <w:tcW w:w="2376" w:type="dxa"/>
            <w:vAlign w:val="top"/>
          </w:tcPr>
          <w:p w14:paraId="5B80CD18">
            <w:pPr>
              <w:rPr>
                <w:rFonts w:ascii="Arial"/>
                <w:color w:val="auto"/>
                <w:sz w:val="21"/>
                <w:highlight w:val="none"/>
              </w:rPr>
            </w:pPr>
          </w:p>
        </w:tc>
        <w:tc>
          <w:tcPr>
            <w:tcW w:w="1219" w:type="dxa"/>
            <w:vAlign w:val="top"/>
          </w:tcPr>
          <w:p w14:paraId="681E2273">
            <w:pPr>
              <w:rPr>
                <w:rFonts w:ascii="Arial"/>
                <w:color w:val="auto"/>
                <w:sz w:val="21"/>
                <w:highlight w:val="none"/>
              </w:rPr>
            </w:pPr>
          </w:p>
        </w:tc>
        <w:tc>
          <w:tcPr>
            <w:tcW w:w="1262" w:type="dxa"/>
            <w:vAlign w:val="top"/>
          </w:tcPr>
          <w:p w14:paraId="728BE65C">
            <w:pPr>
              <w:rPr>
                <w:rFonts w:ascii="Arial"/>
                <w:color w:val="auto"/>
                <w:sz w:val="21"/>
                <w:highlight w:val="none"/>
              </w:rPr>
            </w:pPr>
          </w:p>
        </w:tc>
        <w:tc>
          <w:tcPr>
            <w:tcW w:w="1099" w:type="dxa"/>
            <w:vAlign w:val="top"/>
          </w:tcPr>
          <w:p w14:paraId="58E29AAB">
            <w:pPr>
              <w:rPr>
                <w:rFonts w:ascii="Arial"/>
                <w:color w:val="auto"/>
                <w:sz w:val="21"/>
                <w:highlight w:val="none"/>
              </w:rPr>
            </w:pPr>
          </w:p>
        </w:tc>
        <w:tc>
          <w:tcPr>
            <w:tcW w:w="1186" w:type="dxa"/>
            <w:vAlign w:val="top"/>
          </w:tcPr>
          <w:p w14:paraId="6FBB809F">
            <w:pPr>
              <w:rPr>
                <w:rFonts w:ascii="Arial"/>
                <w:color w:val="auto"/>
                <w:sz w:val="21"/>
                <w:highlight w:val="none"/>
              </w:rPr>
            </w:pPr>
          </w:p>
        </w:tc>
      </w:tr>
      <w:tr w14:paraId="24557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EE2A36A">
            <w:pPr>
              <w:rPr>
                <w:rFonts w:ascii="Arial"/>
                <w:color w:val="auto"/>
                <w:sz w:val="21"/>
                <w:highlight w:val="none"/>
              </w:rPr>
            </w:pPr>
          </w:p>
        </w:tc>
        <w:tc>
          <w:tcPr>
            <w:tcW w:w="1934" w:type="dxa"/>
            <w:vAlign w:val="top"/>
          </w:tcPr>
          <w:p w14:paraId="3FFF154B">
            <w:pPr>
              <w:rPr>
                <w:rFonts w:ascii="Arial"/>
                <w:color w:val="auto"/>
                <w:sz w:val="21"/>
                <w:highlight w:val="none"/>
              </w:rPr>
            </w:pPr>
          </w:p>
        </w:tc>
        <w:tc>
          <w:tcPr>
            <w:tcW w:w="2376" w:type="dxa"/>
            <w:vAlign w:val="top"/>
          </w:tcPr>
          <w:p w14:paraId="2ECCCCE4">
            <w:pPr>
              <w:rPr>
                <w:rFonts w:ascii="Arial"/>
                <w:color w:val="auto"/>
                <w:sz w:val="21"/>
                <w:highlight w:val="none"/>
              </w:rPr>
            </w:pPr>
          </w:p>
        </w:tc>
        <w:tc>
          <w:tcPr>
            <w:tcW w:w="1219" w:type="dxa"/>
            <w:vAlign w:val="top"/>
          </w:tcPr>
          <w:p w14:paraId="089489CE">
            <w:pPr>
              <w:rPr>
                <w:rFonts w:ascii="Arial"/>
                <w:color w:val="auto"/>
                <w:sz w:val="21"/>
                <w:highlight w:val="none"/>
              </w:rPr>
            </w:pPr>
          </w:p>
        </w:tc>
        <w:tc>
          <w:tcPr>
            <w:tcW w:w="1262" w:type="dxa"/>
            <w:vAlign w:val="top"/>
          </w:tcPr>
          <w:p w14:paraId="372D463B">
            <w:pPr>
              <w:rPr>
                <w:rFonts w:ascii="Arial"/>
                <w:color w:val="auto"/>
                <w:sz w:val="21"/>
                <w:highlight w:val="none"/>
              </w:rPr>
            </w:pPr>
          </w:p>
        </w:tc>
        <w:tc>
          <w:tcPr>
            <w:tcW w:w="1099" w:type="dxa"/>
            <w:vAlign w:val="top"/>
          </w:tcPr>
          <w:p w14:paraId="72F1F066">
            <w:pPr>
              <w:rPr>
                <w:rFonts w:ascii="Arial"/>
                <w:color w:val="auto"/>
                <w:sz w:val="21"/>
                <w:highlight w:val="none"/>
              </w:rPr>
            </w:pPr>
          </w:p>
        </w:tc>
        <w:tc>
          <w:tcPr>
            <w:tcW w:w="1186" w:type="dxa"/>
            <w:vAlign w:val="top"/>
          </w:tcPr>
          <w:p w14:paraId="594E2C03">
            <w:pPr>
              <w:rPr>
                <w:rFonts w:ascii="Arial"/>
                <w:color w:val="auto"/>
                <w:sz w:val="21"/>
                <w:highlight w:val="none"/>
              </w:rPr>
            </w:pPr>
          </w:p>
        </w:tc>
      </w:tr>
      <w:tr w14:paraId="46322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7A899535">
            <w:pPr>
              <w:rPr>
                <w:rFonts w:ascii="Arial"/>
                <w:color w:val="auto"/>
                <w:sz w:val="21"/>
                <w:highlight w:val="none"/>
              </w:rPr>
            </w:pPr>
          </w:p>
        </w:tc>
        <w:tc>
          <w:tcPr>
            <w:tcW w:w="1934" w:type="dxa"/>
            <w:vAlign w:val="top"/>
          </w:tcPr>
          <w:p w14:paraId="503D3753">
            <w:pPr>
              <w:rPr>
                <w:rFonts w:ascii="Arial"/>
                <w:color w:val="auto"/>
                <w:sz w:val="21"/>
                <w:highlight w:val="none"/>
              </w:rPr>
            </w:pPr>
          </w:p>
        </w:tc>
        <w:tc>
          <w:tcPr>
            <w:tcW w:w="2376" w:type="dxa"/>
            <w:vAlign w:val="top"/>
          </w:tcPr>
          <w:p w14:paraId="494A8475">
            <w:pPr>
              <w:rPr>
                <w:rFonts w:ascii="Arial"/>
                <w:color w:val="auto"/>
                <w:sz w:val="21"/>
                <w:highlight w:val="none"/>
              </w:rPr>
            </w:pPr>
          </w:p>
        </w:tc>
        <w:tc>
          <w:tcPr>
            <w:tcW w:w="1219" w:type="dxa"/>
            <w:vAlign w:val="top"/>
          </w:tcPr>
          <w:p w14:paraId="69427F30">
            <w:pPr>
              <w:rPr>
                <w:rFonts w:ascii="Arial"/>
                <w:color w:val="auto"/>
                <w:sz w:val="21"/>
                <w:highlight w:val="none"/>
              </w:rPr>
            </w:pPr>
          </w:p>
        </w:tc>
        <w:tc>
          <w:tcPr>
            <w:tcW w:w="1262" w:type="dxa"/>
            <w:vAlign w:val="top"/>
          </w:tcPr>
          <w:p w14:paraId="23A7D214">
            <w:pPr>
              <w:rPr>
                <w:rFonts w:ascii="Arial"/>
                <w:color w:val="auto"/>
                <w:sz w:val="21"/>
                <w:highlight w:val="none"/>
              </w:rPr>
            </w:pPr>
          </w:p>
        </w:tc>
        <w:tc>
          <w:tcPr>
            <w:tcW w:w="1099" w:type="dxa"/>
            <w:vAlign w:val="top"/>
          </w:tcPr>
          <w:p w14:paraId="4E8B1CFD">
            <w:pPr>
              <w:rPr>
                <w:rFonts w:ascii="Arial"/>
                <w:color w:val="auto"/>
                <w:sz w:val="21"/>
                <w:highlight w:val="none"/>
              </w:rPr>
            </w:pPr>
          </w:p>
        </w:tc>
        <w:tc>
          <w:tcPr>
            <w:tcW w:w="1186" w:type="dxa"/>
            <w:vAlign w:val="top"/>
          </w:tcPr>
          <w:p w14:paraId="0A852EFF">
            <w:pPr>
              <w:rPr>
                <w:rFonts w:ascii="Arial"/>
                <w:color w:val="auto"/>
                <w:sz w:val="21"/>
                <w:highlight w:val="none"/>
              </w:rPr>
            </w:pPr>
          </w:p>
        </w:tc>
      </w:tr>
      <w:tr w14:paraId="37AEF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0A429179">
            <w:pPr>
              <w:rPr>
                <w:rFonts w:ascii="Arial"/>
                <w:color w:val="auto"/>
                <w:sz w:val="21"/>
                <w:highlight w:val="none"/>
              </w:rPr>
            </w:pPr>
          </w:p>
        </w:tc>
        <w:tc>
          <w:tcPr>
            <w:tcW w:w="1934" w:type="dxa"/>
            <w:vAlign w:val="top"/>
          </w:tcPr>
          <w:p w14:paraId="54B301A9">
            <w:pPr>
              <w:rPr>
                <w:rFonts w:ascii="Arial"/>
                <w:color w:val="auto"/>
                <w:sz w:val="21"/>
                <w:highlight w:val="none"/>
              </w:rPr>
            </w:pPr>
          </w:p>
        </w:tc>
        <w:tc>
          <w:tcPr>
            <w:tcW w:w="2376" w:type="dxa"/>
            <w:vAlign w:val="top"/>
          </w:tcPr>
          <w:p w14:paraId="69567C34">
            <w:pPr>
              <w:rPr>
                <w:rFonts w:ascii="Arial"/>
                <w:color w:val="auto"/>
                <w:sz w:val="21"/>
                <w:highlight w:val="none"/>
              </w:rPr>
            </w:pPr>
          </w:p>
        </w:tc>
        <w:tc>
          <w:tcPr>
            <w:tcW w:w="1219" w:type="dxa"/>
            <w:vAlign w:val="top"/>
          </w:tcPr>
          <w:p w14:paraId="74B992BE">
            <w:pPr>
              <w:rPr>
                <w:rFonts w:ascii="Arial"/>
                <w:color w:val="auto"/>
                <w:sz w:val="21"/>
                <w:highlight w:val="none"/>
              </w:rPr>
            </w:pPr>
          </w:p>
        </w:tc>
        <w:tc>
          <w:tcPr>
            <w:tcW w:w="1262" w:type="dxa"/>
            <w:vAlign w:val="top"/>
          </w:tcPr>
          <w:p w14:paraId="58CD5B6D">
            <w:pPr>
              <w:rPr>
                <w:rFonts w:ascii="Arial"/>
                <w:color w:val="auto"/>
                <w:sz w:val="21"/>
                <w:highlight w:val="none"/>
              </w:rPr>
            </w:pPr>
          </w:p>
        </w:tc>
        <w:tc>
          <w:tcPr>
            <w:tcW w:w="1099" w:type="dxa"/>
            <w:vAlign w:val="top"/>
          </w:tcPr>
          <w:p w14:paraId="09678F1B">
            <w:pPr>
              <w:rPr>
                <w:rFonts w:ascii="Arial"/>
                <w:color w:val="auto"/>
                <w:sz w:val="21"/>
                <w:highlight w:val="none"/>
              </w:rPr>
            </w:pPr>
          </w:p>
        </w:tc>
        <w:tc>
          <w:tcPr>
            <w:tcW w:w="1186" w:type="dxa"/>
            <w:vAlign w:val="top"/>
          </w:tcPr>
          <w:p w14:paraId="2A615A95">
            <w:pPr>
              <w:rPr>
                <w:rFonts w:ascii="Arial"/>
                <w:color w:val="auto"/>
                <w:sz w:val="21"/>
                <w:highlight w:val="none"/>
              </w:rPr>
            </w:pPr>
          </w:p>
        </w:tc>
      </w:tr>
      <w:tr w14:paraId="329D2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33916F4E">
            <w:pPr>
              <w:rPr>
                <w:rFonts w:ascii="Arial"/>
                <w:color w:val="auto"/>
                <w:sz w:val="21"/>
                <w:highlight w:val="none"/>
              </w:rPr>
            </w:pPr>
          </w:p>
        </w:tc>
        <w:tc>
          <w:tcPr>
            <w:tcW w:w="1934" w:type="dxa"/>
            <w:vAlign w:val="top"/>
          </w:tcPr>
          <w:p w14:paraId="21BD4F24">
            <w:pPr>
              <w:rPr>
                <w:rFonts w:ascii="Arial"/>
                <w:color w:val="auto"/>
                <w:sz w:val="21"/>
                <w:highlight w:val="none"/>
              </w:rPr>
            </w:pPr>
          </w:p>
        </w:tc>
        <w:tc>
          <w:tcPr>
            <w:tcW w:w="2376" w:type="dxa"/>
            <w:vAlign w:val="top"/>
          </w:tcPr>
          <w:p w14:paraId="58620BDF">
            <w:pPr>
              <w:rPr>
                <w:rFonts w:ascii="Arial"/>
                <w:color w:val="auto"/>
                <w:sz w:val="21"/>
                <w:highlight w:val="none"/>
              </w:rPr>
            </w:pPr>
          </w:p>
        </w:tc>
        <w:tc>
          <w:tcPr>
            <w:tcW w:w="1219" w:type="dxa"/>
            <w:vAlign w:val="top"/>
          </w:tcPr>
          <w:p w14:paraId="771F8E01">
            <w:pPr>
              <w:rPr>
                <w:rFonts w:ascii="Arial"/>
                <w:color w:val="auto"/>
                <w:sz w:val="21"/>
                <w:highlight w:val="none"/>
              </w:rPr>
            </w:pPr>
          </w:p>
        </w:tc>
        <w:tc>
          <w:tcPr>
            <w:tcW w:w="1262" w:type="dxa"/>
            <w:vAlign w:val="top"/>
          </w:tcPr>
          <w:p w14:paraId="0308E263">
            <w:pPr>
              <w:rPr>
                <w:rFonts w:ascii="Arial"/>
                <w:color w:val="auto"/>
                <w:sz w:val="21"/>
                <w:highlight w:val="none"/>
              </w:rPr>
            </w:pPr>
          </w:p>
        </w:tc>
        <w:tc>
          <w:tcPr>
            <w:tcW w:w="1099" w:type="dxa"/>
            <w:vAlign w:val="top"/>
          </w:tcPr>
          <w:p w14:paraId="6EEBF47D">
            <w:pPr>
              <w:rPr>
                <w:rFonts w:ascii="Arial"/>
                <w:color w:val="auto"/>
                <w:sz w:val="21"/>
                <w:highlight w:val="none"/>
              </w:rPr>
            </w:pPr>
          </w:p>
        </w:tc>
        <w:tc>
          <w:tcPr>
            <w:tcW w:w="1186" w:type="dxa"/>
            <w:vAlign w:val="top"/>
          </w:tcPr>
          <w:p w14:paraId="112C15C7">
            <w:pPr>
              <w:rPr>
                <w:rFonts w:ascii="Arial"/>
                <w:color w:val="auto"/>
                <w:sz w:val="21"/>
                <w:highlight w:val="none"/>
              </w:rPr>
            </w:pPr>
          </w:p>
        </w:tc>
      </w:tr>
      <w:tr w14:paraId="155E4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6EF91342">
            <w:pPr>
              <w:rPr>
                <w:rFonts w:ascii="Arial"/>
                <w:color w:val="auto"/>
                <w:sz w:val="21"/>
                <w:highlight w:val="none"/>
              </w:rPr>
            </w:pPr>
          </w:p>
        </w:tc>
        <w:tc>
          <w:tcPr>
            <w:tcW w:w="1934" w:type="dxa"/>
            <w:vAlign w:val="top"/>
          </w:tcPr>
          <w:p w14:paraId="20A4CE9B">
            <w:pPr>
              <w:rPr>
                <w:rFonts w:ascii="Arial"/>
                <w:color w:val="auto"/>
                <w:sz w:val="21"/>
                <w:highlight w:val="none"/>
              </w:rPr>
            </w:pPr>
          </w:p>
        </w:tc>
        <w:tc>
          <w:tcPr>
            <w:tcW w:w="2376" w:type="dxa"/>
            <w:vAlign w:val="top"/>
          </w:tcPr>
          <w:p w14:paraId="74DCE66E">
            <w:pPr>
              <w:rPr>
                <w:rFonts w:ascii="Arial"/>
                <w:color w:val="auto"/>
                <w:sz w:val="21"/>
                <w:highlight w:val="none"/>
              </w:rPr>
            </w:pPr>
          </w:p>
        </w:tc>
        <w:tc>
          <w:tcPr>
            <w:tcW w:w="1219" w:type="dxa"/>
            <w:vAlign w:val="top"/>
          </w:tcPr>
          <w:p w14:paraId="68B8DBB3">
            <w:pPr>
              <w:rPr>
                <w:rFonts w:ascii="Arial"/>
                <w:color w:val="auto"/>
                <w:sz w:val="21"/>
                <w:highlight w:val="none"/>
              </w:rPr>
            </w:pPr>
          </w:p>
        </w:tc>
        <w:tc>
          <w:tcPr>
            <w:tcW w:w="1262" w:type="dxa"/>
            <w:vAlign w:val="top"/>
          </w:tcPr>
          <w:p w14:paraId="7E5583B9">
            <w:pPr>
              <w:rPr>
                <w:rFonts w:ascii="Arial"/>
                <w:color w:val="auto"/>
                <w:sz w:val="21"/>
                <w:highlight w:val="none"/>
              </w:rPr>
            </w:pPr>
          </w:p>
        </w:tc>
        <w:tc>
          <w:tcPr>
            <w:tcW w:w="1099" w:type="dxa"/>
            <w:vAlign w:val="top"/>
          </w:tcPr>
          <w:p w14:paraId="590C192D">
            <w:pPr>
              <w:rPr>
                <w:rFonts w:ascii="Arial"/>
                <w:color w:val="auto"/>
                <w:sz w:val="21"/>
                <w:highlight w:val="none"/>
              </w:rPr>
            </w:pPr>
          </w:p>
        </w:tc>
        <w:tc>
          <w:tcPr>
            <w:tcW w:w="1186" w:type="dxa"/>
            <w:vAlign w:val="top"/>
          </w:tcPr>
          <w:p w14:paraId="1024D43E">
            <w:pPr>
              <w:rPr>
                <w:rFonts w:ascii="Arial"/>
                <w:color w:val="auto"/>
                <w:sz w:val="21"/>
                <w:highlight w:val="none"/>
              </w:rPr>
            </w:pPr>
          </w:p>
        </w:tc>
      </w:tr>
      <w:tr w14:paraId="3196A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4B32219A">
            <w:pPr>
              <w:rPr>
                <w:rFonts w:ascii="Arial"/>
                <w:color w:val="auto"/>
                <w:sz w:val="21"/>
                <w:highlight w:val="none"/>
              </w:rPr>
            </w:pPr>
          </w:p>
        </w:tc>
        <w:tc>
          <w:tcPr>
            <w:tcW w:w="1934" w:type="dxa"/>
            <w:vAlign w:val="top"/>
          </w:tcPr>
          <w:p w14:paraId="25579BC8">
            <w:pPr>
              <w:rPr>
                <w:rFonts w:ascii="Arial"/>
                <w:color w:val="auto"/>
                <w:sz w:val="21"/>
                <w:highlight w:val="none"/>
              </w:rPr>
            </w:pPr>
          </w:p>
        </w:tc>
        <w:tc>
          <w:tcPr>
            <w:tcW w:w="2376" w:type="dxa"/>
            <w:vAlign w:val="top"/>
          </w:tcPr>
          <w:p w14:paraId="1C70AE58">
            <w:pPr>
              <w:rPr>
                <w:rFonts w:ascii="Arial"/>
                <w:color w:val="auto"/>
                <w:sz w:val="21"/>
                <w:highlight w:val="none"/>
              </w:rPr>
            </w:pPr>
          </w:p>
        </w:tc>
        <w:tc>
          <w:tcPr>
            <w:tcW w:w="1219" w:type="dxa"/>
            <w:vAlign w:val="top"/>
          </w:tcPr>
          <w:p w14:paraId="2FD6F1E9">
            <w:pPr>
              <w:rPr>
                <w:rFonts w:ascii="Arial"/>
                <w:color w:val="auto"/>
                <w:sz w:val="21"/>
                <w:highlight w:val="none"/>
              </w:rPr>
            </w:pPr>
          </w:p>
        </w:tc>
        <w:tc>
          <w:tcPr>
            <w:tcW w:w="1262" w:type="dxa"/>
            <w:vAlign w:val="top"/>
          </w:tcPr>
          <w:p w14:paraId="5955D3A5">
            <w:pPr>
              <w:rPr>
                <w:rFonts w:ascii="Arial"/>
                <w:color w:val="auto"/>
                <w:sz w:val="21"/>
                <w:highlight w:val="none"/>
              </w:rPr>
            </w:pPr>
          </w:p>
        </w:tc>
        <w:tc>
          <w:tcPr>
            <w:tcW w:w="1099" w:type="dxa"/>
            <w:vAlign w:val="top"/>
          </w:tcPr>
          <w:p w14:paraId="70F31488">
            <w:pPr>
              <w:rPr>
                <w:rFonts w:ascii="Arial"/>
                <w:color w:val="auto"/>
                <w:sz w:val="21"/>
                <w:highlight w:val="none"/>
              </w:rPr>
            </w:pPr>
          </w:p>
        </w:tc>
        <w:tc>
          <w:tcPr>
            <w:tcW w:w="1186" w:type="dxa"/>
            <w:vAlign w:val="top"/>
          </w:tcPr>
          <w:p w14:paraId="57B9ED39">
            <w:pPr>
              <w:rPr>
                <w:rFonts w:ascii="Arial"/>
                <w:color w:val="auto"/>
                <w:sz w:val="21"/>
                <w:highlight w:val="none"/>
              </w:rPr>
            </w:pPr>
          </w:p>
        </w:tc>
      </w:tr>
      <w:tr w14:paraId="585AF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3BFFAF38">
            <w:pPr>
              <w:rPr>
                <w:rFonts w:ascii="Arial"/>
                <w:color w:val="auto"/>
                <w:sz w:val="21"/>
                <w:highlight w:val="none"/>
              </w:rPr>
            </w:pPr>
          </w:p>
        </w:tc>
        <w:tc>
          <w:tcPr>
            <w:tcW w:w="1934" w:type="dxa"/>
            <w:vAlign w:val="top"/>
          </w:tcPr>
          <w:p w14:paraId="4BC1B2FC">
            <w:pPr>
              <w:rPr>
                <w:rFonts w:ascii="Arial"/>
                <w:color w:val="auto"/>
                <w:sz w:val="21"/>
                <w:highlight w:val="none"/>
              </w:rPr>
            </w:pPr>
          </w:p>
        </w:tc>
        <w:tc>
          <w:tcPr>
            <w:tcW w:w="2376" w:type="dxa"/>
            <w:vAlign w:val="top"/>
          </w:tcPr>
          <w:p w14:paraId="28107A5A">
            <w:pPr>
              <w:rPr>
                <w:rFonts w:ascii="Arial"/>
                <w:color w:val="auto"/>
                <w:sz w:val="21"/>
                <w:highlight w:val="none"/>
              </w:rPr>
            </w:pPr>
          </w:p>
        </w:tc>
        <w:tc>
          <w:tcPr>
            <w:tcW w:w="1219" w:type="dxa"/>
            <w:vAlign w:val="top"/>
          </w:tcPr>
          <w:p w14:paraId="002922FE">
            <w:pPr>
              <w:rPr>
                <w:rFonts w:ascii="Arial"/>
                <w:color w:val="auto"/>
                <w:sz w:val="21"/>
                <w:highlight w:val="none"/>
              </w:rPr>
            </w:pPr>
          </w:p>
        </w:tc>
        <w:tc>
          <w:tcPr>
            <w:tcW w:w="1262" w:type="dxa"/>
            <w:vAlign w:val="top"/>
          </w:tcPr>
          <w:p w14:paraId="3423BF60">
            <w:pPr>
              <w:rPr>
                <w:rFonts w:ascii="Arial"/>
                <w:color w:val="auto"/>
                <w:sz w:val="21"/>
                <w:highlight w:val="none"/>
              </w:rPr>
            </w:pPr>
          </w:p>
        </w:tc>
        <w:tc>
          <w:tcPr>
            <w:tcW w:w="1099" w:type="dxa"/>
            <w:vAlign w:val="top"/>
          </w:tcPr>
          <w:p w14:paraId="61F80C57">
            <w:pPr>
              <w:rPr>
                <w:rFonts w:ascii="Arial"/>
                <w:color w:val="auto"/>
                <w:sz w:val="21"/>
                <w:highlight w:val="none"/>
              </w:rPr>
            </w:pPr>
          </w:p>
        </w:tc>
        <w:tc>
          <w:tcPr>
            <w:tcW w:w="1186" w:type="dxa"/>
            <w:vAlign w:val="top"/>
          </w:tcPr>
          <w:p w14:paraId="7E2C4999">
            <w:pPr>
              <w:rPr>
                <w:rFonts w:ascii="Arial"/>
                <w:color w:val="auto"/>
                <w:sz w:val="21"/>
                <w:highlight w:val="none"/>
              </w:rPr>
            </w:pPr>
          </w:p>
        </w:tc>
      </w:tr>
      <w:tr w14:paraId="3C29A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575DE7B2">
            <w:pPr>
              <w:rPr>
                <w:rFonts w:ascii="Arial"/>
                <w:color w:val="auto"/>
                <w:sz w:val="21"/>
                <w:highlight w:val="none"/>
              </w:rPr>
            </w:pPr>
          </w:p>
        </w:tc>
        <w:tc>
          <w:tcPr>
            <w:tcW w:w="1934" w:type="dxa"/>
            <w:vAlign w:val="top"/>
          </w:tcPr>
          <w:p w14:paraId="249FD9C1">
            <w:pPr>
              <w:rPr>
                <w:rFonts w:ascii="Arial"/>
                <w:color w:val="auto"/>
                <w:sz w:val="21"/>
                <w:highlight w:val="none"/>
              </w:rPr>
            </w:pPr>
          </w:p>
        </w:tc>
        <w:tc>
          <w:tcPr>
            <w:tcW w:w="2376" w:type="dxa"/>
            <w:vAlign w:val="top"/>
          </w:tcPr>
          <w:p w14:paraId="7DFFD9F8">
            <w:pPr>
              <w:rPr>
                <w:rFonts w:ascii="Arial"/>
                <w:color w:val="auto"/>
                <w:sz w:val="21"/>
                <w:highlight w:val="none"/>
              </w:rPr>
            </w:pPr>
          </w:p>
        </w:tc>
        <w:tc>
          <w:tcPr>
            <w:tcW w:w="1219" w:type="dxa"/>
            <w:vAlign w:val="top"/>
          </w:tcPr>
          <w:p w14:paraId="0491BE1C">
            <w:pPr>
              <w:rPr>
                <w:rFonts w:ascii="Arial"/>
                <w:color w:val="auto"/>
                <w:sz w:val="21"/>
                <w:highlight w:val="none"/>
              </w:rPr>
            </w:pPr>
          </w:p>
        </w:tc>
        <w:tc>
          <w:tcPr>
            <w:tcW w:w="1262" w:type="dxa"/>
            <w:vAlign w:val="top"/>
          </w:tcPr>
          <w:p w14:paraId="53F33540">
            <w:pPr>
              <w:rPr>
                <w:rFonts w:ascii="Arial"/>
                <w:color w:val="auto"/>
                <w:sz w:val="21"/>
                <w:highlight w:val="none"/>
              </w:rPr>
            </w:pPr>
          </w:p>
        </w:tc>
        <w:tc>
          <w:tcPr>
            <w:tcW w:w="1099" w:type="dxa"/>
            <w:vAlign w:val="top"/>
          </w:tcPr>
          <w:p w14:paraId="2E8DDE8E">
            <w:pPr>
              <w:rPr>
                <w:rFonts w:ascii="Arial"/>
                <w:color w:val="auto"/>
                <w:sz w:val="21"/>
                <w:highlight w:val="none"/>
              </w:rPr>
            </w:pPr>
          </w:p>
        </w:tc>
        <w:tc>
          <w:tcPr>
            <w:tcW w:w="1186" w:type="dxa"/>
            <w:vAlign w:val="top"/>
          </w:tcPr>
          <w:p w14:paraId="022CE8D5">
            <w:pPr>
              <w:rPr>
                <w:rFonts w:ascii="Arial"/>
                <w:color w:val="auto"/>
                <w:sz w:val="21"/>
                <w:highlight w:val="none"/>
              </w:rPr>
            </w:pPr>
          </w:p>
        </w:tc>
      </w:tr>
      <w:tr w14:paraId="24531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74749A4">
            <w:pPr>
              <w:rPr>
                <w:rFonts w:ascii="Arial"/>
                <w:color w:val="auto"/>
                <w:sz w:val="21"/>
                <w:highlight w:val="none"/>
              </w:rPr>
            </w:pPr>
          </w:p>
        </w:tc>
        <w:tc>
          <w:tcPr>
            <w:tcW w:w="1934" w:type="dxa"/>
            <w:vAlign w:val="top"/>
          </w:tcPr>
          <w:p w14:paraId="19C40B31">
            <w:pPr>
              <w:rPr>
                <w:rFonts w:ascii="Arial"/>
                <w:color w:val="auto"/>
                <w:sz w:val="21"/>
                <w:highlight w:val="none"/>
              </w:rPr>
            </w:pPr>
          </w:p>
        </w:tc>
        <w:tc>
          <w:tcPr>
            <w:tcW w:w="2376" w:type="dxa"/>
            <w:vAlign w:val="top"/>
          </w:tcPr>
          <w:p w14:paraId="391BAA69">
            <w:pPr>
              <w:rPr>
                <w:rFonts w:ascii="Arial"/>
                <w:color w:val="auto"/>
                <w:sz w:val="21"/>
                <w:highlight w:val="none"/>
              </w:rPr>
            </w:pPr>
          </w:p>
        </w:tc>
        <w:tc>
          <w:tcPr>
            <w:tcW w:w="1219" w:type="dxa"/>
            <w:vAlign w:val="top"/>
          </w:tcPr>
          <w:p w14:paraId="75F3FB76">
            <w:pPr>
              <w:rPr>
                <w:rFonts w:ascii="Arial"/>
                <w:color w:val="auto"/>
                <w:sz w:val="21"/>
                <w:highlight w:val="none"/>
              </w:rPr>
            </w:pPr>
          </w:p>
        </w:tc>
        <w:tc>
          <w:tcPr>
            <w:tcW w:w="1262" w:type="dxa"/>
            <w:vAlign w:val="top"/>
          </w:tcPr>
          <w:p w14:paraId="28E55507">
            <w:pPr>
              <w:rPr>
                <w:rFonts w:ascii="Arial"/>
                <w:color w:val="auto"/>
                <w:sz w:val="21"/>
                <w:highlight w:val="none"/>
              </w:rPr>
            </w:pPr>
          </w:p>
        </w:tc>
        <w:tc>
          <w:tcPr>
            <w:tcW w:w="1099" w:type="dxa"/>
            <w:vAlign w:val="top"/>
          </w:tcPr>
          <w:p w14:paraId="768A7815">
            <w:pPr>
              <w:rPr>
                <w:rFonts w:ascii="Arial"/>
                <w:color w:val="auto"/>
                <w:sz w:val="21"/>
                <w:highlight w:val="none"/>
              </w:rPr>
            </w:pPr>
          </w:p>
        </w:tc>
        <w:tc>
          <w:tcPr>
            <w:tcW w:w="1186" w:type="dxa"/>
            <w:vAlign w:val="top"/>
          </w:tcPr>
          <w:p w14:paraId="0CBC0E0D">
            <w:pPr>
              <w:rPr>
                <w:rFonts w:ascii="Arial"/>
                <w:color w:val="auto"/>
                <w:sz w:val="21"/>
                <w:highlight w:val="none"/>
              </w:rPr>
            </w:pPr>
          </w:p>
        </w:tc>
      </w:tr>
      <w:tr w14:paraId="15BF6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5C4BE23B">
            <w:pPr>
              <w:rPr>
                <w:rFonts w:ascii="Arial"/>
                <w:color w:val="auto"/>
                <w:sz w:val="21"/>
                <w:highlight w:val="none"/>
              </w:rPr>
            </w:pPr>
          </w:p>
        </w:tc>
        <w:tc>
          <w:tcPr>
            <w:tcW w:w="1934" w:type="dxa"/>
            <w:vAlign w:val="top"/>
          </w:tcPr>
          <w:p w14:paraId="67854123">
            <w:pPr>
              <w:rPr>
                <w:rFonts w:ascii="Arial"/>
                <w:color w:val="auto"/>
                <w:sz w:val="21"/>
                <w:highlight w:val="none"/>
              </w:rPr>
            </w:pPr>
          </w:p>
        </w:tc>
        <w:tc>
          <w:tcPr>
            <w:tcW w:w="2376" w:type="dxa"/>
            <w:vAlign w:val="top"/>
          </w:tcPr>
          <w:p w14:paraId="51EA73F8">
            <w:pPr>
              <w:rPr>
                <w:rFonts w:ascii="Arial"/>
                <w:color w:val="auto"/>
                <w:sz w:val="21"/>
                <w:highlight w:val="none"/>
              </w:rPr>
            </w:pPr>
          </w:p>
        </w:tc>
        <w:tc>
          <w:tcPr>
            <w:tcW w:w="1219" w:type="dxa"/>
            <w:vAlign w:val="top"/>
          </w:tcPr>
          <w:p w14:paraId="6C8DFBAE">
            <w:pPr>
              <w:rPr>
                <w:rFonts w:ascii="Arial"/>
                <w:color w:val="auto"/>
                <w:sz w:val="21"/>
                <w:highlight w:val="none"/>
              </w:rPr>
            </w:pPr>
          </w:p>
        </w:tc>
        <w:tc>
          <w:tcPr>
            <w:tcW w:w="1262" w:type="dxa"/>
            <w:vAlign w:val="top"/>
          </w:tcPr>
          <w:p w14:paraId="2F956ED4">
            <w:pPr>
              <w:rPr>
                <w:rFonts w:ascii="Arial"/>
                <w:color w:val="auto"/>
                <w:sz w:val="21"/>
                <w:highlight w:val="none"/>
              </w:rPr>
            </w:pPr>
          </w:p>
        </w:tc>
        <w:tc>
          <w:tcPr>
            <w:tcW w:w="1099" w:type="dxa"/>
            <w:vAlign w:val="top"/>
          </w:tcPr>
          <w:p w14:paraId="48D764B9">
            <w:pPr>
              <w:rPr>
                <w:rFonts w:ascii="Arial"/>
                <w:color w:val="auto"/>
                <w:sz w:val="21"/>
                <w:highlight w:val="none"/>
              </w:rPr>
            </w:pPr>
          </w:p>
        </w:tc>
        <w:tc>
          <w:tcPr>
            <w:tcW w:w="1186" w:type="dxa"/>
            <w:vAlign w:val="top"/>
          </w:tcPr>
          <w:p w14:paraId="46EC7707">
            <w:pPr>
              <w:rPr>
                <w:rFonts w:ascii="Arial"/>
                <w:color w:val="auto"/>
                <w:sz w:val="21"/>
                <w:highlight w:val="none"/>
              </w:rPr>
            </w:pPr>
          </w:p>
        </w:tc>
      </w:tr>
      <w:tr w14:paraId="2548C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14:paraId="64CFB1AB">
            <w:pPr>
              <w:rPr>
                <w:rFonts w:ascii="Arial"/>
                <w:color w:val="auto"/>
                <w:sz w:val="21"/>
                <w:highlight w:val="none"/>
              </w:rPr>
            </w:pPr>
          </w:p>
        </w:tc>
        <w:tc>
          <w:tcPr>
            <w:tcW w:w="1219" w:type="dxa"/>
            <w:vAlign w:val="top"/>
          </w:tcPr>
          <w:p w14:paraId="163CA1E2">
            <w:pPr>
              <w:rPr>
                <w:rFonts w:ascii="Arial"/>
                <w:color w:val="auto"/>
                <w:sz w:val="21"/>
                <w:highlight w:val="none"/>
              </w:rPr>
            </w:pPr>
          </w:p>
        </w:tc>
        <w:tc>
          <w:tcPr>
            <w:tcW w:w="1262" w:type="dxa"/>
            <w:vAlign w:val="top"/>
          </w:tcPr>
          <w:p w14:paraId="7AEA439C">
            <w:pPr>
              <w:rPr>
                <w:rFonts w:ascii="Arial"/>
                <w:color w:val="auto"/>
                <w:sz w:val="21"/>
                <w:highlight w:val="none"/>
              </w:rPr>
            </w:pPr>
          </w:p>
        </w:tc>
        <w:tc>
          <w:tcPr>
            <w:tcW w:w="1099" w:type="dxa"/>
            <w:vAlign w:val="top"/>
          </w:tcPr>
          <w:p w14:paraId="1D30AEFF">
            <w:pPr>
              <w:rPr>
                <w:rFonts w:ascii="Arial"/>
                <w:color w:val="auto"/>
                <w:sz w:val="21"/>
                <w:highlight w:val="none"/>
              </w:rPr>
            </w:pPr>
          </w:p>
        </w:tc>
        <w:tc>
          <w:tcPr>
            <w:tcW w:w="1186" w:type="dxa"/>
            <w:vAlign w:val="top"/>
          </w:tcPr>
          <w:p w14:paraId="3AB30192">
            <w:pPr>
              <w:rPr>
                <w:rFonts w:ascii="Arial"/>
                <w:color w:val="auto"/>
                <w:sz w:val="21"/>
                <w:highlight w:val="none"/>
              </w:rPr>
            </w:pPr>
          </w:p>
        </w:tc>
      </w:tr>
    </w:tbl>
    <w:p w14:paraId="6511AF4C">
      <w:pPr>
        <w:spacing w:before="150" w:line="213" w:lineRule="auto"/>
        <w:ind w:left="1041" w:right="620" w:hanging="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注：此表“暂估金额”由招标人填写，投标人应将“暂估金额”计入投标总</w:t>
      </w:r>
      <w:r>
        <w:rPr>
          <w:rFonts w:ascii="宋体" w:hAnsi="宋体" w:eastAsia="宋体" w:cs="宋体"/>
          <w:color w:val="auto"/>
          <w:spacing w:val="2"/>
          <w:sz w:val="21"/>
          <w:szCs w:val="21"/>
          <w:highlight w:val="none"/>
        </w:rPr>
        <w:t>价中。结算时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按合同约定结算金额填写。</w:t>
      </w:r>
    </w:p>
    <w:p w14:paraId="026F45CA">
      <w:pPr>
        <w:spacing w:line="213" w:lineRule="auto"/>
        <w:rPr>
          <w:rFonts w:ascii="宋体" w:hAnsi="宋体" w:eastAsia="宋体" w:cs="宋体"/>
          <w:color w:val="auto"/>
          <w:sz w:val="21"/>
          <w:szCs w:val="21"/>
          <w:highlight w:val="none"/>
        </w:rPr>
        <w:sectPr>
          <w:type w:val="continuous"/>
          <w:pgSz w:w="11905" w:h="16839"/>
          <w:pgMar w:top="400" w:right="1176" w:bottom="1004" w:left="1186" w:header="0" w:footer="829" w:gutter="0"/>
          <w:pgNumType w:fmt="decimal"/>
          <w:cols w:equalWidth="0" w:num="1">
            <w:col w:w="9542"/>
          </w:cols>
        </w:sectPr>
      </w:pPr>
    </w:p>
    <w:p w14:paraId="5883B717">
      <w:pPr>
        <w:pStyle w:val="3"/>
        <w:spacing w:line="267" w:lineRule="auto"/>
        <w:rPr>
          <w:color w:val="auto"/>
          <w:highlight w:val="none"/>
        </w:rPr>
      </w:pPr>
    </w:p>
    <w:p w14:paraId="73597BBA">
      <w:pPr>
        <w:pStyle w:val="3"/>
        <w:spacing w:line="268" w:lineRule="auto"/>
        <w:rPr>
          <w:color w:val="auto"/>
          <w:highlight w:val="none"/>
        </w:rPr>
      </w:pPr>
    </w:p>
    <w:p w14:paraId="2FE45611">
      <w:pPr>
        <w:pStyle w:val="3"/>
        <w:spacing w:line="268" w:lineRule="auto"/>
        <w:rPr>
          <w:color w:val="auto"/>
          <w:highlight w:val="none"/>
        </w:rPr>
      </w:pPr>
    </w:p>
    <w:p w14:paraId="1FE5F45D">
      <w:pPr>
        <w:pStyle w:val="3"/>
        <w:spacing w:line="268" w:lineRule="auto"/>
        <w:rPr>
          <w:color w:val="auto"/>
          <w:highlight w:val="none"/>
        </w:rPr>
      </w:pPr>
    </w:p>
    <w:p w14:paraId="356072DE">
      <w:pPr>
        <w:spacing w:before="78" w:line="220" w:lineRule="auto"/>
        <w:ind w:left="2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4.12-4 </w:t>
      </w:r>
      <w:r>
        <w:rPr>
          <w:rFonts w:ascii="黑体" w:hAnsi="黑体" w:eastAsia="黑体" w:cs="黑体"/>
          <w:color w:val="auto"/>
          <w:spacing w:val="-1"/>
          <w:sz w:val="24"/>
          <w:szCs w:val="24"/>
          <w:highlight w:val="none"/>
        </w:rPr>
        <w:t>计日工表</w:t>
      </w:r>
    </w:p>
    <w:p w14:paraId="603352CA">
      <w:pPr>
        <w:pStyle w:val="3"/>
        <w:spacing w:line="277" w:lineRule="auto"/>
        <w:rPr>
          <w:color w:val="auto"/>
          <w:highlight w:val="none"/>
        </w:rPr>
      </w:pPr>
    </w:p>
    <w:p w14:paraId="419D12A7">
      <w:pPr>
        <w:pStyle w:val="3"/>
        <w:spacing w:line="277" w:lineRule="auto"/>
        <w:rPr>
          <w:color w:val="auto"/>
          <w:highlight w:val="none"/>
        </w:rPr>
      </w:pPr>
    </w:p>
    <w:p w14:paraId="56BAF5CF">
      <w:pPr>
        <w:spacing w:before="88" w:line="226" w:lineRule="auto"/>
        <w:ind w:left="3824"/>
        <w:rPr>
          <w:rFonts w:ascii="黑体" w:hAnsi="黑体" w:eastAsia="黑体" w:cs="黑体"/>
          <w:color w:val="auto"/>
          <w:sz w:val="27"/>
          <w:szCs w:val="27"/>
          <w:highlight w:val="none"/>
        </w:rPr>
      </w:pPr>
      <w:bookmarkStart w:id="1311" w:name="bookmark257"/>
      <w:bookmarkEnd w:id="1311"/>
      <w:r>
        <w:rPr>
          <w:rFonts w:ascii="黑体" w:hAnsi="黑体" w:eastAsia="黑体" w:cs="黑体"/>
          <w:color w:val="auto"/>
          <w:spacing w:val="5"/>
          <w:sz w:val="27"/>
          <w:szCs w:val="27"/>
          <w:highlight w:val="none"/>
        </w:rPr>
        <w:t>计日工表</w:t>
      </w:r>
    </w:p>
    <w:p w14:paraId="4C5C83AE">
      <w:pPr>
        <w:pStyle w:val="3"/>
        <w:spacing w:line="274" w:lineRule="auto"/>
        <w:rPr>
          <w:color w:val="auto"/>
          <w:highlight w:val="none"/>
        </w:rPr>
      </w:pPr>
    </w:p>
    <w:p w14:paraId="261A69B5">
      <w:pPr>
        <w:pStyle w:val="3"/>
        <w:spacing w:line="274" w:lineRule="auto"/>
        <w:rPr>
          <w:color w:val="auto"/>
          <w:highlight w:val="none"/>
        </w:rPr>
      </w:pPr>
    </w:p>
    <w:p w14:paraId="3BE5D625">
      <w:pPr>
        <w:spacing w:before="69" w:line="214" w:lineRule="auto"/>
        <w:ind w:left="226"/>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 xml:space="preserve">工程名称：                标段名称：  </w:t>
      </w:r>
      <w:r>
        <w:rPr>
          <w:rFonts w:ascii="宋体" w:hAnsi="宋体" w:eastAsia="宋体" w:cs="宋体"/>
          <w:color w:val="auto"/>
          <w:spacing w:val="-13"/>
          <w:sz w:val="21"/>
          <w:szCs w:val="21"/>
          <w:highlight w:val="none"/>
        </w:rPr>
        <w:t xml:space="preserve">     第 页 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3"/>
          <w:sz w:val="21"/>
          <w:szCs w:val="21"/>
          <w:highlight w:val="none"/>
        </w:rPr>
        <w:t>页</w:t>
      </w:r>
    </w:p>
    <w:tbl>
      <w:tblPr>
        <w:tblStyle w:val="10"/>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14:paraId="43DB2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14:paraId="1AE5EA4C">
            <w:pPr>
              <w:spacing w:line="313" w:lineRule="auto"/>
              <w:rPr>
                <w:rFonts w:ascii="Arial"/>
                <w:color w:val="auto"/>
                <w:sz w:val="21"/>
                <w:highlight w:val="none"/>
              </w:rPr>
            </w:pPr>
          </w:p>
          <w:p w14:paraId="63408470">
            <w:pPr>
              <w:pStyle w:val="11"/>
              <w:spacing w:before="69" w:line="221" w:lineRule="auto"/>
              <w:ind w:left="187"/>
              <w:rPr>
                <w:color w:val="auto"/>
                <w:highlight w:val="none"/>
              </w:rPr>
            </w:pPr>
            <w:r>
              <w:rPr>
                <w:color w:val="auto"/>
                <w:spacing w:val="-2"/>
                <w:highlight w:val="none"/>
              </w:rPr>
              <w:t>编号</w:t>
            </w:r>
          </w:p>
        </w:tc>
        <w:tc>
          <w:tcPr>
            <w:tcW w:w="1911" w:type="dxa"/>
            <w:vMerge w:val="restart"/>
            <w:tcBorders>
              <w:top w:val="single" w:color="000000" w:sz="4" w:space="0"/>
              <w:bottom w:val="nil"/>
              <w:right w:val="single" w:color="000000" w:sz="4" w:space="0"/>
            </w:tcBorders>
            <w:vAlign w:val="top"/>
          </w:tcPr>
          <w:p w14:paraId="5A5882B0">
            <w:pPr>
              <w:spacing w:line="314" w:lineRule="auto"/>
              <w:rPr>
                <w:rFonts w:ascii="Arial"/>
                <w:color w:val="auto"/>
                <w:sz w:val="21"/>
                <w:highlight w:val="none"/>
              </w:rPr>
            </w:pPr>
          </w:p>
          <w:p w14:paraId="1CDDEADD">
            <w:pPr>
              <w:pStyle w:val="11"/>
              <w:spacing w:before="68" w:line="221" w:lineRule="auto"/>
              <w:ind w:left="537"/>
              <w:rPr>
                <w:color w:val="auto"/>
                <w:highlight w:val="none"/>
              </w:rPr>
            </w:pPr>
            <w:r>
              <w:rPr>
                <w:color w:val="auto"/>
                <w:spacing w:val="-2"/>
                <w:highlight w:val="none"/>
              </w:rPr>
              <w:t>项目名称</w:t>
            </w:r>
          </w:p>
        </w:tc>
        <w:tc>
          <w:tcPr>
            <w:tcW w:w="717" w:type="dxa"/>
            <w:vMerge w:val="restart"/>
            <w:tcBorders>
              <w:top w:val="single" w:color="000000" w:sz="4" w:space="0"/>
              <w:left w:val="single" w:color="000000" w:sz="4" w:space="0"/>
              <w:bottom w:val="nil"/>
            </w:tcBorders>
            <w:vAlign w:val="top"/>
          </w:tcPr>
          <w:p w14:paraId="0F2C55F7">
            <w:pPr>
              <w:spacing w:line="314" w:lineRule="auto"/>
              <w:rPr>
                <w:rFonts w:ascii="Arial"/>
                <w:color w:val="auto"/>
                <w:sz w:val="21"/>
                <w:highlight w:val="none"/>
              </w:rPr>
            </w:pPr>
          </w:p>
          <w:p w14:paraId="742DA1A3">
            <w:pPr>
              <w:pStyle w:val="11"/>
              <w:spacing w:before="68" w:line="221" w:lineRule="auto"/>
              <w:ind w:left="154"/>
              <w:rPr>
                <w:color w:val="auto"/>
                <w:highlight w:val="none"/>
              </w:rPr>
            </w:pPr>
            <w:r>
              <w:rPr>
                <w:color w:val="auto"/>
                <w:spacing w:val="-2"/>
                <w:highlight w:val="none"/>
              </w:rPr>
              <w:t>单位</w:t>
            </w:r>
          </w:p>
        </w:tc>
        <w:tc>
          <w:tcPr>
            <w:tcW w:w="899" w:type="dxa"/>
            <w:vMerge w:val="restart"/>
            <w:tcBorders>
              <w:top w:val="single" w:color="000000" w:sz="4" w:space="0"/>
              <w:bottom w:val="nil"/>
              <w:right w:val="single" w:color="000000" w:sz="4" w:space="0"/>
            </w:tcBorders>
            <w:vAlign w:val="top"/>
          </w:tcPr>
          <w:p w14:paraId="56EC0980">
            <w:pPr>
              <w:pStyle w:val="11"/>
              <w:spacing w:before="250" w:line="236" w:lineRule="auto"/>
              <w:ind w:left="256"/>
              <w:rPr>
                <w:color w:val="auto"/>
                <w:highlight w:val="none"/>
              </w:rPr>
            </w:pPr>
            <w:r>
              <w:rPr>
                <w:color w:val="auto"/>
                <w:spacing w:val="-4"/>
                <w:highlight w:val="none"/>
              </w:rPr>
              <w:t>暂定</w:t>
            </w:r>
          </w:p>
          <w:p w14:paraId="78792CE1">
            <w:pPr>
              <w:pStyle w:val="11"/>
              <w:spacing w:line="220" w:lineRule="auto"/>
              <w:ind w:left="251"/>
              <w:rPr>
                <w:color w:val="auto"/>
                <w:highlight w:val="none"/>
              </w:rPr>
            </w:pPr>
            <w:r>
              <w:rPr>
                <w:color w:val="auto"/>
                <w:spacing w:val="-2"/>
                <w:highlight w:val="none"/>
              </w:rPr>
              <w:t>数量</w:t>
            </w:r>
          </w:p>
        </w:tc>
        <w:tc>
          <w:tcPr>
            <w:tcW w:w="904" w:type="dxa"/>
            <w:vMerge w:val="restart"/>
            <w:tcBorders>
              <w:top w:val="single" w:color="000000" w:sz="4" w:space="0"/>
              <w:left w:val="single" w:color="000000" w:sz="4" w:space="0"/>
              <w:bottom w:val="nil"/>
            </w:tcBorders>
            <w:vAlign w:val="top"/>
          </w:tcPr>
          <w:p w14:paraId="044F1A21">
            <w:pPr>
              <w:pStyle w:val="11"/>
              <w:spacing w:before="250" w:line="236" w:lineRule="auto"/>
              <w:ind w:left="255"/>
              <w:rPr>
                <w:color w:val="auto"/>
                <w:highlight w:val="none"/>
              </w:rPr>
            </w:pPr>
            <w:r>
              <w:rPr>
                <w:color w:val="auto"/>
                <w:spacing w:val="-3"/>
                <w:highlight w:val="none"/>
              </w:rPr>
              <w:t>实际</w:t>
            </w:r>
          </w:p>
          <w:p w14:paraId="01D5205B">
            <w:pPr>
              <w:pStyle w:val="11"/>
              <w:spacing w:line="220" w:lineRule="auto"/>
              <w:ind w:left="252"/>
              <w:rPr>
                <w:color w:val="auto"/>
                <w:highlight w:val="none"/>
              </w:rPr>
            </w:pPr>
            <w:r>
              <w:rPr>
                <w:color w:val="auto"/>
                <w:spacing w:val="-2"/>
                <w:highlight w:val="none"/>
              </w:rPr>
              <w:t>数量</w:t>
            </w:r>
          </w:p>
        </w:tc>
        <w:tc>
          <w:tcPr>
            <w:tcW w:w="1218" w:type="dxa"/>
            <w:gridSpan w:val="2"/>
            <w:vMerge w:val="restart"/>
            <w:tcBorders>
              <w:top w:val="single" w:color="000000" w:sz="4" w:space="0"/>
              <w:bottom w:val="nil"/>
            </w:tcBorders>
            <w:vAlign w:val="top"/>
          </w:tcPr>
          <w:p w14:paraId="2DD346FF">
            <w:pPr>
              <w:pStyle w:val="11"/>
              <w:spacing w:before="250" w:line="236" w:lineRule="auto"/>
              <w:ind w:left="407"/>
              <w:rPr>
                <w:color w:val="auto"/>
                <w:highlight w:val="none"/>
              </w:rPr>
            </w:pPr>
            <w:r>
              <w:rPr>
                <w:color w:val="auto"/>
                <w:spacing w:val="-2"/>
                <w:highlight w:val="none"/>
              </w:rPr>
              <w:t>单价</w:t>
            </w:r>
          </w:p>
          <w:p w14:paraId="445CF3E2">
            <w:pPr>
              <w:pStyle w:val="11"/>
              <w:spacing w:line="221" w:lineRule="auto"/>
              <w:ind w:left="306"/>
              <w:rPr>
                <w:color w:val="auto"/>
                <w:highlight w:val="none"/>
              </w:rPr>
            </w:pPr>
            <w:r>
              <w:rPr>
                <w:color w:val="auto"/>
                <w:spacing w:val="-6"/>
                <w:highlight w:val="none"/>
              </w:rPr>
              <w:t>（元）</w:t>
            </w:r>
          </w:p>
        </w:tc>
        <w:tc>
          <w:tcPr>
            <w:tcW w:w="2297" w:type="dxa"/>
            <w:gridSpan w:val="2"/>
            <w:tcBorders>
              <w:top w:val="single" w:color="000000" w:sz="4" w:space="0"/>
              <w:right w:val="single" w:color="000000" w:sz="4" w:space="0"/>
            </w:tcBorders>
            <w:vAlign w:val="top"/>
          </w:tcPr>
          <w:p w14:paraId="338147B1">
            <w:pPr>
              <w:pStyle w:val="11"/>
              <w:spacing w:before="139" w:line="219" w:lineRule="auto"/>
              <w:ind w:left="629"/>
              <w:rPr>
                <w:color w:val="auto"/>
                <w:highlight w:val="none"/>
              </w:rPr>
            </w:pPr>
            <w:r>
              <w:rPr>
                <w:color w:val="auto"/>
                <w:spacing w:val="-3"/>
                <w:highlight w:val="none"/>
              </w:rPr>
              <w:t>合价（元）</w:t>
            </w:r>
          </w:p>
        </w:tc>
      </w:tr>
      <w:tr w14:paraId="74C87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14:paraId="3FC281A0">
            <w:pPr>
              <w:rPr>
                <w:rFonts w:ascii="Arial"/>
                <w:color w:val="auto"/>
                <w:sz w:val="21"/>
                <w:highlight w:val="none"/>
              </w:rPr>
            </w:pPr>
          </w:p>
        </w:tc>
        <w:tc>
          <w:tcPr>
            <w:tcW w:w="1911" w:type="dxa"/>
            <w:vMerge w:val="continue"/>
            <w:tcBorders>
              <w:top w:val="nil"/>
              <w:right w:val="single" w:color="000000" w:sz="4" w:space="0"/>
            </w:tcBorders>
            <w:vAlign w:val="top"/>
          </w:tcPr>
          <w:p w14:paraId="3BCEF5D7">
            <w:pPr>
              <w:rPr>
                <w:rFonts w:ascii="Arial"/>
                <w:color w:val="auto"/>
                <w:sz w:val="21"/>
                <w:highlight w:val="none"/>
              </w:rPr>
            </w:pPr>
          </w:p>
        </w:tc>
        <w:tc>
          <w:tcPr>
            <w:tcW w:w="717" w:type="dxa"/>
            <w:vMerge w:val="continue"/>
            <w:tcBorders>
              <w:top w:val="nil"/>
              <w:left w:val="single" w:color="000000" w:sz="4" w:space="0"/>
            </w:tcBorders>
            <w:vAlign w:val="top"/>
          </w:tcPr>
          <w:p w14:paraId="169C0888">
            <w:pPr>
              <w:rPr>
                <w:rFonts w:ascii="Arial"/>
                <w:color w:val="auto"/>
                <w:sz w:val="21"/>
                <w:highlight w:val="none"/>
              </w:rPr>
            </w:pPr>
          </w:p>
        </w:tc>
        <w:tc>
          <w:tcPr>
            <w:tcW w:w="899" w:type="dxa"/>
            <w:vMerge w:val="continue"/>
            <w:tcBorders>
              <w:top w:val="nil"/>
              <w:right w:val="single" w:color="000000" w:sz="4" w:space="0"/>
            </w:tcBorders>
            <w:vAlign w:val="top"/>
          </w:tcPr>
          <w:p w14:paraId="36B77544">
            <w:pPr>
              <w:rPr>
                <w:rFonts w:ascii="Arial"/>
                <w:color w:val="auto"/>
                <w:sz w:val="21"/>
                <w:highlight w:val="none"/>
              </w:rPr>
            </w:pPr>
          </w:p>
        </w:tc>
        <w:tc>
          <w:tcPr>
            <w:tcW w:w="904" w:type="dxa"/>
            <w:vMerge w:val="continue"/>
            <w:tcBorders>
              <w:top w:val="nil"/>
              <w:left w:val="single" w:color="000000" w:sz="4" w:space="0"/>
            </w:tcBorders>
            <w:vAlign w:val="top"/>
          </w:tcPr>
          <w:p w14:paraId="6AD7AFB0">
            <w:pPr>
              <w:rPr>
                <w:rFonts w:ascii="Arial"/>
                <w:color w:val="auto"/>
                <w:sz w:val="21"/>
                <w:highlight w:val="none"/>
              </w:rPr>
            </w:pPr>
          </w:p>
        </w:tc>
        <w:tc>
          <w:tcPr>
            <w:tcW w:w="1218" w:type="dxa"/>
            <w:gridSpan w:val="2"/>
            <w:vMerge w:val="continue"/>
            <w:tcBorders>
              <w:top w:val="nil"/>
            </w:tcBorders>
            <w:vAlign w:val="top"/>
          </w:tcPr>
          <w:p w14:paraId="292720B7">
            <w:pPr>
              <w:rPr>
                <w:rFonts w:ascii="Arial"/>
                <w:color w:val="auto"/>
                <w:sz w:val="21"/>
                <w:highlight w:val="none"/>
              </w:rPr>
            </w:pPr>
          </w:p>
        </w:tc>
        <w:tc>
          <w:tcPr>
            <w:tcW w:w="1131" w:type="dxa"/>
            <w:vAlign w:val="top"/>
          </w:tcPr>
          <w:p w14:paraId="24B2EBA2">
            <w:pPr>
              <w:pStyle w:val="11"/>
              <w:spacing w:before="131" w:line="221" w:lineRule="auto"/>
              <w:ind w:left="370"/>
              <w:rPr>
                <w:color w:val="auto"/>
                <w:highlight w:val="none"/>
              </w:rPr>
            </w:pPr>
            <w:r>
              <w:rPr>
                <w:color w:val="auto"/>
                <w:spacing w:val="-4"/>
                <w:highlight w:val="none"/>
              </w:rPr>
              <w:t>暂定</w:t>
            </w:r>
          </w:p>
        </w:tc>
        <w:tc>
          <w:tcPr>
            <w:tcW w:w="1166" w:type="dxa"/>
            <w:tcBorders>
              <w:right w:val="single" w:color="000000" w:sz="4" w:space="0"/>
            </w:tcBorders>
            <w:vAlign w:val="top"/>
          </w:tcPr>
          <w:p w14:paraId="78A7CC65">
            <w:pPr>
              <w:pStyle w:val="11"/>
              <w:spacing w:before="131" w:line="221" w:lineRule="auto"/>
              <w:ind w:left="385"/>
              <w:rPr>
                <w:color w:val="auto"/>
                <w:highlight w:val="none"/>
              </w:rPr>
            </w:pPr>
            <w:r>
              <w:rPr>
                <w:color w:val="auto"/>
                <w:spacing w:val="-3"/>
                <w:highlight w:val="none"/>
              </w:rPr>
              <w:t>实际</w:t>
            </w:r>
          </w:p>
        </w:tc>
      </w:tr>
      <w:tr w14:paraId="49FE9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5C2E63FB">
            <w:pPr>
              <w:spacing w:before="226" w:line="151" w:lineRule="exact"/>
              <w:ind w:left="294"/>
              <w:rPr>
                <w:rFonts w:ascii="黑体" w:hAnsi="黑体" w:eastAsia="黑体" w:cs="黑体"/>
                <w:color w:val="auto"/>
                <w:sz w:val="21"/>
                <w:szCs w:val="21"/>
                <w:highlight w:val="none"/>
              </w:rPr>
            </w:pPr>
            <w:r>
              <w:rPr>
                <w:rFonts w:ascii="黑体" w:hAnsi="黑体" w:eastAsia="黑体" w:cs="黑体"/>
                <w:color w:val="auto"/>
                <w:position w:val="-3"/>
                <w:sz w:val="21"/>
                <w:szCs w:val="21"/>
                <w:highlight w:val="none"/>
              </w:rPr>
              <w:t>一</w:t>
            </w:r>
          </w:p>
        </w:tc>
        <w:tc>
          <w:tcPr>
            <w:tcW w:w="1911" w:type="dxa"/>
            <w:tcBorders>
              <w:right w:val="single" w:color="000000" w:sz="4" w:space="0"/>
            </w:tcBorders>
            <w:vAlign w:val="top"/>
          </w:tcPr>
          <w:p w14:paraId="4A5882B3">
            <w:pPr>
              <w:pStyle w:val="11"/>
              <w:spacing w:before="135" w:line="223" w:lineRule="auto"/>
              <w:ind w:left="747"/>
              <w:rPr>
                <w:color w:val="auto"/>
                <w:highlight w:val="none"/>
              </w:rPr>
            </w:pPr>
            <w:r>
              <w:rPr>
                <w:color w:val="auto"/>
                <w:spacing w:val="-2"/>
                <w:highlight w:val="none"/>
              </w:rPr>
              <w:t>人工</w:t>
            </w:r>
          </w:p>
        </w:tc>
        <w:tc>
          <w:tcPr>
            <w:tcW w:w="717" w:type="dxa"/>
            <w:tcBorders>
              <w:left w:val="single" w:color="000000" w:sz="4" w:space="0"/>
            </w:tcBorders>
            <w:vAlign w:val="top"/>
          </w:tcPr>
          <w:p w14:paraId="04E953E1">
            <w:pPr>
              <w:rPr>
                <w:rFonts w:ascii="Arial"/>
                <w:color w:val="auto"/>
                <w:sz w:val="21"/>
                <w:highlight w:val="none"/>
              </w:rPr>
            </w:pPr>
          </w:p>
        </w:tc>
        <w:tc>
          <w:tcPr>
            <w:tcW w:w="899" w:type="dxa"/>
            <w:tcBorders>
              <w:right w:val="single" w:color="000000" w:sz="4" w:space="0"/>
            </w:tcBorders>
            <w:vAlign w:val="top"/>
          </w:tcPr>
          <w:p w14:paraId="2B94962D">
            <w:pPr>
              <w:rPr>
                <w:rFonts w:ascii="Arial"/>
                <w:color w:val="auto"/>
                <w:sz w:val="21"/>
                <w:highlight w:val="none"/>
              </w:rPr>
            </w:pPr>
          </w:p>
        </w:tc>
        <w:tc>
          <w:tcPr>
            <w:tcW w:w="904" w:type="dxa"/>
            <w:tcBorders>
              <w:left w:val="single" w:color="000000" w:sz="4" w:space="0"/>
            </w:tcBorders>
            <w:vAlign w:val="top"/>
          </w:tcPr>
          <w:p w14:paraId="2C89C9AA">
            <w:pPr>
              <w:rPr>
                <w:rFonts w:ascii="Arial"/>
                <w:color w:val="auto"/>
                <w:sz w:val="21"/>
                <w:highlight w:val="none"/>
              </w:rPr>
            </w:pPr>
          </w:p>
        </w:tc>
        <w:tc>
          <w:tcPr>
            <w:tcW w:w="1218" w:type="dxa"/>
            <w:gridSpan w:val="2"/>
            <w:vAlign w:val="top"/>
          </w:tcPr>
          <w:p w14:paraId="54C88D96">
            <w:pPr>
              <w:rPr>
                <w:rFonts w:ascii="Arial"/>
                <w:color w:val="auto"/>
                <w:sz w:val="21"/>
                <w:highlight w:val="none"/>
              </w:rPr>
            </w:pPr>
          </w:p>
        </w:tc>
        <w:tc>
          <w:tcPr>
            <w:tcW w:w="1131" w:type="dxa"/>
            <w:vAlign w:val="top"/>
          </w:tcPr>
          <w:p w14:paraId="18B64BA2">
            <w:pPr>
              <w:rPr>
                <w:rFonts w:ascii="Arial"/>
                <w:color w:val="auto"/>
                <w:sz w:val="21"/>
                <w:highlight w:val="none"/>
              </w:rPr>
            </w:pPr>
          </w:p>
        </w:tc>
        <w:tc>
          <w:tcPr>
            <w:tcW w:w="1166" w:type="dxa"/>
            <w:tcBorders>
              <w:right w:val="single" w:color="000000" w:sz="4" w:space="0"/>
            </w:tcBorders>
            <w:vAlign w:val="top"/>
          </w:tcPr>
          <w:p w14:paraId="2256474D">
            <w:pPr>
              <w:rPr>
                <w:rFonts w:ascii="Arial"/>
                <w:color w:val="auto"/>
                <w:sz w:val="21"/>
                <w:highlight w:val="none"/>
              </w:rPr>
            </w:pPr>
          </w:p>
        </w:tc>
      </w:tr>
      <w:tr w14:paraId="34738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bottom w:val="single" w:color="000000" w:sz="4" w:space="0"/>
            </w:tcBorders>
            <w:vAlign w:val="top"/>
          </w:tcPr>
          <w:p w14:paraId="78AD995D">
            <w:pPr>
              <w:spacing w:before="165"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553D7286">
            <w:pPr>
              <w:rPr>
                <w:rFonts w:ascii="Arial"/>
                <w:color w:val="auto"/>
                <w:sz w:val="21"/>
                <w:highlight w:val="none"/>
              </w:rPr>
            </w:pPr>
          </w:p>
        </w:tc>
        <w:tc>
          <w:tcPr>
            <w:tcW w:w="717" w:type="dxa"/>
            <w:tcBorders>
              <w:left w:val="single" w:color="000000" w:sz="4" w:space="0"/>
            </w:tcBorders>
            <w:vAlign w:val="top"/>
          </w:tcPr>
          <w:p w14:paraId="3C1216C6">
            <w:pPr>
              <w:rPr>
                <w:rFonts w:ascii="Arial"/>
                <w:color w:val="auto"/>
                <w:sz w:val="21"/>
                <w:highlight w:val="none"/>
              </w:rPr>
            </w:pPr>
          </w:p>
        </w:tc>
        <w:tc>
          <w:tcPr>
            <w:tcW w:w="899" w:type="dxa"/>
            <w:tcBorders>
              <w:right w:val="single" w:color="000000" w:sz="4" w:space="0"/>
            </w:tcBorders>
            <w:vAlign w:val="top"/>
          </w:tcPr>
          <w:p w14:paraId="6B8F4A14">
            <w:pPr>
              <w:rPr>
                <w:rFonts w:ascii="Arial"/>
                <w:color w:val="auto"/>
                <w:sz w:val="21"/>
                <w:highlight w:val="none"/>
              </w:rPr>
            </w:pPr>
          </w:p>
        </w:tc>
        <w:tc>
          <w:tcPr>
            <w:tcW w:w="904" w:type="dxa"/>
            <w:tcBorders>
              <w:left w:val="single" w:color="000000" w:sz="4" w:space="0"/>
            </w:tcBorders>
            <w:vAlign w:val="top"/>
          </w:tcPr>
          <w:p w14:paraId="500C629D">
            <w:pPr>
              <w:rPr>
                <w:rFonts w:ascii="Arial"/>
                <w:color w:val="auto"/>
                <w:sz w:val="21"/>
                <w:highlight w:val="none"/>
              </w:rPr>
            </w:pPr>
          </w:p>
        </w:tc>
        <w:tc>
          <w:tcPr>
            <w:tcW w:w="1218" w:type="dxa"/>
            <w:gridSpan w:val="2"/>
            <w:vAlign w:val="top"/>
          </w:tcPr>
          <w:p w14:paraId="5B0E9750">
            <w:pPr>
              <w:rPr>
                <w:rFonts w:ascii="Arial"/>
                <w:color w:val="auto"/>
                <w:sz w:val="21"/>
                <w:highlight w:val="none"/>
              </w:rPr>
            </w:pPr>
          </w:p>
        </w:tc>
        <w:tc>
          <w:tcPr>
            <w:tcW w:w="1131" w:type="dxa"/>
            <w:vAlign w:val="top"/>
          </w:tcPr>
          <w:p w14:paraId="171C2618">
            <w:pPr>
              <w:rPr>
                <w:rFonts w:ascii="Arial"/>
                <w:color w:val="auto"/>
                <w:sz w:val="21"/>
                <w:highlight w:val="none"/>
              </w:rPr>
            </w:pPr>
          </w:p>
        </w:tc>
        <w:tc>
          <w:tcPr>
            <w:tcW w:w="1166" w:type="dxa"/>
            <w:tcBorders>
              <w:right w:val="single" w:color="000000" w:sz="4" w:space="0"/>
            </w:tcBorders>
            <w:vAlign w:val="top"/>
          </w:tcPr>
          <w:p w14:paraId="3C57B590">
            <w:pPr>
              <w:rPr>
                <w:rFonts w:ascii="Arial"/>
                <w:color w:val="auto"/>
                <w:sz w:val="21"/>
                <w:highlight w:val="none"/>
              </w:rPr>
            </w:pPr>
          </w:p>
        </w:tc>
      </w:tr>
      <w:tr w14:paraId="6122D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14:paraId="7A9F3E46">
            <w:pPr>
              <w:spacing w:before="169"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4399C8A6">
            <w:pPr>
              <w:rPr>
                <w:rFonts w:ascii="Arial"/>
                <w:color w:val="auto"/>
                <w:sz w:val="21"/>
                <w:highlight w:val="none"/>
              </w:rPr>
            </w:pPr>
          </w:p>
        </w:tc>
        <w:tc>
          <w:tcPr>
            <w:tcW w:w="717" w:type="dxa"/>
            <w:tcBorders>
              <w:left w:val="single" w:color="000000" w:sz="4" w:space="0"/>
            </w:tcBorders>
            <w:vAlign w:val="top"/>
          </w:tcPr>
          <w:p w14:paraId="25046F0E">
            <w:pPr>
              <w:rPr>
                <w:rFonts w:ascii="Arial"/>
                <w:color w:val="auto"/>
                <w:sz w:val="21"/>
                <w:highlight w:val="none"/>
              </w:rPr>
            </w:pPr>
          </w:p>
        </w:tc>
        <w:tc>
          <w:tcPr>
            <w:tcW w:w="899" w:type="dxa"/>
            <w:tcBorders>
              <w:right w:val="single" w:color="000000" w:sz="4" w:space="0"/>
            </w:tcBorders>
            <w:vAlign w:val="top"/>
          </w:tcPr>
          <w:p w14:paraId="2750AFB7">
            <w:pPr>
              <w:rPr>
                <w:rFonts w:ascii="Arial"/>
                <w:color w:val="auto"/>
                <w:sz w:val="21"/>
                <w:highlight w:val="none"/>
              </w:rPr>
            </w:pPr>
          </w:p>
        </w:tc>
        <w:tc>
          <w:tcPr>
            <w:tcW w:w="904" w:type="dxa"/>
            <w:tcBorders>
              <w:left w:val="single" w:color="000000" w:sz="4" w:space="0"/>
            </w:tcBorders>
            <w:vAlign w:val="top"/>
          </w:tcPr>
          <w:p w14:paraId="08B57B00">
            <w:pPr>
              <w:rPr>
                <w:rFonts w:ascii="Arial"/>
                <w:color w:val="auto"/>
                <w:sz w:val="21"/>
                <w:highlight w:val="none"/>
              </w:rPr>
            </w:pPr>
          </w:p>
        </w:tc>
        <w:tc>
          <w:tcPr>
            <w:tcW w:w="1218" w:type="dxa"/>
            <w:gridSpan w:val="2"/>
            <w:vAlign w:val="top"/>
          </w:tcPr>
          <w:p w14:paraId="516ED4D0">
            <w:pPr>
              <w:rPr>
                <w:rFonts w:ascii="Arial"/>
                <w:color w:val="auto"/>
                <w:sz w:val="21"/>
                <w:highlight w:val="none"/>
              </w:rPr>
            </w:pPr>
          </w:p>
        </w:tc>
        <w:tc>
          <w:tcPr>
            <w:tcW w:w="1131" w:type="dxa"/>
            <w:vAlign w:val="top"/>
          </w:tcPr>
          <w:p w14:paraId="4BBDE8BE">
            <w:pPr>
              <w:rPr>
                <w:rFonts w:ascii="Arial"/>
                <w:color w:val="auto"/>
                <w:sz w:val="21"/>
                <w:highlight w:val="none"/>
              </w:rPr>
            </w:pPr>
          </w:p>
        </w:tc>
        <w:tc>
          <w:tcPr>
            <w:tcW w:w="1166" w:type="dxa"/>
            <w:tcBorders>
              <w:right w:val="single" w:color="000000" w:sz="4" w:space="0"/>
            </w:tcBorders>
            <w:vAlign w:val="top"/>
          </w:tcPr>
          <w:p w14:paraId="12ADC82B">
            <w:pPr>
              <w:rPr>
                <w:rFonts w:ascii="Arial"/>
                <w:color w:val="auto"/>
                <w:sz w:val="21"/>
                <w:highlight w:val="none"/>
              </w:rPr>
            </w:pPr>
          </w:p>
        </w:tc>
      </w:tr>
      <w:tr w14:paraId="4C14A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1D8C4D26">
            <w:pPr>
              <w:spacing w:before="168"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1C31E786">
            <w:pPr>
              <w:rPr>
                <w:rFonts w:ascii="Arial"/>
                <w:color w:val="auto"/>
                <w:sz w:val="21"/>
                <w:highlight w:val="none"/>
              </w:rPr>
            </w:pPr>
          </w:p>
        </w:tc>
        <w:tc>
          <w:tcPr>
            <w:tcW w:w="717" w:type="dxa"/>
            <w:tcBorders>
              <w:left w:val="single" w:color="000000" w:sz="4" w:space="0"/>
            </w:tcBorders>
            <w:vAlign w:val="top"/>
          </w:tcPr>
          <w:p w14:paraId="407B83FE">
            <w:pPr>
              <w:rPr>
                <w:rFonts w:ascii="Arial"/>
                <w:color w:val="auto"/>
                <w:sz w:val="21"/>
                <w:highlight w:val="none"/>
              </w:rPr>
            </w:pPr>
          </w:p>
        </w:tc>
        <w:tc>
          <w:tcPr>
            <w:tcW w:w="899" w:type="dxa"/>
            <w:tcBorders>
              <w:right w:val="single" w:color="000000" w:sz="4" w:space="0"/>
            </w:tcBorders>
            <w:vAlign w:val="top"/>
          </w:tcPr>
          <w:p w14:paraId="620C3BFB">
            <w:pPr>
              <w:rPr>
                <w:rFonts w:ascii="Arial"/>
                <w:color w:val="auto"/>
                <w:sz w:val="21"/>
                <w:highlight w:val="none"/>
              </w:rPr>
            </w:pPr>
          </w:p>
        </w:tc>
        <w:tc>
          <w:tcPr>
            <w:tcW w:w="904" w:type="dxa"/>
            <w:tcBorders>
              <w:left w:val="single" w:color="000000" w:sz="4" w:space="0"/>
            </w:tcBorders>
            <w:vAlign w:val="top"/>
          </w:tcPr>
          <w:p w14:paraId="2CBBCCAD">
            <w:pPr>
              <w:rPr>
                <w:rFonts w:ascii="Arial"/>
                <w:color w:val="auto"/>
                <w:sz w:val="21"/>
                <w:highlight w:val="none"/>
              </w:rPr>
            </w:pPr>
          </w:p>
        </w:tc>
        <w:tc>
          <w:tcPr>
            <w:tcW w:w="1218" w:type="dxa"/>
            <w:gridSpan w:val="2"/>
            <w:vAlign w:val="top"/>
          </w:tcPr>
          <w:p w14:paraId="1F2AF190">
            <w:pPr>
              <w:rPr>
                <w:rFonts w:ascii="Arial"/>
                <w:color w:val="auto"/>
                <w:sz w:val="21"/>
                <w:highlight w:val="none"/>
              </w:rPr>
            </w:pPr>
          </w:p>
        </w:tc>
        <w:tc>
          <w:tcPr>
            <w:tcW w:w="1131" w:type="dxa"/>
            <w:vAlign w:val="top"/>
          </w:tcPr>
          <w:p w14:paraId="2D3B88AE">
            <w:pPr>
              <w:rPr>
                <w:rFonts w:ascii="Arial"/>
                <w:color w:val="auto"/>
                <w:sz w:val="21"/>
                <w:highlight w:val="none"/>
              </w:rPr>
            </w:pPr>
          </w:p>
        </w:tc>
        <w:tc>
          <w:tcPr>
            <w:tcW w:w="1166" w:type="dxa"/>
            <w:tcBorders>
              <w:right w:val="single" w:color="000000" w:sz="4" w:space="0"/>
            </w:tcBorders>
            <w:vAlign w:val="top"/>
          </w:tcPr>
          <w:p w14:paraId="3FFC6165">
            <w:pPr>
              <w:rPr>
                <w:rFonts w:ascii="Arial"/>
                <w:color w:val="auto"/>
                <w:sz w:val="21"/>
                <w:highlight w:val="none"/>
              </w:rPr>
            </w:pPr>
          </w:p>
        </w:tc>
      </w:tr>
      <w:tr w14:paraId="287C0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14:paraId="7F98C8C7">
            <w:pPr>
              <w:pStyle w:val="11"/>
              <w:spacing w:before="139" w:line="222" w:lineRule="auto"/>
              <w:ind w:left="2804"/>
              <w:rPr>
                <w:color w:val="auto"/>
                <w:highlight w:val="none"/>
              </w:rPr>
            </w:pPr>
            <w:r>
              <w:rPr>
                <w:color w:val="auto"/>
                <w:spacing w:val="-1"/>
                <w:highlight w:val="none"/>
              </w:rPr>
              <w:t>人工小计</w:t>
            </w:r>
          </w:p>
        </w:tc>
        <w:tc>
          <w:tcPr>
            <w:tcW w:w="1151" w:type="dxa"/>
            <w:gridSpan w:val="2"/>
            <w:tcBorders>
              <w:left w:val="single" w:color="000000" w:sz="4" w:space="0"/>
              <w:right w:val="single" w:color="000000" w:sz="4" w:space="0"/>
            </w:tcBorders>
            <w:vAlign w:val="top"/>
          </w:tcPr>
          <w:p w14:paraId="6C3B056C">
            <w:pPr>
              <w:rPr>
                <w:rFonts w:ascii="Arial"/>
                <w:color w:val="auto"/>
                <w:sz w:val="21"/>
                <w:highlight w:val="none"/>
              </w:rPr>
            </w:pPr>
          </w:p>
        </w:tc>
        <w:tc>
          <w:tcPr>
            <w:tcW w:w="1166" w:type="dxa"/>
            <w:tcBorders>
              <w:left w:val="single" w:color="000000" w:sz="4" w:space="0"/>
              <w:right w:val="single" w:color="000000" w:sz="4" w:space="0"/>
            </w:tcBorders>
            <w:vAlign w:val="top"/>
          </w:tcPr>
          <w:p w14:paraId="32788D7B">
            <w:pPr>
              <w:rPr>
                <w:rFonts w:ascii="Arial"/>
                <w:color w:val="auto"/>
                <w:sz w:val="21"/>
                <w:highlight w:val="none"/>
              </w:rPr>
            </w:pPr>
          </w:p>
        </w:tc>
      </w:tr>
      <w:tr w14:paraId="3A80F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0DC25C82">
            <w:pPr>
              <w:pStyle w:val="11"/>
              <w:spacing w:before="174" w:line="179" w:lineRule="auto"/>
              <w:ind w:left="294"/>
              <w:rPr>
                <w:color w:val="auto"/>
                <w:highlight w:val="none"/>
              </w:rPr>
            </w:pPr>
            <w:r>
              <w:rPr>
                <w:color w:val="auto"/>
                <w:highlight w:val="none"/>
              </w:rPr>
              <w:t>二</w:t>
            </w:r>
          </w:p>
        </w:tc>
        <w:tc>
          <w:tcPr>
            <w:tcW w:w="1911" w:type="dxa"/>
            <w:tcBorders>
              <w:right w:val="single" w:color="000000" w:sz="4" w:space="0"/>
            </w:tcBorders>
            <w:vAlign w:val="top"/>
          </w:tcPr>
          <w:p w14:paraId="3F256B31">
            <w:pPr>
              <w:pStyle w:val="11"/>
              <w:spacing w:before="135" w:line="220" w:lineRule="auto"/>
              <w:ind w:left="745"/>
              <w:rPr>
                <w:color w:val="auto"/>
                <w:highlight w:val="none"/>
              </w:rPr>
            </w:pPr>
            <w:r>
              <w:rPr>
                <w:color w:val="auto"/>
                <w:spacing w:val="-2"/>
                <w:highlight w:val="none"/>
              </w:rPr>
              <w:t>材料</w:t>
            </w:r>
          </w:p>
        </w:tc>
        <w:tc>
          <w:tcPr>
            <w:tcW w:w="717" w:type="dxa"/>
            <w:tcBorders>
              <w:left w:val="single" w:color="000000" w:sz="4" w:space="0"/>
            </w:tcBorders>
            <w:vAlign w:val="top"/>
          </w:tcPr>
          <w:p w14:paraId="37075142">
            <w:pPr>
              <w:rPr>
                <w:rFonts w:ascii="Arial"/>
                <w:color w:val="auto"/>
                <w:sz w:val="21"/>
                <w:highlight w:val="none"/>
              </w:rPr>
            </w:pPr>
          </w:p>
        </w:tc>
        <w:tc>
          <w:tcPr>
            <w:tcW w:w="899" w:type="dxa"/>
            <w:tcBorders>
              <w:right w:val="single" w:color="000000" w:sz="4" w:space="0"/>
            </w:tcBorders>
            <w:vAlign w:val="top"/>
          </w:tcPr>
          <w:p w14:paraId="08CA72EB">
            <w:pPr>
              <w:rPr>
                <w:rFonts w:ascii="Arial"/>
                <w:color w:val="auto"/>
                <w:sz w:val="21"/>
                <w:highlight w:val="none"/>
              </w:rPr>
            </w:pPr>
          </w:p>
        </w:tc>
        <w:tc>
          <w:tcPr>
            <w:tcW w:w="904" w:type="dxa"/>
            <w:tcBorders>
              <w:left w:val="single" w:color="000000" w:sz="4" w:space="0"/>
            </w:tcBorders>
            <w:vAlign w:val="top"/>
          </w:tcPr>
          <w:p w14:paraId="67BD3402">
            <w:pPr>
              <w:rPr>
                <w:rFonts w:ascii="Arial"/>
                <w:color w:val="auto"/>
                <w:sz w:val="21"/>
                <w:highlight w:val="none"/>
              </w:rPr>
            </w:pPr>
          </w:p>
        </w:tc>
        <w:tc>
          <w:tcPr>
            <w:tcW w:w="1218" w:type="dxa"/>
            <w:gridSpan w:val="2"/>
            <w:vAlign w:val="top"/>
          </w:tcPr>
          <w:p w14:paraId="60581DCF">
            <w:pPr>
              <w:rPr>
                <w:rFonts w:ascii="Arial"/>
                <w:color w:val="auto"/>
                <w:sz w:val="21"/>
                <w:highlight w:val="none"/>
              </w:rPr>
            </w:pPr>
          </w:p>
        </w:tc>
        <w:tc>
          <w:tcPr>
            <w:tcW w:w="1131" w:type="dxa"/>
            <w:vAlign w:val="top"/>
          </w:tcPr>
          <w:p w14:paraId="32610AE7">
            <w:pPr>
              <w:rPr>
                <w:rFonts w:ascii="Arial"/>
                <w:color w:val="auto"/>
                <w:sz w:val="21"/>
                <w:highlight w:val="none"/>
              </w:rPr>
            </w:pPr>
          </w:p>
        </w:tc>
        <w:tc>
          <w:tcPr>
            <w:tcW w:w="1166" w:type="dxa"/>
            <w:tcBorders>
              <w:right w:val="single" w:color="000000" w:sz="4" w:space="0"/>
            </w:tcBorders>
            <w:vAlign w:val="top"/>
          </w:tcPr>
          <w:p w14:paraId="162E7378">
            <w:pPr>
              <w:rPr>
                <w:rFonts w:ascii="Arial"/>
                <w:color w:val="auto"/>
                <w:sz w:val="21"/>
                <w:highlight w:val="none"/>
              </w:rPr>
            </w:pPr>
          </w:p>
        </w:tc>
      </w:tr>
      <w:tr w14:paraId="7511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270B67C">
            <w:pPr>
              <w:spacing w:before="174"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7EDFE783">
            <w:pPr>
              <w:rPr>
                <w:rFonts w:ascii="Arial"/>
                <w:color w:val="auto"/>
                <w:sz w:val="21"/>
                <w:highlight w:val="none"/>
              </w:rPr>
            </w:pPr>
          </w:p>
        </w:tc>
        <w:tc>
          <w:tcPr>
            <w:tcW w:w="717" w:type="dxa"/>
            <w:tcBorders>
              <w:left w:val="single" w:color="000000" w:sz="4" w:space="0"/>
            </w:tcBorders>
            <w:vAlign w:val="top"/>
          </w:tcPr>
          <w:p w14:paraId="0A03C829">
            <w:pPr>
              <w:rPr>
                <w:rFonts w:ascii="Arial"/>
                <w:color w:val="auto"/>
                <w:sz w:val="21"/>
                <w:highlight w:val="none"/>
              </w:rPr>
            </w:pPr>
          </w:p>
        </w:tc>
        <w:tc>
          <w:tcPr>
            <w:tcW w:w="899" w:type="dxa"/>
            <w:tcBorders>
              <w:right w:val="single" w:color="000000" w:sz="4" w:space="0"/>
            </w:tcBorders>
            <w:vAlign w:val="top"/>
          </w:tcPr>
          <w:p w14:paraId="08844755">
            <w:pPr>
              <w:rPr>
                <w:rFonts w:ascii="Arial"/>
                <w:color w:val="auto"/>
                <w:sz w:val="21"/>
                <w:highlight w:val="none"/>
              </w:rPr>
            </w:pPr>
          </w:p>
        </w:tc>
        <w:tc>
          <w:tcPr>
            <w:tcW w:w="904" w:type="dxa"/>
            <w:tcBorders>
              <w:left w:val="single" w:color="000000" w:sz="4" w:space="0"/>
            </w:tcBorders>
            <w:vAlign w:val="top"/>
          </w:tcPr>
          <w:p w14:paraId="0A53511D">
            <w:pPr>
              <w:rPr>
                <w:rFonts w:ascii="Arial"/>
                <w:color w:val="auto"/>
                <w:sz w:val="21"/>
                <w:highlight w:val="none"/>
              </w:rPr>
            </w:pPr>
          </w:p>
        </w:tc>
        <w:tc>
          <w:tcPr>
            <w:tcW w:w="1218" w:type="dxa"/>
            <w:gridSpan w:val="2"/>
            <w:vAlign w:val="top"/>
          </w:tcPr>
          <w:p w14:paraId="4977962C">
            <w:pPr>
              <w:rPr>
                <w:rFonts w:ascii="Arial"/>
                <w:color w:val="auto"/>
                <w:sz w:val="21"/>
                <w:highlight w:val="none"/>
              </w:rPr>
            </w:pPr>
          </w:p>
        </w:tc>
        <w:tc>
          <w:tcPr>
            <w:tcW w:w="1131" w:type="dxa"/>
            <w:vAlign w:val="top"/>
          </w:tcPr>
          <w:p w14:paraId="2F9B208C">
            <w:pPr>
              <w:rPr>
                <w:rFonts w:ascii="Arial"/>
                <w:color w:val="auto"/>
                <w:sz w:val="21"/>
                <w:highlight w:val="none"/>
              </w:rPr>
            </w:pPr>
          </w:p>
        </w:tc>
        <w:tc>
          <w:tcPr>
            <w:tcW w:w="1166" w:type="dxa"/>
            <w:tcBorders>
              <w:right w:val="single" w:color="000000" w:sz="4" w:space="0"/>
            </w:tcBorders>
            <w:vAlign w:val="top"/>
          </w:tcPr>
          <w:p w14:paraId="492CFAD6">
            <w:pPr>
              <w:rPr>
                <w:rFonts w:ascii="Arial"/>
                <w:color w:val="auto"/>
                <w:sz w:val="21"/>
                <w:highlight w:val="none"/>
              </w:rPr>
            </w:pPr>
          </w:p>
        </w:tc>
      </w:tr>
      <w:tr w14:paraId="1760B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6C3E545D">
            <w:pPr>
              <w:spacing w:before="169"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71B9C117">
            <w:pPr>
              <w:rPr>
                <w:rFonts w:ascii="Arial"/>
                <w:color w:val="auto"/>
                <w:sz w:val="21"/>
                <w:highlight w:val="none"/>
              </w:rPr>
            </w:pPr>
          </w:p>
        </w:tc>
        <w:tc>
          <w:tcPr>
            <w:tcW w:w="717" w:type="dxa"/>
            <w:tcBorders>
              <w:left w:val="single" w:color="000000" w:sz="4" w:space="0"/>
            </w:tcBorders>
            <w:vAlign w:val="top"/>
          </w:tcPr>
          <w:p w14:paraId="7DBBEC4A">
            <w:pPr>
              <w:rPr>
                <w:rFonts w:ascii="Arial"/>
                <w:color w:val="auto"/>
                <w:sz w:val="21"/>
                <w:highlight w:val="none"/>
              </w:rPr>
            </w:pPr>
          </w:p>
        </w:tc>
        <w:tc>
          <w:tcPr>
            <w:tcW w:w="899" w:type="dxa"/>
            <w:tcBorders>
              <w:right w:val="single" w:color="000000" w:sz="4" w:space="0"/>
            </w:tcBorders>
            <w:vAlign w:val="top"/>
          </w:tcPr>
          <w:p w14:paraId="267EFF42">
            <w:pPr>
              <w:rPr>
                <w:rFonts w:ascii="Arial"/>
                <w:color w:val="auto"/>
                <w:sz w:val="21"/>
                <w:highlight w:val="none"/>
              </w:rPr>
            </w:pPr>
          </w:p>
        </w:tc>
        <w:tc>
          <w:tcPr>
            <w:tcW w:w="904" w:type="dxa"/>
            <w:tcBorders>
              <w:left w:val="single" w:color="000000" w:sz="4" w:space="0"/>
            </w:tcBorders>
            <w:vAlign w:val="top"/>
          </w:tcPr>
          <w:p w14:paraId="31E8FD0D">
            <w:pPr>
              <w:rPr>
                <w:rFonts w:ascii="Arial"/>
                <w:color w:val="auto"/>
                <w:sz w:val="21"/>
                <w:highlight w:val="none"/>
              </w:rPr>
            </w:pPr>
          </w:p>
        </w:tc>
        <w:tc>
          <w:tcPr>
            <w:tcW w:w="1218" w:type="dxa"/>
            <w:gridSpan w:val="2"/>
            <w:vAlign w:val="top"/>
          </w:tcPr>
          <w:p w14:paraId="74A7C50E">
            <w:pPr>
              <w:rPr>
                <w:rFonts w:ascii="Arial"/>
                <w:color w:val="auto"/>
                <w:sz w:val="21"/>
                <w:highlight w:val="none"/>
              </w:rPr>
            </w:pPr>
          </w:p>
        </w:tc>
        <w:tc>
          <w:tcPr>
            <w:tcW w:w="1131" w:type="dxa"/>
            <w:vAlign w:val="top"/>
          </w:tcPr>
          <w:p w14:paraId="2F5E7860">
            <w:pPr>
              <w:rPr>
                <w:rFonts w:ascii="Arial"/>
                <w:color w:val="auto"/>
                <w:sz w:val="21"/>
                <w:highlight w:val="none"/>
              </w:rPr>
            </w:pPr>
          </w:p>
        </w:tc>
        <w:tc>
          <w:tcPr>
            <w:tcW w:w="1166" w:type="dxa"/>
            <w:tcBorders>
              <w:right w:val="single" w:color="000000" w:sz="4" w:space="0"/>
            </w:tcBorders>
            <w:vAlign w:val="top"/>
          </w:tcPr>
          <w:p w14:paraId="0B19E80E">
            <w:pPr>
              <w:rPr>
                <w:rFonts w:ascii="Arial"/>
                <w:color w:val="auto"/>
                <w:sz w:val="21"/>
                <w:highlight w:val="none"/>
              </w:rPr>
            </w:pPr>
          </w:p>
        </w:tc>
      </w:tr>
      <w:tr w14:paraId="5DF19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5FD0441A">
            <w:pPr>
              <w:spacing w:before="175"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3D169665">
            <w:pPr>
              <w:rPr>
                <w:rFonts w:ascii="Arial"/>
                <w:color w:val="auto"/>
                <w:sz w:val="21"/>
                <w:highlight w:val="none"/>
              </w:rPr>
            </w:pPr>
          </w:p>
        </w:tc>
        <w:tc>
          <w:tcPr>
            <w:tcW w:w="717" w:type="dxa"/>
            <w:tcBorders>
              <w:left w:val="single" w:color="000000" w:sz="4" w:space="0"/>
            </w:tcBorders>
            <w:vAlign w:val="top"/>
          </w:tcPr>
          <w:p w14:paraId="3289E9E1">
            <w:pPr>
              <w:rPr>
                <w:rFonts w:ascii="Arial"/>
                <w:color w:val="auto"/>
                <w:sz w:val="21"/>
                <w:highlight w:val="none"/>
              </w:rPr>
            </w:pPr>
          </w:p>
        </w:tc>
        <w:tc>
          <w:tcPr>
            <w:tcW w:w="899" w:type="dxa"/>
            <w:tcBorders>
              <w:right w:val="single" w:color="000000" w:sz="4" w:space="0"/>
            </w:tcBorders>
            <w:vAlign w:val="top"/>
          </w:tcPr>
          <w:p w14:paraId="34B17FA5">
            <w:pPr>
              <w:rPr>
                <w:rFonts w:ascii="Arial"/>
                <w:color w:val="auto"/>
                <w:sz w:val="21"/>
                <w:highlight w:val="none"/>
              </w:rPr>
            </w:pPr>
          </w:p>
        </w:tc>
        <w:tc>
          <w:tcPr>
            <w:tcW w:w="904" w:type="dxa"/>
            <w:tcBorders>
              <w:left w:val="single" w:color="000000" w:sz="4" w:space="0"/>
            </w:tcBorders>
            <w:vAlign w:val="top"/>
          </w:tcPr>
          <w:p w14:paraId="56A1D690">
            <w:pPr>
              <w:rPr>
                <w:rFonts w:ascii="Arial"/>
                <w:color w:val="auto"/>
                <w:sz w:val="21"/>
                <w:highlight w:val="none"/>
              </w:rPr>
            </w:pPr>
          </w:p>
        </w:tc>
        <w:tc>
          <w:tcPr>
            <w:tcW w:w="1218" w:type="dxa"/>
            <w:gridSpan w:val="2"/>
            <w:vAlign w:val="top"/>
          </w:tcPr>
          <w:p w14:paraId="1F0C2C0B">
            <w:pPr>
              <w:rPr>
                <w:rFonts w:ascii="Arial"/>
                <w:color w:val="auto"/>
                <w:sz w:val="21"/>
                <w:highlight w:val="none"/>
              </w:rPr>
            </w:pPr>
          </w:p>
        </w:tc>
        <w:tc>
          <w:tcPr>
            <w:tcW w:w="1131" w:type="dxa"/>
            <w:vAlign w:val="top"/>
          </w:tcPr>
          <w:p w14:paraId="707B23FB">
            <w:pPr>
              <w:rPr>
                <w:rFonts w:ascii="Arial"/>
                <w:color w:val="auto"/>
                <w:sz w:val="21"/>
                <w:highlight w:val="none"/>
              </w:rPr>
            </w:pPr>
          </w:p>
        </w:tc>
        <w:tc>
          <w:tcPr>
            <w:tcW w:w="1166" w:type="dxa"/>
            <w:tcBorders>
              <w:right w:val="single" w:color="000000" w:sz="4" w:space="0"/>
            </w:tcBorders>
            <w:vAlign w:val="top"/>
          </w:tcPr>
          <w:p w14:paraId="122F9EDB">
            <w:pPr>
              <w:rPr>
                <w:rFonts w:ascii="Arial"/>
                <w:color w:val="auto"/>
                <w:sz w:val="21"/>
                <w:highlight w:val="none"/>
              </w:rPr>
            </w:pPr>
          </w:p>
        </w:tc>
      </w:tr>
      <w:tr w14:paraId="523D3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14:paraId="69DDE9B8">
            <w:pPr>
              <w:pStyle w:val="11"/>
              <w:spacing w:before="137" w:line="220" w:lineRule="auto"/>
              <w:ind w:left="2802"/>
              <w:rPr>
                <w:color w:val="auto"/>
                <w:highlight w:val="none"/>
              </w:rPr>
            </w:pPr>
            <w:r>
              <w:rPr>
                <w:color w:val="auto"/>
                <w:spacing w:val="-1"/>
                <w:highlight w:val="none"/>
              </w:rPr>
              <w:t>材料小计</w:t>
            </w:r>
          </w:p>
        </w:tc>
        <w:tc>
          <w:tcPr>
            <w:tcW w:w="1151" w:type="dxa"/>
            <w:gridSpan w:val="2"/>
            <w:tcBorders>
              <w:left w:val="single" w:color="000000" w:sz="4" w:space="0"/>
              <w:right w:val="single" w:color="000000" w:sz="4" w:space="0"/>
            </w:tcBorders>
            <w:vAlign w:val="top"/>
          </w:tcPr>
          <w:p w14:paraId="1F33100D">
            <w:pPr>
              <w:rPr>
                <w:rFonts w:ascii="Arial"/>
                <w:color w:val="auto"/>
                <w:sz w:val="21"/>
                <w:highlight w:val="none"/>
              </w:rPr>
            </w:pPr>
          </w:p>
        </w:tc>
        <w:tc>
          <w:tcPr>
            <w:tcW w:w="1166" w:type="dxa"/>
            <w:tcBorders>
              <w:left w:val="single" w:color="000000" w:sz="4" w:space="0"/>
              <w:right w:val="single" w:color="000000" w:sz="4" w:space="0"/>
            </w:tcBorders>
            <w:vAlign w:val="top"/>
          </w:tcPr>
          <w:p w14:paraId="3782BF2A">
            <w:pPr>
              <w:rPr>
                <w:rFonts w:ascii="Arial"/>
                <w:color w:val="auto"/>
                <w:sz w:val="21"/>
                <w:highlight w:val="none"/>
              </w:rPr>
            </w:pPr>
          </w:p>
        </w:tc>
      </w:tr>
      <w:tr w14:paraId="1F4CD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4D96068">
            <w:pPr>
              <w:pStyle w:val="11"/>
              <w:spacing w:before="143" w:line="238" w:lineRule="auto"/>
              <w:ind w:left="291"/>
              <w:rPr>
                <w:color w:val="auto"/>
                <w:highlight w:val="none"/>
              </w:rPr>
            </w:pPr>
            <w:r>
              <w:rPr>
                <w:color w:val="auto"/>
                <w:highlight w:val="none"/>
              </w:rPr>
              <w:t>三</w:t>
            </w:r>
          </w:p>
        </w:tc>
        <w:tc>
          <w:tcPr>
            <w:tcW w:w="1911" w:type="dxa"/>
            <w:tcBorders>
              <w:right w:val="single" w:color="000000" w:sz="4" w:space="0"/>
            </w:tcBorders>
            <w:vAlign w:val="top"/>
          </w:tcPr>
          <w:p w14:paraId="5A0F1C53">
            <w:pPr>
              <w:pStyle w:val="11"/>
              <w:spacing w:before="143" w:line="220" w:lineRule="auto"/>
              <w:ind w:left="533"/>
              <w:rPr>
                <w:color w:val="auto"/>
                <w:highlight w:val="none"/>
              </w:rPr>
            </w:pPr>
            <w:r>
              <w:rPr>
                <w:color w:val="auto"/>
                <w:spacing w:val="-1"/>
                <w:highlight w:val="none"/>
              </w:rPr>
              <w:t>施工机械</w:t>
            </w:r>
          </w:p>
        </w:tc>
        <w:tc>
          <w:tcPr>
            <w:tcW w:w="717" w:type="dxa"/>
            <w:tcBorders>
              <w:left w:val="single" w:color="000000" w:sz="4" w:space="0"/>
            </w:tcBorders>
            <w:vAlign w:val="top"/>
          </w:tcPr>
          <w:p w14:paraId="1C61E35D">
            <w:pPr>
              <w:rPr>
                <w:rFonts w:ascii="Arial"/>
                <w:color w:val="auto"/>
                <w:sz w:val="21"/>
                <w:highlight w:val="none"/>
              </w:rPr>
            </w:pPr>
          </w:p>
        </w:tc>
        <w:tc>
          <w:tcPr>
            <w:tcW w:w="899" w:type="dxa"/>
            <w:tcBorders>
              <w:right w:val="single" w:color="000000" w:sz="4" w:space="0"/>
            </w:tcBorders>
            <w:vAlign w:val="top"/>
          </w:tcPr>
          <w:p w14:paraId="7D2D386A">
            <w:pPr>
              <w:rPr>
                <w:rFonts w:ascii="Arial"/>
                <w:color w:val="auto"/>
                <w:sz w:val="21"/>
                <w:highlight w:val="none"/>
              </w:rPr>
            </w:pPr>
          </w:p>
        </w:tc>
        <w:tc>
          <w:tcPr>
            <w:tcW w:w="904" w:type="dxa"/>
            <w:tcBorders>
              <w:left w:val="single" w:color="000000" w:sz="4" w:space="0"/>
            </w:tcBorders>
            <w:vAlign w:val="top"/>
          </w:tcPr>
          <w:p w14:paraId="55B76676">
            <w:pPr>
              <w:rPr>
                <w:rFonts w:ascii="Arial"/>
                <w:color w:val="auto"/>
                <w:sz w:val="21"/>
                <w:highlight w:val="none"/>
              </w:rPr>
            </w:pPr>
          </w:p>
        </w:tc>
        <w:tc>
          <w:tcPr>
            <w:tcW w:w="1218" w:type="dxa"/>
            <w:gridSpan w:val="2"/>
            <w:vAlign w:val="top"/>
          </w:tcPr>
          <w:p w14:paraId="3B2A87D7">
            <w:pPr>
              <w:rPr>
                <w:rFonts w:ascii="Arial"/>
                <w:color w:val="auto"/>
                <w:sz w:val="21"/>
                <w:highlight w:val="none"/>
              </w:rPr>
            </w:pPr>
          </w:p>
        </w:tc>
        <w:tc>
          <w:tcPr>
            <w:tcW w:w="1131" w:type="dxa"/>
            <w:vAlign w:val="top"/>
          </w:tcPr>
          <w:p w14:paraId="6C50FF25">
            <w:pPr>
              <w:rPr>
                <w:rFonts w:ascii="Arial"/>
                <w:color w:val="auto"/>
                <w:sz w:val="21"/>
                <w:highlight w:val="none"/>
              </w:rPr>
            </w:pPr>
          </w:p>
        </w:tc>
        <w:tc>
          <w:tcPr>
            <w:tcW w:w="1166" w:type="dxa"/>
            <w:tcBorders>
              <w:right w:val="single" w:color="000000" w:sz="4" w:space="0"/>
            </w:tcBorders>
            <w:vAlign w:val="top"/>
          </w:tcPr>
          <w:p w14:paraId="7CFE0ACD">
            <w:pPr>
              <w:rPr>
                <w:rFonts w:ascii="Arial"/>
                <w:color w:val="auto"/>
                <w:sz w:val="21"/>
                <w:highlight w:val="none"/>
              </w:rPr>
            </w:pPr>
          </w:p>
        </w:tc>
      </w:tr>
      <w:tr w14:paraId="24C89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4EEF56E8">
            <w:pPr>
              <w:spacing w:before="173"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6F7E6328">
            <w:pPr>
              <w:rPr>
                <w:rFonts w:ascii="Arial"/>
                <w:color w:val="auto"/>
                <w:sz w:val="21"/>
                <w:highlight w:val="none"/>
              </w:rPr>
            </w:pPr>
          </w:p>
        </w:tc>
        <w:tc>
          <w:tcPr>
            <w:tcW w:w="717" w:type="dxa"/>
            <w:tcBorders>
              <w:left w:val="single" w:color="000000" w:sz="4" w:space="0"/>
            </w:tcBorders>
            <w:vAlign w:val="top"/>
          </w:tcPr>
          <w:p w14:paraId="502308D5">
            <w:pPr>
              <w:rPr>
                <w:rFonts w:ascii="Arial"/>
                <w:color w:val="auto"/>
                <w:sz w:val="21"/>
                <w:highlight w:val="none"/>
              </w:rPr>
            </w:pPr>
          </w:p>
        </w:tc>
        <w:tc>
          <w:tcPr>
            <w:tcW w:w="899" w:type="dxa"/>
            <w:tcBorders>
              <w:right w:val="single" w:color="000000" w:sz="4" w:space="0"/>
            </w:tcBorders>
            <w:vAlign w:val="top"/>
          </w:tcPr>
          <w:p w14:paraId="47C9AA69">
            <w:pPr>
              <w:rPr>
                <w:rFonts w:ascii="Arial"/>
                <w:color w:val="auto"/>
                <w:sz w:val="21"/>
                <w:highlight w:val="none"/>
              </w:rPr>
            </w:pPr>
          </w:p>
        </w:tc>
        <w:tc>
          <w:tcPr>
            <w:tcW w:w="904" w:type="dxa"/>
            <w:tcBorders>
              <w:left w:val="single" w:color="000000" w:sz="4" w:space="0"/>
            </w:tcBorders>
            <w:vAlign w:val="top"/>
          </w:tcPr>
          <w:p w14:paraId="36D12D65">
            <w:pPr>
              <w:rPr>
                <w:rFonts w:ascii="Arial"/>
                <w:color w:val="auto"/>
                <w:sz w:val="21"/>
                <w:highlight w:val="none"/>
              </w:rPr>
            </w:pPr>
          </w:p>
        </w:tc>
        <w:tc>
          <w:tcPr>
            <w:tcW w:w="1218" w:type="dxa"/>
            <w:gridSpan w:val="2"/>
            <w:vAlign w:val="top"/>
          </w:tcPr>
          <w:p w14:paraId="423BDA46">
            <w:pPr>
              <w:rPr>
                <w:rFonts w:ascii="Arial"/>
                <w:color w:val="auto"/>
                <w:sz w:val="21"/>
                <w:highlight w:val="none"/>
              </w:rPr>
            </w:pPr>
          </w:p>
        </w:tc>
        <w:tc>
          <w:tcPr>
            <w:tcW w:w="1131" w:type="dxa"/>
            <w:vAlign w:val="top"/>
          </w:tcPr>
          <w:p w14:paraId="0BE74779">
            <w:pPr>
              <w:rPr>
                <w:rFonts w:ascii="Arial"/>
                <w:color w:val="auto"/>
                <w:sz w:val="21"/>
                <w:highlight w:val="none"/>
              </w:rPr>
            </w:pPr>
          </w:p>
        </w:tc>
        <w:tc>
          <w:tcPr>
            <w:tcW w:w="1166" w:type="dxa"/>
            <w:tcBorders>
              <w:right w:val="single" w:color="000000" w:sz="4" w:space="0"/>
            </w:tcBorders>
            <w:vAlign w:val="top"/>
          </w:tcPr>
          <w:p w14:paraId="5C813FAC">
            <w:pPr>
              <w:rPr>
                <w:rFonts w:ascii="Arial"/>
                <w:color w:val="auto"/>
                <w:sz w:val="21"/>
                <w:highlight w:val="none"/>
              </w:rPr>
            </w:pPr>
          </w:p>
        </w:tc>
      </w:tr>
      <w:tr w14:paraId="7C243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43631178">
            <w:pPr>
              <w:spacing w:before="177"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3FA354BF">
            <w:pPr>
              <w:rPr>
                <w:rFonts w:ascii="Arial"/>
                <w:color w:val="auto"/>
                <w:sz w:val="21"/>
                <w:highlight w:val="none"/>
              </w:rPr>
            </w:pPr>
          </w:p>
        </w:tc>
        <w:tc>
          <w:tcPr>
            <w:tcW w:w="717" w:type="dxa"/>
            <w:tcBorders>
              <w:left w:val="single" w:color="000000" w:sz="4" w:space="0"/>
            </w:tcBorders>
            <w:vAlign w:val="top"/>
          </w:tcPr>
          <w:p w14:paraId="62B18060">
            <w:pPr>
              <w:rPr>
                <w:rFonts w:ascii="Arial"/>
                <w:color w:val="auto"/>
                <w:sz w:val="21"/>
                <w:highlight w:val="none"/>
              </w:rPr>
            </w:pPr>
          </w:p>
        </w:tc>
        <w:tc>
          <w:tcPr>
            <w:tcW w:w="899" w:type="dxa"/>
            <w:tcBorders>
              <w:right w:val="single" w:color="000000" w:sz="4" w:space="0"/>
            </w:tcBorders>
            <w:vAlign w:val="top"/>
          </w:tcPr>
          <w:p w14:paraId="5318962F">
            <w:pPr>
              <w:rPr>
                <w:rFonts w:ascii="Arial"/>
                <w:color w:val="auto"/>
                <w:sz w:val="21"/>
                <w:highlight w:val="none"/>
              </w:rPr>
            </w:pPr>
          </w:p>
        </w:tc>
        <w:tc>
          <w:tcPr>
            <w:tcW w:w="904" w:type="dxa"/>
            <w:tcBorders>
              <w:left w:val="single" w:color="000000" w:sz="4" w:space="0"/>
            </w:tcBorders>
            <w:vAlign w:val="top"/>
          </w:tcPr>
          <w:p w14:paraId="553F08CE">
            <w:pPr>
              <w:rPr>
                <w:rFonts w:ascii="Arial"/>
                <w:color w:val="auto"/>
                <w:sz w:val="21"/>
                <w:highlight w:val="none"/>
              </w:rPr>
            </w:pPr>
          </w:p>
        </w:tc>
        <w:tc>
          <w:tcPr>
            <w:tcW w:w="1218" w:type="dxa"/>
            <w:gridSpan w:val="2"/>
            <w:vAlign w:val="top"/>
          </w:tcPr>
          <w:p w14:paraId="7A41FBB6">
            <w:pPr>
              <w:rPr>
                <w:rFonts w:ascii="Arial"/>
                <w:color w:val="auto"/>
                <w:sz w:val="21"/>
                <w:highlight w:val="none"/>
              </w:rPr>
            </w:pPr>
          </w:p>
        </w:tc>
        <w:tc>
          <w:tcPr>
            <w:tcW w:w="1131" w:type="dxa"/>
            <w:vAlign w:val="top"/>
          </w:tcPr>
          <w:p w14:paraId="2050A795">
            <w:pPr>
              <w:rPr>
                <w:rFonts w:ascii="Arial"/>
                <w:color w:val="auto"/>
                <w:sz w:val="21"/>
                <w:highlight w:val="none"/>
              </w:rPr>
            </w:pPr>
          </w:p>
        </w:tc>
        <w:tc>
          <w:tcPr>
            <w:tcW w:w="1166" w:type="dxa"/>
            <w:tcBorders>
              <w:right w:val="single" w:color="000000" w:sz="4" w:space="0"/>
            </w:tcBorders>
            <w:vAlign w:val="top"/>
          </w:tcPr>
          <w:p w14:paraId="31D27B4B">
            <w:pPr>
              <w:rPr>
                <w:rFonts w:ascii="Arial"/>
                <w:color w:val="auto"/>
                <w:sz w:val="21"/>
                <w:highlight w:val="none"/>
              </w:rPr>
            </w:pPr>
          </w:p>
        </w:tc>
      </w:tr>
      <w:tr w14:paraId="0888F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032AA5AA">
            <w:pPr>
              <w:spacing w:before="173"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31DF57BE">
            <w:pPr>
              <w:rPr>
                <w:rFonts w:ascii="Arial"/>
                <w:color w:val="auto"/>
                <w:sz w:val="21"/>
                <w:highlight w:val="none"/>
              </w:rPr>
            </w:pPr>
          </w:p>
        </w:tc>
        <w:tc>
          <w:tcPr>
            <w:tcW w:w="717" w:type="dxa"/>
            <w:tcBorders>
              <w:left w:val="single" w:color="000000" w:sz="4" w:space="0"/>
            </w:tcBorders>
            <w:vAlign w:val="top"/>
          </w:tcPr>
          <w:p w14:paraId="1C1FE0E7">
            <w:pPr>
              <w:rPr>
                <w:rFonts w:ascii="Arial"/>
                <w:color w:val="auto"/>
                <w:sz w:val="21"/>
                <w:highlight w:val="none"/>
              </w:rPr>
            </w:pPr>
          </w:p>
        </w:tc>
        <w:tc>
          <w:tcPr>
            <w:tcW w:w="899" w:type="dxa"/>
            <w:tcBorders>
              <w:right w:val="single" w:color="000000" w:sz="4" w:space="0"/>
            </w:tcBorders>
            <w:vAlign w:val="top"/>
          </w:tcPr>
          <w:p w14:paraId="4C965CFF">
            <w:pPr>
              <w:rPr>
                <w:rFonts w:ascii="Arial"/>
                <w:color w:val="auto"/>
                <w:sz w:val="21"/>
                <w:highlight w:val="none"/>
              </w:rPr>
            </w:pPr>
          </w:p>
        </w:tc>
        <w:tc>
          <w:tcPr>
            <w:tcW w:w="904" w:type="dxa"/>
            <w:tcBorders>
              <w:left w:val="single" w:color="000000" w:sz="4" w:space="0"/>
            </w:tcBorders>
            <w:vAlign w:val="top"/>
          </w:tcPr>
          <w:p w14:paraId="3FCB68CC">
            <w:pPr>
              <w:rPr>
                <w:rFonts w:ascii="Arial"/>
                <w:color w:val="auto"/>
                <w:sz w:val="21"/>
                <w:highlight w:val="none"/>
              </w:rPr>
            </w:pPr>
          </w:p>
        </w:tc>
        <w:tc>
          <w:tcPr>
            <w:tcW w:w="1218" w:type="dxa"/>
            <w:gridSpan w:val="2"/>
            <w:vAlign w:val="top"/>
          </w:tcPr>
          <w:p w14:paraId="7737457D">
            <w:pPr>
              <w:rPr>
                <w:rFonts w:ascii="Arial"/>
                <w:color w:val="auto"/>
                <w:sz w:val="21"/>
                <w:highlight w:val="none"/>
              </w:rPr>
            </w:pPr>
          </w:p>
        </w:tc>
        <w:tc>
          <w:tcPr>
            <w:tcW w:w="1131" w:type="dxa"/>
            <w:vAlign w:val="top"/>
          </w:tcPr>
          <w:p w14:paraId="663DE40A">
            <w:pPr>
              <w:rPr>
                <w:rFonts w:ascii="Arial"/>
                <w:color w:val="auto"/>
                <w:sz w:val="21"/>
                <w:highlight w:val="none"/>
              </w:rPr>
            </w:pPr>
          </w:p>
        </w:tc>
        <w:tc>
          <w:tcPr>
            <w:tcW w:w="1166" w:type="dxa"/>
            <w:tcBorders>
              <w:right w:val="single" w:color="000000" w:sz="4" w:space="0"/>
            </w:tcBorders>
            <w:vAlign w:val="top"/>
          </w:tcPr>
          <w:p w14:paraId="539A49EE">
            <w:pPr>
              <w:rPr>
                <w:rFonts w:ascii="Arial"/>
                <w:color w:val="auto"/>
                <w:sz w:val="21"/>
                <w:highlight w:val="none"/>
              </w:rPr>
            </w:pPr>
          </w:p>
        </w:tc>
      </w:tr>
      <w:tr w14:paraId="33C6F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14:paraId="32404D34">
            <w:pPr>
              <w:pStyle w:val="11"/>
              <w:spacing w:before="144" w:line="220" w:lineRule="auto"/>
              <w:ind w:left="2595"/>
              <w:rPr>
                <w:color w:val="auto"/>
                <w:highlight w:val="none"/>
              </w:rPr>
            </w:pPr>
            <w:r>
              <w:rPr>
                <w:color w:val="auto"/>
                <w:spacing w:val="-1"/>
                <w:highlight w:val="none"/>
              </w:rPr>
              <w:t>施工机械小计</w:t>
            </w:r>
          </w:p>
        </w:tc>
        <w:tc>
          <w:tcPr>
            <w:tcW w:w="1131" w:type="dxa"/>
            <w:vAlign w:val="top"/>
          </w:tcPr>
          <w:p w14:paraId="0C7B2A4E">
            <w:pPr>
              <w:rPr>
                <w:rFonts w:ascii="Arial"/>
                <w:color w:val="auto"/>
                <w:sz w:val="21"/>
                <w:highlight w:val="none"/>
              </w:rPr>
            </w:pPr>
          </w:p>
        </w:tc>
        <w:tc>
          <w:tcPr>
            <w:tcW w:w="1166" w:type="dxa"/>
            <w:tcBorders>
              <w:right w:val="single" w:color="000000" w:sz="4" w:space="0"/>
            </w:tcBorders>
            <w:vAlign w:val="top"/>
          </w:tcPr>
          <w:p w14:paraId="2003F0C0">
            <w:pPr>
              <w:rPr>
                <w:rFonts w:ascii="Arial"/>
                <w:color w:val="auto"/>
                <w:sz w:val="21"/>
                <w:highlight w:val="none"/>
              </w:rPr>
            </w:pPr>
          </w:p>
        </w:tc>
      </w:tr>
      <w:tr w14:paraId="07623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14:paraId="7FDB4ABA">
            <w:pPr>
              <w:pStyle w:val="11"/>
              <w:spacing w:before="140" w:line="221" w:lineRule="auto"/>
              <w:ind w:left="133"/>
              <w:rPr>
                <w:color w:val="auto"/>
                <w:highlight w:val="none"/>
              </w:rPr>
            </w:pPr>
            <w:r>
              <w:rPr>
                <w:color w:val="auto"/>
                <w:spacing w:val="-2"/>
                <w:highlight w:val="none"/>
              </w:rPr>
              <w:t>四、企业管理费和利润小计</w:t>
            </w:r>
          </w:p>
        </w:tc>
        <w:tc>
          <w:tcPr>
            <w:tcW w:w="1131" w:type="dxa"/>
            <w:vAlign w:val="top"/>
          </w:tcPr>
          <w:p w14:paraId="4206FD6F">
            <w:pPr>
              <w:rPr>
                <w:rFonts w:ascii="Arial"/>
                <w:color w:val="auto"/>
                <w:sz w:val="21"/>
                <w:highlight w:val="none"/>
              </w:rPr>
            </w:pPr>
          </w:p>
        </w:tc>
        <w:tc>
          <w:tcPr>
            <w:tcW w:w="1166" w:type="dxa"/>
            <w:tcBorders>
              <w:right w:val="single" w:color="000000" w:sz="4" w:space="0"/>
            </w:tcBorders>
            <w:vAlign w:val="top"/>
          </w:tcPr>
          <w:p w14:paraId="65E9067F">
            <w:pPr>
              <w:rPr>
                <w:rFonts w:ascii="Arial"/>
                <w:color w:val="auto"/>
                <w:sz w:val="21"/>
                <w:highlight w:val="none"/>
              </w:rPr>
            </w:pPr>
          </w:p>
        </w:tc>
      </w:tr>
      <w:tr w14:paraId="0F394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14:paraId="5589BABB">
            <w:pPr>
              <w:pStyle w:val="11"/>
              <w:spacing w:before="145" w:line="222" w:lineRule="auto"/>
              <w:ind w:left="3019"/>
              <w:rPr>
                <w:color w:val="auto"/>
                <w:highlight w:val="none"/>
              </w:rPr>
            </w:pPr>
            <w:r>
              <w:rPr>
                <w:color w:val="auto"/>
                <w:spacing w:val="-3"/>
                <w:highlight w:val="none"/>
              </w:rPr>
              <w:t>总计</w:t>
            </w:r>
          </w:p>
        </w:tc>
        <w:tc>
          <w:tcPr>
            <w:tcW w:w="1131" w:type="dxa"/>
            <w:tcBorders>
              <w:bottom w:val="single" w:color="000000" w:sz="4" w:space="0"/>
            </w:tcBorders>
            <w:vAlign w:val="top"/>
          </w:tcPr>
          <w:p w14:paraId="69E62D0C">
            <w:pPr>
              <w:rPr>
                <w:rFonts w:ascii="Arial"/>
                <w:color w:val="auto"/>
                <w:sz w:val="21"/>
                <w:highlight w:val="none"/>
              </w:rPr>
            </w:pPr>
          </w:p>
        </w:tc>
        <w:tc>
          <w:tcPr>
            <w:tcW w:w="1166" w:type="dxa"/>
            <w:tcBorders>
              <w:bottom w:val="single" w:color="000000" w:sz="4" w:space="0"/>
              <w:right w:val="single" w:color="000000" w:sz="4" w:space="0"/>
            </w:tcBorders>
            <w:vAlign w:val="top"/>
          </w:tcPr>
          <w:p w14:paraId="7989A37E">
            <w:pPr>
              <w:rPr>
                <w:rFonts w:ascii="Arial"/>
                <w:color w:val="auto"/>
                <w:sz w:val="21"/>
                <w:highlight w:val="none"/>
              </w:rPr>
            </w:pPr>
          </w:p>
        </w:tc>
      </w:tr>
    </w:tbl>
    <w:p w14:paraId="51D8A9C5">
      <w:pPr>
        <w:spacing w:before="173" w:line="249" w:lineRule="auto"/>
        <w:ind w:left="647" w:right="36" w:hanging="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注：此表项目名称、暂定数量由招标人填写， 编制招标控</w:t>
      </w:r>
      <w:r>
        <w:rPr>
          <w:rFonts w:ascii="宋体" w:hAnsi="宋体" w:eastAsia="宋体" w:cs="宋体"/>
          <w:color w:val="auto"/>
          <w:spacing w:val="-3"/>
          <w:sz w:val="21"/>
          <w:szCs w:val="21"/>
          <w:highlight w:val="none"/>
        </w:rPr>
        <w:t xml:space="preserve">制价时， 单价由招标人按有关计  </w:t>
      </w:r>
      <w:r>
        <w:rPr>
          <w:rFonts w:ascii="宋体" w:hAnsi="宋体" w:eastAsia="宋体" w:cs="宋体"/>
          <w:color w:val="auto"/>
          <w:spacing w:val="-1"/>
          <w:sz w:val="21"/>
          <w:szCs w:val="21"/>
          <w:highlight w:val="none"/>
        </w:rPr>
        <w:t>价规定确定：投标时， 单价由投标人自主报价，按暂定数量计算合价计入投标总价中。</w:t>
      </w:r>
      <w:r>
        <w:rPr>
          <w:rFonts w:ascii="宋体" w:hAnsi="宋体" w:eastAsia="宋体" w:cs="宋体"/>
          <w:color w:val="auto"/>
          <w:spacing w:val="17"/>
          <w:sz w:val="21"/>
          <w:szCs w:val="21"/>
          <w:highlight w:val="none"/>
        </w:rPr>
        <w:t xml:space="preserve"> </w:t>
      </w:r>
      <w:r>
        <w:rPr>
          <w:rFonts w:ascii="宋体" w:hAnsi="宋体" w:eastAsia="宋体" w:cs="宋体"/>
          <w:color w:val="auto"/>
          <w:spacing w:val="-1"/>
          <w:sz w:val="21"/>
          <w:szCs w:val="21"/>
          <w:highlight w:val="none"/>
        </w:rPr>
        <w:t>结算时，按承发包双方确认的实际数量计算合价。</w:t>
      </w:r>
    </w:p>
    <w:p w14:paraId="4B9DAB2F">
      <w:pPr>
        <w:spacing w:line="249" w:lineRule="auto"/>
        <w:rPr>
          <w:rFonts w:ascii="宋体" w:hAnsi="宋体" w:eastAsia="宋体" w:cs="宋体"/>
          <w:color w:val="auto"/>
          <w:sz w:val="21"/>
          <w:szCs w:val="21"/>
          <w:highlight w:val="none"/>
        </w:rPr>
        <w:sectPr>
          <w:footerReference r:id="rId195" w:type="default"/>
          <w:pgSz w:w="11905" w:h="16839"/>
          <w:pgMar w:top="400" w:right="1575" w:bottom="1004" w:left="1579" w:header="0" w:footer="829" w:gutter="0"/>
          <w:pgNumType w:fmt="decimal"/>
          <w:cols w:space="720" w:num="1"/>
        </w:sectPr>
      </w:pPr>
    </w:p>
    <w:p w14:paraId="51C22E6E">
      <w:pPr>
        <w:pStyle w:val="3"/>
        <w:spacing w:line="274" w:lineRule="auto"/>
        <w:rPr>
          <w:color w:val="auto"/>
          <w:highlight w:val="none"/>
        </w:rPr>
      </w:pPr>
    </w:p>
    <w:p w14:paraId="5BDDC939">
      <w:pPr>
        <w:pStyle w:val="3"/>
        <w:spacing w:line="274" w:lineRule="auto"/>
        <w:rPr>
          <w:color w:val="auto"/>
          <w:highlight w:val="none"/>
        </w:rPr>
      </w:pPr>
    </w:p>
    <w:p w14:paraId="458EC2FA">
      <w:pPr>
        <w:pStyle w:val="3"/>
        <w:spacing w:line="274" w:lineRule="auto"/>
        <w:rPr>
          <w:color w:val="auto"/>
          <w:highlight w:val="none"/>
        </w:rPr>
      </w:pPr>
    </w:p>
    <w:p w14:paraId="71360530">
      <w:pPr>
        <w:pStyle w:val="3"/>
        <w:spacing w:line="274" w:lineRule="auto"/>
        <w:rPr>
          <w:color w:val="auto"/>
          <w:highlight w:val="none"/>
        </w:rPr>
      </w:pPr>
    </w:p>
    <w:p w14:paraId="4AE98C73">
      <w:pPr>
        <w:pStyle w:val="3"/>
        <w:spacing w:line="275" w:lineRule="auto"/>
        <w:rPr>
          <w:color w:val="auto"/>
          <w:highlight w:val="none"/>
        </w:rPr>
      </w:pPr>
    </w:p>
    <w:p w14:paraId="36800DEE">
      <w:pPr>
        <w:spacing w:before="78" w:line="218" w:lineRule="auto"/>
        <w:ind w:left="12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4.12-5 </w:t>
      </w:r>
      <w:r>
        <w:rPr>
          <w:rFonts w:ascii="黑体" w:hAnsi="黑体" w:eastAsia="黑体" w:cs="黑体"/>
          <w:color w:val="auto"/>
          <w:spacing w:val="-1"/>
          <w:sz w:val="24"/>
          <w:szCs w:val="24"/>
          <w:highlight w:val="none"/>
        </w:rPr>
        <w:t>总承包服务费计价表</w:t>
      </w:r>
    </w:p>
    <w:p w14:paraId="755AE56B">
      <w:pPr>
        <w:pStyle w:val="3"/>
        <w:spacing w:line="276" w:lineRule="auto"/>
        <w:rPr>
          <w:color w:val="auto"/>
          <w:highlight w:val="none"/>
        </w:rPr>
      </w:pPr>
    </w:p>
    <w:p w14:paraId="24CF9ADF">
      <w:pPr>
        <w:pStyle w:val="3"/>
        <w:spacing w:line="276" w:lineRule="auto"/>
        <w:rPr>
          <w:color w:val="auto"/>
          <w:highlight w:val="none"/>
        </w:rPr>
      </w:pPr>
    </w:p>
    <w:p w14:paraId="7E00F451">
      <w:pPr>
        <w:spacing w:before="88" w:line="224" w:lineRule="auto"/>
        <w:ind w:left="3032"/>
        <w:rPr>
          <w:rFonts w:ascii="黑体" w:hAnsi="黑体" w:eastAsia="黑体" w:cs="黑体"/>
          <w:color w:val="auto"/>
          <w:sz w:val="27"/>
          <w:szCs w:val="27"/>
          <w:highlight w:val="none"/>
        </w:rPr>
      </w:pPr>
      <w:bookmarkStart w:id="1312" w:name="bookmark258"/>
      <w:bookmarkEnd w:id="1312"/>
      <w:bookmarkStart w:id="1313" w:name="bookmark259"/>
      <w:bookmarkEnd w:id="1313"/>
      <w:r>
        <w:rPr>
          <w:rFonts w:ascii="黑体" w:hAnsi="黑体" w:eastAsia="黑体" w:cs="黑体"/>
          <w:color w:val="auto"/>
          <w:spacing w:val="7"/>
          <w:sz w:val="27"/>
          <w:szCs w:val="27"/>
          <w:highlight w:val="none"/>
        </w:rPr>
        <w:t>总承包服务费计价表</w:t>
      </w:r>
    </w:p>
    <w:p w14:paraId="10DD9D60">
      <w:pPr>
        <w:spacing w:before="142" w:line="221" w:lineRule="auto"/>
        <w:ind w:left="130"/>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标段名称：</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第 页</w:t>
      </w:r>
      <w:r>
        <w:rPr>
          <w:rFonts w:ascii="宋体" w:hAnsi="宋体" w:eastAsia="宋体" w:cs="宋体"/>
          <w:color w:val="auto"/>
          <w:spacing w:val="10"/>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7"/>
          <w:sz w:val="21"/>
          <w:szCs w:val="21"/>
          <w:highlight w:val="none"/>
        </w:rPr>
        <w:t>页</w:t>
      </w:r>
    </w:p>
    <w:p w14:paraId="0AC4E603">
      <w:pPr>
        <w:spacing w:line="112" w:lineRule="exact"/>
        <w:rPr>
          <w:color w:val="auto"/>
          <w:highlight w:val="none"/>
        </w:rPr>
      </w:pPr>
    </w:p>
    <w:tbl>
      <w:tblPr>
        <w:tblStyle w:val="10"/>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14:paraId="199F9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14:paraId="7CC505E8">
            <w:pPr>
              <w:spacing w:line="281" w:lineRule="auto"/>
              <w:rPr>
                <w:rFonts w:ascii="Arial"/>
                <w:color w:val="auto"/>
                <w:sz w:val="21"/>
                <w:highlight w:val="none"/>
              </w:rPr>
            </w:pPr>
          </w:p>
          <w:p w14:paraId="63D7C943">
            <w:pPr>
              <w:pStyle w:val="11"/>
              <w:spacing w:before="68" w:line="222" w:lineRule="auto"/>
              <w:ind w:left="112"/>
              <w:rPr>
                <w:color w:val="auto"/>
                <w:highlight w:val="none"/>
              </w:rPr>
            </w:pPr>
            <w:r>
              <w:rPr>
                <w:color w:val="auto"/>
                <w:spacing w:val="-2"/>
                <w:highlight w:val="none"/>
              </w:rPr>
              <w:t>序号</w:t>
            </w:r>
          </w:p>
        </w:tc>
        <w:tc>
          <w:tcPr>
            <w:tcW w:w="2173" w:type="dxa"/>
            <w:tcBorders>
              <w:top w:val="single" w:color="000000" w:sz="4" w:space="0"/>
            </w:tcBorders>
            <w:vAlign w:val="top"/>
          </w:tcPr>
          <w:p w14:paraId="6C34AB10">
            <w:pPr>
              <w:spacing w:line="281" w:lineRule="auto"/>
              <w:rPr>
                <w:rFonts w:ascii="Arial"/>
                <w:color w:val="auto"/>
                <w:sz w:val="21"/>
                <w:highlight w:val="none"/>
              </w:rPr>
            </w:pPr>
          </w:p>
          <w:p w14:paraId="426CD53E">
            <w:pPr>
              <w:pStyle w:val="11"/>
              <w:spacing w:before="68" w:line="221" w:lineRule="auto"/>
              <w:ind w:left="666"/>
              <w:rPr>
                <w:color w:val="auto"/>
                <w:highlight w:val="none"/>
              </w:rPr>
            </w:pPr>
            <w:r>
              <w:rPr>
                <w:color w:val="auto"/>
                <w:spacing w:val="-2"/>
                <w:highlight w:val="none"/>
              </w:rPr>
              <w:t>工程名称</w:t>
            </w:r>
          </w:p>
        </w:tc>
        <w:tc>
          <w:tcPr>
            <w:tcW w:w="1076" w:type="dxa"/>
            <w:tcBorders>
              <w:top w:val="single" w:color="000000" w:sz="4" w:space="0"/>
              <w:right w:val="single" w:color="000000" w:sz="4" w:space="0"/>
            </w:tcBorders>
            <w:vAlign w:val="top"/>
          </w:tcPr>
          <w:p w14:paraId="3EFDD6C1">
            <w:pPr>
              <w:pStyle w:val="11"/>
              <w:spacing w:before="216" w:line="229" w:lineRule="auto"/>
              <w:ind w:left="235" w:right="108" w:hanging="108"/>
              <w:rPr>
                <w:color w:val="auto"/>
                <w:highlight w:val="none"/>
              </w:rPr>
            </w:pPr>
            <w:r>
              <w:rPr>
                <w:color w:val="auto"/>
                <w:spacing w:val="-2"/>
                <w:highlight w:val="none"/>
              </w:rPr>
              <w:t>项目价值</w:t>
            </w:r>
            <w:r>
              <w:rPr>
                <w:color w:val="auto"/>
                <w:highlight w:val="none"/>
              </w:rPr>
              <w:t xml:space="preserve"> </w:t>
            </w:r>
            <w:r>
              <w:rPr>
                <w:color w:val="auto"/>
                <w:spacing w:val="-6"/>
                <w:highlight w:val="none"/>
              </w:rPr>
              <w:t>（元）</w:t>
            </w:r>
          </w:p>
        </w:tc>
        <w:tc>
          <w:tcPr>
            <w:tcW w:w="1081" w:type="dxa"/>
            <w:tcBorders>
              <w:top w:val="single" w:color="000000" w:sz="4" w:space="0"/>
              <w:left w:val="single" w:color="000000" w:sz="4" w:space="0"/>
            </w:tcBorders>
            <w:vAlign w:val="top"/>
          </w:tcPr>
          <w:p w14:paraId="2F15C580">
            <w:pPr>
              <w:spacing w:line="280" w:lineRule="auto"/>
              <w:rPr>
                <w:rFonts w:ascii="Arial"/>
                <w:color w:val="auto"/>
                <w:sz w:val="21"/>
                <w:highlight w:val="none"/>
              </w:rPr>
            </w:pPr>
          </w:p>
          <w:p w14:paraId="35F27347">
            <w:pPr>
              <w:pStyle w:val="11"/>
              <w:spacing w:before="68" w:line="221" w:lineRule="auto"/>
              <w:ind w:left="125"/>
              <w:rPr>
                <w:color w:val="auto"/>
                <w:highlight w:val="none"/>
              </w:rPr>
            </w:pPr>
            <w:r>
              <w:rPr>
                <w:color w:val="auto"/>
                <w:spacing w:val="-1"/>
                <w:highlight w:val="none"/>
              </w:rPr>
              <w:t>服务内容</w:t>
            </w:r>
          </w:p>
        </w:tc>
        <w:tc>
          <w:tcPr>
            <w:tcW w:w="1165" w:type="dxa"/>
            <w:tcBorders>
              <w:top w:val="single" w:color="000000" w:sz="4" w:space="0"/>
            </w:tcBorders>
            <w:vAlign w:val="top"/>
          </w:tcPr>
          <w:p w14:paraId="5CC03C5A">
            <w:pPr>
              <w:spacing w:line="280" w:lineRule="auto"/>
              <w:rPr>
                <w:rFonts w:ascii="Arial"/>
                <w:color w:val="auto"/>
                <w:sz w:val="21"/>
                <w:highlight w:val="none"/>
              </w:rPr>
            </w:pPr>
          </w:p>
          <w:p w14:paraId="15D41A16">
            <w:pPr>
              <w:pStyle w:val="11"/>
              <w:spacing w:before="68" w:line="221" w:lineRule="auto"/>
              <w:ind w:left="170"/>
              <w:rPr>
                <w:color w:val="auto"/>
                <w:highlight w:val="none"/>
              </w:rPr>
            </w:pPr>
            <w:r>
              <w:rPr>
                <w:color w:val="auto"/>
                <w:spacing w:val="-1"/>
                <w:highlight w:val="none"/>
              </w:rPr>
              <w:t>计算基础</w:t>
            </w:r>
          </w:p>
        </w:tc>
        <w:tc>
          <w:tcPr>
            <w:tcW w:w="830" w:type="dxa"/>
            <w:tcBorders>
              <w:top w:val="single" w:color="000000" w:sz="4" w:space="0"/>
            </w:tcBorders>
            <w:vAlign w:val="top"/>
          </w:tcPr>
          <w:p w14:paraId="73E8287C">
            <w:pPr>
              <w:pStyle w:val="11"/>
              <w:spacing w:before="215" w:line="235" w:lineRule="auto"/>
              <w:ind w:left="163" w:right="161" w:firstLine="58"/>
              <w:rPr>
                <w:color w:val="auto"/>
                <w:highlight w:val="none"/>
              </w:rPr>
            </w:pPr>
            <w:r>
              <w:rPr>
                <w:color w:val="auto"/>
                <w:spacing w:val="-9"/>
                <w:highlight w:val="none"/>
              </w:rPr>
              <w:t>费率</w:t>
            </w:r>
            <w:r>
              <w:rPr>
                <w:color w:val="auto"/>
                <w:highlight w:val="none"/>
              </w:rPr>
              <w:t xml:space="preserve"> </w:t>
            </w:r>
            <w:r>
              <w:rPr>
                <w:color w:val="auto"/>
                <w:spacing w:val="-9"/>
                <w:highlight w:val="none"/>
              </w:rPr>
              <w:t>（%）</w:t>
            </w:r>
          </w:p>
        </w:tc>
        <w:tc>
          <w:tcPr>
            <w:tcW w:w="1573" w:type="dxa"/>
            <w:tcBorders>
              <w:top w:val="single" w:color="000000" w:sz="4" w:space="0"/>
              <w:right w:val="single" w:color="000000" w:sz="4" w:space="0"/>
            </w:tcBorders>
            <w:vAlign w:val="top"/>
          </w:tcPr>
          <w:p w14:paraId="1B0F1F81">
            <w:pPr>
              <w:spacing w:line="280" w:lineRule="auto"/>
              <w:rPr>
                <w:rFonts w:ascii="Arial"/>
                <w:color w:val="auto"/>
                <w:sz w:val="21"/>
                <w:highlight w:val="none"/>
              </w:rPr>
            </w:pPr>
          </w:p>
          <w:p w14:paraId="1DAB0C56">
            <w:pPr>
              <w:pStyle w:val="11"/>
              <w:spacing w:before="68" w:line="221" w:lineRule="auto"/>
              <w:ind w:left="270"/>
              <w:rPr>
                <w:color w:val="auto"/>
                <w:highlight w:val="none"/>
              </w:rPr>
            </w:pPr>
            <w:r>
              <w:rPr>
                <w:color w:val="auto"/>
                <w:spacing w:val="-3"/>
                <w:highlight w:val="none"/>
              </w:rPr>
              <w:t>金额（元）</w:t>
            </w:r>
          </w:p>
        </w:tc>
      </w:tr>
      <w:tr w14:paraId="34A2A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1D77BDF8">
            <w:pPr>
              <w:spacing w:line="316" w:lineRule="auto"/>
              <w:rPr>
                <w:rFonts w:ascii="Arial"/>
                <w:color w:val="auto"/>
                <w:sz w:val="21"/>
                <w:highlight w:val="none"/>
              </w:rPr>
            </w:pPr>
          </w:p>
          <w:p w14:paraId="2AAE2845">
            <w:pPr>
              <w:spacing w:before="68" w:line="183" w:lineRule="auto"/>
              <w:ind w:left="283"/>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2173" w:type="dxa"/>
            <w:vAlign w:val="top"/>
          </w:tcPr>
          <w:p w14:paraId="3AFFCA3E">
            <w:pPr>
              <w:spacing w:line="282" w:lineRule="auto"/>
              <w:rPr>
                <w:rFonts w:ascii="Arial"/>
                <w:color w:val="auto"/>
                <w:sz w:val="21"/>
                <w:highlight w:val="none"/>
              </w:rPr>
            </w:pPr>
          </w:p>
          <w:p w14:paraId="1415C237">
            <w:pPr>
              <w:pStyle w:val="11"/>
              <w:spacing w:before="68" w:line="221" w:lineRule="auto"/>
              <w:ind w:left="110"/>
              <w:rPr>
                <w:color w:val="auto"/>
                <w:highlight w:val="none"/>
              </w:rPr>
            </w:pPr>
            <w:r>
              <w:rPr>
                <w:color w:val="auto"/>
                <w:spacing w:val="-1"/>
                <w:highlight w:val="none"/>
              </w:rPr>
              <w:t>发包人发包专业工程</w:t>
            </w:r>
          </w:p>
        </w:tc>
        <w:tc>
          <w:tcPr>
            <w:tcW w:w="1076" w:type="dxa"/>
            <w:tcBorders>
              <w:right w:val="single" w:color="000000" w:sz="4" w:space="0"/>
            </w:tcBorders>
            <w:vAlign w:val="top"/>
          </w:tcPr>
          <w:p w14:paraId="55BB5D91">
            <w:pPr>
              <w:rPr>
                <w:rFonts w:ascii="Arial"/>
                <w:color w:val="auto"/>
                <w:sz w:val="21"/>
                <w:highlight w:val="none"/>
              </w:rPr>
            </w:pPr>
          </w:p>
        </w:tc>
        <w:tc>
          <w:tcPr>
            <w:tcW w:w="1081" w:type="dxa"/>
            <w:tcBorders>
              <w:left w:val="single" w:color="000000" w:sz="4" w:space="0"/>
            </w:tcBorders>
            <w:vAlign w:val="top"/>
          </w:tcPr>
          <w:p w14:paraId="23143A3D">
            <w:pPr>
              <w:rPr>
                <w:rFonts w:ascii="Arial"/>
                <w:color w:val="auto"/>
                <w:sz w:val="21"/>
                <w:highlight w:val="none"/>
              </w:rPr>
            </w:pPr>
          </w:p>
        </w:tc>
        <w:tc>
          <w:tcPr>
            <w:tcW w:w="1165" w:type="dxa"/>
            <w:vAlign w:val="top"/>
          </w:tcPr>
          <w:p w14:paraId="2C1568DB">
            <w:pPr>
              <w:rPr>
                <w:rFonts w:ascii="Arial"/>
                <w:color w:val="auto"/>
                <w:sz w:val="21"/>
                <w:highlight w:val="none"/>
              </w:rPr>
            </w:pPr>
          </w:p>
        </w:tc>
        <w:tc>
          <w:tcPr>
            <w:tcW w:w="830" w:type="dxa"/>
            <w:vAlign w:val="top"/>
          </w:tcPr>
          <w:p w14:paraId="3E998A57">
            <w:pPr>
              <w:rPr>
                <w:rFonts w:ascii="Arial"/>
                <w:color w:val="auto"/>
                <w:sz w:val="21"/>
                <w:highlight w:val="none"/>
              </w:rPr>
            </w:pPr>
          </w:p>
        </w:tc>
        <w:tc>
          <w:tcPr>
            <w:tcW w:w="1573" w:type="dxa"/>
            <w:tcBorders>
              <w:right w:val="single" w:color="000000" w:sz="4" w:space="0"/>
            </w:tcBorders>
            <w:vAlign w:val="top"/>
          </w:tcPr>
          <w:p w14:paraId="6CBB9F5F">
            <w:pPr>
              <w:rPr>
                <w:rFonts w:ascii="Arial"/>
                <w:color w:val="auto"/>
                <w:sz w:val="21"/>
                <w:highlight w:val="none"/>
              </w:rPr>
            </w:pPr>
          </w:p>
        </w:tc>
      </w:tr>
      <w:tr w14:paraId="1752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14:paraId="1B61D49B">
            <w:pPr>
              <w:spacing w:line="310" w:lineRule="auto"/>
              <w:rPr>
                <w:rFonts w:ascii="Arial"/>
                <w:color w:val="auto"/>
                <w:sz w:val="21"/>
                <w:highlight w:val="none"/>
              </w:rPr>
            </w:pPr>
          </w:p>
          <w:p w14:paraId="44D3E5ED">
            <w:pPr>
              <w:spacing w:before="69" w:line="184" w:lineRule="auto"/>
              <w:ind w:left="270"/>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2173" w:type="dxa"/>
            <w:vAlign w:val="top"/>
          </w:tcPr>
          <w:p w14:paraId="37B91A6C">
            <w:pPr>
              <w:spacing w:line="277" w:lineRule="auto"/>
              <w:rPr>
                <w:rFonts w:ascii="Arial"/>
                <w:color w:val="auto"/>
                <w:sz w:val="21"/>
                <w:highlight w:val="none"/>
              </w:rPr>
            </w:pPr>
          </w:p>
          <w:p w14:paraId="03667C9A">
            <w:pPr>
              <w:pStyle w:val="11"/>
              <w:spacing w:before="68" w:line="220" w:lineRule="auto"/>
              <w:ind w:left="110"/>
              <w:rPr>
                <w:color w:val="auto"/>
                <w:highlight w:val="none"/>
              </w:rPr>
            </w:pPr>
            <w:r>
              <w:rPr>
                <w:color w:val="auto"/>
                <w:spacing w:val="-1"/>
                <w:highlight w:val="none"/>
              </w:rPr>
              <w:t>发包人提供材料</w:t>
            </w:r>
          </w:p>
        </w:tc>
        <w:tc>
          <w:tcPr>
            <w:tcW w:w="1076" w:type="dxa"/>
            <w:tcBorders>
              <w:right w:val="single" w:color="000000" w:sz="4" w:space="0"/>
            </w:tcBorders>
            <w:vAlign w:val="top"/>
          </w:tcPr>
          <w:p w14:paraId="0E1DAA93">
            <w:pPr>
              <w:rPr>
                <w:rFonts w:ascii="Arial"/>
                <w:color w:val="auto"/>
                <w:sz w:val="21"/>
                <w:highlight w:val="none"/>
              </w:rPr>
            </w:pPr>
          </w:p>
        </w:tc>
        <w:tc>
          <w:tcPr>
            <w:tcW w:w="1081" w:type="dxa"/>
            <w:tcBorders>
              <w:left w:val="single" w:color="000000" w:sz="4" w:space="0"/>
            </w:tcBorders>
            <w:vAlign w:val="top"/>
          </w:tcPr>
          <w:p w14:paraId="083B6219">
            <w:pPr>
              <w:rPr>
                <w:rFonts w:ascii="Arial"/>
                <w:color w:val="auto"/>
                <w:sz w:val="21"/>
                <w:highlight w:val="none"/>
              </w:rPr>
            </w:pPr>
          </w:p>
        </w:tc>
        <w:tc>
          <w:tcPr>
            <w:tcW w:w="1165" w:type="dxa"/>
            <w:vAlign w:val="top"/>
          </w:tcPr>
          <w:p w14:paraId="12446C0D">
            <w:pPr>
              <w:rPr>
                <w:rFonts w:ascii="Arial"/>
                <w:color w:val="auto"/>
                <w:sz w:val="21"/>
                <w:highlight w:val="none"/>
              </w:rPr>
            </w:pPr>
          </w:p>
        </w:tc>
        <w:tc>
          <w:tcPr>
            <w:tcW w:w="830" w:type="dxa"/>
            <w:vAlign w:val="top"/>
          </w:tcPr>
          <w:p w14:paraId="4768CD02">
            <w:pPr>
              <w:rPr>
                <w:rFonts w:ascii="Arial"/>
                <w:color w:val="auto"/>
                <w:sz w:val="21"/>
                <w:highlight w:val="none"/>
              </w:rPr>
            </w:pPr>
          </w:p>
        </w:tc>
        <w:tc>
          <w:tcPr>
            <w:tcW w:w="1573" w:type="dxa"/>
            <w:tcBorders>
              <w:right w:val="single" w:color="000000" w:sz="4" w:space="0"/>
            </w:tcBorders>
            <w:vAlign w:val="top"/>
          </w:tcPr>
          <w:p w14:paraId="068426AA">
            <w:pPr>
              <w:rPr>
                <w:rFonts w:ascii="Arial"/>
                <w:color w:val="auto"/>
                <w:sz w:val="21"/>
                <w:highlight w:val="none"/>
              </w:rPr>
            </w:pPr>
          </w:p>
        </w:tc>
      </w:tr>
      <w:tr w14:paraId="0E3FD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14:paraId="392D7F2E">
            <w:pPr>
              <w:rPr>
                <w:rFonts w:ascii="Arial"/>
                <w:color w:val="auto"/>
                <w:sz w:val="21"/>
                <w:highlight w:val="none"/>
              </w:rPr>
            </w:pPr>
          </w:p>
        </w:tc>
        <w:tc>
          <w:tcPr>
            <w:tcW w:w="2173" w:type="dxa"/>
            <w:vAlign w:val="top"/>
          </w:tcPr>
          <w:p w14:paraId="314A9E8A">
            <w:pPr>
              <w:rPr>
                <w:rFonts w:ascii="Arial"/>
                <w:color w:val="auto"/>
                <w:sz w:val="21"/>
                <w:highlight w:val="none"/>
              </w:rPr>
            </w:pPr>
          </w:p>
        </w:tc>
        <w:tc>
          <w:tcPr>
            <w:tcW w:w="1076" w:type="dxa"/>
            <w:tcBorders>
              <w:right w:val="single" w:color="000000" w:sz="4" w:space="0"/>
            </w:tcBorders>
            <w:vAlign w:val="top"/>
          </w:tcPr>
          <w:p w14:paraId="790BD581">
            <w:pPr>
              <w:rPr>
                <w:rFonts w:ascii="Arial"/>
                <w:color w:val="auto"/>
                <w:sz w:val="21"/>
                <w:highlight w:val="none"/>
              </w:rPr>
            </w:pPr>
          </w:p>
        </w:tc>
        <w:tc>
          <w:tcPr>
            <w:tcW w:w="1081" w:type="dxa"/>
            <w:tcBorders>
              <w:left w:val="single" w:color="000000" w:sz="4" w:space="0"/>
            </w:tcBorders>
            <w:vAlign w:val="top"/>
          </w:tcPr>
          <w:p w14:paraId="7A300C66">
            <w:pPr>
              <w:rPr>
                <w:rFonts w:ascii="Arial"/>
                <w:color w:val="auto"/>
                <w:sz w:val="21"/>
                <w:highlight w:val="none"/>
              </w:rPr>
            </w:pPr>
          </w:p>
        </w:tc>
        <w:tc>
          <w:tcPr>
            <w:tcW w:w="1165" w:type="dxa"/>
            <w:vAlign w:val="top"/>
          </w:tcPr>
          <w:p w14:paraId="3509B36C">
            <w:pPr>
              <w:rPr>
                <w:rFonts w:ascii="Arial"/>
                <w:color w:val="auto"/>
                <w:sz w:val="21"/>
                <w:highlight w:val="none"/>
              </w:rPr>
            </w:pPr>
          </w:p>
        </w:tc>
        <w:tc>
          <w:tcPr>
            <w:tcW w:w="830" w:type="dxa"/>
            <w:vAlign w:val="top"/>
          </w:tcPr>
          <w:p w14:paraId="32ADEB21">
            <w:pPr>
              <w:rPr>
                <w:rFonts w:ascii="Arial"/>
                <w:color w:val="auto"/>
                <w:sz w:val="21"/>
                <w:highlight w:val="none"/>
              </w:rPr>
            </w:pPr>
          </w:p>
        </w:tc>
        <w:tc>
          <w:tcPr>
            <w:tcW w:w="1573" w:type="dxa"/>
            <w:tcBorders>
              <w:right w:val="single" w:color="000000" w:sz="4" w:space="0"/>
            </w:tcBorders>
            <w:vAlign w:val="top"/>
          </w:tcPr>
          <w:p w14:paraId="09A0F146">
            <w:pPr>
              <w:rPr>
                <w:rFonts w:ascii="Arial"/>
                <w:color w:val="auto"/>
                <w:sz w:val="21"/>
                <w:highlight w:val="none"/>
              </w:rPr>
            </w:pPr>
          </w:p>
        </w:tc>
      </w:tr>
      <w:tr w14:paraId="2C677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0EE3C843">
            <w:pPr>
              <w:rPr>
                <w:rFonts w:ascii="Arial"/>
                <w:color w:val="auto"/>
                <w:sz w:val="21"/>
                <w:highlight w:val="none"/>
              </w:rPr>
            </w:pPr>
          </w:p>
        </w:tc>
        <w:tc>
          <w:tcPr>
            <w:tcW w:w="2173" w:type="dxa"/>
            <w:vAlign w:val="top"/>
          </w:tcPr>
          <w:p w14:paraId="7F3F32C7">
            <w:pPr>
              <w:rPr>
                <w:rFonts w:ascii="Arial"/>
                <w:color w:val="auto"/>
                <w:sz w:val="21"/>
                <w:highlight w:val="none"/>
              </w:rPr>
            </w:pPr>
          </w:p>
        </w:tc>
        <w:tc>
          <w:tcPr>
            <w:tcW w:w="1076" w:type="dxa"/>
            <w:tcBorders>
              <w:right w:val="single" w:color="000000" w:sz="4" w:space="0"/>
            </w:tcBorders>
            <w:vAlign w:val="top"/>
          </w:tcPr>
          <w:p w14:paraId="09EAF235">
            <w:pPr>
              <w:rPr>
                <w:rFonts w:ascii="Arial"/>
                <w:color w:val="auto"/>
                <w:sz w:val="21"/>
                <w:highlight w:val="none"/>
              </w:rPr>
            </w:pPr>
          </w:p>
        </w:tc>
        <w:tc>
          <w:tcPr>
            <w:tcW w:w="1081" w:type="dxa"/>
            <w:tcBorders>
              <w:left w:val="single" w:color="000000" w:sz="4" w:space="0"/>
            </w:tcBorders>
            <w:vAlign w:val="top"/>
          </w:tcPr>
          <w:p w14:paraId="1AD3F243">
            <w:pPr>
              <w:rPr>
                <w:rFonts w:ascii="Arial"/>
                <w:color w:val="auto"/>
                <w:sz w:val="21"/>
                <w:highlight w:val="none"/>
              </w:rPr>
            </w:pPr>
          </w:p>
        </w:tc>
        <w:tc>
          <w:tcPr>
            <w:tcW w:w="1165" w:type="dxa"/>
            <w:vAlign w:val="top"/>
          </w:tcPr>
          <w:p w14:paraId="151ED73C">
            <w:pPr>
              <w:rPr>
                <w:rFonts w:ascii="Arial"/>
                <w:color w:val="auto"/>
                <w:sz w:val="21"/>
                <w:highlight w:val="none"/>
              </w:rPr>
            </w:pPr>
          </w:p>
        </w:tc>
        <w:tc>
          <w:tcPr>
            <w:tcW w:w="830" w:type="dxa"/>
            <w:vAlign w:val="top"/>
          </w:tcPr>
          <w:p w14:paraId="61650BAA">
            <w:pPr>
              <w:rPr>
                <w:rFonts w:ascii="Arial"/>
                <w:color w:val="auto"/>
                <w:sz w:val="21"/>
                <w:highlight w:val="none"/>
              </w:rPr>
            </w:pPr>
          </w:p>
        </w:tc>
        <w:tc>
          <w:tcPr>
            <w:tcW w:w="1573" w:type="dxa"/>
            <w:tcBorders>
              <w:right w:val="single" w:color="000000" w:sz="4" w:space="0"/>
            </w:tcBorders>
            <w:vAlign w:val="top"/>
          </w:tcPr>
          <w:p w14:paraId="1E1E07BB">
            <w:pPr>
              <w:rPr>
                <w:rFonts w:ascii="Arial"/>
                <w:color w:val="auto"/>
                <w:sz w:val="21"/>
                <w:highlight w:val="none"/>
              </w:rPr>
            </w:pPr>
          </w:p>
        </w:tc>
      </w:tr>
      <w:tr w14:paraId="7A2A5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6EBA957B">
            <w:pPr>
              <w:rPr>
                <w:rFonts w:ascii="Arial"/>
                <w:color w:val="auto"/>
                <w:sz w:val="21"/>
                <w:highlight w:val="none"/>
              </w:rPr>
            </w:pPr>
          </w:p>
        </w:tc>
        <w:tc>
          <w:tcPr>
            <w:tcW w:w="2173" w:type="dxa"/>
            <w:vAlign w:val="top"/>
          </w:tcPr>
          <w:p w14:paraId="7FD2282F">
            <w:pPr>
              <w:rPr>
                <w:rFonts w:ascii="Arial"/>
                <w:color w:val="auto"/>
                <w:sz w:val="21"/>
                <w:highlight w:val="none"/>
              </w:rPr>
            </w:pPr>
          </w:p>
        </w:tc>
        <w:tc>
          <w:tcPr>
            <w:tcW w:w="1076" w:type="dxa"/>
            <w:tcBorders>
              <w:right w:val="single" w:color="000000" w:sz="4" w:space="0"/>
            </w:tcBorders>
            <w:vAlign w:val="top"/>
          </w:tcPr>
          <w:p w14:paraId="5E19B200">
            <w:pPr>
              <w:rPr>
                <w:rFonts w:ascii="Arial"/>
                <w:color w:val="auto"/>
                <w:sz w:val="21"/>
                <w:highlight w:val="none"/>
              </w:rPr>
            </w:pPr>
          </w:p>
        </w:tc>
        <w:tc>
          <w:tcPr>
            <w:tcW w:w="1081" w:type="dxa"/>
            <w:tcBorders>
              <w:left w:val="single" w:color="000000" w:sz="4" w:space="0"/>
            </w:tcBorders>
            <w:vAlign w:val="top"/>
          </w:tcPr>
          <w:p w14:paraId="51C3578F">
            <w:pPr>
              <w:rPr>
                <w:rFonts w:ascii="Arial"/>
                <w:color w:val="auto"/>
                <w:sz w:val="21"/>
                <w:highlight w:val="none"/>
              </w:rPr>
            </w:pPr>
          </w:p>
        </w:tc>
        <w:tc>
          <w:tcPr>
            <w:tcW w:w="1165" w:type="dxa"/>
            <w:vAlign w:val="top"/>
          </w:tcPr>
          <w:p w14:paraId="31B06210">
            <w:pPr>
              <w:rPr>
                <w:rFonts w:ascii="Arial"/>
                <w:color w:val="auto"/>
                <w:sz w:val="21"/>
                <w:highlight w:val="none"/>
              </w:rPr>
            </w:pPr>
          </w:p>
        </w:tc>
        <w:tc>
          <w:tcPr>
            <w:tcW w:w="830" w:type="dxa"/>
            <w:vAlign w:val="top"/>
          </w:tcPr>
          <w:p w14:paraId="3E74957E">
            <w:pPr>
              <w:rPr>
                <w:rFonts w:ascii="Arial"/>
                <w:color w:val="auto"/>
                <w:sz w:val="21"/>
                <w:highlight w:val="none"/>
              </w:rPr>
            </w:pPr>
          </w:p>
        </w:tc>
        <w:tc>
          <w:tcPr>
            <w:tcW w:w="1573" w:type="dxa"/>
            <w:tcBorders>
              <w:right w:val="single" w:color="000000" w:sz="4" w:space="0"/>
            </w:tcBorders>
            <w:vAlign w:val="top"/>
          </w:tcPr>
          <w:p w14:paraId="7CBD0951">
            <w:pPr>
              <w:rPr>
                <w:rFonts w:ascii="Arial"/>
                <w:color w:val="auto"/>
                <w:sz w:val="21"/>
                <w:highlight w:val="none"/>
              </w:rPr>
            </w:pPr>
          </w:p>
        </w:tc>
      </w:tr>
      <w:tr w14:paraId="1254B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5154881B">
            <w:pPr>
              <w:rPr>
                <w:rFonts w:ascii="Arial"/>
                <w:color w:val="auto"/>
                <w:sz w:val="21"/>
                <w:highlight w:val="none"/>
              </w:rPr>
            </w:pPr>
          </w:p>
        </w:tc>
        <w:tc>
          <w:tcPr>
            <w:tcW w:w="2173" w:type="dxa"/>
            <w:vAlign w:val="top"/>
          </w:tcPr>
          <w:p w14:paraId="015B77E8">
            <w:pPr>
              <w:rPr>
                <w:rFonts w:ascii="Arial"/>
                <w:color w:val="auto"/>
                <w:sz w:val="21"/>
                <w:highlight w:val="none"/>
              </w:rPr>
            </w:pPr>
          </w:p>
        </w:tc>
        <w:tc>
          <w:tcPr>
            <w:tcW w:w="1076" w:type="dxa"/>
            <w:tcBorders>
              <w:right w:val="single" w:color="000000" w:sz="4" w:space="0"/>
            </w:tcBorders>
            <w:vAlign w:val="top"/>
          </w:tcPr>
          <w:p w14:paraId="0E3974DA">
            <w:pPr>
              <w:rPr>
                <w:rFonts w:ascii="Arial"/>
                <w:color w:val="auto"/>
                <w:sz w:val="21"/>
                <w:highlight w:val="none"/>
              </w:rPr>
            </w:pPr>
          </w:p>
        </w:tc>
        <w:tc>
          <w:tcPr>
            <w:tcW w:w="1081" w:type="dxa"/>
            <w:tcBorders>
              <w:left w:val="single" w:color="000000" w:sz="4" w:space="0"/>
            </w:tcBorders>
            <w:vAlign w:val="top"/>
          </w:tcPr>
          <w:p w14:paraId="2DC0E5BD">
            <w:pPr>
              <w:rPr>
                <w:rFonts w:ascii="Arial"/>
                <w:color w:val="auto"/>
                <w:sz w:val="21"/>
                <w:highlight w:val="none"/>
              </w:rPr>
            </w:pPr>
          </w:p>
        </w:tc>
        <w:tc>
          <w:tcPr>
            <w:tcW w:w="1165" w:type="dxa"/>
            <w:vAlign w:val="top"/>
          </w:tcPr>
          <w:p w14:paraId="26ABB6F4">
            <w:pPr>
              <w:rPr>
                <w:rFonts w:ascii="Arial"/>
                <w:color w:val="auto"/>
                <w:sz w:val="21"/>
                <w:highlight w:val="none"/>
              </w:rPr>
            </w:pPr>
          </w:p>
        </w:tc>
        <w:tc>
          <w:tcPr>
            <w:tcW w:w="830" w:type="dxa"/>
            <w:vAlign w:val="top"/>
          </w:tcPr>
          <w:p w14:paraId="00498E00">
            <w:pPr>
              <w:rPr>
                <w:rFonts w:ascii="Arial"/>
                <w:color w:val="auto"/>
                <w:sz w:val="21"/>
                <w:highlight w:val="none"/>
              </w:rPr>
            </w:pPr>
          </w:p>
        </w:tc>
        <w:tc>
          <w:tcPr>
            <w:tcW w:w="1573" w:type="dxa"/>
            <w:tcBorders>
              <w:right w:val="single" w:color="000000" w:sz="4" w:space="0"/>
            </w:tcBorders>
            <w:vAlign w:val="top"/>
          </w:tcPr>
          <w:p w14:paraId="512FE7AA">
            <w:pPr>
              <w:rPr>
                <w:rFonts w:ascii="Arial"/>
                <w:color w:val="auto"/>
                <w:sz w:val="21"/>
                <w:highlight w:val="none"/>
              </w:rPr>
            </w:pPr>
          </w:p>
        </w:tc>
      </w:tr>
      <w:tr w14:paraId="2B102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285EAEDB">
            <w:pPr>
              <w:rPr>
                <w:rFonts w:ascii="Arial"/>
                <w:color w:val="auto"/>
                <w:sz w:val="21"/>
                <w:highlight w:val="none"/>
              </w:rPr>
            </w:pPr>
          </w:p>
        </w:tc>
        <w:tc>
          <w:tcPr>
            <w:tcW w:w="2173" w:type="dxa"/>
            <w:vAlign w:val="top"/>
          </w:tcPr>
          <w:p w14:paraId="089B4F29">
            <w:pPr>
              <w:rPr>
                <w:rFonts w:ascii="Arial"/>
                <w:color w:val="auto"/>
                <w:sz w:val="21"/>
                <w:highlight w:val="none"/>
              </w:rPr>
            </w:pPr>
          </w:p>
        </w:tc>
        <w:tc>
          <w:tcPr>
            <w:tcW w:w="1076" w:type="dxa"/>
            <w:tcBorders>
              <w:right w:val="single" w:color="000000" w:sz="4" w:space="0"/>
            </w:tcBorders>
            <w:vAlign w:val="top"/>
          </w:tcPr>
          <w:p w14:paraId="17A5C24E">
            <w:pPr>
              <w:rPr>
                <w:rFonts w:ascii="Arial"/>
                <w:color w:val="auto"/>
                <w:sz w:val="21"/>
                <w:highlight w:val="none"/>
              </w:rPr>
            </w:pPr>
          </w:p>
        </w:tc>
        <w:tc>
          <w:tcPr>
            <w:tcW w:w="1081" w:type="dxa"/>
            <w:tcBorders>
              <w:left w:val="single" w:color="000000" w:sz="4" w:space="0"/>
            </w:tcBorders>
            <w:vAlign w:val="top"/>
          </w:tcPr>
          <w:p w14:paraId="445EBC45">
            <w:pPr>
              <w:rPr>
                <w:rFonts w:ascii="Arial"/>
                <w:color w:val="auto"/>
                <w:sz w:val="21"/>
                <w:highlight w:val="none"/>
              </w:rPr>
            </w:pPr>
          </w:p>
        </w:tc>
        <w:tc>
          <w:tcPr>
            <w:tcW w:w="1165" w:type="dxa"/>
            <w:vAlign w:val="top"/>
          </w:tcPr>
          <w:p w14:paraId="08052725">
            <w:pPr>
              <w:rPr>
                <w:rFonts w:ascii="Arial"/>
                <w:color w:val="auto"/>
                <w:sz w:val="21"/>
                <w:highlight w:val="none"/>
              </w:rPr>
            </w:pPr>
          </w:p>
        </w:tc>
        <w:tc>
          <w:tcPr>
            <w:tcW w:w="830" w:type="dxa"/>
            <w:vAlign w:val="top"/>
          </w:tcPr>
          <w:p w14:paraId="42918792">
            <w:pPr>
              <w:rPr>
                <w:rFonts w:ascii="Arial"/>
                <w:color w:val="auto"/>
                <w:sz w:val="21"/>
                <w:highlight w:val="none"/>
              </w:rPr>
            </w:pPr>
          </w:p>
        </w:tc>
        <w:tc>
          <w:tcPr>
            <w:tcW w:w="1573" w:type="dxa"/>
            <w:tcBorders>
              <w:right w:val="single" w:color="000000" w:sz="4" w:space="0"/>
            </w:tcBorders>
            <w:vAlign w:val="top"/>
          </w:tcPr>
          <w:p w14:paraId="3A0F8800">
            <w:pPr>
              <w:rPr>
                <w:rFonts w:ascii="Arial"/>
                <w:color w:val="auto"/>
                <w:sz w:val="21"/>
                <w:highlight w:val="none"/>
              </w:rPr>
            </w:pPr>
          </w:p>
        </w:tc>
      </w:tr>
      <w:tr w14:paraId="48DB5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167D1DF1">
            <w:pPr>
              <w:rPr>
                <w:rFonts w:ascii="Arial"/>
                <w:color w:val="auto"/>
                <w:sz w:val="21"/>
                <w:highlight w:val="none"/>
              </w:rPr>
            </w:pPr>
          </w:p>
        </w:tc>
        <w:tc>
          <w:tcPr>
            <w:tcW w:w="2173" w:type="dxa"/>
            <w:vAlign w:val="top"/>
          </w:tcPr>
          <w:p w14:paraId="388118C2">
            <w:pPr>
              <w:rPr>
                <w:rFonts w:ascii="Arial"/>
                <w:color w:val="auto"/>
                <w:sz w:val="21"/>
                <w:highlight w:val="none"/>
              </w:rPr>
            </w:pPr>
          </w:p>
        </w:tc>
        <w:tc>
          <w:tcPr>
            <w:tcW w:w="1076" w:type="dxa"/>
            <w:tcBorders>
              <w:right w:val="single" w:color="000000" w:sz="4" w:space="0"/>
            </w:tcBorders>
            <w:vAlign w:val="top"/>
          </w:tcPr>
          <w:p w14:paraId="6D42F636">
            <w:pPr>
              <w:rPr>
                <w:rFonts w:ascii="Arial"/>
                <w:color w:val="auto"/>
                <w:sz w:val="21"/>
                <w:highlight w:val="none"/>
              </w:rPr>
            </w:pPr>
          </w:p>
        </w:tc>
        <w:tc>
          <w:tcPr>
            <w:tcW w:w="1081" w:type="dxa"/>
            <w:tcBorders>
              <w:left w:val="single" w:color="000000" w:sz="4" w:space="0"/>
            </w:tcBorders>
            <w:vAlign w:val="top"/>
          </w:tcPr>
          <w:p w14:paraId="7065DAFE">
            <w:pPr>
              <w:rPr>
                <w:rFonts w:ascii="Arial"/>
                <w:color w:val="auto"/>
                <w:sz w:val="21"/>
                <w:highlight w:val="none"/>
              </w:rPr>
            </w:pPr>
          </w:p>
        </w:tc>
        <w:tc>
          <w:tcPr>
            <w:tcW w:w="1165" w:type="dxa"/>
            <w:vAlign w:val="top"/>
          </w:tcPr>
          <w:p w14:paraId="146F503B">
            <w:pPr>
              <w:rPr>
                <w:rFonts w:ascii="Arial"/>
                <w:color w:val="auto"/>
                <w:sz w:val="21"/>
                <w:highlight w:val="none"/>
              </w:rPr>
            </w:pPr>
          </w:p>
        </w:tc>
        <w:tc>
          <w:tcPr>
            <w:tcW w:w="830" w:type="dxa"/>
            <w:vAlign w:val="top"/>
          </w:tcPr>
          <w:p w14:paraId="1CB96A33">
            <w:pPr>
              <w:rPr>
                <w:rFonts w:ascii="Arial"/>
                <w:color w:val="auto"/>
                <w:sz w:val="21"/>
                <w:highlight w:val="none"/>
              </w:rPr>
            </w:pPr>
          </w:p>
        </w:tc>
        <w:tc>
          <w:tcPr>
            <w:tcW w:w="1573" w:type="dxa"/>
            <w:tcBorders>
              <w:right w:val="single" w:color="000000" w:sz="4" w:space="0"/>
            </w:tcBorders>
            <w:vAlign w:val="top"/>
          </w:tcPr>
          <w:p w14:paraId="2051C286">
            <w:pPr>
              <w:rPr>
                <w:rFonts w:ascii="Arial"/>
                <w:color w:val="auto"/>
                <w:sz w:val="21"/>
                <w:highlight w:val="none"/>
              </w:rPr>
            </w:pPr>
          </w:p>
        </w:tc>
      </w:tr>
      <w:tr w14:paraId="66188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02538FFC">
            <w:pPr>
              <w:rPr>
                <w:rFonts w:ascii="Arial"/>
                <w:color w:val="auto"/>
                <w:sz w:val="21"/>
                <w:highlight w:val="none"/>
              </w:rPr>
            </w:pPr>
          </w:p>
        </w:tc>
        <w:tc>
          <w:tcPr>
            <w:tcW w:w="2173" w:type="dxa"/>
            <w:vAlign w:val="top"/>
          </w:tcPr>
          <w:p w14:paraId="7880B7EA">
            <w:pPr>
              <w:rPr>
                <w:rFonts w:ascii="Arial"/>
                <w:color w:val="auto"/>
                <w:sz w:val="21"/>
                <w:highlight w:val="none"/>
              </w:rPr>
            </w:pPr>
          </w:p>
        </w:tc>
        <w:tc>
          <w:tcPr>
            <w:tcW w:w="1076" w:type="dxa"/>
            <w:tcBorders>
              <w:right w:val="single" w:color="000000" w:sz="4" w:space="0"/>
            </w:tcBorders>
            <w:vAlign w:val="top"/>
          </w:tcPr>
          <w:p w14:paraId="50750F41">
            <w:pPr>
              <w:rPr>
                <w:rFonts w:ascii="Arial"/>
                <w:color w:val="auto"/>
                <w:sz w:val="21"/>
                <w:highlight w:val="none"/>
              </w:rPr>
            </w:pPr>
          </w:p>
        </w:tc>
        <w:tc>
          <w:tcPr>
            <w:tcW w:w="1081" w:type="dxa"/>
            <w:tcBorders>
              <w:left w:val="single" w:color="000000" w:sz="4" w:space="0"/>
            </w:tcBorders>
            <w:vAlign w:val="top"/>
          </w:tcPr>
          <w:p w14:paraId="3E5F8260">
            <w:pPr>
              <w:rPr>
                <w:rFonts w:ascii="Arial"/>
                <w:color w:val="auto"/>
                <w:sz w:val="21"/>
                <w:highlight w:val="none"/>
              </w:rPr>
            </w:pPr>
          </w:p>
        </w:tc>
        <w:tc>
          <w:tcPr>
            <w:tcW w:w="1165" w:type="dxa"/>
            <w:vAlign w:val="top"/>
          </w:tcPr>
          <w:p w14:paraId="5BAF96E7">
            <w:pPr>
              <w:rPr>
                <w:rFonts w:ascii="Arial"/>
                <w:color w:val="auto"/>
                <w:sz w:val="21"/>
                <w:highlight w:val="none"/>
              </w:rPr>
            </w:pPr>
          </w:p>
        </w:tc>
        <w:tc>
          <w:tcPr>
            <w:tcW w:w="830" w:type="dxa"/>
            <w:vAlign w:val="top"/>
          </w:tcPr>
          <w:p w14:paraId="37CECE1E">
            <w:pPr>
              <w:rPr>
                <w:rFonts w:ascii="Arial"/>
                <w:color w:val="auto"/>
                <w:sz w:val="21"/>
                <w:highlight w:val="none"/>
              </w:rPr>
            </w:pPr>
          </w:p>
        </w:tc>
        <w:tc>
          <w:tcPr>
            <w:tcW w:w="1573" w:type="dxa"/>
            <w:tcBorders>
              <w:right w:val="single" w:color="000000" w:sz="4" w:space="0"/>
            </w:tcBorders>
            <w:vAlign w:val="top"/>
          </w:tcPr>
          <w:p w14:paraId="4F92DBAC">
            <w:pPr>
              <w:rPr>
                <w:rFonts w:ascii="Arial"/>
                <w:color w:val="auto"/>
                <w:sz w:val="21"/>
                <w:highlight w:val="none"/>
              </w:rPr>
            </w:pPr>
          </w:p>
        </w:tc>
      </w:tr>
      <w:tr w14:paraId="7436E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6" w:hRule="atLeast"/>
        </w:trPr>
        <w:tc>
          <w:tcPr>
            <w:tcW w:w="648" w:type="dxa"/>
            <w:tcBorders>
              <w:left w:val="single" w:color="000000" w:sz="4" w:space="0"/>
              <w:bottom w:val="single" w:color="000000" w:sz="4" w:space="0"/>
            </w:tcBorders>
            <w:vAlign w:val="top"/>
          </w:tcPr>
          <w:p w14:paraId="2031242F">
            <w:pPr>
              <w:rPr>
                <w:rFonts w:ascii="Arial"/>
                <w:color w:val="auto"/>
                <w:sz w:val="21"/>
                <w:highlight w:val="none"/>
              </w:rPr>
            </w:pPr>
          </w:p>
        </w:tc>
        <w:tc>
          <w:tcPr>
            <w:tcW w:w="2173" w:type="dxa"/>
            <w:tcBorders>
              <w:bottom w:val="single" w:color="000000" w:sz="4" w:space="0"/>
            </w:tcBorders>
            <w:vAlign w:val="top"/>
          </w:tcPr>
          <w:p w14:paraId="0F0562F8">
            <w:pPr>
              <w:spacing w:line="286" w:lineRule="auto"/>
              <w:rPr>
                <w:rFonts w:ascii="Arial"/>
                <w:color w:val="auto"/>
                <w:sz w:val="21"/>
                <w:highlight w:val="none"/>
              </w:rPr>
            </w:pPr>
          </w:p>
          <w:p w14:paraId="742876E0">
            <w:pPr>
              <w:pStyle w:val="11"/>
              <w:spacing w:before="68" w:line="222" w:lineRule="auto"/>
              <w:ind w:left="876"/>
              <w:rPr>
                <w:color w:val="auto"/>
                <w:highlight w:val="none"/>
              </w:rPr>
            </w:pPr>
            <w:r>
              <w:rPr>
                <w:color w:val="auto"/>
                <w:spacing w:val="-2"/>
                <w:highlight w:val="none"/>
              </w:rPr>
              <w:t>合计</w:t>
            </w:r>
          </w:p>
        </w:tc>
        <w:tc>
          <w:tcPr>
            <w:tcW w:w="1076" w:type="dxa"/>
            <w:tcBorders>
              <w:bottom w:val="single" w:color="000000" w:sz="4" w:space="0"/>
              <w:right w:val="single" w:color="000000" w:sz="4" w:space="0"/>
            </w:tcBorders>
            <w:vAlign w:val="top"/>
          </w:tcPr>
          <w:p w14:paraId="0AC88F24">
            <w:pPr>
              <w:spacing w:line="385" w:lineRule="auto"/>
              <w:rPr>
                <w:rFonts w:ascii="Arial"/>
                <w:color w:val="auto"/>
                <w:sz w:val="21"/>
                <w:highlight w:val="none"/>
              </w:rPr>
            </w:pPr>
          </w:p>
          <w:p w14:paraId="4898ABD2">
            <w:pPr>
              <w:pStyle w:val="11"/>
              <w:spacing w:before="68" w:line="142" w:lineRule="exact"/>
              <w:ind w:left="438"/>
              <w:rPr>
                <w:color w:val="auto"/>
                <w:highlight w:val="none"/>
              </w:rPr>
            </w:pPr>
            <w:r>
              <w:rPr>
                <w:color w:val="auto"/>
                <w:position w:val="-3"/>
                <w:highlight w:val="none"/>
              </w:rPr>
              <w:t>—</w:t>
            </w:r>
          </w:p>
        </w:tc>
        <w:tc>
          <w:tcPr>
            <w:tcW w:w="1081" w:type="dxa"/>
            <w:tcBorders>
              <w:left w:val="single" w:color="000000" w:sz="4" w:space="0"/>
              <w:bottom w:val="single" w:color="000000" w:sz="4" w:space="0"/>
            </w:tcBorders>
            <w:vAlign w:val="top"/>
          </w:tcPr>
          <w:p w14:paraId="09863C50">
            <w:pPr>
              <w:spacing w:line="385" w:lineRule="auto"/>
              <w:rPr>
                <w:rFonts w:ascii="Arial"/>
                <w:color w:val="auto"/>
                <w:sz w:val="21"/>
                <w:highlight w:val="none"/>
              </w:rPr>
            </w:pPr>
          </w:p>
          <w:p w14:paraId="2715E779">
            <w:pPr>
              <w:pStyle w:val="11"/>
              <w:spacing w:before="68" w:line="142" w:lineRule="exact"/>
              <w:ind w:left="440"/>
              <w:rPr>
                <w:color w:val="auto"/>
                <w:highlight w:val="none"/>
              </w:rPr>
            </w:pPr>
            <w:r>
              <w:rPr>
                <w:color w:val="auto"/>
                <w:position w:val="-3"/>
                <w:highlight w:val="none"/>
              </w:rPr>
              <w:t>—</w:t>
            </w:r>
          </w:p>
        </w:tc>
        <w:tc>
          <w:tcPr>
            <w:tcW w:w="1165" w:type="dxa"/>
            <w:tcBorders>
              <w:bottom w:val="single" w:color="000000" w:sz="4" w:space="0"/>
            </w:tcBorders>
            <w:vAlign w:val="top"/>
          </w:tcPr>
          <w:p w14:paraId="398AAD90">
            <w:pPr>
              <w:rPr>
                <w:rFonts w:ascii="Arial"/>
                <w:color w:val="auto"/>
                <w:sz w:val="21"/>
                <w:highlight w:val="none"/>
              </w:rPr>
            </w:pPr>
          </w:p>
        </w:tc>
        <w:tc>
          <w:tcPr>
            <w:tcW w:w="830" w:type="dxa"/>
            <w:tcBorders>
              <w:bottom w:val="single" w:color="000000" w:sz="4" w:space="0"/>
            </w:tcBorders>
            <w:vAlign w:val="top"/>
          </w:tcPr>
          <w:p w14:paraId="5F644603">
            <w:pPr>
              <w:spacing w:line="385" w:lineRule="auto"/>
              <w:rPr>
                <w:rFonts w:ascii="Arial"/>
                <w:color w:val="auto"/>
                <w:sz w:val="21"/>
                <w:highlight w:val="none"/>
              </w:rPr>
            </w:pPr>
          </w:p>
          <w:p w14:paraId="5B80D182">
            <w:pPr>
              <w:pStyle w:val="11"/>
              <w:spacing w:before="68" w:line="142" w:lineRule="exact"/>
              <w:ind w:left="314"/>
              <w:rPr>
                <w:color w:val="auto"/>
                <w:highlight w:val="none"/>
              </w:rPr>
            </w:pPr>
            <w:r>
              <w:rPr>
                <w:color w:val="auto"/>
                <w:position w:val="-3"/>
                <w:highlight w:val="none"/>
              </w:rPr>
              <w:t>—</w:t>
            </w:r>
          </w:p>
        </w:tc>
        <w:tc>
          <w:tcPr>
            <w:tcW w:w="1573" w:type="dxa"/>
            <w:tcBorders>
              <w:bottom w:val="single" w:color="000000" w:sz="4" w:space="0"/>
              <w:right w:val="single" w:color="000000" w:sz="4" w:space="0"/>
            </w:tcBorders>
            <w:vAlign w:val="top"/>
          </w:tcPr>
          <w:p w14:paraId="30D53902">
            <w:pPr>
              <w:rPr>
                <w:rFonts w:ascii="Arial"/>
                <w:color w:val="auto"/>
                <w:sz w:val="21"/>
                <w:highlight w:val="none"/>
              </w:rPr>
            </w:pPr>
          </w:p>
        </w:tc>
      </w:tr>
    </w:tbl>
    <w:p w14:paraId="0F63C18A">
      <w:pPr>
        <w:spacing w:before="150" w:line="228" w:lineRule="auto"/>
        <w:ind w:left="551" w:right="125" w:hanging="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注：此表项目名称、服务内容由招标人填写， 编制招</w:t>
      </w:r>
      <w:r>
        <w:rPr>
          <w:rFonts w:ascii="宋体" w:hAnsi="宋体" w:eastAsia="宋体" w:cs="宋体"/>
          <w:color w:val="auto"/>
          <w:spacing w:val="-3"/>
          <w:sz w:val="21"/>
          <w:szCs w:val="21"/>
          <w:highlight w:val="none"/>
        </w:rPr>
        <w:t>标控制价时， 费率及金额由招标人按</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有关计价规定确定： 投标时，</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rPr>
        <w:t>费率及金额由投标人自主报价</w:t>
      </w:r>
      <w:r>
        <w:rPr>
          <w:rFonts w:ascii="宋体" w:hAnsi="宋体" w:eastAsia="宋体" w:cs="宋体"/>
          <w:color w:val="auto"/>
          <w:spacing w:val="-8"/>
          <w:sz w:val="21"/>
          <w:szCs w:val="21"/>
          <w:highlight w:val="none"/>
        </w:rPr>
        <w:t>，计入投标总价中。</w:t>
      </w:r>
    </w:p>
    <w:p w14:paraId="5229DB34">
      <w:pPr>
        <w:spacing w:line="228" w:lineRule="auto"/>
        <w:rPr>
          <w:rFonts w:ascii="宋体" w:hAnsi="宋体" w:eastAsia="宋体" w:cs="宋体"/>
          <w:color w:val="auto"/>
          <w:sz w:val="21"/>
          <w:szCs w:val="21"/>
          <w:highlight w:val="none"/>
        </w:rPr>
        <w:sectPr>
          <w:footerReference r:id="rId196" w:type="default"/>
          <w:pgSz w:w="11905" w:h="16839"/>
          <w:pgMar w:top="400" w:right="1671" w:bottom="1004" w:left="1675" w:header="0" w:footer="828" w:gutter="0"/>
          <w:pgNumType w:fmt="decimal"/>
          <w:cols w:space="720" w:num="1"/>
        </w:sectPr>
      </w:pPr>
    </w:p>
    <w:p w14:paraId="193CA39E">
      <w:pPr>
        <w:pStyle w:val="3"/>
        <w:spacing w:line="267" w:lineRule="auto"/>
        <w:rPr>
          <w:color w:val="auto"/>
          <w:highlight w:val="none"/>
        </w:rPr>
      </w:pPr>
    </w:p>
    <w:p w14:paraId="2A8E5C12">
      <w:pPr>
        <w:pStyle w:val="3"/>
        <w:spacing w:line="268" w:lineRule="auto"/>
        <w:rPr>
          <w:color w:val="auto"/>
          <w:highlight w:val="none"/>
        </w:rPr>
      </w:pPr>
    </w:p>
    <w:p w14:paraId="53BF57F1">
      <w:pPr>
        <w:pStyle w:val="3"/>
        <w:spacing w:line="268" w:lineRule="auto"/>
        <w:rPr>
          <w:color w:val="auto"/>
          <w:highlight w:val="none"/>
        </w:rPr>
      </w:pPr>
    </w:p>
    <w:p w14:paraId="10FC9868">
      <w:pPr>
        <w:pStyle w:val="3"/>
        <w:spacing w:line="268" w:lineRule="auto"/>
        <w:rPr>
          <w:color w:val="auto"/>
          <w:highlight w:val="none"/>
        </w:rPr>
      </w:pPr>
    </w:p>
    <w:p w14:paraId="075D432D">
      <w:pPr>
        <w:spacing w:before="78" w:line="218" w:lineRule="auto"/>
        <w:ind w:left="1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4.13 </w:t>
      </w:r>
      <w:r>
        <w:rPr>
          <w:rFonts w:ascii="黑体" w:hAnsi="黑体" w:eastAsia="黑体" w:cs="黑体"/>
          <w:color w:val="auto"/>
          <w:spacing w:val="-1"/>
          <w:sz w:val="24"/>
          <w:szCs w:val="24"/>
          <w:highlight w:val="none"/>
        </w:rPr>
        <w:t>规费、税金项目计价表</w:t>
      </w:r>
    </w:p>
    <w:p w14:paraId="4541AF17">
      <w:pPr>
        <w:pStyle w:val="3"/>
        <w:spacing w:line="385" w:lineRule="auto"/>
        <w:rPr>
          <w:color w:val="auto"/>
          <w:highlight w:val="none"/>
        </w:rPr>
      </w:pPr>
    </w:p>
    <w:p w14:paraId="49010067">
      <w:pPr>
        <w:spacing w:before="87" w:line="224" w:lineRule="auto"/>
        <w:ind w:left="2880"/>
        <w:rPr>
          <w:rFonts w:ascii="黑体" w:hAnsi="黑体" w:eastAsia="黑体" w:cs="黑体"/>
          <w:color w:val="auto"/>
          <w:sz w:val="27"/>
          <w:szCs w:val="27"/>
          <w:highlight w:val="none"/>
        </w:rPr>
      </w:pPr>
      <w:bookmarkStart w:id="1314" w:name="bookmark260"/>
      <w:bookmarkEnd w:id="1314"/>
      <w:r>
        <w:rPr>
          <w:rFonts w:ascii="黑体" w:hAnsi="黑体" w:eastAsia="黑体" w:cs="黑体"/>
          <w:color w:val="auto"/>
          <w:spacing w:val="8"/>
          <w:sz w:val="27"/>
          <w:szCs w:val="27"/>
          <w:highlight w:val="none"/>
        </w:rPr>
        <w:t>规费、税金项目计价表</w:t>
      </w:r>
    </w:p>
    <w:p w14:paraId="5D64FBBB">
      <w:pPr>
        <w:spacing w:before="49"/>
        <w:rPr>
          <w:color w:val="auto"/>
          <w:highlight w:val="none"/>
        </w:rPr>
      </w:pPr>
    </w:p>
    <w:p w14:paraId="23A8FCC7">
      <w:pPr>
        <w:spacing w:before="49"/>
        <w:rPr>
          <w:color w:val="auto"/>
          <w:highlight w:val="none"/>
        </w:rPr>
      </w:pPr>
    </w:p>
    <w:p w14:paraId="75319A5F">
      <w:pPr>
        <w:rPr>
          <w:color w:val="auto"/>
          <w:highlight w:val="none"/>
        </w:rPr>
        <w:sectPr>
          <w:footerReference r:id="rId197" w:type="default"/>
          <w:pgSz w:w="11905" w:h="16839"/>
          <w:pgMar w:top="400" w:right="1681" w:bottom="1004" w:left="1680" w:header="0" w:footer="829" w:gutter="0"/>
          <w:pgNumType w:fmt="decimal"/>
          <w:cols w:equalWidth="0" w:num="1">
            <w:col w:w="8543"/>
          </w:cols>
        </w:sectPr>
      </w:pPr>
    </w:p>
    <w:p w14:paraId="54D09F07">
      <w:pPr>
        <w:spacing w:before="41" w:line="186" w:lineRule="auto"/>
        <w:ind w:left="12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06400C15">
      <w:pPr>
        <w:pStyle w:val="3"/>
        <w:spacing w:line="14" w:lineRule="auto"/>
        <w:rPr>
          <w:color w:val="auto"/>
          <w:sz w:val="2"/>
          <w:highlight w:val="none"/>
        </w:rPr>
      </w:pPr>
      <w:r>
        <w:rPr>
          <w:color w:val="auto"/>
          <w:sz w:val="2"/>
          <w:szCs w:val="2"/>
          <w:highlight w:val="none"/>
        </w:rPr>
        <w:br w:type="column"/>
      </w:r>
    </w:p>
    <w:p w14:paraId="57A13FB9">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p w14:paraId="0AF6E8F3">
      <w:pPr>
        <w:spacing w:line="186" w:lineRule="auto"/>
        <w:rPr>
          <w:rFonts w:ascii="宋体" w:hAnsi="宋体" w:eastAsia="宋体" w:cs="宋体"/>
          <w:color w:val="auto"/>
          <w:sz w:val="21"/>
          <w:szCs w:val="21"/>
          <w:highlight w:val="none"/>
        </w:rPr>
        <w:sectPr>
          <w:type w:val="continuous"/>
          <w:pgSz w:w="11905" w:h="16839"/>
          <w:pgMar w:top="400" w:right="1681" w:bottom="1004" w:left="1680" w:header="0" w:footer="829" w:gutter="0"/>
          <w:pgNumType w:fmt="decimal"/>
          <w:cols w:equalWidth="0" w:num="2">
            <w:col w:w="2339" w:space="100"/>
            <w:col w:w="6104"/>
          </w:cols>
        </w:sectPr>
      </w:pPr>
    </w:p>
    <w:p w14:paraId="4ADA7D68">
      <w:pPr>
        <w:spacing w:line="32" w:lineRule="exact"/>
        <w:rPr>
          <w:color w:val="auto"/>
          <w:highlight w:val="none"/>
        </w:rPr>
      </w:pPr>
    </w:p>
    <w:tbl>
      <w:tblPr>
        <w:tblStyle w:val="10"/>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14:paraId="25DF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14:paraId="42EA2783">
            <w:pPr>
              <w:pStyle w:val="11"/>
              <w:spacing w:before="283" w:line="222" w:lineRule="auto"/>
              <w:ind w:left="285"/>
              <w:rPr>
                <w:color w:val="auto"/>
                <w:highlight w:val="none"/>
              </w:rPr>
            </w:pPr>
            <w:r>
              <w:rPr>
                <w:color w:val="auto"/>
                <w:spacing w:val="-2"/>
                <w:highlight w:val="none"/>
              </w:rPr>
              <w:t>序号</w:t>
            </w:r>
          </w:p>
        </w:tc>
        <w:tc>
          <w:tcPr>
            <w:tcW w:w="1789" w:type="dxa"/>
            <w:tcBorders>
              <w:top w:val="single" w:color="000000" w:sz="4" w:space="0"/>
            </w:tcBorders>
            <w:vAlign w:val="top"/>
          </w:tcPr>
          <w:p w14:paraId="28B19E66">
            <w:pPr>
              <w:pStyle w:val="11"/>
              <w:spacing w:before="284" w:line="221" w:lineRule="auto"/>
              <w:ind w:left="476"/>
              <w:rPr>
                <w:color w:val="auto"/>
                <w:highlight w:val="none"/>
              </w:rPr>
            </w:pPr>
            <w:r>
              <w:rPr>
                <w:color w:val="auto"/>
                <w:spacing w:val="-2"/>
                <w:highlight w:val="none"/>
              </w:rPr>
              <w:t>项目名称</w:t>
            </w:r>
          </w:p>
        </w:tc>
        <w:tc>
          <w:tcPr>
            <w:tcW w:w="1789" w:type="dxa"/>
            <w:tcBorders>
              <w:top w:val="single" w:color="000000" w:sz="4" w:space="0"/>
            </w:tcBorders>
            <w:vAlign w:val="top"/>
          </w:tcPr>
          <w:p w14:paraId="7B4AB927">
            <w:pPr>
              <w:pStyle w:val="11"/>
              <w:spacing w:before="283" w:line="221" w:lineRule="auto"/>
              <w:ind w:left="474"/>
              <w:rPr>
                <w:color w:val="auto"/>
                <w:highlight w:val="none"/>
              </w:rPr>
            </w:pPr>
            <w:r>
              <w:rPr>
                <w:color w:val="auto"/>
                <w:spacing w:val="-1"/>
                <w:highlight w:val="none"/>
              </w:rPr>
              <w:t>计算基础</w:t>
            </w:r>
          </w:p>
        </w:tc>
        <w:tc>
          <w:tcPr>
            <w:tcW w:w="1223" w:type="dxa"/>
            <w:tcBorders>
              <w:top w:val="single" w:color="000000" w:sz="4" w:space="0"/>
            </w:tcBorders>
            <w:vAlign w:val="top"/>
          </w:tcPr>
          <w:p w14:paraId="13BAF6BA">
            <w:pPr>
              <w:pStyle w:val="11"/>
              <w:spacing w:before="283" w:line="221" w:lineRule="auto"/>
              <w:ind w:left="193"/>
              <w:rPr>
                <w:color w:val="auto"/>
                <w:highlight w:val="none"/>
              </w:rPr>
            </w:pPr>
            <w:r>
              <w:rPr>
                <w:color w:val="auto"/>
                <w:spacing w:val="-1"/>
                <w:highlight w:val="none"/>
              </w:rPr>
              <w:t>计算基数</w:t>
            </w:r>
          </w:p>
        </w:tc>
        <w:tc>
          <w:tcPr>
            <w:tcW w:w="1362" w:type="dxa"/>
            <w:tcBorders>
              <w:top w:val="single" w:color="000000" w:sz="4" w:space="0"/>
            </w:tcBorders>
            <w:vAlign w:val="top"/>
          </w:tcPr>
          <w:p w14:paraId="5CCFADBE">
            <w:pPr>
              <w:pStyle w:val="11"/>
              <w:spacing w:before="284" w:line="234" w:lineRule="auto"/>
              <w:ind w:left="196"/>
              <w:rPr>
                <w:color w:val="auto"/>
                <w:highlight w:val="none"/>
              </w:rPr>
            </w:pPr>
            <w:r>
              <w:rPr>
                <w:color w:val="auto"/>
                <w:spacing w:val="-3"/>
                <w:highlight w:val="none"/>
              </w:rPr>
              <w:t>费率（</w:t>
            </w:r>
            <w:r>
              <w:rPr>
                <w:rFonts w:ascii="Times New Roman" w:hAnsi="Times New Roman" w:eastAsia="Times New Roman" w:cs="Times New Roman"/>
                <w:color w:val="auto"/>
                <w:spacing w:val="-3"/>
                <w:highlight w:val="none"/>
              </w:rPr>
              <w:t>%</w:t>
            </w:r>
            <w:r>
              <w:rPr>
                <w:color w:val="auto"/>
                <w:spacing w:val="-3"/>
                <w:highlight w:val="none"/>
              </w:rPr>
              <w:t>）</w:t>
            </w:r>
          </w:p>
        </w:tc>
        <w:tc>
          <w:tcPr>
            <w:tcW w:w="1376" w:type="dxa"/>
            <w:tcBorders>
              <w:top w:val="single" w:color="000000" w:sz="4" w:space="0"/>
              <w:right w:val="single" w:color="000000" w:sz="4" w:space="0"/>
            </w:tcBorders>
            <w:vAlign w:val="top"/>
          </w:tcPr>
          <w:p w14:paraId="478A163A">
            <w:pPr>
              <w:pStyle w:val="11"/>
              <w:spacing w:before="283" w:line="221" w:lineRule="auto"/>
              <w:ind w:left="174"/>
              <w:rPr>
                <w:color w:val="auto"/>
                <w:highlight w:val="none"/>
              </w:rPr>
            </w:pPr>
            <w:r>
              <w:rPr>
                <w:color w:val="auto"/>
                <w:spacing w:val="-3"/>
                <w:highlight w:val="none"/>
              </w:rPr>
              <w:t>金额（元）</w:t>
            </w:r>
          </w:p>
        </w:tc>
      </w:tr>
      <w:tr w14:paraId="7B5FC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14:paraId="74931910">
            <w:pPr>
              <w:spacing w:line="249" w:lineRule="auto"/>
              <w:rPr>
                <w:rFonts w:ascii="Arial"/>
                <w:color w:val="auto"/>
                <w:sz w:val="21"/>
                <w:highlight w:val="none"/>
              </w:rPr>
            </w:pPr>
          </w:p>
          <w:p w14:paraId="174E2943">
            <w:pPr>
              <w:spacing w:before="69" w:line="183" w:lineRule="auto"/>
              <w:ind w:left="4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789" w:type="dxa"/>
            <w:vAlign w:val="top"/>
          </w:tcPr>
          <w:p w14:paraId="2E096FA5">
            <w:pPr>
              <w:pStyle w:val="11"/>
              <w:spacing w:before="285" w:line="221" w:lineRule="auto"/>
              <w:ind w:left="684"/>
              <w:rPr>
                <w:color w:val="auto"/>
                <w:highlight w:val="none"/>
              </w:rPr>
            </w:pPr>
            <w:r>
              <w:rPr>
                <w:color w:val="auto"/>
                <w:spacing w:val="-2"/>
                <w:highlight w:val="none"/>
              </w:rPr>
              <w:t>规费</w:t>
            </w:r>
          </w:p>
        </w:tc>
        <w:tc>
          <w:tcPr>
            <w:tcW w:w="1789" w:type="dxa"/>
            <w:vAlign w:val="top"/>
          </w:tcPr>
          <w:p w14:paraId="4348001C">
            <w:pPr>
              <w:rPr>
                <w:rFonts w:ascii="Arial"/>
                <w:color w:val="auto"/>
                <w:sz w:val="21"/>
                <w:highlight w:val="none"/>
              </w:rPr>
            </w:pPr>
          </w:p>
        </w:tc>
        <w:tc>
          <w:tcPr>
            <w:tcW w:w="1223" w:type="dxa"/>
            <w:vAlign w:val="top"/>
          </w:tcPr>
          <w:p w14:paraId="04DAAD28">
            <w:pPr>
              <w:rPr>
                <w:rFonts w:ascii="Arial"/>
                <w:color w:val="auto"/>
                <w:sz w:val="21"/>
                <w:highlight w:val="none"/>
              </w:rPr>
            </w:pPr>
          </w:p>
        </w:tc>
        <w:tc>
          <w:tcPr>
            <w:tcW w:w="1362" w:type="dxa"/>
            <w:vAlign w:val="top"/>
          </w:tcPr>
          <w:p w14:paraId="1A25121B">
            <w:pPr>
              <w:rPr>
                <w:rFonts w:ascii="Arial"/>
                <w:color w:val="auto"/>
                <w:sz w:val="21"/>
                <w:highlight w:val="none"/>
              </w:rPr>
            </w:pPr>
          </w:p>
        </w:tc>
        <w:tc>
          <w:tcPr>
            <w:tcW w:w="1376" w:type="dxa"/>
            <w:tcBorders>
              <w:right w:val="single" w:color="000000" w:sz="4" w:space="0"/>
            </w:tcBorders>
            <w:vAlign w:val="top"/>
          </w:tcPr>
          <w:p w14:paraId="60600018">
            <w:pPr>
              <w:rPr>
                <w:rFonts w:ascii="Arial"/>
                <w:color w:val="auto"/>
                <w:sz w:val="21"/>
                <w:highlight w:val="none"/>
              </w:rPr>
            </w:pPr>
          </w:p>
        </w:tc>
      </w:tr>
      <w:tr w14:paraId="7E592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93" w:type="dxa"/>
            <w:tcBorders>
              <w:left w:val="single" w:color="000000" w:sz="4" w:space="0"/>
              <w:bottom w:val="single" w:color="000000" w:sz="4" w:space="0"/>
            </w:tcBorders>
            <w:vAlign w:val="top"/>
          </w:tcPr>
          <w:p w14:paraId="4672EE3A">
            <w:pPr>
              <w:rPr>
                <w:rFonts w:ascii="Arial"/>
                <w:color w:val="auto"/>
                <w:sz w:val="21"/>
                <w:highlight w:val="none"/>
              </w:rPr>
            </w:pPr>
          </w:p>
          <w:p w14:paraId="4A9F7615">
            <w:pPr>
              <w:spacing w:before="68" w:line="183"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1.1</w:t>
            </w:r>
          </w:p>
        </w:tc>
        <w:tc>
          <w:tcPr>
            <w:tcW w:w="1789" w:type="dxa"/>
            <w:vAlign w:val="top"/>
          </w:tcPr>
          <w:p w14:paraId="7FFF5945">
            <w:pPr>
              <w:pStyle w:val="11"/>
              <w:spacing w:before="275" w:line="220" w:lineRule="auto"/>
              <w:ind w:left="368"/>
              <w:rPr>
                <w:color w:val="auto"/>
                <w:highlight w:val="none"/>
              </w:rPr>
            </w:pPr>
            <w:r>
              <w:rPr>
                <w:color w:val="auto"/>
                <w:spacing w:val="-1"/>
                <w:highlight w:val="none"/>
              </w:rPr>
              <w:t>社会保险费</w:t>
            </w:r>
          </w:p>
        </w:tc>
        <w:tc>
          <w:tcPr>
            <w:tcW w:w="1789" w:type="dxa"/>
            <w:vAlign w:val="top"/>
          </w:tcPr>
          <w:p w14:paraId="64D5BFF0">
            <w:pPr>
              <w:rPr>
                <w:rFonts w:ascii="Arial"/>
                <w:color w:val="auto"/>
                <w:sz w:val="21"/>
                <w:highlight w:val="none"/>
              </w:rPr>
            </w:pPr>
          </w:p>
        </w:tc>
        <w:tc>
          <w:tcPr>
            <w:tcW w:w="1223" w:type="dxa"/>
            <w:vAlign w:val="top"/>
          </w:tcPr>
          <w:p w14:paraId="27837878">
            <w:pPr>
              <w:rPr>
                <w:rFonts w:ascii="Arial"/>
                <w:color w:val="auto"/>
                <w:sz w:val="21"/>
                <w:highlight w:val="none"/>
              </w:rPr>
            </w:pPr>
          </w:p>
        </w:tc>
        <w:tc>
          <w:tcPr>
            <w:tcW w:w="1362" w:type="dxa"/>
            <w:vAlign w:val="top"/>
          </w:tcPr>
          <w:p w14:paraId="252A03D9">
            <w:pPr>
              <w:rPr>
                <w:rFonts w:ascii="Arial"/>
                <w:color w:val="auto"/>
                <w:sz w:val="21"/>
                <w:highlight w:val="none"/>
              </w:rPr>
            </w:pPr>
          </w:p>
        </w:tc>
        <w:tc>
          <w:tcPr>
            <w:tcW w:w="1376" w:type="dxa"/>
            <w:tcBorders>
              <w:right w:val="single" w:color="000000" w:sz="4" w:space="0"/>
            </w:tcBorders>
            <w:vAlign w:val="top"/>
          </w:tcPr>
          <w:p w14:paraId="4C78037C">
            <w:pPr>
              <w:rPr>
                <w:rFonts w:ascii="Arial"/>
                <w:color w:val="auto"/>
                <w:sz w:val="21"/>
                <w:highlight w:val="none"/>
              </w:rPr>
            </w:pPr>
          </w:p>
        </w:tc>
      </w:tr>
      <w:tr w14:paraId="53EF6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14:paraId="06195C79">
            <w:pPr>
              <w:spacing w:before="277"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（1）</w:t>
            </w:r>
          </w:p>
        </w:tc>
        <w:tc>
          <w:tcPr>
            <w:tcW w:w="1789" w:type="dxa"/>
            <w:vAlign w:val="top"/>
          </w:tcPr>
          <w:p w14:paraId="1088AD3B">
            <w:pPr>
              <w:pStyle w:val="11"/>
              <w:spacing w:before="276" w:line="221" w:lineRule="auto"/>
              <w:ind w:left="367"/>
              <w:rPr>
                <w:color w:val="auto"/>
                <w:highlight w:val="none"/>
              </w:rPr>
            </w:pPr>
            <w:r>
              <w:rPr>
                <w:color w:val="auto"/>
                <w:spacing w:val="-1"/>
                <w:highlight w:val="none"/>
              </w:rPr>
              <w:t>养老保险费</w:t>
            </w:r>
          </w:p>
        </w:tc>
        <w:tc>
          <w:tcPr>
            <w:tcW w:w="1789" w:type="dxa"/>
            <w:vAlign w:val="top"/>
          </w:tcPr>
          <w:p w14:paraId="370127C8">
            <w:pPr>
              <w:rPr>
                <w:rFonts w:ascii="Arial"/>
                <w:color w:val="auto"/>
                <w:sz w:val="21"/>
                <w:highlight w:val="none"/>
              </w:rPr>
            </w:pPr>
          </w:p>
        </w:tc>
        <w:tc>
          <w:tcPr>
            <w:tcW w:w="1223" w:type="dxa"/>
            <w:vAlign w:val="top"/>
          </w:tcPr>
          <w:p w14:paraId="1EC5844E">
            <w:pPr>
              <w:rPr>
                <w:rFonts w:ascii="Arial"/>
                <w:color w:val="auto"/>
                <w:sz w:val="21"/>
                <w:highlight w:val="none"/>
              </w:rPr>
            </w:pPr>
          </w:p>
        </w:tc>
        <w:tc>
          <w:tcPr>
            <w:tcW w:w="1362" w:type="dxa"/>
            <w:vAlign w:val="top"/>
          </w:tcPr>
          <w:p w14:paraId="016F801F">
            <w:pPr>
              <w:rPr>
                <w:rFonts w:ascii="Arial"/>
                <w:color w:val="auto"/>
                <w:sz w:val="21"/>
                <w:highlight w:val="none"/>
              </w:rPr>
            </w:pPr>
          </w:p>
        </w:tc>
        <w:tc>
          <w:tcPr>
            <w:tcW w:w="1376" w:type="dxa"/>
            <w:tcBorders>
              <w:right w:val="single" w:color="000000" w:sz="4" w:space="0"/>
            </w:tcBorders>
            <w:vAlign w:val="top"/>
          </w:tcPr>
          <w:p w14:paraId="40AFEF1B">
            <w:pPr>
              <w:rPr>
                <w:rFonts w:ascii="Arial"/>
                <w:color w:val="auto"/>
                <w:sz w:val="21"/>
                <w:highlight w:val="none"/>
              </w:rPr>
            </w:pPr>
          </w:p>
        </w:tc>
      </w:tr>
      <w:tr w14:paraId="26471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14:paraId="0E5AC652">
            <w:pPr>
              <w:spacing w:before="207"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（2）</w:t>
            </w:r>
          </w:p>
        </w:tc>
        <w:tc>
          <w:tcPr>
            <w:tcW w:w="1789" w:type="dxa"/>
            <w:vAlign w:val="top"/>
          </w:tcPr>
          <w:p w14:paraId="2172797E">
            <w:pPr>
              <w:pStyle w:val="11"/>
              <w:spacing w:before="207" w:line="221" w:lineRule="auto"/>
              <w:ind w:left="371"/>
              <w:rPr>
                <w:color w:val="auto"/>
                <w:highlight w:val="none"/>
              </w:rPr>
            </w:pPr>
            <w:r>
              <w:rPr>
                <w:color w:val="auto"/>
                <w:spacing w:val="-2"/>
                <w:highlight w:val="none"/>
              </w:rPr>
              <w:t>失业保险费</w:t>
            </w:r>
          </w:p>
        </w:tc>
        <w:tc>
          <w:tcPr>
            <w:tcW w:w="1789" w:type="dxa"/>
            <w:vAlign w:val="top"/>
          </w:tcPr>
          <w:p w14:paraId="38DBCAB6">
            <w:pPr>
              <w:rPr>
                <w:rFonts w:ascii="Arial"/>
                <w:color w:val="auto"/>
                <w:sz w:val="21"/>
                <w:highlight w:val="none"/>
              </w:rPr>
            </w:pPr>
          </w:p>
        </w:tc>
        <w:tc>
          <w:tcPr>
            <w:tcW w:w="1223" w:type="dxa"/>
            <w:vAlign w:val="top"/>
          </w:tcPr>
          <w:p w14:paraId="4A8C86C7">
            <w:pPr>
              <w:rPr>
                <w:rFonts w:ascii="Arial"/>
                <w:color w:val="auto"/>
                <w:sz w:val="21"/>
                <w:highlight w:val="none"/>
              </w:rPr>
            </w:pPr>
          </w:p>
        </w:tc>
        <w:tc>
          <w:tcPr>
            <w:tcW w:w="1362" w:type="dxa"/>
            <w:vAlign w:val="top"/>
          </w:tcPr>
          <w:p w14:paraId="2EB7EFA9">
            <w:pPr>
              <w:rPr>
                <w:rFonts w:ascii="Arial"/>
                <w:color w:val="auto"/>
                <w:sz w:val="21"/>
                <w:highlight w:val="none"/>
              </w:rPr>
            </w:pPr>
          </w:p>
        </w:tc>
        <w:tc>
          <w:tcPr>
            <w:tcW w:w="1376" w:type="dxa"/>
            <w:tcBorders>
              <w:right w:val="single" w:color="000000" w:sz="4" w:space="0"/>
            </w:tcBorders>
            <w:vAlign w:val="top"/>
          </w:tcPr>
          <w:p w14:paraId="545B03F6">
            <w:pPr>
              <w:rPr>
                <w:rFonts w:ascii="Arial"/>
                <w:color w:val="auto"/>
                <w:sz w:val="21"/>
                <w:highlight w:val="none"/>
              </w:rPr>
            </w:pPr>
          </w:p>
        </w:tc>
      </w:tr>
      <w:tr w14:paraId="75725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14:paraId="4FD92B26">
            <w:pPr>
              <w:spacing w:before="204"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（3）</w:t>
            </w:r>
          </w:p>
        </w:tc>
        <w:tc>
          <w:tcPr>
            <w:tcW w:w="1789" w:type="dxa"/>
            <w:vAlign w:val="top"/>
          </w:tcPr>
          <w:p w14:paraId="64AE0CC4">
            <w:pPr>
              <w:pStyle w:val="11"/>
              <w:spacing w:before="203" w:line="221" w:lineRule="auto"/>
              <w:ind w:left="376"/>
              <w:rPr>
                <w:color w:val="auto"/>
                <w:highlight w:val="none"/>
              </w:rPr>
            </w:pPr>
            <w:r>
              <w:rPr>
                <w:color w:val="auto"/>
                <w:spacing w:val="-2"/>
                <w:highlight w:val="none"/>
              </w:rPr>
              <w:t>医疗保险费</w:t>
            </w:r>
          </w:p>
        </w:tc>
        <w:tc>
          <w:tcPr>
            <w:tcW w:w="1789" w:type="dxa"/>
            <w:vAlign w:val="top"/>
          </w:tcPr>
          <w:p w14:paraId="6F438E73">
            <w:pPr>
              <w:rPr>
                <w:rFonts w:ascii="Arial"/>
                <w:color w:val="auto"/>
                <w:sz w:val="21"/>
                <w:highlight w:val="none"/>
              </w:rPr>
            </w:pPr>
          </w:p>
        </w:tc>
        <w:tc>
          <w:tcPr>
            <w:tcW w:w="1223" w:type="dxa"/>
            <w:vAlign w:val="top"/>
          </w:tcPr>
          <w:p w14:paraId="4A549B07">
            <w:pPr>
              <w:rPr>
                <w:rFonts w:ascii="Arial"/>
                <w:color w:val="auto"/>
                <w:sz w:val="21"/>
                <w:highlight w:val="none"/>
              </w:rPr>
            </w:pPr>
          </w:p>
        </w:tc>
        <w:tc>
          <w:tcPr>
            <w:tcW w:w="1362" w:type="dxa"/>
            <w:vAlign w:val="top"/>
          </w:tcPr>
          <w:p w14:paraId="2D735C3E">
            <w:pPr>
              <w:rPr>
                <w:rFonts w:ascii="Arial"/>
                <w:color w:val="auto"/>
                <w:sz w:val="21"/>
                <w:highlight w:val="none"/>
              </w:rPr>
            </w:pPr>
          </w:p>
        </w:tc>
        <w:tc>
          <w:tcPr>
            <w:tcW w:w="1376" w:type="dxa"/>
            <w:tcBorders>
              <w:right w:val="single" w:color="000000" w:sz="4" w:space="0"/>
            </w:tcBorders>
            <w:vAlign w:val="top"/>
          </w:tcPr>
          <w:p w14:paraId="046A69CA">
            <w:pPr>
              <w:rPr>
                <w:rFonts w:ascii="Arial"/>
                <w:color w:val="auto"/>
                <w:sz w:val="21"/>
                <w:highlight w:val="none"/>
              </w:rPr>
            </w:pPr>
          </w:p>
        </w:tc>
      </w:tr>
      <w:tr w14:paraId="33183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33B80518">
            <w:pPr>
              <w:spacing w:before="209"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（4）</w:t>
            </w:r>
          </w:p>
        </w:tc>
        <w:tc>
          <w:tcPr>
            <w:tcW w:w="1789" w:type="dxa"/>
            <w:vAlign w:val="top"/>
          </w:tcPr>
          <w:p w14:paraId="3DB3CC4D">
            <w:pPr>
              <w:pStyle w:val="11"/>
              <w:spacing w:before="208" w:line="221" w:lineRule="auto"/>
              <w:ind w:left="369"/>
              <w:rPr>
                <w:color w:val="auto"/>
                <w:highlight w:val="none"/>
              </w:rPr>
            </w:pPr>
            <w:r>
              <w:rPr>
                <w:color w:val="auto"/>
                <w:spacing w:val="-1"/>
                <w:highlight w:val="none"/>
              </w:rPr>
              <w:t>工伤保险费</w:t>
            </w:r>
          </w:p>
        </w:tc>
        <w:tc>
          <w:tcPr>
            <w:tcW w:w="1789" w:type="dxa"/>
            <w:vAlign w:val="top"/>
          </w:tcPr>
          <w:p w14:paraId="36866753">
            <w:pPr>
              <w:rPr>
                <w:rFonts w:ascii="Arial"/>
                <w:color w:val="auto"/>
                <w:sz w:val="21"/>
                <w:highlight w:val="none"/>
              </w:rPr>
            </w:pPr>
          </w:p>
        </w:tc>
        <w:tc>
          <w:tcPr>
            <w:tcW w:w="1223" w:type="dxa"/>
            <w:vAlign w:val="top"/>
          </w:tcPr>
          <w:p w14:paraId="4FBFD1FC">
            <w:pPr>
              <w:rPr>
                <w:rFonts w:ascii="Arial"/>
                <w:color w:val="auto"/>
                <w:sz w:val="21"/>
                <w:highlight w:val="none"/>
              </w:rPr>
            </w:pPr>
          </w:p>
        </w:tc>
        <w:tc>
          <w:tcPr>
            <w:tcW w:w="1362" w:type="dxa"/>
            <w:vAlign w:val="top"/>
          </w:tcPr>
          <w:p w14:paraId="4CCC18A5">
            <w:pPr>
              <w:rPr>
                <w:rFonts w:ascii="Arial"/>
                <w:color w:val="auto"/>
                <w:sz w:val="21"/>
                <w:highlight w:val="none"/>
              </w:rPr>
            </w:pPr>
          </w:p>
        </w:tc>
        <w:tc>
          <w:tcPr>
            <w:tcW w:w="1376" w:type="dxa"/>
            <w:tcBorders>
              <w:right w:val="single" w:color="000000" w:sz="4" w:space="0"/>
            </w:tcBorders>
            <w:vAlign w:val="top"/>
          </w:tcPr>
          <w:p w14:paraId="3C7C2B4C">
            <w:pPr>
              <w:rPr>
                <w:rFonts w:ascii="Arial"/>
                <w:color w:val="auto"/>
                <w:sz w:val="21"/>
                <w:highlight w:val="none"/>
              </w:rPr>
            </w:pPr>
          </w:p>
        </w:tc>
      </w:tr>
      <w:tr w14:paraId="43D59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573A3D5A">
            <w:pPr>
              <w:spacing w:before="204"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（5）</w:t>
            </w:r>
          </w:p>
        </w:tc>
        <w:tc>
          <w:tcPr>
            <w:tcW w:w="1789" w:type="dxa"/>
            <w:vAlign w:val="top"/>
          </w:tcPr>
          <w:p w14:paraId="035AAB1B">
            <w:pPr>
              <w:pStyle w:val="11"/>
              <w:spacing w:before="203" w:line="221" w:lineRule="auto"/>
              <w:ind w:left="368"/>
              <w:rPr>
                <w:color w:val="auto"/>
                <w:highlight w:val="none"/>
              </w:rPr>
            </w:pPr>
            <w:r>
              <w:rPr>
                <w:color w:val="auto"/>
                <w:spacing w:val="-1"/>
                <w:highlight w:val="none"/>
              </w:rPr>
              <w:t>生育保险费</w:t>
            </w:r>
          </w:p>
        </w:tc>
        <w:tc>
          <w:tcPr>
            <w:tcW w:w="1789" w:type="dxa"/>
            <w:vAlign w:val="top"/>
          </w:tcPr>
          <w:p w14:paraId="06AF8E3C">
            <w:pPr>
              <w:rPr>
                <w:rFonts w:ascii="Arial"/>
                <w:color w:val="auto"/>
                <w:sz w:val="21"/>
                <w:highlight w:val="none"/>
              </w:rPr>
            </w:pPr>
          </w:p>
        </w:tc>
        <w:tc>
          <w:tcPr>
            <w:tcW w:w="1223" w:type="dxa"/>
            <w:vAlign w:val="top"/>
          </w:tcPr>
          <w:p w14:paraId="6F08F7DF">
            <w:pPr>
              <w:rPr>
                <w:rFonts w:ascii="Arial"/>
                <w:color w:val="auto"/>
                <w:sz w:val="21"/>
                <w:highlight w:val="none"/>
              </w:rPr>
            </w:pPr>
          </w:p>
        </w:tc>
        <w:tc>
          <w:tcPr>
            <w:tcW w:w="1362" w:type="dxa"/>
            <w:vAlign w:val="top"/>
          </w:tcPr>
          <w:p w14:paraId="0934B436">
            <w:pPr>
              <w:rPr>
                <w:rFonts w:ascii="Arial"/>
                <w:color w:val="auto"/>
                <w:sz w:val="21"/>
                <w:highlight w:val="none"/>
              </w:rPr>
            </w:pPr>
          </w:p>
        </w:tc>
        <w:tc>
          <w:tcPr>
            <w:tcW w:w="1376" w:type="dxa"/>
            <w:tcBorders>
              <w:right w:val="single" w:color="000000" w:sz="4" w:space="0"/>
            </w:tcBorders>
            <w:vAlign w:val="top"/>
          </w:tcPr>
          <w:p w14:paraId="6B690403">
            <w:pPr>
              <w:rPr>
                <w:rFonts w:ascii="Arial"/>
                <w:color w:val="auto"/>
                <w:sz w:val="21"/>
                <w:highlight w:val="none"/>
              </w:rPr>
            </w:pPr>
          </w:p>
        </w:tc>
      </w:tr>
      <w:tr w14:paraId="3D786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14:paraId="08211B75">
            <w:pPr>
              <w:spacing w:before="232" w:line="184"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1.2</w:t>
            </w:r>
          </w:p>
        </w:tc>
        <w:tc>
          <w:tcPr>
            <w:tcW w:w="1789" w:type="dxa"/>
            <w:vAlign w:val="top"/>
          </w:tcPr>
          <w:p w14:paraId="084B9C92">
            <w:pPr>
              <w:pStyle w:val="11"/>
              <w:spacing w:before="199" w:line="221" w:lineRule="auto"/>
              <w:ind w:left="365"/>
              <w:rPr>
                <w:color w:val="auto"/>
                <w:highlight w:val="none"/>
              </w:rPr>
            </w:pPr>
            <w:r>
              <w:rPr>
                <w:color w:val="auto"/>
                <w:spacing w:val="-1"/>
                <w:highlight w:val="none"/>
              </w:rPr>
              <w:t>住房公积金</w:t>
            </w:r>
          </w:p>
        </w:tc>
        <w:tc>
          <w:tcPr>
            <w:tcW w:w="1789" w:type="dxa"/>
            <w:vAlign w:val="top"/>
          </w:tcPr>
          <w:p w14:paraId="31D185DC">
            <w:pPr>
              <w:rPr>
                <w:rFonts w:ascii="Arial"/>
                <w:color w:val="auto"/>
                <w:sz w:val="21"/>
                <w:highlight w:val="none"/>
              </w:rPr>
            </w:pPr>
          </w:p>
        </w:tc>
        <w:tc>
          <w:tcPr>
            <w:tcW w:w="1223" w:type="dxa"/>
            <w:vAlign w:val="top"/>
          </w:tcPr>
          <w:p w14:paraId="0D6239D1">
            <w:pPr>
              <w:rPr>
                <w:rFonts w:ascii="Arial"/>
                <w:color w:val="auto"/>
                <w:sz w:val="21"/>
                <w:highlight w:val="none"/>
              </w:rPr>
            </w:pPr>
          </w:p>
        </w:tc>
        <w:tc>
          <w:tcPr>
            <w:tcW w:w="1362" w:type="dxa"/>
            <w:vAlign w:val="top"/>
          </w:tcPr>
          <w:p w14:paraId="426EB451">
            <w:pPr>
              <w:rPr>
                <w:rFonts w:ascii="Arial"/>
                <w:color w:val="auto"/>
                <w:sz w:val="21"/>
                <w:highlight w:val="none"/>
              </w:rPr>
            </w:pPr>
          </w:p>
        </w:tc>
        <w:tc>
          <w:tcPr>
            <w:tcW w:w="1376" w:type="dxa"/>
            <w:tcBorders>
              <w:right w:val="single" w:color="000000" w:sz="4" w:space="0"/>
            </w:tcBorders>
            <w:vAlign w:val="top"/>
          </w:tcPr>
          <w:p w14:paraId="1854951E">
            <w:pPr>
              <w:rPr>
                <w:rFonts w:ascii="Arial"/>
                <w:color w:val="auto"/>
                <w:sz w:val="21"/>
                <w:highlight w:val="none"/>
              </w:rPr>
            </w:pPr>
          </w:p>
        </w:tc>
      </w:tr>
      <w:tr w14:paraId="1E5E0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14:paraId="12783D92">
            <w:pPr>
              <w:spacing w:line="302" w:lineRule="auto"/>
              <w:rPr>
                <w:rFonts w:ascii="Arial"/>
                <w:color w:val="auto"/>
                <w:sz w:val="21"/>
                <w:highlight w:val="none"/>
              </w:rPr>
            </w:pPr>
          </w:p>
          <w:p w14:paraId="2E6C27B5">
            <w:pPr>
              <w:spacing w:before="68" w:line="184"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1.3</w:t>
            </w:r>
          </w:p>
        </w:tc>
        <w:tc>
          <w:tcPr>
            <w:tcW w:w="1789" w:type="dxa"/>
            <w:vAlign w:val="top"/>
          </w:tcPr>
          <w:p w14:paraId="45A7F5D2">
            <w:pPr>
              <w:spacing w:line="269" w:lineRule="auto"/>
              <w:rPr>
                <w:rFonts w:ascii="Arial"/>
                <w:color w:val="auto"/>
                <w:sz w:val="21"/>
                <w:highlight w:val="none"/>
              </w:rPr>
            </w:pPr>
          </w:p>
          <w:p w14:paraId="78F52C93">
            <w:pPr>
              <w:pStyle w:val="11"/>
              <w:spacing w:before="69" w:line="221" w:lineRule="auto"/>
              <w:ind w:left="369"/>
              <w:rPr>
                <w:color w:val="auto"/>
                <w:highlight w:val="none"/>
              </w:rPr>
            </w:pPr>
            <w:r>
              <w:rPr>
                <w:color w:val="auto"/>
                <w:spacing w:val="-1"/>
                <w:highlight w:val="none"/>
              </w:rPr>
              <w:t>工程排污费</w:t>
            </w:r>
          </w:p>
        </w:tc>
        <w:tc>
          <w:tcPr>
            <w:tcW w:w="1789" w:type="dxa"/>
            <w:vAlign w:val="top"/>
          </w:tcPr>
          <w:p w14:paraId="776B1041">
            <w:pPr>
              <w:rPr>
                <w:rFonts w:ascii="Arial"/>
                <w:color w:val="auto"/>
                <w:sz w:val="21"/>
                <w:highlight w:val="none"/>
              </w:rPr>
            </w:pPr>
          </w:p>
        </w:tc>
        <w:tc>
          <w:tcPr>
            <w:tcW w:w="1223" w:type="dxa"/>
            <w:vAlign w:val="top"/>
          </w:tcPr>
          <w:p w14:paraId="38B52897">
            <w:pPr>
              <w:rPr>
                <w:rFonts w:ascii="Arial"/>
                <w:color w:val="auto"/>
                <w:sz w:val="21"/>
                <w:highlight w:val="none"/>
              </w:rPr>
            </w:pPr>
          </w:p>
        </w:tc>
        <w:tc>
          <w:tcPr>
            <w:tcW w:w="1362" w:type="dxa"/>
            <w:vAlign w:val="top"/>
          </w:tcPr>
          <w:p w14:paraId="70B9642C">
            <w:pPr>
              <w:rPr>
                <w:rFonts w:ascii="Arial"/>
                <w:color w:val="auto"/>
                <w:sz w:val="21"/>
                <w:highlight w:val="none"/>
              </w:rPr>
            </w:pPr>
          </w:p>
        </w:tc>
        <w:tc>
          <w:tcPr>
            <w:tcW w:w="1376" w:type="dxa"/>
            <w:tcBorders>
              <w:right w:val="single" w:color="000000" w:sz="4" w:space="0"/>
            </w:tcBorders>
            <w:vAlign w:val="top"/>
          </w:tcPr>
          <w:p w14:paraId="443BA6A1">
            <w:pPr>
              <w:rPr>
                <w:rFonts w:ascii="Arial"/>
                <w:color w:val="auto"/>
                <w:sz w:val="21"/>
                <w:highlight w:val="none"/>
              </w:rPr>
            </w:pPr>
          </w:p>
        </w:tc>
      </w:tr>
      <w:tr w14:paraId="4380D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14:paraId="615F3BE9">
            <w:pPr>
              <w:rPr>
                <w:rFonts w:ascii="Arial"/>
                <w:color w:val="auto"/>
                <w:sz w:val="21"/>
                <w:highlight w:val="none"/>
              </w:rPr>
            </w:pPr>
          </w:p>
        </w:tc>
        <w:tc>
          <w:tcPr>
            <w:tcW w:w="1789" w:type="dxa"/>
            <w:vAlign w:val="top"/>
          </w:tcPr>
          <w:p w14:paraId="030AF35C">
            <w:pPr>
              <w:rPr>
                <w:rFonts w:ascii="Arial"/>
                <w:color w:val="auto"/>
                <w:sz w:val="21"/>
                <w:highlight w:val="none"/>
              </w:rPr>
            </w:pPr>
          </w:p>
        </w:tc>
        <w:tc>
          <w:tcPr>
            <w:tcW w:w="1789" w:type="dxa"/>
            <w:vAlign w:val="top"/>
          </w:tcPr>
          <w:p w14:paraId="32BE90F9">
            <w:pPr>
              <w:rPr>
                <w:rFonts w:ascii="Arial"/>
                <w:color w:val="auto"/>
                <w:sz w:val="21"/>
                <w:highlight w:val="none"/>
              </w:rPr>
            </w:pPr>
          </w:p>
        </w:tc>
        <w:tc>
          <w:tcPr>
            <w:tcW w:w="1223" w:type="dxa"/>
            <w:vAlign w:val="top"/>
          </w:tcPr>
          <w:p w14:paraId="5871E255">
            <w:pPr>
              <w:rPr>
                <w:rFonts w:ascii="Arial"/>
                <w:color w:val="auto"/>
                <w:sz w:val="21"/>
                <w:highlight w:val="none"/>
              </w:rPr>
            </w:pPr>
          </w:p>
        </w:tc>
        <w:tc>
          <w:tcPr>
            <w:tcW w:w="1362" w:type="dxa"/>
            <w:vAlign w:val="top"/>
          </w:tcPr>
          <w:p w14:paraId="0A7EE03F">
            <w:pPr>
              <w:rPr>
                <w:rFonts w:ascii="Arial"/>
                <w:color w:val="auto"/>
                <w:sz w:val="21"/>
                <w:highlight w:val="none"/>
              </w:rPr>
            </w:pPr>
          </w:p>
        </w:tc>
        <w:tc>
          <w:tcPr>
            <w:tcW w:w="1376" w:type="dxa"/>
            <w:tcBorders>
              <w:right w:val="single" w:color="000000" w:sz="4" w:space="0"/>
            </w:tcBorders>
            <w:vAlign w:val="top"/>
          </w:tcPr>
          <w:p w14:paraId="71DED3DF">
            <w:pPr>
              <w:rPr>
                <w:rFonts w:ascii="Arial"/>
                <w:color w:val="auto"/>
                <w:sz w:val="21"/>
                <w:highlight w:val="none"/>
              </w:rPr>
            </w:pPr>
          </w:p>
        </w:tc>
      </w:tr>
      <w:tr w14:paraId="62828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14:paraId="23D60982">
            <w:pPr>
              <w:spacing w:line="315" w:lineRule="auto"/>
              <w:rPr>
                <w:rFonts w:ascii="Arial"/>
                <w:color w:val="auto"/>
                <w:sz w:val="21"/>
                <w:highlight w:val="none"/>
              </w:rPr>
            </w:pPr>
          </w:p>
          <w:p w14:paraId="18B80E76">
            <w:pPr>
              <w:spacing w:before="61" w:line="189" w:lineRule="auto"/>
              <w:ind w:left="44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789" w:type="dxa"/>
            <w:vAlign w:val="top"/>
          </w:tcPr>
          <w:p w14:paraId="65865548">
            <w:pPr>
              <w:spacing w:line="271" w:lineRule="auto"/>
              <w:rPr>
                <w:rFonts w:ascii="Arial"/>
                <w:color w:val="auto"/>
                <w:sz w:val="21"/>
                <w:highlight w:val="none"/>
              </w:rPr>
            </w:pPr>
          </w:p>
          <w:p w14:paraId="7259E7CE">
            <w:pPr>
              <w:pStyle w:val="11"/>
              <w:spacing w:before="69" w:line="221" w:lineRule="auto"/>
              <w:ind w:left="683"/>
              <w:rPr>
                <w:color w:val="auto"/>
                <w:highlight w:val="none"/>
              </w:rPr>
            </w:pPr>
            <w:r>
              <w:rPr>
                <w:color w:val="auto"/>
                <w:spacing w:val="-2"/>
                <w:highlight w:val="none"/>
              </w:rPr>
              <w:t>税金</w:t>
            </w:r>
          </w:p>
        </w:tc>
        <w:tc>
          <w:tcPr>
            <w:tcW w:w="1789" w:type="dxa"/>
            <w:vAlign w:val="top"/>
          </w:tcPr>
          <w:p w14:paraId="4B18018C">
            <w:pPr>
              <w:rPr>
                <w:rFonts w:ascii="Arial"/>
                <w:color w:val="auto"/>
                <w:sz w:val="21"/>
                <w:highlight w:val="none"/>
              </w:rPr>
            </w:pPr>
          </w:p>
        </w:tc>
        <w:tc>
          <w:tcPr>
            <w:tcW w:w="1223" w:type="dxa"/>
            <w:vAlign w:val="top"/>
          </w:tcPr>
          <w:p w14:paraId="1519B95A">
            <w:pPr>
              <w:rPr>
                <w:rFonts w:ascii="Arial"/>
                <w:color w:val="auto"/>
                <w:sz w:val="21"/>
                <w:highlight w:val="none"/>
              </w:rPr>
            </w:pPr>
          </w:p>
        </w:tc>
        <w:tc>
          <w:tcPr>
            <w:tcW w:w="1362" w:type="dxa"/>
            <w:vAlign w:val="top"/>
          </w:tcPr>
          <w:p w14:paraId="10D2FC50">
            <w:pPr>
              <w:rPr>
                <w:rFonts w:ascii="Arial"/>
                <w:color w:val="auto"/>
                <w:sz w:val="21"/>
                <w:highlight w:val="none"/>
              </w:rPr>
            </w:pPr>
          </w:p>
        </w:tc>
        <w:tc>
          <w:tcPr>
            <w:tcW w:w="1376" w:type="dxa"/>
            <w:tcBorders>
              <w:right w:val="single" w:color="000000" w:sz="4" w:space="0"/>
            </w:tcBorders>
            <w:vAlign w:val="top"/>
          </w:tcPr>
          <w:p w14:paraId="4D2692A4">
            <w:pPr>
              <w:rPr>
                <w:rFonts w:ascii="Arial"/>
                <w:color w:val="auto"/>
                <w:sz w:val="21"/>
                <w:highlight w:val="none"/>
              </w:rPr>
            </w:pPr>
          </w:p>
        </w:tc>
      </w:tr>
      <w:tr w14:paraId="5EA4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5794" w:type="dxa"/>
            <w:gridSpan w:val="4"/>
            <w:tcBorders>
              <w:left w:val="single" w:color="000000" w:sz="4" w:space="0"/>
              <w:bottom w:val="single" w:color="000000" w:sz="4" w:space="0"/>
            </w:tcBorders>
            <w:vAlign w:val="top"/>
          </w:tcPr>
          <w:p w14:paraId="4E5DD517">
            <w:pPr>
              <w:spacing w:line="271" w:lineRule="auto"/>
              <w:rPr>
                <w:rFonts w:ascii="Arial"/>
                <w:color w:val="auto"/>
                <w:sz w:val="21"/>
                <w:highlight w:val="none"/>
              </w:rPr>
            </w:pPr>
          </w:p>
          <w:p w14:paraId="6958E44A">
            <w:pPr>
              <w:pStyle w:val="11"/>
              <w:spacing w:before="68" w:line="222" w:lineRule="auto"/>
              <w:ind w:left="2693"/>
              <w:rPr>
                <w:color w:val="auto"/>
                <w:highlight w:val="none"/>
              </w:rPr>
            </w:pPr>
            <w:r>
              <w:rPr>
                <w:color w:val="auto"/>
                <w:spacing w:val="-2"/>
                <w:highlight w:val="none"/>
              </w:rPr>
              <w:t>合计</w:t>
            </w:r>
          </w:p>
        </w:tc>
        <w:tc>
          <w:tcPr>
            <w:tcW w:w="1362" w:type="dxa"/>
            <w:tcBorders>
              <w:bottom w:val="single" w:color="000000" w:sz="4" w:space="0"/>
            </w:tcBorders>
            <w:vAlign w:val="top"/>
          </w:tcPr>
          <w:p w14:paraId="6C0B1955">
            <w:pPr>
              <w:rPr>
                <w:rFonts w:ascii="Arial"/>
                <w:color w:val="auto"/>
                <w:sz w:val="21"/>
                <w:highlight w:val="none"/>
              </w:rPr>
            </w:pPr>
          </w:p>
        </w:tc>
        <w:tc>
          <w:tcPr>
            <w:tcW w:w="1376" w:type="dxa"/>
            <w:tcBorders>
              <w:bottom w:val="single" w:color="000000" w:sz="4" w:space="0"/>
              <w:right w:val="single" w:color="000000" w:sz="4" w:space="0"/>
            </w:tcBorders>
            <w:vAlign w:val="top"/>
          </w:tcPr>
          <w:p w14:paraId="3442B093">
            <w:pPr>
              <w:rPr>
                <w:rFonts w:ascii="Arial"/>
                <w:color w:val="auto"/>
                <w:sz w:val="21"/>
                <w:highlight w:val="none"/>
              </w:rPr>
            </w:pPr>
          </w:p>
        </w:tc>
      </w:tr>
    </w:tbl>
    <w:p w14:paraId="0793455D">
      <w:pPr>
        <w:pStyle w:val="3"/>
        <w:spacing w:line="438" w:lineRule="auto"/>
        <w:rPr>
          <w:color w:val="auto"/>
          <w:highlight w:val="none"/>
        </w:rPr>
      </w:pPr>
    </w:p>
    <w:p w14:paraId="2CCB25F0">
      <w:pPr>
        <w:spacing w:before="70" w:line="186" w:lineRule="auto"/>
        <w:ind w:left="12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编制人（造价人员</w:t>
      </w:r>
      <w:r>
        <w:rPr>
          <w:rFonts w:ascii="宋体" w:hAnsi="宋体" w:eastAsia="宋体" w:cs="宋体"/>
          <w:color w:val="auto"/>
          <w:spacing w:val="-15"/>
          <w:sz w:val="21"/>
          <w:szCs w:val="21"/>
          <w:highlight w:val="none"/>
        </w:rPr>
        <w:t>）：</w:t>
      </w:r>
      <w:r>
        <w:rPr>
          <w:rFonts w:ascii="宋体" w:hAnsi="宋体" w:eastAsia="宋体" w:cs="宋体"/>
          <w:color w:val="auto"/>
          <w:spacing w:val="6"/>
          <w:sz w:val="21"/>
          <w:szCs w:val="21"/>
          <w:highlight w:val="none"/>
        </w:rPr>
        <w:t xml:space="preserve">             </w:t>
      </w:r>
      <w:r>
        <w:rPr>
          <w:rFonts w:ascii="宋体" w:hAnsi="宋体" w:eastAsia="宋体" w:cs="宋体"/>
          <w:color w:val="auto"/>
          <w:spacing w:val="-12"/>
          <w:sz w:val="21"/>
          <w:szCs w:val="21"/>
          <w:highlight w:val="none"/>
        </w:rPr>
        <w:t>复核人（造价工程师</w:t>
      </w:r>
      <w:r>
        <w:rPr>
          <w:rFonts w:ascii="宋体" w:hAnsi="宋体" w:eastAsia="宋体" w:cs="宋体"/>
          <w:color w:val="auto"/>
          <w:spacing w:val="-15"/>
          <w:sz w:val="21"/>
          <w:szCs w:val="21"/>
          <w:highlight w:val="none"/>
        </w:rPr>
        <w:t>）：</w:t>
      </w:r>
    </w:p>
    <w:p w14:paraId="2CDF45BF">
      <w:pPr>
        <w:spacing w:line="186" w:lineRule="auto"/>
        <w:rPr>
          <w:rFonts w:ascii="宋体" w:hAnsi="宋体" w:eastAsia="宋体" w:cs="宋体"/>
          <w:color w:val="auto"/>
          <w:sz w:val="21"/>
          <w:szCs w:val="21"/>
          <w:highlight w:val="none"/>
        </w:rPr>
        <w:sectPr>
          <w:type w:val="continuous"/>
          <w:pgSz w:w="11905" w:h="16839"/>
          <w:pgMar w:top="400" w:right="1681" w:bottom="1004" w:left="1680" w:header="0" w:footer="829" w:gutter="0"/>
          <w:pgNumType w:fmt="decimal"/>
          <w:cols w:equalWidth="0" w:num="1">
            <w:col w:w="8543"/>
          </w:cols>
        </w:sectPr>
      </w:pPr>
    </w:p>
    <w:p w14:paraId="664FCB9B">
      <w:pPr>
        <w:pStyle w:val="3"/>
        <w:spacing w:line="267" w:lineRule="auto"/>
        <w:rPr>
          <w:color w:val="auto"/>
          <w:highlight w:val="none"/>
        </w:rPr>
      </w:pPr>
    </w:p>
    <w:p w14:paraId="2396D115">
      <w:pPr>
        <w:pStyle w:val="3"/>
        <w:spacing w:line="268" w:lineRule="auto"/>
        <w:rPr>
          <w:color w:val="auto"/>
          <w:highlight w:val="none"/>
        </w:rPr>
      </w:pPr>
    </w:p>
    <w:p w14:paraId="4D6F9E6A">
      <w:pPr>
        <w:pStyle w:val="3"/>
        <w:spacing w:line="268" w:lineRule="auto"/>
        <w:rPr>
          <w:color w:val="auto"/>
          <w:highlight w:val="none"/>
        </w:rPr>
      </w:pPr>
    </w:p>
    <w:p w14:paraId="558BF614">
      <w:pPr>
        <w:pStyle w:val="3"/>
        <w:spacing w:line="268" w:lineRule="auto"/>
        <w:rPr>
          <w:color w:val="auto"/>
          <w:highlight w:val="none"/>
        </w:rPr>
      </w:pPr>
    </w:p>
    <w:p w14:paraId="020249E3">
      <w:pPr>
        <w:spacing w:before="78"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4.14 </w:t>
      </w:r>
      <w:r>
        <w:rPr>
          <w:rFonts w:ascii="黑体" w:hAnsi="黑体" w:eastAsia="黑体" w:cs="黑体"/>
          <w:color w:val="auto"/>
          <w:spacing w:val="-1"/>
          <w:sz w:val="24"/>
          <w:szCs w:val="24"/>
          <w:highlight w:val="none"/>
        </w:rPr>
        <w:t>发包人提供材料和工程设备一览表</w:t>
      </w:r>
    </w:p>
    <w:p w14:paraId="38046D22">
      <w:pPr>
        <w:pStyle w:val="3"/>
        <w:spacing w:line="437" w:lineRule="auto"/>
        <w:rPr>
          <w:color w:val="auto"/>
          <w:highlight w:val="none"/>
        </w:rPr>
      </w:pPr>
    </w:p>
    <w:p w14:paraId="7AE32192">
      <w:pPr>
        <w:spacing w:before="88" w:line="224" w:lineRule="auto"/>
        <w:ind w:left="2078"/>
        <w:rPr>
          <w:rFonts w:ascii="黑体" w:hAnsi="黑体" w:eastAsia="黑体" w:cs="黑体"/>
          <w:color w:val="auto"/>
          <w:sz w:val="27"/>
          <w:szCs w:val="27"/>
          <w:highlight w:val="none"/>
        </w:rPr>
      </w:pPr>
      <w:bookmarkStart w:id="1315" w:name="bookmark261"/>
      <w:bookmarkEnd w:id="1315"/>
      <w:bookmarkStart w:id="1316" w:name="bookmark262"/>
      <w:bookmarkEnd w:id="1316"/>
      <w:r>
        <w:rPr>
          <w:rFonts w:ascii="黑体" w:hAnsi="黑体" w:eastAsia="黑体" w:cs="黑体"/>
          <w:color w:val="auto"/>
          <w:spacing w:val="8"/>
          <w:sz w:val="27"/>
          <w:szCs w:val="27"/>
          <w:highlight w:val="none"/>
        </w:rPr>
        <w:t>发包人提供材料和工程设备一览表</w:t>
      </w:r>
    </w:p>
    <w:p w14:paraId="35EF51BF">
      <w:pPr>
        <w:spacing w:line="221" w:lineRule="exact"/>
        <w:rPr>
          <w:color w:val="auto"/>
          <w:highlight w:val="none"/>
        </w:rPr>
      </w:pPr>
    </w:p>
    <w:p w14:paraId="7079417B">
      <w:pPr>
        <w:spacing w:line="221" w:lineRule="exact"/>
        <w:rPr>
          <w:color w:val="auto"/>
          <w:highlight w:val="none"/>
        </w:rPr>
        <w:sectPr>
          <w:footerReference r:id="rId198" w:type="default"/>
          <w:pgSz w:w="11905" w:h="16839"/>
          <w:pgMar w:top="400" w:right="1785" w:bottom="1004" w:left="1785" w:header="0" w:footer="828" w:gutter="0"/>
          <w:pgNumType w:fmt="decimal"/>
          <w:cols w:equalWidth="0" w:num="1">
            <w:col w:w="8333"/>
          </w:cols>
        </w:sectPr>
      </w:pPr>
    </w:p>
    <w:p w14:paraId="2CF8D65C">
      <w:pPr>
        <w:spacing w:before="41"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09D8DE4E">
      <w:pPr>
        <w:pStyle w:val="3"/>
        <w:spacing w:line="14" w:lineRule="auto"/>
        <w:rPr>
          <w:color w:val="auto"/>
          <w:sz w:val="2"/>
          <w:highlight w:val="none"/>
        </w:rPr>
      </w:pPr>
      <w:r>
        <w:rPr>
          <w:color w:val="auto"/>
          <w:sz w:val="2"/>
          <w:szCs w:val="2"/>
          <w:highlight w:val="none"/>
        </w:rPr>
        <w:br w:type="column"/>
      </w:r>
    </w:p>
    <w:p w14:paraId="7FECF53F">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4"/>
          <w:sz w:val="21"/>
          <w:szCs w:val="21"/>
          <w:highlight w:val="none"/>
        </w:rPr>
        <w:t>第</w:t>
      </w:r>
      <w:r>
        <w:rPr>
          <w:rFonts w:ascii="宋体" w:hAnsi="宋体" w:eastAsia="宋体" w:cs="宋体"/>
          <w:color w:val="auto"/>
          <w:spacing w:val="16"/>
          <w:sz w:val="21"/>
          <w:szCs w:val="21"/>
          <w:highlight w:val="none"/>
        </w:rPr>
        <w:t xml:space="preserve"> </w:t>
      </w:r>
      <w:r>
        <w:rPr>
          <w:rFonts w:ascii="宋体" w:hAnsi="宋体" w:eastAsia="宋体" w:cs="宋体"/>
          <w:color w:val="auto"/>
          <w:spacing w:val="-14"/>
          <w:sz w:val="21"/>
          <w:szCs w:val="21"/>
          <w:highlight w:val="none"/>
        </w:rPr>
        <w:t>页 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4"/>
          <w:sz w:val="21"/>
          <w:szCs w:val="21"/>
          <w:highlight w:val="none"/>
        </w:rPr>
        <w:t>页</w:t>
      </w:r>
    </w:p>
    <w:p w14:paraId="1FE3763D">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2234" w:space="100"/>
            <w:col w:w="6000"/>
          </w:cols>
        </w:sectPr>
      </w:pPr>
    </w:p>
    <w:p w14:paraId="56364D11">
      <w:pPr>
        <w:spacing w:line="32" w:lineRule="exact"/>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14:paraId="3694D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14:paraId="6F6A29DF">
            <w:pPr>
              <w:pStyle w:val="11"/>
              <w:spacing w:before="200" w:line="211" w:lineRule="auto"/>
              <w:ind w:left="20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761" w:type="dxa"/>
            <w:vAlign w:val="top"/>
          </w:tcPr>
          <w:p w14:paraId="643A46CC">
            <w:pPr>
              <w:pStyle w:val="11"/>
              <w:spacing w:before="67" w:line="220" w:lineRule="auto"/>
              <w:ind w:left="253"/>
              <w:rPr>
                <w:color w:val="auto"/>
                <w:highlight w:val="none"/>
              </w:rPr>
            </w:pPr>
            <w:r>
              <w:rPr>
                <w:color w:val="auto"/>
                <w:spacing w:val="-1"/>
                <w:highlight w:val="none"/>
              </w:rPr>
              <w:t>材料（工程设</w:t>
            </w:r>
          </w:p>
          <w:p w14:paraId="265B111A">
            <w:pPr>
              <w:pStyle w:val="11"/>
              <w:spacing w:before="18" w:line="222" w:lineRule="auto"/>
              <w:ind w:left="256"/>
              <w:rPr>
                <w:color w:val="auto"/>
                <w:highlight w:val="none"/>
              </w:rPr>
            </w:pPr>
            <w:r>
              <w:rPr>
                <w:color w:val="auto"/>
                <w:spacing w:val="-2"/>
                <w:highlight w:val="none"/>
              </w:rPr>
              <w:t>备）名称、规</w:t>
            </w:r>
          </w:p>
          <w:p w14:paraId="58282C4D">
            <w:pPr>
              <w:pStyle w:val="11"/>
              <w:spacing w:before="20" w:line="221" w:lineRule="auto"/>
              <w:ind w:left="464"/>
              <w:rPr>
                <w:color w:val="auto"/>
                <w:highlight w:val="none"/>
              </w:rPr>
            </w:pPr>
            <w:r>
              <w:rPr>
                <w:color w:val="auto"/>
                <w:spacing w:val="-1"/>
                <w:highlight w:val="none"/>
              </w:rPr>
              <w:t>格、型号</w:t>
            </w:r>
          </w:p>
        </w:tc>
        <w:tc>
          <w:tcPr>
            <w:tcW w:w="826" w:type="dxa"/>
            <w:vAlign w:val="top"/>
          </w:tcPr>
          <w:p w14:paraId="5F78FEEE">
            <w:pPr>
              <w:spacing w:line="267" w:lineRule="auto"/>
              <w:rPr>
                <w:rFonts w:ascii="Arial"/>
                <w:color w:val="auto"/>
                <w:sz w:val="21"/>
                <w:highlight w:val="none"/>
              </w:rPr>
            </w:pPr>
          </w:p>
          <w:p w14:paraId="20580373">
            <w:pPr>
              <w:pStyle w:val="11"/>
              <w:spacing w:before="68" w:line="221" w:lineRule="auto"/>
              <w:ind w:left="213"/>
              <w:rPr>
                <w:color w:val="auto"/>
                <w:highlight w:val="none"/>
              </w:rPr>
            </w:pPr>
            <w:r>
              <w:rPr>
                <w:color w:val="auto"/>
                <w:spacing w:val="-2"/>
                <w:highlight w:val="none"/>
              </w:rPr>
              <w:t>单位</w:t>
            </w:r>
          </w:p>
        </w:tc>
        <w:tc>
          <w:tcPr>
            <w:tcW w:w="825" w:type="dxa"/>
            <w:vAlign w:val="top"/>
          </w:tcPr>
          <w:p w14:paraId="6C6056F2">
            <w:pPr>
              <w:spacing w:line="266" w:lineRule="auto"/>
              <w:rPr>
                <w:rFonts w:ascii="Arial"/>
                <w:color w:val="auto"/>
                <w:sz w:val="21"/>
                <w:highlight w:val="none"/>
              </w:rPr>
            </w:pPr>
          </w:p>
          <w:p w14:paraId="7B8AAC76">
            <w:pPr>
              <w:pStyle w:val="11"/>
              <w:spacing w:before="68" w:line="221" w:lineRule="auto"/>
              <w:ind w:left="213"/>
              <w:rPr>
                <w:color w:val="auto"/>
                <w:highlight w:val="none"/>
              </w:rPr>
            </w:pPr>
            <w:r>
              <w:rPr>
                <w:color w:val="auto"/>
                <w:spacing w:val="-2"/>
                <w:highlight w:val="none"/>
              </w:rPr>
              <w:t>数量</w:t>
            </w:r>
          </w:p>
        </w:tc>
        <w:tc>
          <w:tcPr>
            <w:tcW w:w="844" w:type="dxa"/>
            <w:vAlign w:val="top"/>
          </w:tcPr>
          <w:p w14:paraId="1FFFEB3B">
            <w:pPr>
              <w:pStyle w:val="11"/>
              <w:spacing w:before="202" w:line="231" w:lineRule="auto"/>
              <w:ind w:left="122" w:right="111" w:firstLine="100"/>
              <w:rPr>
                <w:color w:val="auto"/>
                <w:highlight w:val="none"/>
              </w:rPr>
            </w:pPr>
            <w:r>
              <w:rPr>
                <w:color w:val="auto"/>
                <w:spacing w:val="-4"/>
                <w:highlight w:val="none"/>
              </w:rPr>
              <w:t>单价</w:t>
            </w:r>
            <w:r>
              <w:rPr>
                <w:color w:val="auto"/>
                <w:highlight w:val="none"/>
              </w:rPr>
              <w:t xml:space="preserve">  </w:t>
            </w:r>
            <w:r>
              <w:rPr>
                <w:color w:val="auto"/>
                <w:spacing w:val="-9"/>
                <w:highlight w:val="none"/>
              </w:rPr>
              <w:t>（元）</w:t>
            </w:r>
          </w:p>
        </w:tc>
        <w:tc>
          <w:tcPr>
            <w:tcW w:w="1209" w:type="dxa"/>
            <w:vAlign w:val="top"/>
          </w:tcPr>
          <w:p w14:paraId="204AEF8D">
            <w:pPr>
              <w:pStyle w:val="11"/>
              <w:spacing w:before="201" w:line="241" w:lineRule="auto"/>
              <w:ind w:left="405"/>
              <w:rPr>
                <w:color w:val="auto"/>
                <w:highlight w:val="none"/>
              </w:rPr>
            </w:pPr>
            <w:r>
              <w:rPr>
                <w:color w:val="auto"/>
                <w:spacing w:val="-3"/>
                <w:highlight w:val="none"/>
              </w:rPr>
              <w:t>交货</w:t>
            </w:r>
          </w:p>
          <w:p w14:paraId="5538C753">
            <w:pPr>
              <w:pStyle w:val="11"/>
              <w:spacing w:line="222" w:lineRule="auto"/>
              <w:ind w:left="401"/>
              <w:rPr>
                <w:color w:val="auto"/>
                <w:highlight w:val="none"/>
              </w:rPr>
            </w:pPr>
            <w:r>
              <w:rPr>
                <w:color w:val="auto"/>
                <w:spacing w:val="-2"/>
                <w:highlight w:val="none"/>
              </w:rPr>
              <w:t>方式</w:t>
            </w:r>
          </w:p>
        </w:tc>
        <w:tc>
          <w:tcPr>
            <w:tcW w:w="1397" w:type="dxa"/>
            <w:vAlign w:val="top"/>
          </w:tcPr>
          <w:p w14:paraId="05AA64DA">
            <w:pPr>
              <w:pStyle w:val="11"/>
              <w:spacing w:before="201" w:line="241" w:lineRule="auto"/>
              <w:ind w:left="496"/>
              <w:rPr>
                <w:color w:val="auto"/>
                <w:highlight w:val="none"/>
              </w:rPr>
            </w:pPr>
            <w:r>
              <w:rPr>
                <w:color w:val="auto"/>
                <w:spacing w:val="-2"/>
                <w:highlight w:val="none"/>
              </w:rPr>
              <w:t>送达</w:t>
            </w:r>
          </w:p>
          <w:p w14:paraId="7E44B4A5">
            <w:pPr>
              <w:pStyle w:val="11"/>
              <w:spacing w:before="1" w:line="224" w:lineRule="auto"/>
              <w:ind w:left="498"/>
              <w:rPr>
                <w:color w:val="auto"/>
                <w:highlight w:val="none"/>
              </w:rPr>
            </w:pPr>
            <w:r>
              <w:rPr>
                <w:color w:val="auto"/>
                <w:spacing w:val="-2"/>
                <w:highlight w:val="none"/>
              </w:rPr>
              <w:t>地点</w:t>
            </w:r>
          </w:p>
        </w:tc>
        <w:tc>
          <w:tcPr>
            <w:tcW w:w="830" w:type="dxa"/>
            <w:vAlign w:val="top"/>
          </w:tcPr>
          <w:p w14:paraId="3E6915DC">
            <w:pPr>
              <w:spacing w:line="266" w:lineRule="auto"/>
              <w:rPr>
                <w:rFonts w:ascii="Arial"/>
                <w:color w:val="auto"/>
                <w:sz w:val="21"/>
                <w:highlight w:val="none"/>
              </w:rPr>
            </w:pPr>
          </w:p>
          <w:p w14:paraId="245FA1E6">
            <w:pPr>
              <w:pStyle w:val="11"/>
              <w:spacing w:before="69" w:line="222" w:lineRule="auto"/>
              <w:ind w:left="217"/>
              <w:rPr>
                <w:color w:val="auto"/>
                <w:highlight w:val="none"/>
              </w:rPr>
            </w:pPr>
            <w:r>
              <w:rPr>
                <w:color w:val="auto"/>
                <w:spacing w:val="-3"/>
                <w:highlight w:val="none"/>
              </w:rPr>
              <w:t>备注</w:t>
            </w:r>
          </w:p>
        </w:tc>
      </w:tr>
      <w:tr w14:paraId="1EE4C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34786146">
            <w:pPr>
              <w:rPr>
                <w:rFonts w:ascii="Arial"/>
                <w:color w:val="auto"/>
                <w:sz w:val="21"/>
                <w:highlight w:val="none"/>
              </w:rPr>
            </w:pPr>
          </w:p>
        </w:tc>
        <w:tc>
          <w:tcPr>
            <w:tcW w:w="1761" w:type="dxa"/>
            <w:vAlign w:val="top"/>
          </w:tcPr>
          <w:p w14:paraId="3708FCEE">
            <w:pPr>
              <w:rPr>
                <w:rFonts w:ascii="Arial"/>
                <w:color w:val="auto"/>
                <w:sz w:val="21"/>
                <w:highlight w:val="none"/>
              </w:rPr>
            </w:pPr>
          </w:p>
        </w:tc>
        <w:tc>
          <w:tcPr>
            <w:tcW w:w="826" w:type="dxa"/>
            <w:vAlign w:val="top"/>
          </w:tcPr>
          <w:p w14:paraId="3D3497CE">
            <w:pPr>
              <w:rPr>
                <w:rFonts w:ascii="Arial"/>
                <w:color w:val="auto"/>
                <w:sz w:val="21"/>
                <w:highlight w:val="none"/>
              </w:rPr>
            </w:pPr>
          </w:p>
        </w:tc>
        <w:tc>
          <w:tcPr>
            <w:tcW w:w="825" w:type="dxa"/>
            <w:vAlign w:val="top"/>
          </w:tcPr>
          <w:p w14:paraId="57A391E1">
            <w:pPr>
              <w:rPr>
                <w:rFonts w:ascii="Arial"/>
                <w:color w:val="auto"/>
                <w:sz w:val="21"/>
                <w:highlight w:val="none"/>
              </w:rPr>
            </w:pPr>
          </w:p>
        </w:tc>
        <w:tc>
          <w:tcPr>
            <w:tcW w:w="844" w:type="dxa"/>
            <w:vAlign w:val="top"/>
          </w:tcPr>
          <w:p w14:paraId="2DE84A38">
            <w:pPr>
              <w:rPr>
                <w:rFonts w:ascii="Arial"/>
                <w:color w:val="auto"/>
                <w:sz w:val="21"/>
                <w:highlight w:val="none"/>
              </w:rPr>
            </w:pPr>
          </w:p>
        </w:tc>
        <w:tc>
          <w:tcPr>
            <w:tcW w:w="1209" w:type="dxa"/>
            <w:vAlign w:val="top"/>
          </w:tcPr>
          <w:p w14:paraId="2CABE68D">
            <w:pPr>
              <w:rPr>
                <w:rFonts w:ascii="Arial"/>
                <w:color w:val="auto"/>
                <w:sz w:val="21"/>
                <w:highlight w:val="none"/>
              </w:rPr>
            </w:pPr>
          </w:p>
        </w:tc>
        <w:tc>
          <w:tcPr>
            <w:tcW w:w="1397" w:type="dxa"/>
            <w:vAlign w:val="top"/>
          </w:tcPr>
          <w:p w14:paraId="68C99AF9">
            <w:pPr>
              <w:rPr>
                <w:rFonts w:ascii="Arial"/>
                <w:color w:val="auto"/>
                <w:sz w:val="21"/>
                <w:highlight w:val="none"/>
              </w:rPr>
            </w:pPr>
          </w:p>
        </w:tc>
        <w:tc>
          <w:tcPr>
            <w:tcW w:w="830" w:type="dxa"/>
            <w:vAlign w:val="top"/>
          </w:tcPr>
          <w:p w14:paraId="233E2666">
            <w:pPr>
              <w:rPr>
                <w:rFonts w:ascii="Arial"/>
                <w:color w:val="auto"/>
                <w:sz w:val="21"/>
                <w:highlight w:val="none"/>
              </w:rPr>
            </w:pPr>
          </w:p>
        </w:tc>
      </w:tr>
      <w:tr w14:paraId="35B98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0FD330D">
            <w:pPr>
              <w:rPr>
                <w:rFonts w:ascii="Arial"/>
                <w:color w:val="auto"/>
                <w:sz w:val="21"/>
                <w:highlight w:val="none"/>
              </w:rPr>
            </w:pPr>
          </w:p>
        </w:tc>
        <w:tc>
          <w:tcPr>
            <w:tcW w:w="1761" w:type="dxa"/>
            <w:vAlign w:val="top"/>
          </w:tcPr>
          <w:p w14:paraId="671AB9DC">
            <w:pPr>
              <w:rPr>
                <w:rFonts w:ascii="Arial"/>
                <w:color w:val="auto"/>
                <w:sz w:val="21"/>
                <w:highlight w:val="none"/>
              </w:rPr>
            </w:pPr>
          </w:p>
        </w:tc>
        <w:tc>
          <w:tcPr>
            <w:tcW w:w="826" w:type="dxa"/>
            <w:vAlign w:val="top"/>
          </w:tcPr>
          <w:p w14:paraId="263537D5">
            <w:pPr>
              <w:rPr>
                <w:rFonts w:ascii="Arial"/>
                <w:color w:val="auto"/>
                <w:sz w:val="21"/>
                <w:highlight w:val="none"/>
              </w:rPr>
            </w:pPr>
          </w:p>
        </w:tc>
        <w:tc>
          <w:tcPr>
            <w:tcW w:w="825" w:type="dxa"/>
            <w:vAlign w:val="top"/>
          </w:tcPr>
          <w:p w14:paraId="61AB9601">
            <w:pPr>
              <w:rPr>
                <w:rFonts w:ascii="Arial"/>
                <w:color w:val="auto"/>
                <w:sz w:val="21"/>
                <w:highlight w:val="none"/>
              </w:rPr>
            </w:pPr>
          </w:p>
        </w:tc>
        <w:tc>
          <w:tcPr>
            <w:tcW w:w="844" w:type="dxa"/>
            <w:vAlign w:val="top"/>
          </w:tcPr>
          <w:p w14:paraId="6F364F3F">
            <w:pPr>
              <w:rPr>
                <w:rFonts w:ascii="Arial"/>
                <w:color w:val="auto"/>
                <w:sz w:val="21"/>
                <w:highlight w:val="none"/>
              </w:rPr>
            </w:pPr>
          </w:p>
        </w:tc>
        <w:tc>
          <w:tcPr>
            <w:tcW w:w="1209" w:type="dxa"/>
            <w:vAlign w:val="top"/>
          </w:tcPr>
          <w:p w14:paraId="6ABE46DD">
            <w:pPr>
              <w:rPr>
                <w:rFonts w:ascii="Arial"/>
                <w:color w:val="auto"/>
                <w:sz w:val="21"/>
                <w:highlight w:val="none"/>
              </w:rPr>
            </w:pPr>
          </w:p>
        </w:tc>
        <w:tc>
          <w:tcPr>
            <w:tcW w:w="1397" w:type="dxa"/>
            <w:vAlign w:val="top"/>
          </w:tcPr>
          <w:p w14:paraId="7EB5FFFA">
            <w:pPr>
              <w:rPr>
                <w:rFonts w:ascii="Arial"/>
                <w:color w:val="auto"/>
                <w:sz w:val="21"/>
                <w:highlight w:val="none"/>
              </w:rPr>
            </w:pPr>
          </w:p>
        </w:tc>
        <w:tc>
          <w:tcPr>
            <w:tcW w:w="830" w:type="dxa"/>
            <w:vAlign w:val="top"/>
          </w:tcPr>
          <w:p w14:paraId="28610E18">
            <w:pPr>
              <w:rPr>
                <w:rFonts w:ascii="Arial"/>
                <w:color w:val="auto"/>
                <w:sz w:val="21"/>
                <w:highlight w:val="none"/>
              </w:rPr>
            </w:pPr>
          </w:p>
        </w:tc>
      </w:tr>
      <w:tr w14:paraId="09A74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14:paraId="4478D1A3">
            <w:pPr>
              <w:rPr>
                <w:rFonts w:ascii="Arial"/>
                <w:color w:val="auto"/>
                <w:sz w:val="21"/>
                <w:highlight w:val="none"/>
              </w:rPr>
            </w:pPr>
          </w:p>
        </w:tc>
        <w:tc>
          <w:tcPr>
            <w:tcW w:w="1761" w:type="dxa"/>
            <w:vAlign w:val="top"/>
          </w:tcPr>
          <w:p w14:paraId="783B7944">
            <w:pPr>
              <w:rPr>
                <w:rFonts w:ascii="Arial"/>
                <w:color w:val="auto"/>
                <w:sz w:val="21"/>
                <w:highlight w:val="none"/>
              </w:rPr>
            </w:pPr>
          </w:p>
        </w:tc>
        <w:tc>
          <w:tcPr>
            <w:tcW w:w="826" w:type="dxa"/>
            <w:vAlign w:val="top"/>
          </w:tcPr>
          <w:p w14:paraId="22D07D3A">
            <w:pPr>
              <w:rPr>
                <w:rFonts w:ascii="Arial"/>
                <w:color w:val="auto"/>
                <w:sz w:val="21"/>
                <w:highlight w:val="none"/>
              </w:rPr>
            </w:pPr>
          </w:p>
        </w:tc>
        <w:tc>
          <w:tcPr>
            <w:tcW w:w="825" w:type="dxa"/>
            <w:vAlign w:val="top"/>
          </w:tcPr>
          <w:p w14:paraId="6D0F1928">
            <w:pPr>
              <w:rPr>
                <w:rFonts w:ascii="Arial"/>
                <w:color w:val="auto"/>
                <w:sz w:val="21"/>
                <w:highlight w:val="none"/>
              </w:rPr>
            </w:pPr>
          </w:p>
        </w:tc>
        <w:tc>
          <w:tcPr>
            <w:tcW w:w="844" w:type="dxa"/>
            <w:vAlign w:val="top"/>
          </w:tcPr>
          <w:p w14:paraId="081A69B4">
            <w:pPr>
              <w:rPr>
                <w:rFonts w:ascii="Arial"/>
                <w:color w:val="auto"/>
                <w:sz w:val="21"/>
                <w:highlight w:val="none"/>
              </w:rPr>
            </w:pPr>
          </w:p>
        </w:tc>
        <w:tc>
          <w:tcPr>
            <w:tcW w:w="1209" w:type="dxa"/>
            <w:vAlign w:val="top"/>
          </w:tcPr>
          <w:p w14:paraId="57DC7FB6">
            <w:pPr>
              <w:rPr>
                <w:rFonts w:ascii="Arial"/>
                <w:color w:val="auto"/>
                <w:sz w:val="21"/>
                <w:highlight w:val="none"/>
              </w:rPr>
            </w:pPr>
          </w:p>
        </w:tc>
        <w:tc>
          <w:tcPr>
            <w:tcW w:w="1397" w:type="dxa"/>
            <w:vAlign w:val="top"/>
          </w:tcPr>
          <w:p w14:paraId="734CDB3A">
            <w:pPr>
              <w:rPr>
                <w:rFonts w:ascii="Arial"/>
                <w:color w:val="auto"/>
                <w:sz w:val="21"/>
                <w:highlight w:val="none"/>
              </w:rPr>
            </w:pPr>
          </w:p>
        </w:tc>
        <w:tc>
          <w:tcPr>
            <w:tcW w:w="830" w:type="dxa"/>
            <w:vAlign w:val="top"/>
          </w:tcPr>
          <w:p w14:paraId="23521CF0">
            <w:pPr>
              <w:rPr>
                <w:rFonts w:ascii="Arial"/>
                <w:color w:val="auto"/>
                <w:sz w:val="21"/>
                <w:highlight w:val="none"/>
              </w:rPr>
            </w:pPr>
          </w:p>
        </w:tc>
      </w:tr>
      <w:tr w14:paraId="3B9FB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0929F457">
            <w:pPr>
              <w:rPr>
                <w:rFonts w:ascii="Arial"/>
                <w:color w:val="auto"/>
                <w:sz w:val="21"/>
                <w:highlight w:val="none"/>
              </w:rPr>
            </w:pPr>
          </w:p>
        </w:tc>
        <w:tc>
          <w:tcPr>
            <w:tcW w:w="1761" w:type="dxa"/>
            <w:vAlign w:val="top"/>
          </w:tcPr>
          <w:p w14:paraId="4C3437E5">
            <w:pPr>
              <w:rPr>
                <w:rFonts w:ascii="Arial"/>
                <w:color w:val="auto"/>
                <w:sz w:val="21"/>
                <w:highlight w:val="none"/>
              </w:rPr>
            </w:pPr>
          </w:p>
        </w:tc>
        <w:tc>
          <w:tcPr>
            <w:tcW w:w="826" w:type="dxa"/>
            <w:vAlign w:val="top"/>
          </w:tcPr>
          <w:p w14:paraId="6A119881">
            <w:pPr>
              <w:rPr>
                <w:rFonts w:ascii="Arial"/>
                <w:color w:val="auto"/>
                <w:sz w:val="21"/>
                <w:highlight w:val="none"/>
              </w:rPr>
            </w:pPr>
          </w:p>
        </w:tc>
        <w:tc>
          <w:tcPr>
            <w:tcW w:w="825" w:type="dxa"/>
            <w:vAlign w:val="top"/>
          </w:tcPr>
          <w:p w14:paraId="02418578">
            <w:pPr>
              <w:rPr>
                <w:rFonts w:ascii="Arial"/>
                <w:color w:val="auto"/>
                <w:sz w:val="21"/>
                <w:highlight w:val="none"/>
              </w:rPr>
            </w:pPr>
          </w:p>
        </w:tc>
        <w:tc>
          <w:tcPr>
            <w:tcW w:w="844" w:type="dxa"/>
            <w:vAlign w:val="top"/>
          </w:tcPr>
          <w:p w14:paraId="6B9BF0E3">
            <w:pPr>
              <w:rPr>
                <w:rFonts w:ascii="Arial"/>
                <w:color w:val="auto"/>
                <w:sz w:val="21"/>
                <w:highlight w:val="none"/>
              </w:rPr>
            </w:pPr>
          </w:p>
        </w:tc>
        <w:tc>
          <w:tcPr>
            <w:tcW w:w="1209" w:type="dxa"/>
            <w:vAlign w:val="top"/>
          </w:tcPr>
          <w:p w14:paraId="424F4EB6">
            <w:pPr>
              <w:rPr>
                <w:rFonts w:ascii="Arial"/>
                <w:color w:val="auto"/>
                <w:sz w:val="21"/>
                <w:highlight w:val="none"/>
              </w:rPr>
            </w:pPr>
          </w:p>
        </w:tc>
        <w:tc>
          <w:tcPr>
            <w:tcW w:w="1397" w:type="dxa"/>
            <w:vAlign w:val="top"/>
          </w:tcPr>
          <w:p w14:paraId="2B4FEAC6">
            <w:pPr>
              <w:rPr>
                <w:rFonts w:ascii="Arial"/>
                <w:color w:val="auto"/>
                <w:sz w:val="21"/>
                <w:highlight w:val="none"/>
              </w:rPr>
            </w:pPr>
          </w:p>
        </w:tc>
        <w:tc>
          <w:tcPr>
            <w:tcW w:w="830" w:type="dxa"/>
            <w:vAlign w:val="top"/>
          </w:tcPr>
          <w:p w14:paraId="3C855458">
            <w:pPr>
              <w:rPr>
                <w:rFonts w:ascii="Arial"/>
                <w:color w:val="auto"/>
                <w:sz w:val="21"/>
                <w:highlight w:val="none"/>
              </w:rPr>
            </w:pPr>
          </w:p>
        </w:tc>
      </w:tr>
      <w:tr w14:paraId="7D88E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0601834B">
            <w:pPr>
              <w:rPr>
                <w:rFonts w:ascii="Arial"/>
                <w:color w:val="auto"/>
                <w:sz w:val="21"/>
                <w:highlight w:val="none"/>
              </w:rPr>
            </w:pPr>
          </w:p>
        </w:tc>
        <w:tc>
          <w:tcPr>
            <w:tcW w:w="1761" w:type="dxa"/>
            <w:vAlign w:val="top"/>
          </w:tcPr>
          <w:p w14:paraId="50A9F623">
            <w:pPr>
              <w:rPr>
                <w:rFonts w:ascii="Arial"/>
                <w:color w:val="auto"/>
                <w:sz w:val="21"/>
                <w:highlight w:val="none"/>
              </w:rPr>
            </w:pPr>
          </w:p>
        </w:tc>
        <w:tc>
          <w:tcPr>
            <w:tcW w:w="826" w:type="dxa"/>
            <w:vAlign w:val="top"/>
          </w:tcPr>
          <w:p w14:paraId="756C459D">
            <w:pPr>
              <w:rPr>
                <w:rFonts w:ascii="Arial"/>
                <w:color w:val="auto"/>
                <w:sz w:val="21"/>
                <w:highlight w:val="none"/>
              </w:rPr>
            </w:pPr>
          </w:p>
        </w:tc>
        <w:tc>
          <w:tcPr>
            <w:tcW w:w="825" w:type="dxa"/>
            <w:vAlign w:val="top"/>
          </w:tcPr>
          <w:p w14:paraId="2905B899">
            <w:pPr>
              <w:rPr>
                <w:rFonts w:ascii="Arial"/>
                <w:color w:val="auto"/>
                <w:sz w:val="21"/>
                <w:highlight w:val="none"/>
              </w:rPr>
            </w:pPr>
          </w:p>
        </w:tc>
        <w:tc>
          <w:tcPr>
            <w:tcW w:w="844" w:type="dxa"/>
            <w:vAlign w:val="top"/>
          </w:tcPr>
          <w:p w14:paraId="3EC6AE2B">
            <w:pPr>
              <w:rPr>
                <w:rFonts w:ascii="Arial"/>
                <w:color w:val="auto"/>
                <w:sz w:val="21"/>
                <w:highlight w:val="none"/>
              </w:rPr>
            </w:pPr>
          </w:p>
        </w:tc>
        <w:tc>
          <w:tcPr>
            <w:tcW w:w="1209" w:type="dxa"/>
            <w:vAlign w:val="top"/>
          </w:tcPr>
          <w:p w14:paraId="42DAAA84">
            <w:pPr>
              <w:rPr>
                <w:rFonts w:ascii="Arial"/>
                <w:color w:val="auto"/>
                <w:sz w:val="21"/>
                <w:highlight w:val="none"/>
              </w:rPr>
            </w:pPr>
          </w:p>
        </w:tc>
        <w:tc>
          <w:tcPr>
            <w:tcW w:w="1397" w:type="dxa"/>
            <w:vAlign w:val="top"/>
          </w:tcPr>
          <w:p w14:paraId="1A55E738">
            <w:pPr>
              <w:rPr>
                <w:rFonts w:ascii="Arial"/>
                <w:color w:val="auto"/>
                <w:sz w:val="21"/>
                <w:highlight w:val="none"/>
              </w:rPr>
            </w:pPr>
          </w:p>
        </w:tc>
        <w:tc>
          <w:tcPr>
            <w:tcW w:w="830" w:type="dxa"/>
            <w:vAlign w:val="top"/>
          </w:tcPr>
          <w:p w14:paraId="5C020931">
            <w:pPr>
              <w:rPr>
                <w:rFonts w:ascii="Arial"/>
                <w:color w:val="auto"/>
                <w:sz w:val="21"/>
                <w:highlight w:val="none"/>
              </w:rPr>
            </w:pPr>
          </w:p>
        </w:tc>
      </w:tr>
      <w:tr w14:paraId="0EEE8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1FD26E7">
            <w:pPr>
              <w:rPr>
                <w:rFonts w:ascii="Arial"/>
                <w:color w:val="auto"/>
                <w:sz w:val="21"/>
                <w:highlight w:val="none"/>
              </w:rPr>
            </w:pPr>
          </w:p>
        </w:tc>
        <w:tc>
          <w:tcPr>
            <w:tcW w:w="1761" w:type="dxa"/>
            <w:vAlign w:val="top"/>
          </w:tcPr>
          <w:p w14:paraId="12620D4C">
            <w:pPr>
              <w:rPr>
                <w:rFonts w:ascii="Arial"/>
                <w:color w:val="auto"/>
                <w:sz w:val="21"/>
                <w:highlight w:val="none"/>
              </w:rPr>
            </w:pPr>
          </w:p>
        </w:tc>
        <w:tc>
          <w:tcPr>
            <w:tcW w:w="826" w:type="dxa"/>
            <w:vAlign w:val="top"/>
          </w:tcPr>
          <w:p w14:paraId="359512CF">
            <w:pPr>
              <w:rPr>
                <w:rFonts w:ascii="Arial"/>
                <w:color w:val="auto"/>
                <w:sz w:val="21"/>
                <w:highlight w:val="none"/>
              </w:rPr>
            </w:pPr>
          </w:p>
        </w:tc>
        <w:tc>
          <w:tcPr>
            <w:tcW w:w="825" w:type="dxa"/>
            <w:vAlign w:val="top"/>
          </w:tcPr>
          <w:p w14:paraId="112E70D1">
            <w:pPr>
              <w:rPr>
                <w:rFonts w:ascii="Arial"/>
                <w:color w:val="auto"/>
                <w:sz w:val="21"/>
                <w:highlight w:val="none"/>
              </w:rPr>
            </w:pPr>
          </w:p>
        </w:tc>
        <w:tc>
          <w:tcPr>
            <w:tcW w:w="844" w:type="dxa"/>
            <w:vAlign w:val="top"/>
          </w:tcPr>
          <w:p w14:paraId="69589347">
            <w:pPr>
              <w:rPr>
                <w:rFonts w:ascii="Arial"/>
                <w:color w:val="auto"/>
                <w:sz w:val="21"/>
                <w:highlight w:val="none"/>
              </w:rPr>
            </w:pPr>
          </w:p>
        </w:tc>
        <w:tc>
          <w:tcPr>
            <w:tcW w:w="1209" w:type="dxa"/>
            <w:vAlign w:val="top"/>
          </w:tcPr>
          <w:p w14:paraId="736003CD">
            <w:pPr>
              <w:rPr>
                <w:rFonts w:ascii="Arial"/>
                <w:color w:val="auto"/>
                <w:sz w:val="21"/>
                <w:highlight w:val="none"/>
              </w:rPr>
            </w:pPr>
          </w:p>
        </w:tc>
        <w:tc>
          <w:tcPr>
            <w:tcW w:w="1397" w:type="dxa"/>
            <w:vAlign w:val="top"/>
          </w:tcPr>
          <w:p w14:paraId="3BAB0A05">
            <w:pPr>
              <w:rPr>
                <w:rFonts w:ascii="Arial"/>
                <w:color w:val="auto"/>
                <w:sz w:val="21"/>
                <w:highlight w:val="none"/>
              </w:rPr>
            </w:pPr>
          </w:p>
        </w:tc>
        <w:tc>
          <w:tcPr>
            <w:tcW w:w="830" w:type="dxa"/>
            <w:vAlign w:val="top"/>
          </w:tcPr>
          <w:p w14:paraId="62343905">
            <w:pPr>
              <w:rPr>
                <w:rFonts w:ascii="Arial"/>
                <w:color w:val="auto"/>
                <w:sz w:val="21"/>
                <w:highlight w:val="none"/>
              </w:rPr>
            </w:pPr>
          </w:p>
        </w:tc>
      </w:tr>
      <w:tr w14:paraId="033BA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64085258">
            <w:pPr>
              <w:rPr>
                <w:rFonts w:ascii="Arial"/>
                <w:color w:val="auto"/>
                <w:sz w:val="21"/>
                <w:highlight w:val="none"/>
              </w:rPr>
            </w:pPr>
          </w:p>
        </w:tc>
        <w:tc>
          <w:tcPr>
            <w:tcW w:w="1761" w:type="dxa"/>
            <w:vAlign w:val="top"/>
          </w:tcPr>
          <w:p w14:paraId="61744B53">
            <w:pPr>
              <w:rPr>
                <w:rFonts w:ascii="Arial"/>
                <w:color w:val="auto"/>
                <w:sz w:val="21"/>
                <w:highlight w:val="none"/>
              </w:rPr>
            </w:pPr>
          </w:p>
        </w:tc>
        <w:tc>
          <w:tcPr>
            <w:tcW w:w="826" w:type="dxa"/>
            <w:vAlign w:val="top"/>
          </w:tcPr>
          <w:p w14:paraId="618DB8B5">
            <w:pPr>
              <w:rPr>
                <w:rFonts w:ascii="Arial"/>
                <w:color w:val="auto"/>
                <w:sz w:val="21"/>
                <w:highlight w:val="none"/>
              </w:rPr>
            </w:pPr>
          </w:p>
        </w:tc>
        <w:tc>
          <w:tcPr>
            <w:tcW w:w="825" w:type="dxa"/>
            <w:vAlign w:val="top"/>
          </w:tcPr>
          <w:p w14:paraId="6188044D">
            <w:pPr>
              <w:rPr>
                <w:rFonts w:ascii="Arial"/>
                <w:color w:val="auto"/>
                <w:sz w:val="21"/>
                <w:highlight w:val="none"/>
              </w:rPr>
            </w:pPr>
          </w:p>
        </w:tc>
        <w:tc>
          <w:tcPr>
            <w:tcW w:w="844" w:type="dxa"/>
            <w:vAlign w:val="top"/>
          </w:tcPr>
          <w:p w14:paraId="4E3FD923">
            <w:pPr>
              <w:rPr>
                <w:rFonts w:ascii="Arial"/>
                <w:color w:val="auto"/>
                <w:sz w:val="21"/>
                <w:highlight w:val="none"/>
              </w:rPr>
            </w:pPr>
          </w:p>
        </w:tc>
        <w:tc>
          <w:tcPr>
            <w:tcW w:w="1209" w:type="dxa"/>
            <w:vAlign w:val="top"/>
          </w:tcPr>
          <w:p w14:paraId="33FC91C2">
            <w:pPr>
              <w:rPr>
                <w:rFonts w:ascii="Arial"/>
                <w:color w:val="auto"/>
                <w:sz w:val="21"/>
                <w:highlight w:val="none"/>
              </w:rPr>
            </w:pPr>
          </w:p>
        </w:tc>
        <w:tc>
          <w:tcPr>
            <w:tcW w:w="1397" w:type="dxa"/>
            <w:vAlign w:val="top"/>
          </w:tcPr>
          <w:p w14:paraId="1FB84F06">
            <w:pPr>
              <w:rPr>
                <w:rFonts w:ascii="Arial"/>
                <w:color w:val="auto"/>
                <w:sz w:val="21"/>
                <w:highlight w:val="none"/>
              </w:rPr>
            </w:pPr>
          </w:p>
        </w:tc>
        <w:tc>
          <w:tcPr>
            <w:tcW w:w="830" w:type="dxa"/>
            <w:vAlign w:val="top"/>
          </w:tcPr>
          <w:p w14:paraId="1A224E04">
            <w:pPr>
              <w:rPr>
                <w:rFonts w:ascii="Arial"/>
                <w:color w:val="auto"/>
                <w:sz w:val="21"/>
                <w:highlight w:val="none"/>
              </w:rPr>
            </w:pPr>
          </w:p>
        </w:tc>
      </w:tr>
      <w:tr w14:paraId="213CE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293B67F5">
            <w:pPr>
              <w:rPr>
                <w:rFonts w:ascii="Arial"/>
                <w:color w:val="auto"/>
                <w:sz w:val="21"/>
                <w:highlight w:val="none"/>
              </w:rPr>
            </w:pPr>
          </w:p>
        </w:tc>
        <w:tc>
          <w:tcPr>
            <w:tcW w:w="1761" w:type="dxa"/>
            <w:vAlign w:val="top"/>
          </w:tcPr>
          <w:p w14:paraId="0581ADEF">
            <w:pPr>
              <w:rPr>
                <w:rFonts w:ascii="Arial"/>
                <w:color w:val="auto"/>
                <w:sz w:val="21"/>
                <w:highlight w:val="none"/>
              </w:rPr>
            </w:pPr>
          </w:p>
        </w:tc>
        <w:tc>
          <w:tcPr>
            <w:tcW w:w="826" w:type="dxa"/>
            <w:vAlign w:val="top"/>
          </w:tcPr>
          <w:p w14:paraId="2F2DC953">
            <w:pPr>
              <w:rPr>
                <w:rFonts w:ascii="Arial"/>
                <w:color w:val="auto"/>
                <w:sz w:val="21"/>
                <w:highlight w:val="none"/>
              </w:rPr>
            </w:pPr>
          </w:p>
        </w:tc>
        <w:tc>
          <w:tcPr>
            <w:tcW w:w="825" w:type="dxa"/>
            <w:vAlign w:val="top"/>
          </w:tcPr>
          <w:p w14:paraId="21020B8F">
            <w:pPr>
              <w:rPr>
                <w:rFonts w:ascii="Arial"/>
                <w:color w:val="auto"/>
                <w:sz w:val="21"/>
                <w:highlight w:val="none"/>
              </w:rPr>
            </w:pPr>
          </w:p>
        </w:tc>
        <w:tc>
          <w:tcPr>
            <w:tcW w:w="844" w:type="dxa"/>
            <w:vAlign w:val="top"/>
          </w:tcPr>
          <w:p w14:paraId="3E17B5A4">
            <w:pPr>
              <w:rPr>
                <w:rFonts w:ascii="Arial"/>
                <w:color w:val="auto"/>
                <w:sz w:val="21"/>
                <w:highlight w:val="none"/>
              </w:rPr>
            </w:pPr>
          </w:p>
        </w:tc>
        <w:tc>
          <w:tcPr>
            <w:tcW w:w="1209" w:type="dxa"/>
            <w:vAlign w:val="top"/>
          </w:tcPr>
          <w:p w14:paraId="5129F92F">
            <w:pPr>
              <w:rPr>
                <w:rFonts w:ascii="Arial"/>
                <w:color w:val="auto"/>
                <w:sz w:val="21"/>
                <w:highlight w:val="none"/>
              </w:rPr>
            </w:pPr>
          </w:p>
        </w:tc>
        <w:tc>
          <w:tcPr>
            <w:tcW w:w="1397" w:type="dxa"/>
            <w:vAlign w:val="top"/>
          </w:tcPr>
          <w:p w14:paraId="6A20C821">
            <w:pPr>
              <w:rPr>
                <w:rFonts w:ascii="Arial"/>
                <w:color w:val="auto"/>
                <w:sz w:val="21"/>
                <w:highlight w:val="none"/>
              </w:rPr>
            </w:pPr>
          </w:p>
        </w:tc>
        <w:tc>
          <w:tcPr>
            <w:tcW w:w="830" w:type="dxa"/>
            <w:vAlign w:val="top"/>
          </w:tcPr>
          <w:p w14:paraId="57E80220">
            <w:pPr>
              <w:rPr>
                <w:rFonts w:ascii="Arial"/>
                <w:color w:val="auto"/>
                <w:sz w:val="21"/>
                <w:highlight w:val="none"/>
              </w:rPr>
            </w:pPr>
          </w:p>
        </w:tc>
      </w:tr>
      <w:tr w14:paraId="452E4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6CBB363">
            <w:pPr>
              <w:rPr>
                <w:rFonts w:ascii="Arial"/>
                <w:color w:val="auto"/>
                <w:sz w:val="21"/>
                <w:highlight w:val="none"/>
              </w:rPr>
            </w:pPr>
          </w:p>
        </w:tc>
        <w:tc>
          <w:tcPr>
            <w:tcW w:w="1761" w:type="dxa"/>
            <w:vAlign w:val="top"/>
          </w:tcPr>
          <w:p w14:paraId="3BD80ED6">
            <w:pPr>
              <w:rPr>
                <w:rFonts w:ascii="Arial"/>
                <w:color w:val="auto"/>
                <w:sz w:val="21"/>
                <w:highlight w:val="none"/>
              </w:rPr>
            </w:pPr>
          </w:p>
        </w:tc>
        <w:tc>
          <w:tcPr>
            <w:tcW w:w="826" w:type="dxa"/>
            <w:vAlign w:val="top"/>
          </w:tcPr>
          <w:p w14:paraId="374D4B5D">
            <w:pPr>
              <w:rPr>
                <w:rFonts w:ascii="Arial"/>
                <w:color w:val="auto"/>
                <w:sz w:val="21"/>
                <w:highlight w:val="none"/>
              </w:rPr>
            </w:pPr>
          </w:p>
        </w:tc>
        <w:tc>
          <w:tcPr>
            <w:tcW w:w="825" w:type="dxa"/>
            <w:vAlign w:val="top"/>
          </w:tcPr>
          <w:p w14:paraId="4A64B592">
            <w:pPr>
              <w:rPr>
                <w:rFonts w:ascii="Arial"/>
                <w:color w:val="auto"/>
                <w:sz w:val="21"/>
                <w:highlight w:val="none"/>
              </w:rPr>
            </w:pPr>
          </w:p>
        </w:tc>
        <w:tc>
          <w:tcPr>
            <w:tcW w:w="844" w:type="dxa"/>
            <w:vAlign w:val="top"/>
          </w:tcPr>
          <w:p w14:paraId="1064CCAC">
            <w:pPr>
              <w:rPr>
                <w:rFonts w:ascii="Arial"/>
                <w:color w:val="auto"/>
                <w:sz w:val="21"/>
                <w:highlight w:val="none"/>
              </w:rPr>
            </w:pPr>
          </w:p>
        </w:tc>
        <w:tc>
          <w:tcPr>
            <w:tcW w:w="1209" w:type="dxa"/>
            <w:vAlign w:val="top"/>
          </w:tcPr>
          <w:p w14:paraId="2FF7F46B">
            <w:pPr>
              <w:rPr>
                <w:rFonts w:ascii="Arial"/>
                <w:color w:val="auto"/>
                <w:sz w:val="21"/>
                <w:highlight w:val="none"/>
              </w:rPr>
            </w:pPr>
          </w:p>
        </w:tc>
        <w:tc>
          <w:tcPr>
            <w:tcW w:w="1397" w:type="dxa"/>
            <w:vAlign w:val="top"/>
          </w:tcPr>
          <w:p w14:paraId="407F3815">
            <w:pPr>
              <w:rPr>
                <w:rFonts w:ascii="Arial"/>
                <w:color w:val="auto"/>
                <w:sz w:val="21"/>
                <w:highlight w:val="none"/>
              </w:rPr>
            </w:pPr>
          </w:p>
        </w:tc>
        <w:tc>
          <w:tcPr>
            <w:tcW w:w="830" w:type="dxa"/>
            <w:vAlign w:val="top"/>
          </w:tcPr>
          <w:p w14:paraId="5CD34995">
            <w:pPr>
              <w:rPr>
                <w:rFonts w:ascii="Arial"/>
                <w:color w:val="auto"/>
                <w:sz w:val="21"/>
                <w:highlight w:val="none"/>
              </w:rPr>
            </w:pPr>
          </w:p>
        </w:tc>
      </w:tr>
      <w:tr w14:paraId="6F32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5D1A1D3A">
            <w:pPr>
              <w:rPr>
                <w:rFonts w:ascii="Arial"/>
                <w:color w:val="auto"/>
                <w:sz w:val="21"/>
                <w:highlight w:val="none"/>
              </w:rPr>
            </w:pPr>
          </w:p>
        </w:tc>
        <w:tc>
          <w:tcPr>
            <w:tcW w:w="1761" w:type="dxa"/>
            <w:vAlign w:val="top"/>
          </w:tcPr>
          <w:p w14:paraId="62EE2DAB">
            <w:pPr>
              <w:rPr>
                <w:rFonts w:ascii="Arial"/>
                <w:color w:val="auto"/>
                <w:sz w:val="21"/>
                <w:highlight w:val="none"/>
              </w:rPr>
            </w:pPr>
          </w:p>
        </w:tc>
        <w:tc>
          <w:tcPr>
            <w:tcW w:w="826" w:type="dxa"/>
            <w:vAlign w:val="top"/>
          </w:tcPr>
          <w:p w14:paraId="2DC314CE">
            <w:pPr>
              <w:rPr>
                <w:rFonts w:ascii="Arial"/>
                <w:color w:val="auto"/>
                <w:sz w:val="21"/>
                <w:highlight w:val="none"/>
              </w:rPr>
            </w:pPr>
          </w:p>
        </w:tc>
        <w:tc>
          <w:tcPr>
            <w:tcW w:w="825" w:type="dxa"/>
            <w:vAlign w:val="top"/>
          </w:tcPr>
          <w:p w14:paraId="6DD982BF">
            <w:pPr>
              <w:rPr>
                <w:rFonts w:ascii="Arial"/>
                <w:color w:val="auto"/>
                <w:sz w:val="21"/>
                <w:highlight w:val="none"/>
              </w:rPr>
            </w:pPr>
          </w:p>
        </w:tc>
        <w:tc>
          <w:tcPr>
            <w:tcW w:w="844" w:type="dxa"/>
            <w:vAlign w:val="top"/>
          </w:tcPr>
          <w:p w14:paraId="2255C2F8">
            <w:pPr>
              <w:rPr>
                <w:rFonts w:ascii="Arial"/>
                <w:color w:val="auto"/>
                <w:sz w:val="21"/>
                <w:highlight w:val="none"/>
              </w:rPr>
            </w:pPr>
          </w:p>
        </w:tc>
        <w:tc>
          <w:tcPr>
            <w:tcW w:w="1209" w:type="dxa"/>
            <w:vAlign w:val="top"/>
          </w:tcPr>
          <w:p w14:paraId="5ABA32B4">
            <w:pPr>
              <w:rPr>
                <w:rFonts w:ascii="Arial"/>
                <w:color w:val="auto"/>
                <w:sz w:val="21"/>
                <w:highlight w:val="none"/>
              </w:rPr>
            </w:pPr>
          </w:p>
        </w:tc>
        <w:tc>
          <w:tcPr>
            <w:tcW w:w="1397" w:type="dxa"/>
            <w:vAlign w:val="top"/>
          </w:tcPr>
          <w:p w14:paraId="0D4A4A9D">
            <w:pPr>
              <w:rPr>
                <w:rFonts w:ascii="Arial"/>
                <w:color w:val="auto"/>
                <w:sz w:val="21"/>
                <w:highlight w:val="none"/>
              </w:rPr>
            </w:pPr>
          </w:p>
        </w:tc>
        <w:tc>
          <w:tcPr>
            <w:tcW w:w="830" w:type="dxa"/>
            <w:vAlign w:val="top"/>
          </w:tcPr>
          <w:p w14:paraId="15819958">
            <w:pPr>
              <w:rPr>
                <w:rFonts w:ascii="Arial"/>
                <w:color w:val="auto"/>
                <w:sz w:val="21"/>
                <w:highlight w:val="none"/>
              </w:rPr>
            </w:pPr>
          </w:p>
        </w:tc>
      </w:tr>
      <w:tr w14:paraId="407E7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3C375E55">
            <w:pPr>
              <w:rPr>
                <w:rFonts w:ascii="Arial"/>
                <w:color w:val="auto"/>
                <w:sz w:val="21"/>
                <w:highlight w:val="none"/>
              </w:rPr>
            </w:pPr>
          </w:p>
        </w:tc>
        <w:tc>
          <w:tcPr>
            <w:tcW w:w="1761" w:type="dxa"/>
            <w:vAlign w:val="top"/>
          </w:tcPr>
          <w:p w14:paraId="59F5C59C">
            <w:pPr>
              <w:rPr>
                <w:rFonts w:ascii="Arial"/>
                <w:color w:val="auto"/>
                <w:sz w:val="21"/>
                <w:highlight w:val="none"/>
              </w:rPr>
            </w:pPr>
          </w:p>
        </w:tc>
        <w:tc>
          <w:tcPr>
            <w:tcW w:w="826" w:type="dxa"/>
            <w:vAlign w:val="top"/>
          </w:tcPr>
          <w:p w14:paraId="27DDF058">
            <w:pPr>
              <w:rPr>
                <w:rFonts w:ascii="Arial"/>
                <w:color w:val="auto"/>
                <w:sz w:val="21"/>
                <w:highlight w:val="none"/>
              </w:rPr>
            </w:pPr>
          </w:p>
        </w:tc>
        <w:tc>
          <w:tcPr>
            <w:tcW w:w="825" w:type="dxa"/>
            <w:vAlign w:val="top"/>
          </w:tcPr>
          <w:p w14:paraId="3B690752">
            <w:pPr>
              <w:rPr>
                <w:rFonts w:ascii="Arial"/>
                <w:color w:val="auto"/>
                <w:sz w:val="21"/>
                <w:highlight w:val="none"/>
              </w:rPr>
            </w:pPr>
          </w:p>
        </w:tc>
        <w:tc>
          <w:tcPr>
            <w:tcW w:w="844" w:type="dxa"/>
            <w:vAlign w:val="top"/>
          </w:tcPr>
          <w:p w14:paraId="53CD8902">
            <w:pPr>
              <w:rPr>
                <w:rFonts w:ascii="Arial"/>
                <w:color w:val="auto"/>
                <w:sz w:val="21"/>
                <w:highlight w:val="none"/>
              </w:rPr>
            </w:pPr>
          </w:p>
        </w:tc>
        <w:tc>
          <w:tcPr>
            <w:tcW w:w="1209" w:type="dxa"/>
            <w:vAlign w:val="top"/>
          </w:tcPr>
          <w:p w14:paraId="0EE0087C">
            <w:pPr>
              <w:rPr>
                <w:rFonts w:ascii="Arial"/>
                <w:color w:val="auto"/>
                <w:sz w:val="21"/>
                <w:highlight w:val="none"/>
              </w:rPr>
            </w:pPr>
          </w:p>
        </w:tc>
        <w:tc>
          <w:tcPr>
            <w:tcW w:w="1397" w:type="dxa"/>
            <w:vAlign w:val="top"/>
          </w:tcPr>
          <w:p w14:paraId="3B011578">
            <w:pPr>
              <w:rPr>
                <w:rFonts w:ascii="Arial"/>
                <w:color w:val="auto"/>
                <w:sz w:val="21"/>
                <w:highlight w:val="none"/>
              </w:rPr>
            </w:pPr>
          </w:p>
        </w:tc>
        <w:tc>
          <w:tcPr>
            <w:tcW w:w="830" w:type="dxa"/>
            <w:vAlign w:val="top"/>
          </w:tcPr>
          <w:p w14:paraId="6B03BBBE">
            <w:pPr>
              <w:rPr>
                <w:rFonts w:ascii="Arial"/>
                <w:color w:val="auto"/>
                <w:sz w:val="21"/>
                <w:highlight w:val="none"/>
              </w:rPr>
            </w:pPr>
          </w:p>
        </w:tc>
      </w:tr>
    </w:tbl>
    <w:p w14:paraId="595642EE">
      <w:pPr>
        <w:spacing w:before="269" w:line="186"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注：此表由招标人填写，供投标人在投标报价、确定总承包服务</w:t>
      </w:r>
      <w:r>
        <w:rPr>
          <w:rFonts w:ascii="宋体" w:hAnsi="宋体" w:eastAsia="宋体" w:cs="宋体"/>
          <w:color w:val="auto"/>
          <w:spacing w:val="-1"/>
          <w:sz w:val="21"/>
          <w:szCs w:val="21"/>
          <w:highlight w:val="none"/>
        </w:rPr>
        <w:t>费时参考。</w:t>
      </w:r>
    </w:p>
    <w:p w14:paraId="5AA33585">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1">
            <w:col w:w="8333"/>
          </w:cols>
        </w:sectPr>
      </w:pPr>
    </w:p>
    <w:p w14:paraId="14A3AA28">
      <w:pPr>
        <w:pStyle w:val="3"/>
        <w:spacing w:line="261" w:lineRule="auto"/>
        <w:rPr>
          <w:color w:val="auto"/>
          <w:highlight w:val="none"/>
        </w:rPr>
      </w:pPr>
    </w:p>
    <w:p w14:paraId="6AAAAD4C">
      <w:pPr>
        <w:pStyle w:val="3"/>
        <w:spacing w:line="262" w:lineRule="auto"/>
        <w:rPr>
          <w:color w:val="auto"/>
          <w:highlight w:val="none"/>
        </w:rPr>
      </w:pPr>
    </w:p>
    <w:p w14:paraId="34D76F69">
      <w:pPr>
        <w:pStyle w:val="3"/>
        <w:spacing w:line="262" w:lineRule="auto"/>
        <w:rPr>
          <w:color w:val="auto"/>
          <w:highlight w:val="none"/>
        </w:rPr>
      </w:pPr>
    </w:p>
    <w:p w14:paraId="30648E6C">
      <w:pPr>
        <w:pStyle w:val="3"/>
        <w:spacing w:line="262" w:lineRule="auto"/>
        <w:rPr>
          <w:color w:val="auto"/>
          <w:highlight w:val="none"/>
        </w:rPr>
      </w:pPr>
    </w:p>
    <w:p w14:paraId="52EF56C5">
      <w:pPr>
        <w:pStyle w:val="3"/>
        <w:spacing w:line="262" w:lineRule="auto"/>
        <w:rPr>
          <w:color w:val="auto"/>
          <w:highlight w:val="none"/>
        </w:rPr>
      </w:pPr>
    </w:p>
    <w:p w14:paraId="19879CA0">
      <w:pPr>
        <w:spacing w:before="78" w:line="218" w:lineRule="auto"/>
        <w:ind w:left="13"/>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4.15 </w:t>
      </w:r>
      <w:r>
        <w:rPr>
          <w:rFonts w:ascii="黑体" w:hAnsi="黑体" w:eastAsia="黑体" w:cs="黑体"/>
          <w:color w:val="auto"/>
          <w:spacing w:val="-1"/>
          <w:sz w:val="24"/>
          <w:szCs w:val="24"/>
          <w:highlight w:val="none"/>
        </w:rPr>
        <w:t>承包人提供主要材料和工程设备一览表</w:t>
      </w:r>
      <w:r>
        <w:rPr>
          <w:rFonts w:ascii="宋体" w:hAnsi="宋体" w:eastAsia="宋体" w:cs="宋体"/>
          <w:color w:val="auto"/>
          <w:spacing w:val="-1"/>
          <w:sz w:val="24"/>
          <w:szCs w:val="24"/>
          <w:highlight w:val="none"/>
        </w:rPr>
        <w:t>（适用于造价信息差额调整法）</w:t>
      </w:r>
    </w:p>
    <w:p w14:paraId="0EB38E8E">
      <w:pPr>
        <w:pStyle w:val="3"/>
        <w:spacing w:line="437" w:lineRule="auto"/>
        <w:rPr>
          <w:color w:val="auto"/>
          <w:highlight w:val="none"/>
        </w:rPr>
      </w:pPr>
    </w:p>
    <w:p w14:paraId="24E9B2C9">
      <w:pPr>
        <w:spacing w:before="88" w:line="225" w:lineRule="auto"/>
        <w:ind w:left="1796"/>
        <w:rPr>
          <w:rFonts w:ascii="黑体" w:hAnsi="黑体" w:eastAsia="黑体" w:cs="黑体"/>
          <w:color w:val="auto"/>
          <w:sz w:val="27"/>
          <w:szCs w:val="27"/>
          <w:highlight w:val="none"/>
        </w:rPr>
      </w:pPr>
      <w:bookmarkStart w:id="1317" w:name="bookmark264"/>
      <w:bookmarkEnd w:id="1317"/>
      <w:bookmarkStart w:id="1318" w:name="bookmark263"/>
      <w:bookmarkEnd w:id="1318"/>
      <w:r>
        <w:rPr>
          <w:rFonts w:ascii="黑体" w:hAnsi="黑体" w:eastAsia="黑体" w:cs="黑体"/>
          <w:color w:val="auto"/>
          <w:spacing w:val="9"/>
          <w:sz w:val="27"/>
          <w:szCs w:val="27"/>
          <w:highlight w:val="none"/>
        </w:rPr>
        <w:t>承包人提供主要材料和工程设备一览表</w:t>
      </w:r>
    </w:p>
    <w:p w14:paraId="707C7D55">
      <w:pPr>
        <w:spacing w:line="219" w:lineRule="exact"/>
        <w:rPr>
          <w:color w:val="auto"/>
          <w:highlight w:val="none"/>
        </w:rPr>
      </w:pPr>
    </w:p>
    <w:p w14:paraId="29A0A68E">
      <w:pPr>
        <w:spacing w:line="219" w:lineRule="exact"/>
        <w:rPr>
          <w:color w:val="auto"/>
          <w:highlight w:val="none"/>
        </w:rPr>
        <w:sectPr>
          <w:footerReference r:id="rId199" w:type="default"/>
          <w:pgSz w:w="11905" w:h="16839"/>
          <w:pgMar w:top="400" w:right="1785" w:bottom="1004" w:left="1785" w:header="0" w:footer="828" w:gutter="0"/>
          <w:pgNumType w:fmt="decimal"/>
          <w:cols w:equalWidth="0" w:num="1">
            <w:col w:w="8333"/>
          </w:cols>
        </w:sectPr>
      </w:pPr>
    </w:p>
    <w:p w14:paraId="6D3E7711">
      <w:pPr>
        <w:spacing w:before="42"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5A3D9368">
      <w:pPr>
        <w:pStyle w:val="3"/>
        <w:spacing w:line="14" w:lineRule="auto"/>
        <w:rPr>
          <w:color w:val="auto"/>
          <w:sz w:val="2"/>
          <w:highlight w:val="none"/>
        </w:rPr>
      </w:pPr>
      <w:r>
        <w:rPr>
          <w:color w:val="auto"/>
          <w:sz w:val="2"/>
          <w:szCs w:val="2"/>
          <w:highlight w:val="none"/>
        </w:rPr>
        <w:br w:type="column"/>
      </w:r>
    </w:p>
    <w:p w14:paraId="480AFA77">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第</w:t>
      </w:r>
      <w:r>
        <w:rPr>
          <w:rFonts w:ascii="宋体" w:hAnsi="宋体" w:eastAsia="宋体" w:cs="宋体"/>
          <w:color w:val="auto"/>
          <w:spacing w:val="18"/>
          <w:sz w:val="21"/>
          <w:szCs w:val="21"/>
          <w:highlight w:val="none"/>
        </w:rPr>
        <w:t xml:space="preserve"> </w:t>
      </w:r>
      <w:r>
        <w:rPr>
          <w:rFonts w:ascii="宋体" w:hAnsi="宋体" w:eastAsia="宋体" w:cs="宋体"/>
          <w:color w:val="auto"/>
          <w:spacing w:val="-13"/>
          <w:sz w:val="21"/>
          <w:szCs w:val="21"/>
          <w:highlight w:val="none"/>
        </w:rPr>
        <w:t>页 共</w:t>
      </w:r>
      <w:r>
        <w:rPr>
          <w:rFonts w:ascii="宋体" w:hAnsi="宋体" w:eastAsia="宋体" w:cs="宋体"/>
          <w:color w:val="auto"/>
          <w:spacing w:val="9"/>
          <w:sz w:val="21"/>
          <w:szCs w:val="21"/>
          <w:highlight w:val="none"/>
        </w:rPr>
        <w:t xml:space="preserve"> </w:t>
      </w:r>
      <w:r>
        <w:rPr>
          <w:rFonts w:ascii="宋体" w:hAnsi="宋体" w:eastAsia="宋体" w:cs="宋体"/>
          <w:color w:val="auto"/>
          <w:spacing w:val="-13"/>
          <w:sz w:val="21"/>
          <w:szCs w:val="21"/>
          <w:highlight w:val="none"/>
        </w:rPr>
        <w:t>页</w:t>
      </w:r>
    </w:p>
    <w:p w14:paraId="40DB8675">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2234" w:space="100"/>
            <w:col w:w="6000"/>
          </w:cols>
        </w:sectPr>
      </w:pPr>
    </w:p>
    <w:p w14:paraId="66763B71">
      <w:pPr>
        <w:spacing w:line="32" w:lineRule="exact"/>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14:paraId="0F93D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14:paraId="6CB17B11">
            <w:pPr>
              <w:pStyle w:val="11"/>
              <w:spacing w:before="167" w:line="211" w:lineRule="auto"/>
              <w:ind w:left="20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468" w:type="dxa"/>
            <w:vAlign w:val="top"/>
          </w:tcPr>
          <w:p w14:paraId="2C3CF949">
            <w:pPr>
              <w:pStyle w:val="11"/>
              <w:spacing w:before="201" w:line="241" w:lineRule="auto"/>
              <w:ind w:left="318"/>
              <w:rPr>
                <w:color w:val="auto"/>
                <w:highlight w:val="none"/>
              </w:rPr>
            </w:pPr>
            <w:r>
              <w:rPr>
                <w:color w:val="auto"/>
                <w:spacing w:val="-2"/>
                <w:highlight w:val="none"/>
              </w:rPr>
              <w:t>名称、规</w:t>
            </w:r>
          </w:p>
          <w:p w14:paraId="24B76D71">
            <w:pPr>
              <w:pStyle w:val="11"/>
              <w:spacing w:line="220" w:lineRule="auto"/>
              <w:ind w:left="315"/>
              <w:rPr>
                <w:color w:val="auto"/>
                <w:highlight w:val="none"/>
              </w:rPr>
            </w:pPr>
            <w:r>
              <w:rPr>
                <w:color w:val="auto"/>
                <w:spacing w:val="-1"/>
                <w:highlight w:val="none"/>
              </w:rPr>
              <w:t>格、型号</w:t>
            </w:r>
          </w:p>
        </w:tc>
        <w:tc>
          <w:tcPr>
            <w:tcW w:w="595" w:type="dxa"/>
            <w:textDirection w:val="tbRlV"/>
            <w:vAlign w:val="top"/>
          </w:tcPr>
          <w:p w14:paraId="1B6CC12D">
            <w:pPr>
              <w:pStyle w:val="11"/>
              <w:spacing w:before="195" w:line="209" w:lineRule="auto"/>
              <w:ind w:left="202"/>
              <w:rPr>
                <w:color w:val="auto"/>
                <w:highlight w:val="none"/>
              </w:rPr>
            </w:pPr>
            <w:r>
              <w:rPr>
                <w:color w:val="auto"/>
                <w:spacing w:val="1"/>
                <w:highlight w:val="none"/>
              </w:rPr>
              <w:t>单</w:t>
            </w:r>
            <w:r>
              <w:rPr>
                <w:color w:val="auto"/>
                <w:spacing w:val="-43"/>
                <w:highlight w:val="none"/>
              </w:rPr>
              <w:t xml:space="preserve"> </w:t>
            </w:r>
            <w:r>
              <w:rPr>
                <w:color w:val="auto"/>
                <w:spacing w:val="1"/>
                <w:highlight w:val="none"/>
              </w:rPr>
              <w:t>位</w:t>
            </w:r>
          </w:p>
        </w:tc>
        <w:tc>
          <w:tcPr>
            <w:tcW w:w="686" w:type="dxa"/>
            <w:vAlign w:val="top"/>
          </w:tcPr>
          <w:p w14:paraId="376C41F4">
            <w:pPr>
              <w:spacing w:line="271" w:lineRule="auto"/>
              <w:rPr>
                <w:rFonts w:ascii="Arial"/>
                <w:color w:val="auto"/>
                <w:sz w:val="21"/>
                <w:highlight w:val="none"/>
              </w:rPr>
            </w:pPr>
          </w:p>
          <w:p w14:paraId="1B34E57B">
            <w:pPr>
              <w:pStyle w:val="11"/>
              <w:spacing w:before="68" w:line="221" w:lineRule="auto"/>
              <w:ind w:left="141"/>
              <w:rPr>
                <w:color w:val="auto"/>
                <w:highlight w:val="none"/>
              </w:rPr>
            </w:pPr>
            <w:r>
              <w:rPr>
                <w:color w:val="auto"/>
                <w:spacing w:val="-2"/>
                <w:highlight w:val="none"/>
              </w:rPr>
              <w:t>数量</w:t>
            </w:r>
          </w:p>
        </w:tc>
        <w:tc>
          <w:tcPr>
            <w:tcW w:w="864" w:type="dxa"/>
            <w:vAlign w:val="top"/>
          </w:tcPr>
          <w:p w14:paraId="3784792A">
            <w:pPr>
              <w:pStyle w:val="11"/>
              <w:spacing w:before="67"/>
              <w:ind w:left="146" w:right="140" w:firstLine="85"/>
              <w:jc w:val="both"/>
              <w:rPr>
                <w:color w:val="auto"/>
                <w:highlight w:val="none"/>
              </w:rPr>
            </w:pPr>
            <w:r>
              <w:rPr>
                <w:color w:val="auto"/>
                <w:spacing w:val="-4"/>
                <w:highlight w:val="none"/>
              </w:rPr>
              <w:t>风险</w:t>
            </w:r>
            <w:r>
              <w:rPr>
                <w:color w:val="auto"/>
                <w:highlight w:val="none"/>
              </w:rPr>
              <w:t xml:space="preserve"> </w:t>
            </w:r>
            <w:r>
              <w:rPr>
                <w:color w:val="auto"/>
                <w:spacing w:val="39"/>
                <w:highlight w:val="none"/>
              </w:rPr>
              <w:t>系数</w:t>
            </w:r>
            <w:r>
              <w:rPr>
                <w:color w:val="auto"/>
                <w:highlight w:val="none"/>
              </w:rPr>
              <w:t xml:space="preserve"> </w:t>
            </w:r>
            <w:r>
              <w:rPr>
                <w:color w:val="auto"/>
                <w:spacing w:val="-8"/>
                <w:highlight w:val="none"/>
              </w:rPr>
              <w:t>（</w:t>
            </w:r>
            <w:r>
              <w:rPr>
                <w:rFonts w:ascii="Times New Roman" w:hAnsi="Times New Roman" w:eastAsia="Times New Roman" w:cs="Times New Roman"/>
                <w:color w:val="auto"/>
                <w:spacing w:val="-8"/>
                <w:highlight w:val="none"/>
              </w:rPr>
              <w:t>%</w:t>
            </w:r>
            <w:r>
              <w:rPr>
                <w:color w:val="auto"/>
                <w:spacing w:val="-8"/>
                <w:highlight w:val="none"/>
              </w:rPr>
              <w:t>）</w:t>
            </w:r>
          </w:p>
        </w:tc>
        <w:tc>
          <w:tcPr>
            <w:tcW w:w="907" w:type="dxa"/>
            <w:vAlign w:val="top"/>
          </w:tcPr>
          <w:p w14:paraId="4BA330B6">
            <w:pPr>
              <w:pStyle w:val="11"/>
              <w:spacing w:before="66" w:line="233" w:lineRule="auto"/>
              <w:ind w:left="152" w:right="145" w:firstLine="99"/>
              <w:jc w:val="both"/>
              <w:rPr>
                <w:color w:val="auto"/>
                <w:highlight w:val="none"/>
              </w:rPr>
            </w:pPr>
            <w:r>
              <w:rPr>
                <w:color w:val="auto"/>
                <w:spacing w:val="-3"/>
                <w:highlight w:val="none"/>
              </w:rPr>
              <w:t>基准</w:t>
            </w:r>
            <w:r>
              <w:rPr>
                <w:color w:val="auto"/>
                <w:highlight w:val="none"/>
              </w:rPr>
              <w:t xml:space="preserve">  </w:t>
            </w:r>
            <w:r>
              <w:rPr>
                <w:color w:val="auto"/>
                <w:spacing w:val="46"/>
                <w:highlight w:val="none"/>
              </w:rPr>
              <w:t>单价</w:t>
            </w:r>
            <w:r>
              <w:rPr>
                <w:color w:val="auto"/>
                <w:highlight w:val="none"/>
              </w:rPr>
              <w:t xml:space="preserve">  </w:t>
            </w:r>
            <w:r>
              <w:rPr>
                <w:color w:val="auto"/>
                <w:spacing w:val="-9"/>
                <w:highlight w:val="none"/>
              </w:rPr>
              <w:t>（元）</w:t>
            </w:r>
          </w:p>
        </w:tc>
        <w:tc>
          <w:tcPr>
            <w:tcW w:w="1248" w:type="dxa"/>
            <w:vAlign w:val="top"/>
          </w:tcPr>
          <w:p w14:paraId="595996F3">
            <w:pPr>
              <w:pStyle w:val="11"/>
              <w:spacing w:before="202" w:line="231" w:lineRule="auto"/>
              <w:ind w:left="325" w:right="192" w:hanging="109"/>
              <w:rPr>
                <w:color w:val="auto"/>
                <w:highlight w:val="none"/>
              </w:rPr>
            </w:pPr>
            <w:r>
              <w:rPr>
                <w:color w:val="auto"/>
                <w:spacing w:val="-2"/>
                <w:highlight w:val="none"/>
              </w:rPr>
              <w:t>投标单价</w:t>
            </w:r>
            <w:r>
              <w:rPr>
                <w:color w:val="auto"/>
                <w:spacing w:val="1"/>
                <w:highlight w:val="none"/>
              </w:rPr>
              <w:t xml:space="preserve"> </w:t>
            </w:r>
            <w:r>
              <w:rPr>
                <w:color w:val="auto"/>
                <w:spacing w:val="-6"/>
                <w:highlight w:val="none"/>
              </w:rPr>
              <w:t>（元）</w:t>
            </w:r>
          </w:p>
        </w:tc>
        <w:tc>
          <w:tcPr>
            <w:tcW w:w="1382" w:type="dxa"/>
            <w:vAlign w:val="top"/>
          </w:tcPr>
          <w:p w14:paraId="53F91756">
            <w:pPr>
              <w:pStyle w:val="11"/>
              <w:spacing w:before="67" w:line="230" w:lineRule="auto"/>
              <w:ind w:left="386" w:right="153" w:hanging="207"/>
              <w:rPr>
                <w:color w:val="auto"/>
                <w:highlight w:val="none"/>
              </w:rPr>
            </w:pPr>
            <w:r>
              <w:rPr>
                <w:color w:val="auto"/>
                <w:spacing w:val="-2"/>
                <w:highlight w:val="none"/>
              </w:rPr>
              <w:t>发承包人确</w:t>
            </w:r>
            <w:r>
              <w:rPr>
                <w:color w:val="auto"/>
                <w:spacing w:val="3"/>
                <w:highlight w:val="none"/>
              </w:rPr>
              <w:t xml:space="preserve"> </w:t>
            </w:r>
            <w:r>
              <w:rPr>
                <w:color w:val="auto"/>
                <w:spacing w:val="-2"/>
                <w:highlight w:val="none"/>
              </w:rPr>
              <w:t>认单价</w:t>
            </w:r>
          </w:p>
          <w:p w14:paraId="3FBF422F">
            <w:pPr>
              <w:pStyle w:val="11"/>
              <w:spacing w:before="19" w:line="221" w:lineRule="auto"/>
              <w:ind w:left="393"/>
              <w:rPr>
                <w:color w:val="auto"/>
                <w:highlight w:val="none"/>
              </w:rPr>
            </w:pPr>
            <w:r>
              <w:rPr>
                <w:color w:val="auto"/>
                <w:spacing w:val="-6"/>
                <w:highlight w:val="none"/>
              </w:rPr>
              <w:t>（元）</w:t>
            </w:r>
          </w:p>
        </w:tc>
        <w:tc>
          <w:tcPr>
            <w:tcW w:w="609" w:type="dxa"/>
            <w:textDirection w:val="tbRlV"/>
            <w:vAlign w:val="top"/>
          </w:tcPr>
          <w:p w14:paraId="510A9F4C">
            <w:pPr>
              <w:pStyle w:val="11"/>
              <w:spacing w:before="195" w:line="210" w:lineRule="auto"/>
              <w:ind w:left="202"/>
              <w:rPr>
                <w:color w:val="auto"/>
                <w:highlight w:val="none"/>
              </w:rPr>
            </w:pPr>
            <w:r>
              <w:rPr>
                <w:color w:val="auto"/>
                <w:spacing w:val="1"/>
                <w:highlight w:val="none"/>
              </w:rPr>
              <w:t>备</w:t>
            </w:r>
            <w:r>
              <w:rPr>
                <w:color w:val="auto"/>
                <w:spacing w:val="-43"/>
                <w:highlight w:val="none"/>
              </w:rPr>
              <w:t xml:space="preserve"> </w:t>
            </w:r>
            <w:r>
              <w:rPr>
                <w:color w:val="auto"/>
                <w:spacing w:val="1"/>
                <w:highlight w:val="none"/>
              </w:rPr>
              <w:t>注</w:t>
            </w:r>
          </w:p>
        </w:tc>
      </w:tr>
      <w:tr w14:paraId="1D2C0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0CEAFF87">
            <w:pPr>
              <w:rPr>
                <w:rFonts w:ascii="Arial"/>
                <w:color w:val="auto"/>
                <w:sz w:val="21"/>
                <w:highlight w:val="none"/>
              </w:rPr>
            </w:pPr>
          </w:p>
        </w:tc>
        <w:tc>
          <w:tcPr>
            <w:tcW w:w="1468" w:type="dxa"/>
            <w:vAlign w:val="top"/>
          </w:tcPr>
          <w:p w14:paraId="7E7C9C76">
            <w:pPr>
              <w:rPr>
                <w:rFonts w:ascii="Arial"/>
                <w:color w:val="auto"/>
                <w:sz w:val="21"/>
                <w:highlight w:val="none"/>
              </w:rPr>
            </w:pPr>
          </w:p>
        </w:tc>
        <w:tc>
          <w:tcPr>
            <w:tcW w:w="595" w:type="dxa"/>
            <w:vAlign w:val="top"/>
          </w:tcPr>
          <w:p w14:paraId="719D368A">
            <w:pPr>
              <w:rPr>
                <w:rFonts w:ascii="Arial"/>
                <w:color w:val="auto"/>
                <w:sz w:val="21"/>
                <w:highlight w:val="none"/>
              </w:rPr>
            </w:pPr>
          </w:p>
        </w:tc>
        <w:tc>
          <w:tcPr>
            <w:tcW w:w="686" w:type="dxa"/>
            <w:vAlign w:val="top"/>
          </w:tcPr>
          <w:p w14:paraId="79A4B508">
            <w:pPr>
              <w:rPr>
                <w:rFonts w:ascii="Arial"/>
                <w:color w:val="auto"/>
                <w:sz w:val="21"/>
                <w:highlight w:val="none"/>
              </w:rPr>
            </w:pPr>
          </w:p>
        </w:tc>
        <w:tc>
          <w:tcPr>
            <w:tcW w:w="864" w:type="dxa"/>
            <w:vAlign w:val="top"/>
          </w:tcPr>
          <w:p w14:paraId="0E26FA61">
            <w:pPr>
              <w:rPr>
                <w:rFonts w:ascii="Arial"/>
                <w:color w:val="auto"/>
                <w:sz w:val="21"/>
                <w:highlight w:val="none"/>
              </w:rPr>
            </w:pPr>
          </w:p>
        </w:tc>
        <w:tc>
          <w:tcPr>
            <w:tcW w:w="907" w:type="dxa"/>
            <w:vAlign w:val="top"/>
          </w:tcPr>
          <w:p w14:paraId="3AD1963A">
            <w:pPr>
              <w:rPr>
                <w:rFonts w:ascii="Arial"/>
                <w:color w:val="auto"/>
                <w:sz w:val="21"/>
                <w:highlight w:val="none"/>
              </w:rPr>
            </w:pPr>
          </w:p>
        </w:tc>
        <w:tc>
          <w:tcPr>
            <w:tcW w:w="1248" w:type="dxa"/>
            <w:vAlign w:val="top"/>
          </w:tcPr>
          <w:p w14:paraId="70DCB9AE">
            <w:pPr>
              <w:rPr>
                <w:rFonts w:ascii="Arial"/>
                <w:color w:val="auto"/>
                <w:sz w:val="21"/>
                <w:highlight w:val="none"/>
              </w:rPr>
            </w:pPr>
          </w:p>
        </w:tc>
        <w:tc>
          <w:tcPr>
            <w:tcW w:w="1382" w:type="dxa"/>
            <w:vAlign w:val="top"/>
          </w:tcPr>
          <w:p w14:paraId="130A22AA">
            <w:pPr>
              <w:rPr>
                <w:rFonts w:ascii="Arial"/>
                <w:color w:val="auto"/>
                <w:sz w:val="21"/>
                <w:highlight w:val="none"/>
              </w:rPr>
            </w:pPr>
          </w:p>
        </w:tc>
        <w:tc>
          <w:tcPr>
            <w:tcW w:w="609" w:type="dxa"/>
            <w:vAlign w:val="top"/>
          </w:tcPr>
          <w:p w14:paraId="1B248C8A">
            <w:pPr>
              <w:rPr>
                <w:rFonts w:ascii="Arial"/>
                <w:color w:val="auto"/>
                <w:sz w:val="21"/>
                <w:highlight w:val="none"/>
              </w:rPr>
            </w:pPr>
          </w:p>
        </w:tc>
      </w:tr>
      <w:tr w14:paraId="7EACB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40457A7F">
            <w:pPr>
              <w:rPr>
                <w:rFonts w:ascii="Arial"/>
                <w:color w:val="auto"/>
                <w:sz w:val="21"/>
                <w:highlight w:val="none"/>
              </w:rPr>
            </w:pPr>
          </w:p>
        </w:tc>
        <w:tc>
          <w:tcPr>
            <w:tcW w:w="1468" w:type="dxa"/>
            <w:vAlign w:val="top"/>
          </w:tcPr>
          <w:p w14:paraId="614E0001">
            <w:pPr>
              <w:rPr>
                <w:rFonts w:ascii="Arial"/>
                <w:color w:val="auto"/>
                <w:sz w:val="21"/>
                <w:highlight w:val="none"/>
              </w:rPr>
            </w:pPr>
          </w:p>
        </w:tc>
        <w:tc>
          <w:tcPr>
            <w:tcW w:w="595" w:type="dxa"/>
            <w:vAlign w:val="top"/>
          </w:tcPr>
          <w:p w14:paraId="572B89B8">
            <w:pPr>
              <w:rPr>
                <w:rFonts w:ascii="Arial"/>
                <w:color w:val="auto"/>
                <w:sz w:val="21"/>
                <w:highlight w:val="none"/>
              </w:rPr>
            </w:pPr>
          </w:p>
        </w:tc>
        <w:tc>
          <w:tcPr>
            <w:tcW w:w="686" w:type="dxa"/>
            <w:vAlign w:val="top"/>
          </w:tcPr>
          <w:p w14:paraId="1CF4DC7A">
            <w:pPr>
              <w:rPr>
                <w:rFonts w:ascii="Arial"/>
                <w:color w:val="auto"/>
                <w:sz w:val="21"/>
                <w:highlight w:val="none"/>
              </w:rPr>
            </w:pPr>
          </w:p>
        </w:tc>
        <w:tc>
          <w:tcPr>
            <w:tcW w:w="864" w:type="dxa"/>
            <w:vAlign w:val="top"/>
          </w:tcPr>
          <w:p w14:paraId="12BE8266">
            <w:pPr>
              <w:rPr>
                <w:rFonts w:ascii="Arial"/>
                <w:color w:val="auto"/>
                <w:sz w:val="21"/>
                <w:highlight w:val="none"/>
              </w:rPr>
            </w:pPr>
          </w:p>
        </w:tc>
        <w:tc>
          <w:tcPr>
            <w:tcW w:w="907" w:type="dxa"/>
            <w:vAlign w:val="top"/>
          </w:tcPr>
          <w:p w14:paraId="44B469B5">
            <w:pPr>
              <w:rPr>
                <w:rFonts w:ascii="Arial"/>
                <w:color w:val="auto"/>
                <w:sz w:val="21"/>
                <w:highlight w:val="none"/>
              </w:rPr>
            </w:pPr>
          </w:p>
        </w:tc>
        <w:tc>
          <w:tcPr>
            <w:tcW w:w="1248" w:type="dxa"/>
            <w:vAlign w:val="top"/>
          </w:tcPr>
          <w:p w14:paraId="7851D9F2">
            <w:pPr>
              <w:rPr>
                <w:rFonts w:ascii="Arial"/>
                <w:color w:val="auto"/>
                <w:sz w:val="21"/>
                <w:highlight w:val="none"/>
              </w:rPr>
            </w:pPr>
          </w:p>
        </w:tc>
        <w:tc>
          <w:tcPr>
            <w:tcW w:w="1382" w:type="dxa"/>
            <w:vAlign w:val="top"/>
          </w:tcPr>
          <w:p w14:paraId="45EFF555">
            <w:pPr>
              <w:rPr>
                <w:rFonts w:ascii="Arial"/>
                <w:color w:val="auto"/>
                <w:sz w:val="21"/>
                <w:highlight w:val="none"/>
              </w:rPr>
            </w:pPr>
          </w:p>
        </w:tc>
        <w:tc>
          <w:tcPr>
            <w:tcW w:w="609" w:type="dxa"/>
            <w:vAlign w:val="top"/>
          </w:tcPr>
          <w:p w14:paraId="3325984E">
            <w:pPr>
              <w:rPr>
                <w:rFonts w:ascii="Arial"/>
                <w:color w:val="auto"/>
                <w:sz w:val="21"/>
                <w:highlight w:val="none"/>
              </w:rPr>
            </w:pPr>
          </w:p>
        </w:tc>
      </w:tr>
      <w:tr w14:paraId="7061F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552" w:type="dxa"/>
            <w:vAlign w:val="top"/>
          </w:tcPr>
          <w:p w14:paraId="200F0940">
            <w:pPr>
              <w:rPr>
                <w:rFonts w:ascii="Arial"/>
                <w:color w:val="auto"/>
                <w:sz w:val="21"/>
                <w:highlight w:val="none"/>
              </w:rPr>
            </w:pPr>
          </w:p>
        </w:tc>
        <w:tc>
          <w:tcPr>
            <w:tcW w:w="1468" w:type="dxa"/>
            <w:vAlign w:val="top"/>
          </w:tcPr>
          <w:p w14:paraId="46E01F58">
            <w:pPr>
              <w:rPr>
                <w:rFonts w:ascii="Arial"/>
                <w:color w:val="auto"/>
                <w:sz w:val="21"/>
                <w:highlight w:val="none"/>
              </w:rPr>
            </w:pPr>
          </w:p>
        </w:tc>
        <w:tc>
          <w:tcPr>
            <w:tcW w:w="595" w:type="dxa"/>
            <w:vAlign w:val="top"/>
          </w:tcPr>
          <w:p w14:paraId="78EB3AC5">
            <w:pPr>
              <w:rPr>
                <w:rFonts w:ascii="Arial"/>
                <w:color w:val="auto"/>
                <w:sz w:val="21"/>
                <w:highlight w:val="none"/>
              </w:rPr>
            </w:pPr>
          </w:p>
        </w:tc>
        <w:tc>
          <w:tcPr>
            <w:tcW w:w="686" w:type="dxa"/>
            <w:vAlign w:val="top"/>
          </w:tcPr>
          <w:p w14:paraId="1BBD1C24">
            <w:pPr>
              <w:rPr>
                <w:rFonts w:ascii="Arial"/>
                <w:color w:val="auto"/>
                <w:sz w:val="21"/>
                <w:highlight w:val="none"/>
              </w:rPr>
            </w:pPr>
          </w:p>
        </w:tc>
        <w:tc>
          <w:tcPr>
            <w:tcW w:w="864" w:type="dxa"/>
            <w:vAlign w:val="top"/>
          </w:tcPr>
          <w:p w14:paraId="32CE0BE8">
            <w:pPr>
              <w:rPr>
                <w:rFonts w:ascii="Arial"/>
                <w:color w:val="auto"/>
                <w:sz w:val="21"/>
                <w:highlight w:val="none"/>
              </w:rPr>
            </w:pPr>
          </w:p>
        </w:tc>
        <w:tc>
          <w:tcPr>
            <w:tcW w:w="907" w:type="dxa"/>
            <w:vAlign w:val="top"/>
          </w:tcPr>
          <w:p w14:paraId="7B7A374E">
            <w:pPr>
              <w:rPr>
                <w:rFonts w:ascii="Arial"/>
                <w:color w:val="auto"/>
                <w:sz w:val="21"/>
                <w:highlight w:val="none"/>
              </w:rPr>
            </w:pPr>
          </w:p>
        </w:tc>
        <w:tc>
          <w:tcPr>
            <w:tcW w:w="1248" w:type="dxa"/>
            <w:vAlign w:val="top"/>
          </w:tcPr>
          <w:p w14:paraId="362931CA">
            <w:pPr>
              <w:rPr>
                <w:rFonts w:ascii="Arial"/>
                <w:color w:val="auto"/>
                <w:sz w:val="21"/>
                <w:highlight w:val="none"/>
              </w:rPr>
            </w:pPr>
          </w:p>
        </w:tc>
        <w:tc>
          <w:tcPr>
            <w:tcW w:w="1382" w:type="dxa"/>
            <w:vAlign w:val="top"/>
          </w:tcPr>
          <w:p w14:paraId="3F772E87">
            <w:pPr>
              <w:rPr>
                <w:rFonts w:ascii="Arial"/>
                <w:color w:val="auto"/>
                <w:sz w:val="21"/>
                <w:highlight w:val="none"/>
              </w:rPr>
            </w:pPr>
          </w:p>
        </w:tc>
        <w:tc>
          <w:tcPr>
            <w:tcW w:w="609" w:type="dxa"/>
            <w:vAlign w:val="top"/>
          </w:tcPr>
          <w:p w14:paraId="14668FE6">
            <w:pPr>
              <w:rPr>
                <w:rFonts w:ascii="Arial"/>
                <w:color w:val="auto"/>
                <w:sz w:val="21"/>
                <w:highlight w:val="none"/>
              </w:rPr>
            </w:pPr>
          </w:p>
        </w:tc>
      </w:tr>
      <w:tr w14:paraId="21E9B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C3AC143">
            <w:pPr>
              <w:rPr>
                <w:rFonts w:ascii="Arial"/>
                <w:color w:val="auto"/>
                <w:sz w:val="21"/>
                <w:highlight w:val="none"/>
              </w:rPr>
            </w:pPr>
          </w:p>
        </w:tc>
        <w:tc>
          <w:tcPr>
            <w:tcW w:w="1468" w:type="dxa"/>
            <w:vAlign w:val="top"/>
          </w:tcPr>
          <w:p w14:paraId="3D75B725">
            <w:pPr>
              <w:rPr>
                <w:rFonts w:ascii="Arial"/>
                <w:color w:val="auto"/>
                <w:sz w:val="21"/>
                <w:highlight w:val="none"/>
              </w:rPr>
            </w:pPr>
          </w:p>
        </w:tc>
        <w:tc>
          <w:tcPr>
            <w:tcW w:w="595" w:type="dxa"/>
            <w:vAlign w:val="top"/>
          </w:tcPr>
          <w:p w14:paraId="5D1DFC43">
            <w:pPr>
              <w:rPr>
                <w:rFonts w:ascii="Arial"/>
                <w:color w:val="auto"/>
                <w:sz w:val="21"/>
                <w:highlight w:val="none"/>
              </w:rPr>
            </w:pPr>
          </w:p>
        </w:tc>
        <w:tc>
          <w:tcPr>
            <w:tcW w:w="686" w:type="dxa"/>
            <w:vAlign w:val="top"/>
          </w:tcPr>
          <w:p w14:paraId="25A3529D">
            <w:pPr>
              <w:rPr>
                <w:rFonts w:ascii="Arial"/>
                <w:color w:val="auto"/>
                <w:sz w:val="21"/>
                <w:highlight w:val="none"/>
              </w:rPr>
            </w:pPr>
          </w:p>
        </w:tc>
        <w:tc>
          <w:tcPr>
            <w:tcW w:w="864" w:type="dxa"/>
            <w:vAlign w:val="top"/>
          </w:tcPr>
          <w:p w14:paraId="3202D908">
            <w:pPr>
              <w:rPr>
                <w:rFonts w:ascii="Arial"/>
                <w:color w:val="auto"/>
                <w:sz w:val="21"/>
                <w:highlight w:val="none"/>
              </w:rPr>
            </w:pPr>
          </w:p>
        </w:tc>
        <w:tc>
          <w:tcPr>
            <w:tcW w:w="907" w:type="dxa"/>
            <w:vAlign w:val="top"/>
          </w:tcPr>
          <w:p w14:paraId="2FA6AAC1">
            <w:pPr>
              <w:rPr>
                <w:rFonts w:ascii="Arial"/>
                <w:color w:val="auto"/>
                <w:sz w:val="21"/>
                <w:highlight w:val="none"/>
              </w:rPr>
            </w:pPr>
          </w:p>
        </w:tc>
        <w:tc>
          <w:tcPr>
            <w:tcW w:w="1248" w:type="dxa"/>
            <w:vAlign w:val="top"/>
          </w:tcPr>
          <w:p w14:paraId="17D58B82">
            <w:pPr>
              <w:rPr>
                <w:rFonts w:ascii="Arial"/>
                <w:color w:val="auto"/>
                <w:sz w:val="21"/>
                <w:highlight w:val="none"/>
              </w:rPr>
            </w:pPr>
          </w:p>
        </w:tc>
        <w:tc>
          <w:tcPr>
            <w:tcW w:w="1382" w:type="dxa"/>
            <w:vAlign w:val="top"/>
          </w:tcPr>
          <w:p w14:paraId="278A4BD7">
            <w:pPr>
              <w:rPr>
                <w:rFonts w:ascii="Arial"/>
                <w:color w:val="auto"/>
                <w:sz w:val="21"/>
                <w:highlight w:val="none"/>
              </w:rPr>
            </w:pPr>
          </w:p>
        </w:tc>
        <w:tc>
          <w:tcPr>
            <w:tcW w:w="609" w:type="dxa"/>
            <w:vAlign w:val="top"/>
          </w:tcPr>
          <w:p w14:paraId="765C773B">
            <w:pPr>
              <w:rPr>
                <w:rFonts w:ascii="Arial"/>
                <w:color w:val="auto"/>
                <w:sz w:val="21"/>
                <w:highlight w:val="none"/>
              </w:rPr>
            </w:pPr>
          </w:p>
        </w:tc>
      </w:tr>
      <w:tr w14:paraId="11C87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2" w:type="dxa"/>
            <w:vAlign w:val="top"/>
          </w:tcPr>
          <w:p w14:paraId="0D666212">
            <w:pPr>
              <w:rPr>
                <w:rFonts w:ascii="Arial"/>
                <w:color w:val="auto"/>
                <w:sz w:val="21"/>
                <w:highlight w:val="none"/>
              </w:rPr>
            </w:pPr>
          </w:p>
        </w:tc>
        <w:tc>
          <w:tcPr>
            <w:tcW w:w="1468" w:type="dxa"/>
            <w:vAlign w:val="top"/>
          </w:tcPr>
          <w:p w14:paraId="3B62A343">
            <w:pPr>
              <w:rPr>
                <w:rFonts w:ascii="Arial"/>
                <w:color w:val="auto"/>
                <w:sz w:val="21"/>
                <w:highlight w:val="none"/>
              </w:rPr>
            </w:pPr>
          </w:p>
        </w:tc>
        <w:tc>
          <w:tcPr>
            <w:tcW w:w="595" w:type="dxa"/>
            <w:vAlign w:val="top"/>
          </w:tcPr>
          <w:p w14:paraId="36047119">
            <w:pPr>
              <w:rPr>
                <w:rFonts w:ascii="Arial"/>
                <w:color w:val="auto"/>
                <w:sz w:val="21"/>
                <w:highlight w:val="none"/>
              </w:rPr>
            </w:pPr>
          </w:p>
        </w:tc>
        <w:tc>
          <w:tcPr>
            <w:tcW w:w="686" w:type="dxa"/>
            <w:vAlign w:val="top"/>
          </w:tcPr>
          <w:p w14:paraId="67A37A6E">
            <w:pPr>
              <w:rPr>
                <w:rFonts w:ascii="Arial"/>
                <w:color w:val="auto"/>
                <w:sz w:val="21"/>
                <w:highlight w:val="none"/>
              </w:rPr>
            </w:pPr>
          </w:p>
        </w:tc>
        <w:tc>
          <w:tcPr>
            <w:tcW w:w="864" w:type="dxa"/>
            <w:vAlign w:val="top"/>
          </w:tcPr>
          <w:p w14:paraId="385F27D2">
            <w:pPr>
              <w:rPr>
                <w:rFonts w:ascii="Arial"/>
                <w:color w:val="auto"/>
                <w:sz w:val="21"/>
                <w:highlight w:val="none"/>
              </w:rPr>
            </w:pPr>
          </w:p>
        </w:tc>
        <w:tc>
          <w:tcPr>
            <w:tcW w:w="907" w:type="dxa"/>
            <w:vAlign w:val="top"/>
          </w:tcPr>
          <w:p w14:paraId="65E1739B">
            <w:pPr>
              <w:rPr>
                <w:rFonts w:ascii="Arial"/>
                <w:color w:val="auto"/>
                <w:sz w:val="21"/>
                <w:highlight w:val="none"/>
              </w:rPr>
            </w:pPr>
          </w:p>
        </w:tc>
        <w:tc>
          <w:tcPr>
            <w:tcW w:w="1248" w:type="dxa"/>
            <w:vAlign w:val="top"/>
          </w:tcPr>
          <w:p w14:paraId="2CDF69F1">
            <w:pPr>
              <w:rPr>
                <w:rFonts w:ascii="Arial"/>
                <w:color w:val="auto"/>
                <w:sz w:val="21"/>
                <w:highlight w:val="none"/>
              </w:rPr>
            </w:pPr>
          </w:p>
        </w:tc>
        <w:tc>
          <w:tcPr>
            <w:tcW w:w="1382" w:type="dxa"/>
            <w:vAlign w:val="top"/>
          </w:tcPr>
          <w:p w14:paraId="640F5CCC">
            <w:pPr>
              <w:rPr>
                <w:rFonts w:ascii="Arial"/>
                <w:color w:val="auto"/>
                <w:sz w:val="21"/>
                <w:highlight w:val="none"/>
              </w:rPr>
            </w:pPr>
          </w:p>
        </w:tc>
        <w:tc>
          <w:tcPr>
            <w:tcW w:w="609" w:type="dxa"/>
            <w:vAlign w:val="top"/>
          </w:tcPr>
          <w:p w14:paraId="651F233D">
            <w:pPr>
              <w:rPr>
                <w:rFonts w:ascii="Arial"/>
                <w:color w:val="auto"/>
                <w:sz w:val="21"/>
                <w:highlight w:val="none"/>
              </w:rPr>
            </w:pPr>
          </w:p>
        </w:tc>
      </w:tr>
      <w:tr w14:paraId="50BF3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552" w:type="dxa"/>
            <w:vAlign w:val="top"/>
          </w:tcPr>
          <w:p w14:paraId="06F60C09">
            <w:pPr>
              <w:rPr>
                <w:rFonts w:ascii="Arial"/>
                <w:color w:val="auto"/>
                <w:sz w:val="21"/>
                <w:highlight w:val="none"/>
              </w:rPr>
            </w:pPr>
          </w:p>
        </w:tc>
        <w:tc>
          <w:tcPr>
            <w:tcW w:w="1468" w:type="dxa"/>
            <w:vAlign w:val="top"/>
          </w:tcPr>
          <w:p w14:paraId="0A3FB656">
            <w:pPr>
              <w:rPr>
                <w:rFonts w:ascii="Arial"/>
                <w:color w:val="auto"/>
                <w:sz w:val="21"/>
                <w:highlight w:val="none"/>
              </w:rPr>
            </w:pPr>
          </w:p>
        </w:tc>
        <w:tc>
          <w:tcPr>
            <w:tcW w:w="595" w:type="dxa"/>
            <w:vAlign w:val="top"/>
          </w:tcPr>
          <w:p w14:paraId="7E94B504">
            <w:pPr>
              <w:rPr>
                <w:rFonts w:ascii="Arial"/>
                <w:color w:val="auto"/>
                <w:sz w:val="21"/>
                <w:highlight w:val="none"/>
              </w:rPr>
            </w:pPr>
          </w:p>
        </w:tc>
        <w:tc>
          <w:tcPr>
            <w:tcW w:w="686" w:type="dxa"/>
            <w:vAlign w:val="top"/>
          </w:tcPr>
          <w:p w14:paraId="4E819E79">
            <w:pPr>
              <w:rPr>
                <w:rFonts w:ascii="Arial"/>
                <w:color w:val="auto"/>
                <w:sz w:val="21"/>
                <w:highlight w:val="none"/>
              </w:rPr>
            </w:pPr>
          </w:p>
        </w:tc>
        <w:tc>
          <w:tcPr>
            <w:tcW w:w="864" w:type="dxa"/>
            <w:vAlign w:val="top"/>
          </w:tcPr>
          <w:p w14:paraId="4EDC6CC3">
            <w:pPr>
              <w:rPr>
                <w:rFonts w:ascii="Arial"/>
                <w:color w:val="auto"/>
                <w:sz w:val="21"/>
                <w:highlight w:val="none"/>
              </w:rPr>
            </w:pPr>
          </w:p>
        </w:tc>
        <w:tc>
          <w:tcPr>
            <w:tcW w:w="907" w:type="dxa"/>
            <w:vAlign w:val="top"/>
          </w:tcPr>
          <w:p w14:paraId="498A8E29">
            <w:pPr>
              <w:rPr>
                <w:rFonts w:ascii="Arial"/>
                <w:color w:val="auto"/>
                <w:sz w:val="21"/>
                <w:highlight w:val="none"/>
              </w:rPr>
            </w:pPr>
          </w:p>
        </w:tc>
        <w:tc>
          <w:tcPr>
            <w:tcW w:w="1248" w:type="dxa"/>
            <w:vAlign w:val="top"/>
          </w:tcPr>
          <w:p w14:paraId="1D23E0DA">
            <w:pPr>
              <w:rPr>
                <w:rFonts w:ascii="Arial"/>
                <w:color w:val="auto"/>
                <w:sz w:val="21"/>
                <w:highlight w:val="none"/>
              </w:rPr>
            </w:pPr>
          </w:p>
        </w:tc>
        <w:tc>
          <w:tcPr>
            <w:tcW w:w="1382" w:type="dxa"/>
            <w:vAlign w:val="top"/>
          </w:tcPr>
          <w:p w14:paraId="5118A3E4">
            <w:pPr>
              <w:rPr>
                <w:rFonts w:ascii="Arial"/>
                <w:color w:val="auto"/>
                <w:sz w:val="21"/>
                <w:highlight w:val="none"/>
              </w:rPr>
            </w:pPr>
          </w:p>
        </w:tc>
        <w:tc>
          <w:tcPr>
            <w:tcW w:w="609" w:type="dxa"/>
            <w:vAlign w:val="top"/>
          </w:tcPr>
          <w:p w14:paraId="6E778E76">
            <w:pPr>
              <w:rPr>
                <w:rFonts w:ascii="Arial"/>
                <w:color w:val="auto"/>
                <w:sz w:val="21"/>
                <w:highlight w:val="none"/>
              </w:rPr>
            </w:pPr>
          </w:p>
        </w:tc>
      </w:tr>
      <w:tr w14:paraId="6E6B1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2B1B7936">
            <w:pPr>
              <w:rPr>
                <w:rFonts w:ascii="Arial"/>
                <w:color w:val="auto"/>
                <w:sz w:val="21"/>
                <w:highlight w:val="none"/>
              </w:rPr>
            </w:pPr>
          </w:p>
        </w:tc>
        <w:tc>
          <w:tcPr>
            <w:tcW w:w="1468" w:type="dxa"/>
            <w:vAlign w:val="top"/>
          </w:tcPr>
          <w:p w14:paraId="7B51454D">
            <w:pPr>
              <w:rPr>
                <w:rFonts w:ascii="Arial"/>
                <w:color w:val="auto"/>
                <w:sz w:val="21"/>
                <w:highlight w:val="none"/>
              </w:rPr>
            </w:pPr>
          </w:p>
        </w:tc>
        <w:tc>
          <w:tcPr>
            <w:tcW w:w="595" w:type="dxa"/>
            <w:vAlign w:val="top"/>
          </w:tcPr>
          <w:p w14:paraId="01BAAA46">
            <w:pPr>
              <w:rPr>
                <w:rFonts w:ascii="Arial"/>
                <w:color w:val="auto"/>
                <w:sz w:val="21"/>
                <w:highlight w:val="none"/>
              </w:rPr>
            </w:pPr>
          </w:p>
        </w:tc>
        <w:tc>
          <w:tcPr>
            <w:tcW w:w="686" w:type="dxa"/>
            <w:vAlign w:val="top"/>
          </w:tcPr>
          <w:p w14:paraId="121D018D">
            <w:pPr>
              <w:rPr>
                <w:rFonts w:ascii="Arial"/>
                <w:color w:val="auto"/>
                <w:sz w:val="21"/>
                <w:highlight w:val="none"/>
              </w:rPr>
            </w:pPr>
          </w:p>
        </w:tc>
        <w:tc>
          <w:tcPr>
            <w:tcW w:w="864" w:type="dxa"/>
            <w:vAlign w:val="top"/>
          </w:tcPr>
          <w:p w14:paraId="0F83E1CB">
            <w:pPr>
              <w:rPr>
                <w:rFonts w:ascii="Arial"/>
                <w:color w:val="auto"/>
                <w:sz w:val="21"/>
                <w:highlight w:val="none"/>
              </w:rPr>
            </w:pPr>
          </w:p>
        </w:tc>
        <w:tc>
          <w:tcPr>
            <w:tcW w:w="907" w:type="dxa"/>
            <w:vAlign w:val="top"/>
          </w:tcPr>
          <w:p w14:paraId="31535B93">
            <w:pPr>
              <w:rPr>
                <w:rFonts w:ascii="Arial"/>
                <w:color w:val="auto"/>
                <w:sz w:val="21"/>
                <w:highlight w:val="none"/>
              </w:rPr>
            </w:pPr>
          </w:p>
        </w:tc>
        <w:tc>
          <w:tcPr>
            <w:tcW w:w="1248" w:type="dxa"/>
            <w:vAlign w:val="top"/>
          </w:tcPr>
          <w:p w14:paraId="0AC2D5E3">
            <w:pPr>
              <w:rPr>
                <w:rFonts w:ascii="Arial"/>
                <w:color w:val="auto"/>
                <w:sz w:val="21"/>
                <w:highlight w:val="none"/>
              </w:rPr>
            </w:pPr>
          </w:p>
        </w:tc>
        <w:tc>
          <w:tcPr>
            <w:tcW w:w="1382" w:type="dxa"/>
            <w:vAlign w:val="top"/>
          </w:tcPr>
          <w:p w14:paraId="125A11BF">
            <w:pPr>
              <w:rPr>
                <w:rFonts w:ascii="Arial"/>
                <w:color w:val="auto"/>
                <w:sz w:val="21"/>
                <w:highlight w:val="none"/>
              </w:rPr>
            </w:pPr>
          </w:p>
        </w:tc>
        <w:tc>
          <w:tcPr>
            <w:tcW w:w="609" w:type="dxa"/>
            <w:vAlign w:val="top"/>
          </w:tcPr>
          <w:p w14:paraId="697C0335">
            <w:pPr>
              <w:rPr>
                <w:rFonts w:ascii="Arial"/>
                <w:color w:val="auto"/>
                <w:sz w:val="21"/>
                <w:highlight w:val="none"/>
              </w:rPr>
            </w:pPr>
          </w:p>
        </w:tc>
      </w:tr>
      <w:tr w14:paraId="53C68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3E1060D8">
            <w:pPr>
              <w:rPr>
                <w:rFonts w:ascii="Arial"/>
                <w:color w:val="auto"/>
                <w:sz w:val="21"/>
                <w:highlight w:val="none"/>
              </w:rPr>
            </w:pPr>
          </w:p>
        </w:tc>
        <w:tc>
          <w:tcPr>
            <w:tcW w:w="1468" w:type="dxa"/>
            <w:vAlign w:val="top"/>
          </w:tcPr>
          <w:p w14:paraId="47F43D1C">
            <w:pPr>
              <w:rPr>
                <w:rFonts w:ascii="Arial"/>
                <w:color w:val="auto"/>
                <w:sz w:val="21"/>
                <w:highlight w:val="none"/>
              </w:rPr>
            </w:pPr>
          </w:p>
        </w:tc>
        <w:tc>
          <w:tcPr>
            <w:tcW w:w="595" w:type="dxa"/>
            <w:vAlign w:val="top"/>
          </w:tcPr>
          <w:p w14:paraId="727390A7">
            <w:pPr>
              <w:rPr>
                <w:rFonts w:ascii="Arial"/>
                <w:color w:val="auto"/>
                <w:sz w:val="21"/>
                <w:highlight w:val="none"/>
              </w:rPr>
            </w:pPr>
          </w:p>
        </w:tc>
        <w:tc>
          <w:tcPr>
            <w:tcW w:w="686" w:type="dxa"/>
            <w:vAlign w:val="top"/>
          </w:tcPr>
          <w:p w14:paraId="0E236A8A">
            <w:pPr>
              <w:rPr>
                <w:rFonts w:ascii="Arial"/>
                <w:color w:val="auto"/>
                <w:sz w:val="21"/>
                <w:highlight w:val="none"/>
              </w:rPr>
            </w:pPr>
          </w:p>
        </w:tc>
        <w:tc>
          <w:tcPr>
            <w:tcW w:w="864" w:type="dxa"/>
            <w:vAlign w:val="top"/>
          </w:tcPr>
          <w:p w14:paraId="554CE20E">
            <w:pPr>
              <w:rPr>
                <w:rFonts w:ascii="Arial"/>
                <w:color w:val="auto"/>
                <w:sz w:val="21"/>
                <w:highlight w:val="none"/>
              </w:rPr>
            </w:pPr>
          </w:p>
        </w:tc>
        <w:tc>
          <w:tcPr>
            <w:tcW w:w="907" w:type="dxa"/>
            <w:vAlign w:val="top"/>
          </w:tcPr>
          <w:p w14:paraId="0F5001EC">
            <w:pPr>
              <w:rPr>
                <w:rFonts w:ascii="Arial"/>
                <w:color w:val="auto"/>
                <w:sz w:val="21"/>
                <w:highlight w:val="none"/>
              </w:rPr>
            </w:pPr>
          </w:p>
        </w:tc>
        <w:tc>
          <w:tcPr>
            <w:tcW w:w="1248" w:type="dxa"/>
            <w:vAlign w:val="top"/>
          </w:tcPr>
          <w:p w14:paraId="54BEC51D">
            <w:pPr>
              <w:rPr>
                <w:rFonts w:ascii="Arial"/>
                <w:color w:val="auto"/>
                <w:sz w:val="21"/>
                <w:highlight w:val="none"/>
              </w:rPr>
            </w:pPr>
          </w:p>
        </w:tc>
        <w:tc>
          <w:tcPr>
            <w:tcW w:w="1382" w:type="dxa"/>
            <w:vAlign w:val="top"/>
          </w:tcPr>
          <w:p w14:paraId="5EBA81DE">
            <w:pPr>
              <w:rPr>
                <w:rFonts w:ascii="Arial"/>
                <w:color w:val="auto"/>
                <w:sz w:val="21"/>
                <w:highlight w:val="none"/>
              </w:rPr>
            </w:pPr>
          </w:p>
        </w:tc>
        <w:tc>
          <w:tcPr>
            <w:tcW w:w="609" w:type="dxa"/>
            <w:vAlign w:val="top"/>
          </w:tcPr>
          <w:p w14:paraId="29CE5185">
            <w:pPr>
              <w:rPr>
                <w:rFonts w:ascii="Arial"/>
                <w:color w:val="auto"/>
                <w:sz w:val="21"/>
                <w:highlight w:val="none"/>
              </w:rPr>
            </w:pPr>
          </w:p>
        </w:tc>
      </w:tr>
      <w:tr w14:paraId="0950C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D85482D">
            <w:pPr>
              <w:rPr>
                <w:rFonts w:ascii="Arial"/>
                <w:color w:val="auto"/>
                <w:sz w:val="21"/>
                <w:highlight w:val="none"/>
              </w:rPr>
            </w:pPr>
          </w:p>
        </w:tc>
        <w:tc>
          <w:tcPr>
            <w:tcW w:w="1468" w:type="dxa"/>
            <w:vAlign w:val="top"/>
          </w:tcPr>
          <w:p w14:paraId="35CCF5D2">
            <w:pPr>
              <w:rPr>
                <w:rFonts w:ascii="Arial"/>
                <w:color w:val="auto"/>
                <w:sz w:val="21"/>
                <w:highlight w:val="none"/>
              </w:rPr>
            </w:pPr>
          </w:p>
        </w:tc>
        <w:tc>
          <w:tcPr>
            <w:tcW w:w="595" w:type="dxa"/>
            <w:vAlign w:val="top"/>
          </w:tcPr>
          <w:p w14:paraId="3304783D">
            <w:pPr>
              <w:rPr>
                <w:rFonts w:ascii="Arial"/>
                <w:color w:val="auto"/>
                <w:sz w:val="21"/>
                <w:highlight w:val="none"/>
              </w:rPr>
            </w:pPr>
          </w:p>
        </w:tc>
        <w:tc>
          <w:tcPr>
            <w:tcW w:w="686" w:type="dxa"/>
            <w:vAlign w:val="top"/>
          </w:tcPr>
          <w:p w14:paraId="0DFA6AAA">
            <w:pPr>
              <w:rPr>
                <w:rFonts w:ascii="Arial"/>
                <w:color w:val="auto"/>
                <w:sz w:val="21"/>
                <w:highlight w:val="none"/>
              </w:rPr>
            </w:pPr>
          </w:p>
        </w:tc>
        <w:tc>
          <w:tcPr>
            <w:tcW w:w="864" w:type="dxa"/>
            <w:vAlign w:val="top"/>
          </w:tcPr>
          <w:p w14:paraId="4E521019">
            <w:pPr>
              <w:rPr>
                <w:rFonts w:ascii="Arial"/>
                <w:color w:val="auto"/>
                <w:sz w:val="21"/>
                <w:highlight w:val="none"/>
              </w:rPr>
            </w:pPr>
          </w:p>
        </w:tc>
        <w:tc>
          <w:tcPr>
            <w:tcW w:w="907" w:type="dxa"/>
            <w:vAlign w:val="top"/>
          </w:tcPr>
          <w:p w14:paraId="0CB9B56E">
            <w:pPr>
              <w:rPr>
                <w:rFonts w:ascii="Arial"/>
                <w:color w:val="auto"/>
                <w:sz w:val="21"/>
                <w:highlight w:val="none"/>
              </w:rPr>
            </w:pPr>
          </w:p>
        </w:tc>
        <w:tc>
          <w:tcPr>
            <w:tcW w:w="1248" w:type="dxa"/>
            <w:vAlign w:val="top"/>
          </w:tcPr>
          <w:p w14:paraId="72E672C9">
            <w:pPr>
              <w:rPr>
                <w:rFonts w:ascii="Arial"/>
                <w:color w:val="auto"/>
                <w:sz w:val="21"/>
                <w:highlight w:val="none"/>
              </w:rPr>
            </w:pPr>
          </w:p>
        </w:tc>
        <w:tc>
          <w:tcPr>
            <w:tcW w:w="1382" w:type="dxa"/>
            <w:vAlign w:val="top"/>
          </w:tcPr>
          <w:p w14:paraId="7BA5625F">
            <w:pPr>
              <w:rPr>
                <w:rFonts w:ascii="Arial"/>
                <w:color w:val="auto"/>
                <w:sz w:val="21"/>
                <w:highlight w:val="none"/>
              </w:rPr>
            </w:pPr>
          </w:p>
        </w:tc>
        <w:tc>
          <w:tcPr>
            <w:tcW w:w="609" w:type="dxa"/>
            <w:vAlign w:val="top"/>
          </w:tcPr>
          <w:p w14:paraId="0394DFE7">
            <w:pPr>
              <w:rPr>
                <w:rFonts w:ascii="Arial"/>
                <w:color w:val="auto"/>
                <w:sz w:val="21"/>
                <w:highlight w:val="none"/>
              </w:rPr>
            </w:pPr>
          </w:p>
        </w:tc>
      </w:tr>
      <w:tr w14:paraId="6213C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169D6C1">
            <w:pPr>
              <w:rPr>
                <w:rFonts w:ascii="Arial"/>
                <w:color w:val="auto"/>
                <w:sz w:val="21"/>
                <w:highlight w:val="none"/>
              </w:rPr>
            </w:pPr>
          </w:p>
        </w:tc>
        <w:tc>
          <w:tcPr>
            <w:tcW w:w="1468" w:type="dxa"/>
            <w:vAlign w:val="top"/>
          </w:tcPr>
          <w:p w14:paraId="52279F84">
            <w:pPr>
              <w:rPr>
                <w:rFonts w:ascii="Arial"/>
                <w:color w:val="auto"/>
                <w:sz w:val="21"/>
                <w:highlight w:val="none"/>
              </w:rPr>
            </w:pPr>
          </w:p>
        </w:tc>
        <w:tc>
          <w:tcPr>
            <w:tcW w:w="595" w:type="dxa"/>
            <w:vAlign w:val="top"/>
          </w:tcPr>
          <w:p w14:paraId="22861050">
            <w:pPr>
              <w:rPr>
                <w:rFonts w:ascii="Arial"/>
                <w:color w:val="auto"/>
                <w:sz w:val="21"/>
                <w:highlight w:val="none"/>
              </w:rPr>
            </w:pPr>
          </w:p>
        </w:tc>
        <w:tc>
          <w:tcPr>
            <w:tcW w:w="686" w:type="dxa"/>
            <w:vAlign w:val="top"/>
          </w:tcPr>
          <w:p w14:paraId="48FDB5FB">
            <w:pPr>
              <w:rPr>
                <w:rFonts w:ascii="Arial"/>
                <w:color w:val="auto"/>
                <w:sz w:val="21"/>
                <w:highlight w:val="none"/>
              </w:rPr>
            </w:pPr>
          </w:p>
        </w:tc>
        <w:tc>
          <w:tcPr>
            <w:tcW w:w="864" w:type="dxa"/>
            <w:vAlign w:val="top"/>
          </w:tcPr>
          <w:p w14:paraId="2A5E6D8E">
            <w:pPr>
              <w:rPr>
                <w:rFonts w:ascii="Arial"/>
                <w:color w:val="auto"/>
                <w:sz w:val="21"/>
                <w:highlight w:val="none"/>
              </w:rPr>
            </w:pPr>
          </w:p>
        </w:tc>
        <w:tc>
          <w:tcPr>
            <w:tcW w:w="907" w:type="dxa"/>
            <w:vAlign w:val="top"/>
          </w:tcPr>
          <w:p w14:paraId="31142E83">
            <w:pPr>
              <w:rPr>
                <w:rFonts w:ascii="Arial"/>
                <w:color w:val="auto"/>
                <w:sz w:val="21"/>
                <w:highlight w:val="none"/>
              </w:rPr>
            </w:pPr>
          </w:p>
        </w:tc>
        <w:tc>
          <w:tcPr>
            <w:tcW w:w="1248" w:type="dxa"/>
            <w:vAlign w:val="top"/>
          </w:tcPr>
          <w:p w14:paraId="4C2FA9BE">
            <w:pPr>
              <w:rPr>
                <w:rFonts w:ascii="Arial"/>
                <w:color w:val="auto"/>
                <w:sz w:val="21"/>
                <w:highlight w:val="none"/>
              </w:rPr>
            </w:pPr>
          </w:p>
        </w:tc>
        <w:tc>
          <w:tcPr>
            <w:tcW w:w="1382" w:type="dxa"/>
            <w:vAlign w:val="top"/>
          </w:tcPr>
          <w:p w14:paraId="5BC05DB0">
            <w:pPr>
              <w:rPr>
                <w:rFonts w:ascii="Arial"/>
                <w:color w:val="auto"/>
                <w:sz w:val="21"/>
                <w:highlight w:val="none"/>
              </w:rPr>
            </w:pPr>
          </w:p>
        </w:tc>
        <w:tc>
          <w:tcPr>
            <w:tcW w:w="609" w:type="dxa"/>
            <w:vAlign w:val="top"/>
          </w:tcPr>
          <w:p w14:paraId="09FB6664">
            <w:pPr>
              <w:rPr>
                <w:rFonts w:ascii="Arial"/>
                <w:color w:val="auto"/>
                <w:sz w:val="21"/>
                <w:highlight w:val="none"/>
              </w:rPr>
            </w:pPr>
          </w:p>
        </w:tc>
      </w:tr>
      <w:tr w14:paraId="4E470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552" w:type="dxa"/>
            <w:vAlign w:val="top"/>
          </w:tcPr>
          <w:p w14:paraId="4329C1DD">
            <w:pPr>
              <w:rPr>
                <w:rFonts w:ascii="Arial"/>
                <w:color w:val="auto"/>
                <w:sz w:val="21"/>
                <w:highlight w:val="none"/>
              </w:rPr>
            </w:pPr>
          </w:p>
        </w:tc>
        <w:tc>
          <w:tcPr>
            <w:tcW w:w="1468" w:type="dxa"/>
            <w:vAlign w:val="top"/>
          </w:tcPr>
          <w:p w14:paraId="7F4AE576">
            <w:pPr>
              <w:rPr>
                <w:rFonts w:ascii="Arial"/>
                <w:color w:val="auto"/>
                <w:sz w:val="21"/>
                <w:highlight w:val="none"/>
              </w:rPr>
            </w:pPr>
          </w:p>
        </w:tc>
        <w:tc>
          <w:tcPr>
            <w:tcW w:w="595" w:type="dxa"/>
            <w:vAlign w:val="top"/>
          </w:tcPr>
          <w:p w14:paraId="0580A782">
            <w:pPr>
              <w:rPr>
                <w:rFonts w:ascii="Arial"/>
                <w:color w:val="auto"/>
                <w:sz w:val="21"/>
                <w:highlight w:val="none"/>
              </w:rPr>
            </w:pPr>
          </w:p>
        </w:tc>
        <w:tc>
          <w:tcPr>
            <w:tcW w:w="686" w:type="dxa"/>
            <w:vAlign w:val="top"/>
          </w:tcPr>
          <w:p w14:paraId="08E4D74D">
            <w:pPr>
              <w:rPr>
                <w:rFonts w:ascii="Arial"/>
                <w:color w:val="auto"/>
                <w:sz w:val="21"/>
                <w:highlight w:val="none"/>
              </w:rPr>
            </w:pPr>
          </w:p>
        </w:tc>
        <w:tc>
          <w:tcPr>
            <w:tcW w:w="864" w:type="dxa"/>
            <w:vAlign w:val="top"/>
          </w:tcPr>
          <w:p w14:paraId="6DA56140">
            <w:pPr>
              <w:rPr>
                <w:rFonts w:ascii="Arial"/>
                <w:color w:val="auto"/>
                <w:sz w:val="21"/>
                <w:highlight w:val="none"/>
              </w:rPr>
            </w:pPr>
          </w:p>
        </w:tc>
        <w:tc>
          <w:tcPr>
            <w:tcW w:w="907" w:type="dxa"/>
            <w:vAlign w:val="top"/>
          </w:tcPr>
          <w:p w14:paraId="409B3C4F">
            <w:pPr>
              <w:rPr>
                <w:rFonts w:ascii="Arial"/>
                <w:color w:val="auto"/>
                <w:sz w:val="21"/>
                <w:highlight w:val="none"/>
              </w:rPr>
            </w:pPr>
          </w:p>
        </w:tc>
        <w:tc>
          <w:tcPr>
            <w:tcW w:w="1248" w:type="dxa"/>
            <w:vAlign w:val="top"/>
          </w:tcPr>
          <w:p w14:paraId="6788A21B">
            <w:pPr>
              <w:rPr>
                <w:rFonts w:ascii="Arial"/>
                <w:color w:val="auto"/>
                <w:sz w:val="21"/>
                <w:highlight w:val="none"/>
              </w:rPr>
            </w:pPr>
          </w:p>
        </w:tc>
        <w:tc>
          <w:tcPr>
            <w:tcW w:w="1382" w:type="dxa"/>
            <w:vAlign w:val="top"/>
          </w:tcPr>
          <w:p w14:paraId="52E2B972">
            <w:pPr>
              <w:rPr>
                <w:rFonts w:ascii="Arial"/>
                <w:color w:val="auto"/>
                <w:sz w:val="21"/>
                <w:highlight w:val="none"/>
              </w:rPr>
            </w:pPr>
          </w:p>
        </w:tc>
        <w:tc>
          <w:tcPr>
            <w:tcW w:w="609" w:type="dxa"/>
            <w:vAlign w:val="top"/>
          </w:tcPr>
          <w:p w14:paraId="32674536">
            <w:pPr>
              <w:rPr>
                <w:rFonts w:ascii="Arial"/>
                <w:color w:val="auto"/>
                <w:sz w:val="21"/>
                <w:highlight w:val="none"/>
              </w:rPr>
            </w:pPr>
          </w:p>
        </w:tc>
      </w:tr>
    </w:tbl>
    <w:p w14:paraId="52771148">
      <w:pPr>
        <w:spacing w:before="30"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注： 1.此表由招标人填写除“投标单价”栏的内容，</w:t>
      </w:r>
      <w:r>
        <w:rPr>
          <w:rFonts w:ascii="宋体" w:hAnsi="宋体" w:eastAsia="宋体" w:cs="宋体"/>
          <w:color w:val="auto"/>
          <w:spacing w:val="-24"/>
          <w:sz w:val="21"/>
          <w:szCs w:val="21"/>
          <w:highlight w:val="none"/>
        </w:rPr>
        <w:t xml:space="preserve"> </w:t>
      </w:r>
      <w:r>
        <w:rPr>
          <w:rFonts w:ascii="宋体" w:hAnsi="宋体" w:eastAsia="宋体" w:cs="宋体"/>
          <w:color w:val="auto"/>
          <w:spacing w:val="-5"/>
          <w:sz w:val="21"/>
          <w:szCs w:val="21"/>
          <w:highlight w:val="none"/>
        </w:rPr>
        <w:t>投标人在投标时自</w:t>
      </w:r>
      <w:r>
        <w:rPr>
          <w:rFonts w:ascii="宋体" w:hAnsi="宋体" w:eastAsia="宋体" w:cs="宋体"/>
          <w:color w:val="auto"/>
          <w:spacing w:val="-6"/>
          <w:sz w:val="21"/>
          <w:szCs w:val="21"/>
          <w:highlight w:val="none"/>
        </w:rPr>
        <w:t>主确定投标单价。</w:t>
      </w:r>
    </w:p>
    <w:p w14:paraId="26573B0B">
      <w:pPr>
        <w:spacing w:before="25" w:line="213" w:lineRule="auto"/>
        <w:ind w:left="17" w:right="6"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2.招标人应优先采用工程造价管理机构发布的单价作为基准单价，未发布的，</w:t>
      </w:r>
      <w:r>
        <w:rPr>
          <w:rFonts w:ascii="宋体" w:hAnsi="宋体" w:eastAsia="宋体" w:cs="宋体"/>
          <w:color w:val="auto"/>
          <w:spacing w:val="2"/>
          <w:sz w:val="21"/>
          <w:szCs w:val="21"/>
          <w:highlight w:val="none"/>
        </w:rPr>
        <w:t>通过市</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场调查确定其基准单价。</w:t>
      </w:r>
    </w:p>
    <w:p w14:paraId="2E30501A">
      <w:pPr>
        <w:spacing w:line="213"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1">
            <w:col w:w="8333"/>
          </w:cols>
        </w:sectPr>
      </w:pPr>
    </w:p>
    <w:p w14:paraId="6CBE5A58">
      <w:pPr>
        <w:pStyle w:val="3"/>
        <w:spacing w:line="267" w:lineRule="auto"/>
        <w:rPr>
          <w:color w:val="auto"/>
          <w:highlight w:val="none"/>
        </w:rPr>
      </w:pPr>
    </w:p>
    <w:p w14:paraId="1AB84B63">
      <w:pPr>
        <w:pStyle w:val="3"/>
        <w:spacing w:line="268" w:lineRule="auto"/>
        <w:rPr>
          <w:color w:val="auto"/>
          <w:highlight w:val="none"/>
        </w:rPr>
      </w:pPr>
    </w:p>
    <w:p w14:paraId="3546B914">
      <w:pPr>
        <w:pStyle w:val="3"/>
        <w:spacing w:line="268" w:lineRule="auto"/>
        <w:rPr>
          <w:color w:val="auto"/>
          <w:highlight w:val="none"/>
        </w:rPr>
      </w:pPr>
    </w:p>
    <w:p w14:paraId="0D6F50E0">
      <w:pPr>
        <w:pStyle w:val="3"/>
        <w:spacing w:line="268" w:lineRule="auto"/>
        <w:rPr>
          <w:color w:val="auto"/>
          <w:highlight w:val="none"/>
        </w:rPr>
      </w:pPr>
    </w:p>
    <w:p w14:paraId="41530BB9">
      <w:pPr>
        <w:spacing w:before="78" w:line="218" w:lineRule="auto"/>
        <w:ind w:left="13"/>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4.16 </w:t>
      </w:r>
      <w:r>
        <w:rPr>
          <w:rFonts w:ascii="黑体" w:hAnsi="黑体" w:eastAsia="黑体" w:cs="黑体"/>
          <w:color w:val="auto"/>
          <w:spacing w:val="-1"/>
          <w:sz w:val="24"/>
          <w:szCs w:val="24"/>
          <w:highlight w:val="none"/>
        </w:rPr>
        <w:t>承包人提供主要材料和工程设备一览表</w:t>
      </w:r>
      <w:r>
        <w:rPr>
          <w:rFonts w:ascii="宋体" w:hAnsi="宋体" w:eastAsia="宋体" w:cs="宋体"/>
          <w:color w:val="auto"/>
          <w:spacing w:val="-1"/>
          <w:sz w:val="24"/>
          <w:szCs w:val="24"/>
          <w:highlight w:val="none"/>
        </w:rPr>
        <w:t>（适用于价格指数差额调整法）</w:t>
      </w:r>
    </w:p>
    <w:p w14:paraId="3830B90D">
      <w:pPr>
        <w:pStyle w:val="3"/>
        <w:spacing w:line="437" w:lineRule="auto"/>
        <w:rPr>
          <w:color w:val="auto"/>
          <w:highlight w:val="none"/>
        </w:rPr>
      </w:pPr>
    </w:p>
    <w:p w14:paraId="1B419A92">
      <w:pPr>
        <w:spacing w:before="87" w:line="225" w:lineRule="auto"/>
        <w:ind w:left="1796"/>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承包人提供主要材料和工程设备一览表</w:t>
      </w:r>
    </w:p>
    <w:p w14:paraId="693C98F1">
      <w:pPr>
        <w:spacing w:line="220" w:lineRule="exact"/>
        <w:rPr>
          <w:color w:val="auto"/>
          <w:highlight w:val="none"/>
        </w:rPr>
      </w:pPr>
    </w:p>
    <w:p w14:paraId="32D01DF8">
      <w:pPr>
        <w:spacing w:line="220" w:lineRule="exact"/>
        <w:rPr>
          <w:color w:val="auto"/>
          <w:highlight w:val="none"/>
        </w:rPr>
        <w:sectPr>
          <w:footerReference r:id="rId200" w:type="default"/>
          <w:pgSz w:w="11905" w:h="16839"/>
          <w:pgMar w:top="400" w:right="1195" w:bottom="1004" w:left="1785" w:header="0" w:footer="828" w:gutter="0"/>
          <w:pgNumType w:fmt="decimal"/>
          <w:cols w:equalWidth="0" w:num="1">
            <w:col w:w="8923"/>
          </w:cols>
        </w:sectPr>
      </w:pPr>
    </w:p>
    <w:p w14:paraId="1347F7AC">
      <w:pPr>
        <w:spacing w:before="41"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32DF3A44">
      <w:pPr>
        <w:pStyle w:val="3"/>
        <w:spacing w:line="14" w:lineRule="auto"/>
        <w:rPr>
          <w:color w:val="auto"/>
          <w:sz w:val="2"/>
          <w:highlight w:val="none"/>
        </w:rPr>
      </w:pPr>
      <w:r>
        <w:rPr>
          <w:color w:val="auto"/>
          <w:sz w:val="2"/>
          <w:szCs w:val="2"/>
          <w:highlight w:val="none"/>
        </w:rPr>
        <w:br w:type="column"/>
      </w:r>
    </w:p>
    <w:p w14:paraId="6766C2EC">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p w14:paraId="7151A1A8">
      <w:pPr>
        <w:spacing w:line="186" w:lineRule="auto"/>
        <w:rPr>
          <w:rFonts w:ascii="宋体" w:hAnsi="宋体" w:eastAsia="宋体" w:cs="宋体"/>
          <w:color w:val="auto"/>
          <w:sz w:val="21"/>
          <w:szCs w:val="21"/>
          <w:highlight w:val="none"/>
        </w:rPr>
        <w:sectPr>
          <w:type w:val="continuous"/>
          <w:pgSz w:w="11905" w:h="16839"/>
          <w:pgMar w:top="400" w:right="1195" w:bottom="1004" w:left="1785" w:header="0" w:footer="828" w:gutter="0"/>
          <w:pgNumType w:fmt="decimal"/>
          <w:cols w:equalWidth="0" w:num="2">
            <w:col w:w="2234" w:space="100"/>
            <w:col w:w="6590"/>
          </w:cols>
        </w:sectPr>
      </w:pPr>
    </w:p>
    <w:p w14:paraId="6D5360F4">
      <w:pPr>
        <w:spacing w:line="32" w:lineRule="exact"/>
        <w:rPr>
          <w:color w:val="auto"/>
          <w:highlight w:val="none"/>
        </w:rPr>
      </w:pPr>
    </w:p>
    <w:tbl>
      <w:tblPr>
        <w:tblStyle w:val="10"/>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14:paraId="1C9D2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textDirection w:val="tbRlV"/>
            <w:vAlign w:val="top"/>
          </w:tcPr>
          <w:p w14:paraId="17A83B40">
            <w:pPr>
              <w:pStyle w:val="11"/>
              <w:spacing w:before="196" w:line="211" w:lineRule="auto"/>
              <w:ind w:left="19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843" w:type="dxa"/>
            <w:vAlign w:val="top"/>
          </w:tcPr>
          <w:p w14:paraId="0AE87176">
            <w:pPr>
              <w:pStyle w:val="11"/>
              <w:spacing w:before="193" w:line="231" w:lineRule="auto"/>
              <w:ind w:left="824" w:right="196" w:hanging="631"/>
              <w:rPr>
                <w:color w:val="auto"/>
                <w:highlight w:val="none"/>
              </w:rPr>
            </w:pPr>
            <w:r>
              <w:rPr>
                <w:color w:val="auto"/>
                <w:spacing w:val="-4"/>
                <w:highlight w:val="none"/>
              </w:rPr>
              <w:t>名称、规格、型</w:t>
            </w:r>
            <w:r>
              <w:rPr>
                <w:color w:val="auto"/>
                <w:spacing w:val="5"/>
                <w:highlight w:val="none"/>
              </w:rPr>
              <w:t xml:space="preserve"> </w:t>
            </w:r>
            <w:r>
              <w:rPr>
                <w:color w:val="auto"/>
                <w:highlight w:val="none"/>
              </w:rPr>
              <w:t>号</w:t>
            </w:r>
          </w:p>
        </w:tc>
        <w:tc>
          <w:tcPr>
            <w:tcW w:w="1440" w:type="dxa"/>
            <w:vAlign w:val="top"/>
          </w:tcPr>
          <w:p w14:paraId="2CD56AA9">
            <w:pPr>
              <w:spacing w:line="261" w:lineRule="auto"/>
              <w:rPr>
                <w:rFonts w:ascii="Arial"/>
                <w:color w:val="auto"/>
                <w:sz w:val="21"/>
                <w:highlight w:val="none"/>
              </w:rPr>
            </w:pPr>
          </w:p>
          <w:p w14:paraId="7D96210C">
            <w:pPr>
              <w:pStyle w:val="11"/>
              <w:spacing w:before="68" w:line="221" w:lineRule="auto"/>
              <w:ind w:left="210"/>
              <w:rPr>
                <w:rFonts w:ascii="Times New Roman" w:hAnsi="Times New Roman" w:eastAsia="Times New Roman" w:cs="Times New Roman"/>
                <w:color w:val="auto"/>
                <w:highlight w:val="none"/>
              </w:rPr>
            </w:pPr>
            <w:r>
              <w:rPr>
                <w:color w:val="auto"/>
                <w:spacing w:val="-1"/>
                <w:highlight w:val="none"/>
              </w:rPr>
              <w:t>变值权重</w:t>
            </w:r>
            <w:r>
              <w:rPr>
                <w:color w:val="auto"/>
                <w:spacing w:val="-49"/>
                <w:highlight w:val="none"/>
              </w:rPr>
              <w:t xml:space="preserve"> </w:t>
            </w:r>
            <w:r>
              <w:rPr>
                <w:rFonts w:ascii="Times New Roman" w:hAnsi="Times New Roman" w:eastAsia="Times New Roman" w:cs="Times New Roman"/>
                <w:color w:val="auto"/>
                <w:spacing w:val="-1"/>
                <w:highlight w:val="none"/>
              </w:rPr>
              <w:t>B</w:t>
            </w:r>
          </w:p>
        </w:tc>
        <w:tc>
          <w:tcPr>
            <w:tcW w:w="1799" w:type="dxa"/>
            <w:vAlign w:val="top"/>
          </w:tcPr>
          <w:p w14:paraId="01470F5B">
            <w:pPr>
              <w:spacing w:line="262" w:lineRule="auto"/>
              <w:rPr>
                <w:rFonts w:ascii="Arial"/>
                <w:color w:val="auto"/>
                <w:sz w:val="21"/>
                <w:highlight w:val="none"/>
              </w:rPr>
            </w:pPr>
          </w:p>
          <w:p w14:paraId="5854E27B">
            <w:pPr>
              <w:pStyle w:val="11"/>
              <w:spacing w:before="68" w:line="219" w:lineRule="auto"/>
              <w:ind w:left="158"/>
              <w:rPr>
                <w:rFonts w:ascii="Times New Roman" w:hAnsi="Times New Roman" w:eastAsia="Times New Roman" w:cs="Times New Roman"/>
                <w:color w:val="auto"/>
                <w:sz w:val="13"/>
                <w:szCs w:val="13"/>
                <w:highlight w:val="none"/>
              </w:rPr>
            </w:pPr>
            <w:r>
              <w:rPr>
                <w:color w:val="auto"/>
                <w:spacing w:val="-1"/>
                <w:highlight w:val="none"/>
              </w:rPr>
              <w:t>基本价格指数</w:t>
            </w:r>
            <w:r>
              <w:rPr>
                <w:color w:val="auto"/>
                <w:spacing w:val="-48"/>
                <w:highlight w:val="none"/>
              </w:rPr>
              <w:t xml:space="preserve"> </w:t>
            </w:r>
            <w:r>
              <w:rPr>
                <w:rFonts w:ascii="Times New Roman" w:hAnsi="Times New Roman" w:eastAsia="Times New Roman" w:cs="Times New Roman"/>
                <w:color w:val="auto"/>
                <w:spacing w:val="-1"/>
                <w:highlight w:val="none"/>
              </w:rPr>
              <w:t>F</w:t>
            </w:r>
            <w:r>
              <w:rPr>
                <w:rFonts w:ascii="Times New Roman" w:hAnsi="Times New Roman" w:eastAsia="Times New Roman" w:cs="Times New Roman"/>
                <w:color w:val="auto"/>
                <w:spacing w:val="-1"/>
                <w:position w:val="-1"/>
                <w:sz w:val="13"/>
                <w:szCs w:val="13"/>
                <w:highlight w:val="none"/>
              </w:rPr>
              <w:t>0</w:t>
            </w:r>
          </w:p>
        </w:tc>
        <w:tc>
          <w:tcPr>
            <w:tcW w:w="1732" w:type="dxa"/>
            <w:vAlign w:val="top"/>
          </w:tcPr>
          <w:p w14:paraId="5168AFA7">
            <w:pPr>
              <w:spacing w:line="262" w:lineRule="auto"/>
              <w:rPr>
                <w:rFonts w:ascii="Arial"/>
                <w:color w:val="auto"/>
                <w:sz w:val="21"/>
                <w:highlight w:val="none"/>
              </w:rPr>
            </w:pPr>
          </w:p>
          <w:p w14:paraId="0FF6EBBF">
            <w:pPr>
              <w:pStyle w:val="11"/>
              <w:spacing w:before="68" w:line="236" w:lineRule="auto"/>
              <w:ind w:left="142"/>
              <w:rPr>
                <w:rFonts w:ascii="Times New Roman" w:hAnsi="Times New Roman" w:eastAsia="Times New Roman" w:cs="Times New Roman"/>
                <w:color w:val="auto"/>
                <w:sz w:val="13"/>
                <w:szCs w:val="13"/>
                <w:highlight w:val="none"/>
              </w:rPr>
            </w:pPr>
            <w:r>
              <w:rPr>
                <w:color w:val="auto"/>
                <w:spacing w:val="-2"/>
                <w:highlight w:val="none"/>
              </w:rPr>
              <w:t>现行价格指数</w:t>
            </w:r>
            <w:r>
              <w:rPr>
                <w:color w:val="auto"/>
                <w:spacing w:val="-43"/>
                <w:highlight w:val="none"/>
              </w:rPr>
              <w:t xml:space="preserve"> </w:t>
            </w:r>
            <w:r>
              <w:rPr>
                <w:rFonts w:ascii="Times New Roman" w:hAnsi="Times New Roman" w:eastAsia="Times New Roman" w:cs="Times New Roman"/>
                <w:color w:val="auto"/>
                <w:spacing w:val="-2"/>
                <w:highlight w:val="none"/>
              </w:rPr>
              <w:t>F</w:t>
            </w:r>
            <w:r>
              <w:rPr>
                <w:rFonts w:ascii="Times New Roman" w:hAnsi="Times New Roman" w:eastAsia="Times New Roman" w:cs="Times New Roman"/>
                <w:color w:val="auto"/>
                <w:spacing w:val="-2"/>
                <w:position w:val="-1"/>
                <w:sz w:val="13"/>
                <w:szCs w:val="13"/>
                <w:highlight w:val="none"/>
              </w:rPr>
              <w:t>t</w:t>
            </w:r>
          </w:p>
        </w:tc>
        <w:tc>
          <w:tcPr>
            <w:tcW w:w="1483" w:type="dxa"/>
            <w:vAlign w:val="top"/>
          </w:tcPr>
          <w:p w14:paraId="6F0FB6F4">
            <w:pPr>
              <w:spacing w:line="262" w:lineRule="auto"/>
              <w:rPr>
                <w:rFonts w:ascii="Arial"/>
                <w:color w:val="auto"/>
                <w:sz w:val="21"/>
                <w:highlight w:val="none"/>
              </w:rPr>
            </w:pPr>
          </w:p>
          <w:p w14:paraId="0E6A7241">
            <w:pPr>
              <w:pStyle w:val="11"/>
              <w:spacing w:before="68" w:line="222" w:lineRule="auto"/>
              <w:ind w:left="543"/>
              <w:rPr>
                <w:color w:val="auto"/>
                <w:highlight w:val="none"/>
              </w:rPr>
            </w:pPr>
            <w:r>
              <w:rPr>
                <w:color w:val="auto"/>
                <w:spacing w:val="-3"/>
                <w:highlight w:val="none"/>
              </w:rPr>
              <w:t>备注</w:t>
            </w:r>
          </w:p>
        </w:tc>
      </w:tr>
      <w:tr w14:paraId="5D8A5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65DA46C9">
            <w:pPr>
              <w:rPr>
                <w:rFonts w:ascii="Arial"/>
                <w:color w:val="auto"/>
                <w:sz w:val="21"/>
                <w:highlight w:val="none"/>
              </w:rPr>
            </w:pPr>
          </w:p>
        </w:tc>
        <w:tc>
          <w:tcPr>
            <w:tcW w:w="1843" w:type="dxa"/>
            <w:vAlign w:val="top"/>
          </w:tcPr>
          <w:p w14:paraId="3F88DB94">
            <w:pPr>
              <w:rPr>
                <w:rFonts w:ascii="Arial"/>
                <w:color w:val="auto"/>
                <w:sz w:val="21"/>
                <w:highlight w:val="none"/>
              </w:rPr>
            </w:pPr>
          </w:p>
        </w:tc>
        <w:tc>
          <w:tcPr>
            <w:tcW w:w="1440" w:type="dxa"/>
            <w:vAlign w:val="top"/>
          </w:tcPr>
          <w:p w14:paraId="6F59E02F">
            <w:pPr>
              <w:rPr>
                <w:rFonts w:ascii="Arial"/>
                <w:color w:val="auto"/>
                <w:sz w:val="21"/>
                <w:highlight w:val="none"/>
              </w:rPr>
            </w:pPr>
          </w:p>
        </w:tc>
        <w:tc>
          <w:tcPr>
            <w:tcW w:w="1799" w:type="dxa"/>
            <w:vAlign w:val="top"/>
          </w:tcPr>
          <w:p w14:paraId="05829C0B">
            <w:pPr>
              <w:rPr>
                <w:rFonts w:ascii="Arial"/>
                <w:color w:val="auto"/>
                <w:sz w:val="21"/>
                <w:highlight w:val="none"/>
              </w:rPr>
            </w:pPr>
          </w:p>
        </w:tc>
        <w:tc>
          <w:tcPr>
            <w:tcW w:w="1732" w:type="dxa"/>
            <w:vAlign w:val="top"/>
          </w:tcPr>
          <w:p w14:paraId="2B7BB004">
            <w:pPr>
              <w:rPr>
                <w:rFonts w:ascii="Arial"/>
                <w:color w:val="auto"/>
                <w:sz w:val="21"/>
                <w:highlight w:val="none"/>
              </w:rPr>
            </w:pPr>
          </w:p>
        </w:tc>
        <w:tc>
          <w:tcPr>
            <w:tcW w:w="1483" w:type="dxa"/>
            <w:vAlign w:val="top"/>
          </w:tcPr>
          <w:p w14:paraId="7D72AD71">
            <w:pPr>
              <w:rPr>
                <w:rFonts w:ascii="Arial"/>
                <w:color w:val="auto"/>
                <w:sz w:val="21"/>
                <w:highlight w:val="none"/>
              </w:rPr>
            </w:pPr>
          </w:p>
        </w:tc>
      </w:tr>
      <w:tr w14:paraId="65809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376F591B">
            <w:pPr>
              <w:rPr>
                <w:rFonts w:ascii="Arial"/>
                <w:color w:val="auto"/>
                <w:sz w:val="21"/>
                <w:highlight w:val="none"/>
              </w:rPr>
            </w:pPr>
          </w:p>
        </w:tc>
        <w:tc>
          <w:tcPr>
            <w:tcW w:w="1843" w:type="dxa"/>
            <w:vAlign w:val="top"/>
          </w:tcPr>
          <w:p w14:paraId="771FBCAB">
            <w:pPr>
              <w:rPr>
                <w:rFonts w:ascii="Arial"/>
                <w:color w:val="auto"/>
                <w:sz w:val="21"/>
                <w:highlight w:val="none"/>
              </w:rPr>
            </w:pPr>
          </w:p>
        </w:tc>
        <w:tc>
          <w:tcPr>
            <w:tcW w:w="1440" w:type="dxa"/>
            <w:vAlign w:val="top"/>
          </w:tcPr>
          <w:p w14:paraId="3087BE4B">
            <w:pPr>
              <w:rPr>
                <w:rFonts w:ascii="Arial"/>
                <w:color w:val="auto"/>
                <w:sz w:val="21"/>
                <w:highlight w:val="none"/>
              </w:rPr>
            </w:pPr>
          </w:p>
        </w:tc>
        <w:tc>
          <w:tcPr>
            <w:tcW w:w="1799" w:type="dxa"/>
            <w:vAlign w:val="top"/>
          </w:tcPr>
          <w:p w14:paraId="4FC1A12A">
            <w:pPr>
              <w:rPr>
                <w:rFonts w:ascii="Arial"/>
                <w:color w:val="auto"/>
                <w:sz w:val="21"/>
                <w:highlight w:val="none"/>
              </w:rPr>
            </w:pPr>
          </w:p>
        </w:tc>
        <w:tc>
          <w:tcPr>
            <w:tcW w:w="1732" w:type="dxa"/>
            <w:vAlign w:val="top"/>
          </w:tcPr>
          <w:p w14:paraId="558DA61B">
            <w:pPr>
              <w:rPr>
                <w:rFonts w:ascii="Arial"/>
                <w:color w:val="auto"/>
                <w:sz w:val="21"/>
                <w:highlight w:val="none"/>
              </w:rPr>
            </w:pPr>
          </w:p>
        </w:tc>
        <w:tc>
          <w:tcPr>
            <w:tcW w:w="1483" w:type="dxa"/>
            <w:vAlign w:val="top"/>
          </w:tcPr>
          <w:p w14:paraId="7D3D9F66">
            <w:pPr>
              <w:rPr>
                <w:rFonts w:ascii="Arial"/>
                <w:color w:val="auto"/>
                <w:sz w:val="21"/>
                <w:highlight w:val="none"/>
              </w:rPr>
            </w:pPr>
          </w:p>
        </w:tc>
      </w:tr>
      <w:tr w14:paraId="7FFF2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0181F42E">
            <w:pPr>
              <w:rPr>
                <w:rFonts w:ascii="Arial"/>
                <w:color w:val="auto"/>
                <w:sz w:val="21"/>
                <w:highlight w:val="none"/>
              </w:rPr>
            </w:pPr>
          </w:p>
        </w:tc>
        <w:tc>
          <w:tcPr>
            <w:tcW w:w="1843" w:type="dxa"/>
            <w:vAlign w:val="top"/>
          </w:tcPr>
          <w:p w14:paraId="440EB08A">
            <w:pPr>
              <w:rPr>
                <w:rFonts w:ascii="Arial"/>
                <w:color w:val="auto"/>
                <w:sz w:val="21"/>
                <w:highlight w:val="none"/>
              </w:rPr>
            </w:pPr>
          </w:p>
        </w:tc>
        <w:tc>
          <w:tcPr>
            <w:tcW w:w="1440" w:type="dxa"/>
            <w:vAlign w:val="top"/>
          </w:tcPr>
          <w:p w14:paraId="233237DD">
            <w:pPr>
              <w:rPr>
                <w:rFonts w:ascii="Arial"/>
                <w:color w:val="auto"/>
                <w:sz w:val="21"/>
                <w:highlight w:val="none"/>
              </w:rPr>
            </w:pPr>
          </w:p>
        </w:tc>
        <w:tc>
          <w:tcPr>
            <w:tcW w:w="1799" w:type="dxa"/>
            <w:vAlign w:val="top"/>
          </w:tcPr>
          <w:p w14:paraId="1833D0A1">
            <w:pPr>
              <w:rPr>
                <w:rFonts w:ascii="Arial"/>
                <w:color w:val="auto"/>
                <w:sz w:val="21"/>
                <w:highlight w:val="none"/>
              </w:rPr>
            </w:pPr>
          </w:p>
        </w:tc>
        <w:tc>
          <w:tcPr>
            <w:tcW w:w="1732" w:type="dxa"/>
            <w:vAlign w:val="top"/>
          </w:tcPr>
          <w:p w14:paraId="2CAFF486">
            <w:pPr>
              <w:rPr>
                <w:rFonts w:ascii="Arial"/>
                <w:color w:val="auto"/>
                <w:sz w:val="21"/>
                <w:highlight w:val="none"/>
              </w:rPr>
            </w:pPr>
          </w:p>
        </w:tc>
        <w:tc>
          <w:tcPr>
            <w:tcW w:w="1483" w:type="dxa"/>
            <w:vAlign w:val="top"/>
          </w:tcPr>
          <w:p w14:paraId="7E9D6BCE">
            <w:pPr>
              <w:rPr>
                <w:rFonts w:ascii="Arial"/>
                <w:color w:val="auto"/>
                <w:sz w:val="21"/>
                <w:highlight w:val="none"/>
              </w:rPr>
            </w:pPr>
          </w:p>
        </w:tc>
      </w:tr>
      <w:tr w14:paraId="1AC03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1B8C4520">
            <w:pPr>
              <w:rPr>
                <w:rFonts w:ascii="Arial"/>
                <w:color w:val="auto"/>
                <w:sz w:val="21"/>
                <w:highlight w:val="none"/>
              </w:rPr>
            </w:pPr>
          </w:p>
        </w:tc>
        <w:tc>
          <w:tcPr>
            <w:tcW w:w="1843" w:type="dxa"/>
            <w:vAlign w:val="top"/>
          </w:tcPr>
          <w:p w14:paraId="742F973B">
            <w:pPr>
              <w:rPr>
                <w:rFonts w:ascii="Arial"/>
                <w:color w:val="auto"/>
                <w:sz w:val="21"/>
                <w:highlight w:val="none"/>
              </w:rPr>
            </w:pPr>
          </w:p>
        </w:tc>
        <w:tc>
          <w:tcPr>
            <w:tcW w:w="1440" w:type="dxa"/>
            <w:vAlign w:val="top"/>
          </w:tcPr>
          <w:p w14:paraId="26D2DB1D">
            <w:pPr>
              <w:rPr>
                <w:rFonts w:ascii="Arial"/>
                <w:color w:val="auto"/>
                <w:sz w:val="21"/>
                <w:highlight w:val="none"/>
              </w:rPr>
            </w:pPr>
          </w:p>
        </w:tc>
        <w:tc>
          <w:tcPr>
            <w:tcW w:w="1799" w:type="dxa"/>
            <w:vAlign w:val="top"/>
          </w:tcPr>
          <w:p w14:paraId="32255D74">
            <w:pPr>
              <w:rPr>
                <w:rFonts w:ascii="Arial"/>
                <w:color w:val="auto"/>
                <w:sz w:val="21"/>
                <w:highlight w:val="none"/>
              </w:rPr>
            </w:pPr>
          </w:p>
        </w:tc>
        <w:tc>
          <w:tcPr>
            <w:tcW w:w="1732" w:type="dxa"/>
            <w:vAlign w:val="top"/>
          </w:tcPr>
          <w:p w14:paraId="1BCCD3F7">
            <w:pPr>
              <w:rPr>
                <w:rFonts w:ascii="Arial"/>
                <w:color w:val="auto"/>
                <w:sz w:val="21"/>
                <w:highlight w:val="none"/>
              </w:rPr>
            </w:pPr>
          </w:p>
        </w:tc>
        <w:tc>
          <w:tcPr>
            <w:tcW w:w="1483" w:type="dxa"/>
            <w:vAlign w:val="top"/>
          </w:tcPr>
          <w:p w14:paraId="174D6DF0">
            <w:pPr>
              <w:rPr>
                <w:rFonts w:ascii="Arial"/>
                <w:color w:val="auto"/>
                <w:sz w:val="21"/>
                <w:highlight w:val="none"/>
              </w:rPr>
            </w:pPr>
          </w:p>
        </w:tc>
      </w:tr>
      <w:tr w14:paraId="56F94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4EA4B42E">
            <w:pPr>
              <w:rPr>
                <w:rFonts w:ascii="Arial"/>
                <w:color w:val="auto"/>
                <w:sz w:val="21"/>
                <w:highlight w:val="none"/>
              </w:rPr>
            </w:pPr>
          </w:p>
        </w:tc>
        <w:tc>
          <w:tcPr>
            <w:tcW w:w="1843" w:type="dxa"/>
            <w:vAlign w:val="top"/>
          </w:tcPr>
          <w:p w14:paraId="214FC7FB">
            <w:pPr>
              <w:rPr>
                <w:rFonts w:ascii="Arial"/>
                <w:color w:val="auto"/>
                <w:sz w:val="21"/>
                <w:highlight w:val="none"/>
              </w:rPr>
            </w:pPr>
          </w:p>
        </w:tc>
        <w:tc>
          <w:tcPr>
            <w:tcW w:w="1440" w:type="dxa"/>
            <w:vAlign w:val="top"/>
          </w:tcPr>
          <w:p w14:paraId="03D306CB">
            <w:pPr>
              <w:rPr>
                <w:rFonts w:ascii="Arial"/>
                <w:color w:val="auto"/>
                <w:sz w:val="21"/>
                <w:highlight w:val="none"/>
              </w:rPr>
            </w:pPr>
          </w:p>
        </w:tc>
        <w:tc>
          <w:tcPr>
            <w:tcW w:w="1799" w:type="dxa"/>
            <w:vAlign w:val="top"/>
          </w:tcPr>
          <w:p w14:paraId="48FFAEDB">
            <w:pPr>
              <w:rPr>
                <w:rFonts w:ascii="Arial"/>
                <w:color w:val="auto"/>
                <w:sz w:val="21"/>
                <w:highlight w:val="none"/>
              </w:rPr>
            </w:pPr>
          </w:p>
        </w:tc>
        <w:tc>
          <w:tcPr>
            <w:tcW w:w="1732" w:type="dxa"/>
            <w:vAlign w:val="top"/>
          </w:tcPr>
          <w:p w14:paraId="4EF16717">
            <w:pPr>
              <w:rPr>
                <w:rFonts w:ascii="Arial"/>
                <w:color w:val="auto"/>
                <w:sz w:val="21"/>
                <w:highlight w:val="none"/>
              </w:rPr>
            </w:pPr>
          </w:p>
        </w:tc>
        <w:tc>
          <w:tcPr>
            <w:tcW w:w="1483" w:type="dxa"/>
            <w:vAlign w:val="top"/>
          </w:tcPr>
          <w:p w14:paraId="73A851C9">
            <w:pPr>
              <w:rPr>
                <w:rFonts w:ascii="Arial"/>
                <w:color w:val="auto"/>
                <w:sz w:val="21"/>
                <w:highlight w:val="none"/>
              </w:rPr>
            </w:pPr>
          </w:p>
        </w:tc>
      </w:tr>
      <w:tr w14:paraId="51FB2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4DF15635">
            <w:pPr>
              <w:rPr>
                <w:rFonts w:ascii="Arial"/>
                <w:color w:val="auto"/>
                <w:sz w:val="21"/>
                <w:highlight w:val="none"/>
              </w:rPr>
            </w:pPr>
          </w:p>
        </w:tc>
        <w:tc>
          <w:tcPr>
            <w:tcW w:w="1843" w:type="dxa"/>
            <w:vAlign w:val="top"/>
          </w:tcPr>
          <w:p w14:paraId="182C52DF">
            <w:pPr>
              <w:rPr>
                <w:rFonts w:ascii="Arial"/>
                <w:color w:val="auto"/>
                <w:sz w:val="21"/>
                <w:highlight w:val="none"/>
              </w:rPr>
            </w:pPr>
          </w:p>
        </w:tc>
        <w:tc>
          <w:tcPr>
            <w:tcW w:w="1440" w:type="dxa"/>
            <w:vAlign w:val="top"/>
          </w:tcPr>
          <w:p w14:paraId="212A48AC">
            <w:pPr>
              <w:rPr>
                <w:rFonts w:ascii="Arial"/>
                <w:color w:val="auto"/>
                <w:sz w:val="21"/>
                <w:highlight w:val="none"/>
              </w:rPr>
            </w:pPr>
          </w:p>
        </w:tc>
        <w:tc>
          <w:tcPr>
            <w:tcW w:w="1799" w:type="dxa"/>
            <w:vAlign w:val="top"/>
          </w:tcPr>
          <w:p w14:paraId="779020A3">
            <w:pPr>
              <w:rPr>
                <w:rFonts w:ascii="Arial"/>
                <w:color w:val="auto"/>
                <w:sz w:val="21"/>
                <w:highlight w:val="none"/>
              </w:rPr>
            </w:pPr>
          </w:p>
        </w:tc>
        <w:tc>
          <w:tcPr>
            <w:tcW w:w="1732" w:type="dxa"/>
            <w:vAlign w:val="top"/>
          </w:tcPr>
          <w:p w14:paraId="610E8530">
            <w:pPr>
              <w:rPr>
                <w:rFonts w:ascii="Arial"/>
                <w:color w:val="auto"/>
                <w:sz w:val="21"/>
                <w:highlight w:val="none"/>
              </w:rPr>
            </w:pPr>
          </w:p>
        </w:tc>
        <w:tc>
          <w:tcPr>
            <w:tcW w:w="1483" w:type="dxa"/>
            <w:vAlign w:val="top"/>
          </w:tcPr>
          <w:p w14:paraId="03A13A72">
            <w:pPr>
              <w:rPr>
                <w:rFonts w:ascii="Arial"/>
                <w:color w:val="auto"/>
                <w:sz w:val="21"/>
                <w:highlight w:val="none"/>
              </w:rPr>
            </w:pPr>
          </w:p>
        </w:tc>
      </w:tr>
      <w:tr w14:paraId="4EF51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3" w:hRule="atLeast"/>
        </w:trPr>
        <w:tc>
          <w:tcPr>
            <w:tcW w:w="610" w:type="dxa"/>
            <w:vAlign w:val="top"/>
          </w:tcPr>
          <w:p w14:paraId="57D96724">
            <w:pPr>
              <w:rPr>
                <w:rFonts w:ascii="Arial"/>
                <w:color w:val="auto"/>
                <w:sz w:val="21"/>
                <w:highlight w:val="none"/>
              </w:rPr>
            </w:pPr>
          </w:p>
        </w:tc>
        <w:tc>
          <w:tcPr>
            <w:tcW w:w="1843" w:type="dxa"/>
            <w:vAlign w:val="top"/>
          </w:tcPr>
          <w:p w14:paraId="1A56844A">
            <w:pPr>
              <w:rPr>
                <w:rFonts w:ascii="Arial"/>
                <w:color w:val="auto"/>
                <w:sz w:val="21"/>
                <w:highlight w:val="none"/>
              </w:rPr>
            </w:pPr>
          </w:p>
        </w:tc>
        <w:tc>
          <w:tcPr>
            <w:tcW w:w="1440" w:type="dxa"/>
            <w:vAlign w:val="top"/>
          </w:tcPr>
          <w:p w14:paraId="32C720C6">
            <w:pPr>
              <w:rPr>
                <w:rFonts w:ascii="Arial"/>
                <w:color w:val="auto"/>
                <w:sz w:val="21"/>
                <w:highlight w:val="none"/>
              </w:rPr>
            </w:pPr>
          </w:p>
        </w:tc>
        <w:tc>
          <w:tcPr>
            <w:tcW w:w="1799" w:type="dxa"/>
            <w:vAlign w:val="top"/>
          </w:tcPr>
          <w:p w14:paraId="53F3773C">
            <w:pPr>
              <w:rPr>
                <w:rFonts w:ascii="Arial"/>
                <w:color w:val="auto"/>
                <w:sz w:val="21"/>
                <w:highlight w:val="none"/>
              </w:rPr>
            </w:pPr>
          </w:p>
        </w:tc>
        <w:tc>
          <w:tcPr>
            <w:tcW w:w="1732" w:type="dxa"/>
            <w:vAlign w:val="top"/>
          </w:tcPr>
          <w:p w14:paraId="4097B5EB">
            <w:pPr>
              <w:rPr>
                <w:rFonts w:ascii="Arial"/>
                <w:color w:val="auto"/>
                <w:sz w:val="21"/>
                <w:highlight w:val="none"/>
              </w:rPr>
            </w:pPr>
          </w:p>
        </w:tc>
        <w:tc>
          <w:tcPr>
            <w:tcW w:w="1483" w:type="dxa"/>
            <w:vAlign w:val="top"/>
          </w:tcPr>
          <w:p w14:paraId="6BD7C39D">
            <w:pPr>
              <w:rPr>
                <w:rFonts w:ascii="Arial"/>
                <w:color w:val="auto"/>
                <w:sz w:val="21"/>
                <w:highlight w:val="none"/>
              </w:rPr>
            </w:pPr>
          </w:p>
        </w:tc>
      </w:tr>
      <w:tr w14:paraId="1BD75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2AF117F8">
            <w:pPr>
              <w:rPr>
                <w:rFonts w:ascii="Arial"/>
                <w:color w:val="auto"/>
                <w:sz w:val="21"/>
                <w:highlight w:val="none"/>
              </w:rPr>
            </w:pPr>
          </w:p>
        </w:tc>
        <w:tc>
          <w:tcPr>
            <w:tcW w:w="1843" w:type="dxa"/>
            <w:vAlign w:val="top"/>
          </w:tcPr>
          <w:p w14:paraId="0FF585ED">
            <w:pPr>
              <w:spacing w:line="261" w:lineRule="auto"/>
              <w:rPr>
                <w:rFonts w:ascii="Arial"/>
                <w:color w:val="auto"/>
                <w:sz w:val="21"/>
                <w:highlight w:val="none"/>
              </w:rPr>
            </w:pPr>
          </w:p>
          <w:p w14:paraId="684AF7C8">
            <w:pPr>
              <w:pStyle w:val="11"/>
              <w:spacing w:before="68" w:line="221" w:lineRule="auto"/>
              <w:ind w:left="411"/>
              <w:rPr>
                <w:rFonts w:ascii="Times New Roman" w:hAnsi="Times New Roman" w:eastAsia="Times New Roman" w:cs="Times New Roman"/>
                <w:color w:val="auto"/>
                <w:highlight w:val="none"/>
              </w:rPr>
            </w:pPr>
            <w:r>
              <w:rPr>
                <w:color w:val="auto"/>
                <w:spacing w:val="-2"/>
                <w:highlight w:val="none"/>
              </w:rPr>
              <w:t>定值权重</w:t>
            </w:r>
            <w:r>
              <w:rPr>
                <w:color w:val="auto"/>
                <w:spacing w:val="-55"/>
                <w:highlight w:val="none"/>
              </w:rPr>
              <w:t xml:space="preserve"> </w:t>
            </w:r>
            <w:r>
              <w:rPr>
                <w:rFonts w:ascii="Times New Roman" w:hAnsi="Times New Roman" w:eastAsia="Times New Roman" w:cs="Times New Roman"/>
                <w:color w:val="auto"/>
                <w:spacing w:val="-2"/>
                <w:highlight w:val="none"/>
              </w:rPr>
              <w:t>A</w:t>
            </w:r>
          </w:p>
        </w:tc>
        <w:tc>
          <w:tcPr>
            <w:tcW w:w="1440" w:type="dxa"/>
            <w:vAlign w:val="top"/>
          </w:tcPr>
          <w:p w14:paraId="11EE35BB">
            <w:pPr>
              <w:rPr>
                <w:rFonts w:ascii="Arial"/>
                <w:color w:val="auto"/>
                <w:sz w:val="21"/>
                <w:highlight w:val="none"/>
              </w:rPr>
            </w:pPr>
          </w:p>
        </w:tc>
        <w:tc>
          <w:tcPr>
            <w:tcW w:w="1799" w:type="dxa"/>
            <w:vAlign w:val="top"/>
          </w:tcPr>
          <w:p w14:paraId="1FEFDBB8">
            <w:pPr>
              <w:spacing w:line="360" w:lineRule="auto"/>
              <w:rPr>
                <w:rFonts w:ascii="Arial"/>
                <w:color w:val="auto"/>
                <w:sz w:val="21"/>
                <w:highlight w:val="none"/>
              </w:rPr>
            </w:pPr>
          </w:p>
          <w:p w14:paraId="348D8368">
            <w:pPr>
              <w:pStyle w:val="11"/>
              <w:spacing w:before="68" w:line="143" w:lineRule="exact"/>
              <w:ind w:left="800"/>
              <w:rPr>
                <w:color w:val="auto"/>
                <w:highlight w:val="none"/>
              </w:rPr>
            </w:pPr>
            <w:r>
              <w:rPr>
                <w:color w:val="auto"/>
                <w:position w:val="-3"/>
                <w:highlight w:val="none"/>
              </w:rPr>
              <w:t>—</w:t>
            </w:r>
          </w:p>
        </w:tc>
        <w:tc>
          <w:tcPr>
            <w:tcW w:w="1732" w:type="dxa"/>
            <w:vAlign w:val="top"/>
          </w:tcPr>
          <w:p w14:paraId="1CFCB0E4">
            <w:pPr>
              <w:spacing w:line="360" w:lineRule="auto"/>
              <w:rPr>
                <w:rFonts w:ascii="Arial"/>
                <w:color w:val="auto"/>
                <w:sz w:val="21"/>
                <w:highlight w:val="none"/>
              </w:rPr>
            </w:pPr>
          </w:p>
          <w:p w14:paraId="129966F0">
            <w:pPr>
              <w:pStyle w:val="11"/>
              <w:spacing w:before="68" w:line="143" w:lineRule="exact"/>
              <w:ind w:left="768"/>
              <w:rPr>
                <w:color w:val="auto"/>
                <w:highlight w:val="none"/>
              </w:rPr>
            </w:pPr>
            <w:r>
              <w:rPr>
                <w:color w:val="auto"/>
                <w:position w:val="-3"/>
                <w:highlight w:val="none"/>
              </w:rPr>
              <w:t>—</w:t>
            </w:r>
          </w:p>
        </w:tc>
        <w:tc>
          <w:tcPr>
            <w:tcW w:w="1483" w:type="dxa"/>
            <w:vAlign w:val="top"/>
          </w:tcPr>
          <w:p w14:paraId="265D3967">
            <w:pPr>
              <w:rPr>
                <w:rFonts w:ascii="Arial"/>
                <w:color w:val="auto"/>
                <w:sz w:val="21"/>
                <w:highlight w:val="none"/>
              </w:rPr>
            </w:pPr>
          </w:p>
        </w:tc>
      </w:tr>
      <w:tr w14:paraId="7D884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14:paraId="3085BA80">
            <w:pPr>
              <w:spacing w:line="262" w:lineRule="auto"/>
              <w:rPr>
                <w:rFonts w:ascii="Arial"/>
                <w:color w:val="auto"/>
                <w:sz w:val="21"/>
                <w:highlight w:val="none"/>
              </w:rPr>
            </w:pPr>
          </w:p>
          <w:p w14:paraId="22A2CF40">
            <w:pPr>
              <w:pStyle w:val="11"/>
              <w:spacing w:before="68" w:line="222" w:lineRule="auto"/>
              <w:ind w:left="1027"/>
              <w:rPr>
                <w:color w:val="auto"/>
                <w:highlight w:val="none"/>
              </w:rPr>
            </w:pPr>
            <w:r>
              <w:rPr>
                <w:color w:val="auto"/>
                <w:spacing w:val="-2"/>
                <w:highlight w:val="none"/>
              </w:rPr>
              <w:t>合计</w:t>
            </w:r>
          </w:p>
        </w:tc>
        <w:tc>
          <w:tcPr>
            <w:tcW w:w="1440" w:type="dxa"/>
            <w:vAlign w:val="top"/>
          </w:tcPr>
          <w:p w14:paraId="22FD2D6F">
            <w:pPr>
              <w:spacing w:line="306" w:lineRule="auto"/>
              <w:rPr>
                <w:rFonts w:ascii="Arial"/>
                <w:color w:val="auto"/>
                <w:sz w:val="21"/>
                <w:highlight w:val="none"/>
              </w:rPr>
            </w:pPr>
          </w:p>
          <w:p w14:paraId="2893B191">
            <w:pPr>
              <w:spacing w:before="61" w:line="189" w:lineRule="auto"/>
              <w:ind w:left="68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799" w:type="dxa"/>
            <w:vAlign w:val="top"/>
          </w:tcPr>
          <w:p w14:paraId="6BB14721">
            <w:pPr>
              <w:tabs>
                <w:tab w:val="left" w:pos="1004"/>
              </w:tabs>
              <w:spacing w:before="239" w:line="242" w:lineRule="exact"/>
              <w:ind w:left="800"/>
              <w:rPr>
                <w:rFonts w:ascii="Arial"/>
                <w:color w:val="auto"/>
                <w:sz w:val="21"/>
                <w:highlight w:val="none"/>
              </w:rPr>
            </w:pPr>
            <w:r>
              <w:rPr>
                <w:rFonts w:ascii="Arial" w:hAnsi="Arial" w:eastAsia="Arial" w:cs="Arial"/>
                <w:color w:val="auto"/>
                <w:sz w:val="21"/>
                <w:szCs w:val="21"/>
                <w:highlight w:val="none"/>
                <w:u w:val="single" w:color="auto"/>
              </w:rPr>
              <w:tab/>
            </w:r>
          </w:p>
        </w:tc>
        <w:tc>
          <w:tcPr>
            <w:tcW w:w="1732" w:type="dxa"/>
            <w:vAlign w:val="top"/>
          </w:tcPr>
          <w:p w14:paraId="5C6FA13F">
            <w:pPr>
              <w:spacing w:line="361" w:lineRule="auto"/>
              <w:rPr>
                <w:rFonts w:ascii="Arial"/>
                <w:color w:val="auto"/>
                <w:sz w:val="21"/>
                <w:highlight w:val="none"/>
              </w:rPr>
            </w:pPr>
          </w:p>
          <w:p w14:paraId="4BB4A049">
            <w:pPr>
              <w:pStyle w:val="11"/>
              <w:spacing w:before="68" w:line="143" w:lineRule="exact"/>
              <w:ind w:left="768"/>
              <w:rPr>
                <w:color w:val="auto"/>
                <w:highlight w:val="none"/>
              </w:rPr>
            </w:pPr>
            <w:r>
              <w:rPr>
                <w:color w:val="auto"/>
                <w:position w:val="-3"/>
                <w:highlight w:val="none"/>
              </w:rPr>
              <w:t>—</w:t>
            </w:r>
          </w:p>
        </w:tc>
        <w:tc>
          <w:tcPr>
            <w:tcW w:w="1483" w:type="dxa"/>
            <w:vAlign w:val="top"/>
          </w:tcPr>
          <w:p w14:paraId="440D3DB9">
            <w:pPr>
              <w:rPr>
                <w:rFonts w:ascii="Arial"/>
                <w:color w:val="auto"/>
                <w:sz w:val="21"/>
                <w:highlight w:val="none"/>
              </w:rPr>
            </w:pPr>
          </w:p>
        </w:tc>
      </w:tr>
    </w:tbl>
    <w:p w14:paraId="28D86595">
      <w:pPr>
        <w:pStyle w:val="3"/>
        <w:spacing w:line="437" w:lineRule="auto"/>
        <w:rPr>
          <w:color w:val="auto"/>
          <w:highlight w:val="none"/>
        </w:rPr>
      </w:pPr>
    </w:p>
    <w:p w14:paraId="68B877D7">
      <w:pPr>
        <w:spacing w:before="69" w:line="234" w:lineRule="auto"/>
        <w:ind w:left="857" w:right="597" w:hanging="8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 xml:space="preserve">注： </w:t>
      </w:r>
      <w:r>
        <w:rPr>
          <w:rFonts w:ascii="Times New Roman" w:hAnsi="Times New Roman" w:eastAsia="Times New Roman" w:cs="Times New Roman"/>
          <w:color w:val="auto"/>
          <w:spacing w:val="-9"/>
          <w:sz w:val="21"/>
          <w:szCs w:val="21"/>
          <w:highlight w:val="none"/>
        </w:rPr>
        <w:t>1</w:t>
      </w:r>
      <w:r>
        <w:rPr>
          <w:rFonts w:ascii="宋体" w:hAnsi="宋体" w:eastAsia="宋体" w:cs="宋体"/>
          <w:color w:val="auto"/>
          <w:spacing w:val="-9"/>
          <w:sz w:val="21"/>
          <w:szCs w:val="21"/>
          <w:highlight w:val="none"/>
        </w:rPr>
        <w:t>．“名称、规格、型号”、“ 基本</w:t>
      </w:r>
      <w:r>
        <w:rPr>
          <w:rFonts w:ascii="宋体" w:hAnsi="宋体" w:eastAsia="宋体" w:cs="宋体"/>
          <w:color w:val="auto"/>
          <w:spacing w:val="-10"/>
          <w:sz w:val="21"/>
          <w:szCs w:val="21"/>
          <w:highlight w:val="none"/>
        </w:rPr>
        <w:t>价格指数”栏由招标人填写，基本价格指数应首先采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用工程造价管理机构发布的价格指数， 没</w:t>
      </w:r>
      <w:r>
        <w:rPr>
          <w:rFonts w:ascii="宋体" w:hAnsi="宋体" w:eastAsia="宋体" w:cs="宋体"/>
          <w:color w:val="auto"/>
          <w:spacing w:val="-4"/>
          <w:sz w:val="21"/>
          <w:szCs w:val="21"/>
          <w:highlight w:val="none"/>
        </w:rPr>
        <w:t>有时， 可用发布的价格代替。如人工、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机械也采用本法调整，由招标人在“名称”栏填写。</w:t>
      </w:r>
    </w:p>
    <w:p w14:paraId="35988CD7">
      <w:pPr>
        <w:spacing w:before="24" w:line="228" w:lineRule="auto"/>
        <w:ind w:left="873" w:right="600" w:hanging="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20"/>
          <w:sz w:val="21"/>
          <w:szCs w:val="21"/>
          <w:highlight w:val="none"/>
        </w:rPr>
        <w:t xml:space="preserve"> </w:t>
      </w:r>
      <w:r>
        <w:rPr>
          <w:rFonts w:ascii="宋体" w:hAnsi="宋体" w:eastAsia="宋体" w:cs="宋体"/>
          <w:color w:val="auto"/>
          <w:spacing w:val="-1"/>
          <w:sz w:val="21"/>
          <w:szCs w:val="21"/>
          <w:highlight w:val="none"/>
        </w:rPr>
        <w:t>．“变值权重”栏由投标人根据该项人工、机械费和材料、工程设备价值在投标总报</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价中所站比例填写，</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8"/>
          <w:sz w:val="21"/>
          <w:szCs w:val="21"/>
          <w:highlight w:val="none"/>
        </w:rPr>
        <w:t xml:space="preserve">1 </w:t>
      </w:r>
      <w:r>
        <w:rPr>
          <w:rFonts w:ascii="宋体" w:hAnsi="宋体" w:eastAsia="宋体" w:cs="宋体"/>
          <w:color w:val="auto"/>
          <w:spacing w:val="-8"/>
          <w:sz w:val="21"/>
          <w:szCs w:val="21"/>
          <w:highlight w:val="none"/>
        </w:rPr>
        <w:t>减去其比例为定值权重。</w:t>
      </w:r>
    </w:p>
    <w:p w14:paraId="49B06E9E">
      <w:pPr>
        <w:spacing w:before="25" w:line="222" w:lineRule="auto"/>
        <w:ind w:left="874" w:right="591" w:hanging="418"/>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．“现行价格指数”按约定的付款证书相关周期最后一天的前</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42 </w:t>
      </w:r>
      <w:r>
        <w:rPr>
          <w:rFonts w:ascii="宋体" w:hAnsi="宋体" w:eastAsia="宋体" w:cs="宋体"/>
          <w:color w:val="auto"/>
          <w:spacing w:val="-3"/>
          <w:sz w:val="21"/>
          <w:szCs w:val="21"/>
          <w:highlight w:val="none"/>
        </w:rPr>
        <w:t>天的各项价格指数填</w:t>
      </w:r>
      <w:r>
        <w:rPr>
          <w:rFonts w:ascii="宋体" w:hAnsi="宋体" w:eastAsia="宋体" w:cs="宋体"/>
          <w:color w:val="auto"/>
          <w:sz w:val="21"/>
          <w:szCs w:val="21"/>
          <w:highlight w:val="none"/>
        </w:rPr>
        <w:t xml:space="preserve"> 写，该指数应首先采用工程造价管理机构发布的价格指数， </w:t>
      </w:r>
      <w:r>
        <w:rPr>
          <w:rFonts w:ascii="宋体" w:hAnsi="宋体" w:eastAsia="宋体" w:cs="宋体"/>
          <w:color w:val="auto"/>
          <w:spacing w:val="-1"/>
          <w:sz w:val="21"/>
          <w:szCs w:val="21"/>
          <w:highlight w:val="none"/>
        </w:rPr>
        <w:t>没有时，可用发布的</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价格代替。</w:t>
      </w:r>
    </w:p>
    <w:p w14:paraId="6C16C399">
      <w:pPr>
        <w:spacing w:line="222" w:lineRule="auto"/>
        <w:rPr>
          <w:rFonts w:ascii="宋体" w:hAnsi="宋体" w:eastAsia="宋体" w:cs="宋体"/>
          <w:color w:val="auto"/>
          <w:sz w:val="21"/>
          <w:szCs w:val="21"/>
          <w:highlight w:val="none"/>
        </w:rPr>
        <w:sectPr>
          <w:type w:val="continuous"/>
          <w:pgSz w:w="11905" w:h="16839"/>
          <w:pgMar w:top="400" w:right="1195" w:bottom="1004" w:left="1785" w:header="0" w:footer="828" w:gutter="0"/>
          <w:pgNumType w:fmt="decimal"/>
          <w:cols w:equalWidth="0" w:num="1">
            <w:col w:w="8923"/>
          </w:cols>
        </w:sectPr>
      </w:pPr>
    </w:p>
    <w:p w14:paraId="0EECB9E6">
      <w:pPr>
        <w:pStyle w:val="3"/>
        <w:spacing w:line="249" w:lineRule="auto"/>
        <w:rPr>
          <w:color w:val="auto"/>
          <w:highlight w:val="none"/>
        </w:rPr>
      </w:pPr>
    </w:p>
    <w:p w14:paraId="0BDACFFE">
      <w:pPr>
        <w:pStyle w:val="3"/>
        <w:spacing w:line="249" w:lineRule="auto"/>
        <w:rPr>
          <w:color w:val="auto"/>
          <w:highlight w:val="none"/>
        </w:rPr>
      </w:pPr>
    </w:p>
    <w:p w14:paraId="3626C6C0">
      <w:pPr>
        <w:pStyle w:val="3"/>
        <w:spacing w:line="250" w:lineRule="auto"/>
        <w:rPr>
          <w:color w:val="auto"/>
          <w:highlight w:val="none"/>
        </w:rPr>
      </w:pPr>
    </w:p>
    <w:p w14:paraId="5424A713">
      <w:pPr>
        <w:pStyle w:val="3"/>
        <w:spacing w:line="250" w:lineRule="auto"/>
        <w:rPr>
          <w:color w:val="auto"/>
          <w:highlight w:val="none"/>
        </w:rPr>
      </w:pPr>
    </w:p>
    <w:p w14:paraId="7C4B49F2">
      <w:pPr>
        <w:pStyle w:val="3"/>
        <w:spacing w:line="250" w:lineRule="auto"/>
        <w:rPr>
          <w:color w:val="auto"/>
          <w:highlight w:val="none"/>
        </w:rPr>
      </w:pPr>
    </w:p>
    <w:p w14:paraId="4450F4FE">
      <w:pPr>
        <w:pStyle w:val="3"/>
        <w:spacing w:line="250" w:lineRule="auto"/>
        <w:rPr>
          <w:color w:val="auto"/>
          <w:highlight w:val="none"/>
        </w:rPr>
      </w:pPr>
    </w:p>
    <w:p w14:paraId="364ED821">
      <w:pPr>
        <w:pStyle w:val="3"/>
        <w:spacing w:line="250" w:lineRule="auto"/>
        <w:rPr>
          <w:color w:val="auto"/>
          <w:highlight w:val="none"/>
        </w:rPr>
      </w:pPr>
    </w:p>
    <w:p w14:paraId="24F2C51A">
      <w:pPr>
        <w:pStyle w:val="3"/>
        <w:spacing w:line="250" w:lineRule="auto"/>
        <w:rPr>
          <w:color w:val="auto"/>
          <w:highlight w:val="none"/>
        </w:rPr>
      </w:pPr>
    </w:p>
    <w:p w14:paraId="7501C7ED">
      <w:pPr>
        <w:pStyle w:val="3"/>
        <w:spacing w:line="250" w:lineRule="auto"/>
        <w:rPr>
          <w:color w:val="auto"/>
          <w:highlight w:val="none"/>
        </w:rPr>
      </w:pPr>
    </w:p>
    <w:p w14:paraId="73794DB9">
      <w:pPr>
        <w:pStyle w:val="3"/>
        <w:spacing w:line="250" w:lineRule="auto"/>
        <w:rPr>
          <w:color w:val="auto"/>
          <w:highlight w:val="none"/>
        </w:rPr>
      </w:pPr>
    </w:p>
    <w:p w14:paraId="739D8867">
      <w:pPr>
        <w:pStyle w:val="3"/>
        <w:spacing w:line="250" w:lineRule="auto"/>
        <w:rPr>
          <w:color w:val="auto"/>
          <w:highlight w:val="none"/>
        </w:rPr>
      </w:pPr>
    </w:p>
    <w:p w14:paraId="24F98706">
      <w:pPr>
        <w:pStyle w:val="3"/>
        <w:spacing w:line="250" w:lineRule="auto"/>
        <w:rPr>
          <w:color w:val="auto"/>
          <w:highlight w:val="none"/>
        </w:rPr>
      </w:pPr>
    </w:p>
    <w:p w14:paraId="0864EC77">
      <w:pPr>
        <w:pStyle w:val="3"/>
        <w:spacing w:line="250" w:lineRule="auto"/>
        <w:rPr>
          <w:color w:val="auto"/>
          <w:highlight w:val="none"/>
        </w:rPr>
      </w:pPr>
    </w:p>
    <w:p w14:paraId="59EB3222">
      <w:pPr>
        <w:pStyle w:val="3"/>
        <w:spacing w:line="250" w:lineRule="auto"/>
        <w:rPr>
          <w:color w:val="auto"/>
          <w:highlight w:val="none"/>
        </w:rPr>
      </w:pPr>
    </w:p>
    <w:p w14:paraId="184487EA">
      <w:pPr>
        <w:pStyle w:val="3"/>
        <w:spacing w:line="250" w:lineRule="auto"/>
        <w:rPr>
          <w:color w:val="auto"/>
          <w:highlight w:val="none"/>
        </w:rPr>
      </w:pPr>
    </w:p>
    <w:p w14:paraId="51DEB19A">
      <w:pPr>
        <w:pStyle w:val="3"/>
        <w:spacing w:line="250" w:lineRule="auto"/>
        <w:rPr>
          <w:color w:val="auto"/>
          <w:highlight w:val="none"/>
        </w:rPr>
      </w:pPr>
    </w:p>
    <w:p w14:paraId="5B2B36E5">
      <w:pPr>
        <w:pStyle w:val="3"/>
        <w:spacing w:line="250" w:lineRule="auto"/>
        <w:rPr>
          <w:color w:val="auto"/>
          <w:highlight w:val="none"/>
        </w:rPr>
      </w:pPr>
    </w:p>
    <w:p w14:paraId="74F01117">
      <w:pPr>
        <w:pStyle w:val="3"/>
        <w:spacing w:line="250" w:lineRule="auto"/>
        <w:rPr>
          <w:color w:val="auto"/>
          <w:highlight w:val="none"/>
        </w:rPr>
      </w:pPr>
    </w:p>
    <w:p w14:paraId="176E7E80">
      <w:pPr>
        <w:pStyle w:val="3"/>
        <w:spacing w:line="250" w:lineRule="auto"/>
        <w:rPr>
          <w:color w:val="auto"/>
          <w:highlight w:val="none"/>
        </w:rPr>
      </w:pPr>
    </w:p>
    <w:p w14:paraId="311DB600">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5"/>
          <w:sz w:val="48"/>
          <w:szCs w:val="48"/>
          <w:highlight w:val="none"/>
        </w:rPr>
        <w:t>第二卷</w:t>
      </w:r>
    </w:p>
    <w:p w14:paraId="3AECB092">
      <w:pPr>
        <w:spacing w:line="219" w:lineRule="auto"/>
        <w:rPr>
          <w:rFonts w:ascii="黑体" w:hAnsi="黑体" w:eastAsia="黑体" w:cs="黑体"/>
          <w:color w:val="auto"/>
          <w:sz w:val="48"/>
          <w:szCs w:val="48"/>
          <w:highlight w:val="none"/>
        </w:rPr>
        <w:sectPr>
          <w:footerReference r:id="rId201" w:type="default"/>
          <w:pgSz w:w="11905" w:h="16839"/>
          <w:pgMar w:top="400" w:right="1785" w:bottom="1004" w:left="1785" w:header="0" w:footer="828" w:gutter="0"/>
          <w:pgNumType w:fmt="decimal"/>
          <w:cols w:space="720" w:num="1"/>
        </w:sectPr>
      </w:pPr>
    </w:p>
    <w:p w14:paraId="0219C5BE">
      <w:pPr>
        <w:pStyle w:val="3"/>
        <w:spacing w:line="242" w:lineRule="auto"/>
        <w:rPr>
          <w:color w:val="auto"/>
          <w:highlight w:val="none"/>
        </w:rPr>
      </w:pPr>
    </w:p>
    <w:p w14:paraId="20D1C215">
      <w:pPr>
        <w:pStyle w:val="3"/>
        <w:spacing w:line="242" w:lineRule="auto"/>
        <w:rPr>
          <w:color w:val="auto"/>
          <w:highlight w:val="none"/>
        </w:rPr>
      </w:pPr>
    </w:p>
    <w:p w14:paraId="0D41D4FC">
      <w:pPr>
        <w:pStyle w:val="3"/>
        <w:spacing w:line="242" w:lineRule="auto"/>
        <w:rPr>
          <w:color w:val="auto"/>
          <w:highlight w:val="none"/>
        </w:rPr>
      </w:pPr>
    </w:p>
    <w:p w14:paraId="12F1864C">
      <w:pPr>
        <w:pStyle w:val="3"/>
        <w:spacing w:line="242" w:lineRule="auto"/>
        <w:rPr>
          <w:color w:val="auto"/>
          <w:highlight w:val="none"/>
        </w:rPr>
      </w:pPr>
    </w:p>
    <w:p w14:paraId="5138195C">
      <w:pPr>
        <w:pStyle w:val="3"/>
        <w:spacing w:line="242" w:lineRule="auto"/>
        <w:rPr>
          <w:color w:val="auto"/>
          <w:highlight w:val="none"/>
        </w:rPr>
      </w:pPr>
    </w:p>
    <w:p w14:paraId="394A3E4C">
      <w:pPr>
        <w:pStyle w:val="3"/>
        <w:spacing w:line="242" w:lineRule="auto"/>
        <w:rPr>
          <w:color w:val="auto"/>
          <w:highlight w:val="none"/>
        </w:rPr>
      </w:pPr>
    </w:p>
    <w:p w14:paraId="27C81890">
      <w:pPr>
        <w:pStyle w:val="3"/>
        <w:spacing w:line="243" w:lineRule="auto"/>
        <w:rPr>
          <w:color w:val="auto"/>
          <w:highlight w:val="none"/>
        </w:rPr>
      </w:pPr>
    </w:p>
    <w:p w14:paraId="5E966794">
      <w:pPr>
        <w:pStyle w:val="3"/>
        <w:spacing w:line="243" w:lineRule="auto"/>
        <w:rPr>
          <w:color w:val="auto"/>
          <w:highlight w:val="none"/>
        </w:rPr>
      </w:pPr>
    </w:p>
    <w:p w14:paraId="1A385519">
      <w:pPr>
        <w:pStyle w:val="3"/>
        <w:spacing w:line="243" w:lineRule="auto"/>
        <w:rPr>
          <w:color w:val="auto"/>
          <w:highlight w:val="none"/>
        </w:rPr>
      </w:pPr>
    </w:p>
    <w:p w14:paraId="0287763B">
      <w:pPr>
        <w:pStyle w:val="3"/>
        <w:spacing w:line="243" w:lineRule="auto"/>
        <w:rPr>
          <w:color w:val="auto"/>
          <w:highlight w:val="none"/>
        </w:rPr>
      </w:pPr>
    </w:p>
    <w:p w14:paraId="0513F9B6">
      <w:pPr>
        <w:pStyle w:val="3"/>
        <w:spacing w:line="243" w:lineRule="auto"/>
        <w:rPr>
          <w:color w:val="auto"/>
          <w:highlight w:val="none"/>
        </w:rPr>
      </w:pPr>
    </w:p>
    <w:p w14:paraId="536DF172">
      <w:pPr>
        <w:pStyle w:val="3"/>
        <w:spacing w:line="243" w:lineRule="auto"/>
        <w:rPr>
          <w:color w:val="auto"/>
          <w:highlight w:val="none"/>
        </w:rPr>
      </w:pPr>
    </w:p>
    <w:p w14:paraId="355C7628">
      <w:pPr>
        <w:pStyle w:val="3"/>
        <w:spacing w:line="243" w:lineRule="auto"/>
        <w:rPr>
          <w:color w:val="auto"/>
          <w:highlight w:val="none"/>
        </w:rPr>
      </w:pPr>
    </w:p>
    <w:p w14:paraId="4FEF8F6D">
      <w:pPr>
        <w:pStyle w:val="3"/>
        <w:spacing w:line="243" w:lineRule="auto"/>
        <w:rPr>
          <w:color w:val="auto"/>
          <w:highlight w:val="none"/>
        </w:rPr>
      </w:pPr>
    </w:p>
    <w:p w14:paraId="0B108B89">
      <w:pPr>
        <w:pStyle w:val="3"/>
        <w:spacing w:line="243" w:lineRule="auto"/>
        <w:rPr>
          <w:color w:val="auto"/>
          <w:highlight w:val="none"/>
        </w:rPr>
      </w:pPr>
    </w:p>
    <w:p w14:paraId="52CD22E9">
      <w:pPr>
        <w:pStyle w:val="3"/>
        <w:spacing w:line="243" w:lineRule="auto"/>
        <w:rPr>
          <w:color w:val="auto"/>
          <w:highlight w:val="none"/>
        </w:rPr>
      </w:pPr>
    </w:p>
    <w:p w14:paraId="6B45AE6C">
      <w:pPr>
        <w:pStyle w:val="3"/>
        <w:spacing w:line="243" w:lineRule="auto"/>
        <w:rPr>
          <w:color w:val="auto"/>
          <w:highlight w:val="none"/>
        </w:rPr>
      </w:pPr>
    </w:p>
    <w:p w14:paraId="4BE73788">
      <w:pPr>
        <w:pStyle w:val="3"/>
        <w:spacing w:line="243" w:lineRule="auto"/>
        <w:rPr>
          <w:color w:val="auto"/>
          <w:highlight w:val="none"/>
        </w:rPr>
      </w:pPr>
    </w:p>
    <w:p w14:paraId="471CC5A8">
      <w:pPr>
        <w:pStyle w:val="3"/>
        <w:spacing w:line="243" w:lineRule="auto"/>
        <w:rPr>
          <w:color w:val="auto"/>
          <w:highlight w:val="none"/>
        </w:rPr>
      </w:pPr>
    </w:p>
    <w:p w14:paraId="63D54775">
      <w:pPr>
        <w:pStyle w:val="3"/>
        <w:spacing w:line="243" w:lineRule="auto"/>
        <w:rPr>
          <w:color w:val="auto"/>
          <w:highlight w:val="none"/>
        </w:rPr>
      </w:pPr>
    </w:p>
    <w:p w14:paraId="3132976A">
      <w:pPr>
        <w:spacing w:before="104" w:line="220" w:lineRule="auto"/>
        <w:ind w:left="3057"/>
        <w:outlineLvl w:val="0"/>
        <w:rPr>
          <w:rFonts w:ascii="黑体" w:hAnsi="黑体" w:eastAsia="黑体" w:cs="黑体"/>
          <w:color w:val="auto"/>
          <w:sz w:val="32"/>
          <w:szCs w:val="32"/>
          <w:highlight w:val="none"/>
        </w:rPr>
      </w:pPr>
      <w:r>
        <w:rPr>
          <w:rFonts w:ascii="黑体" w:hAnsi="黑体" w:eastAsia="黑体" w:cs="黑体"/>
          <w:color w:val="auto"/>
          <w:spacing w:val="-8"/>
          <w:sz w:val="32"/>
          <w:szCs w:val="32"/>
          <w:highlight w:val="none"/>
        </w:rPr>
        <w:t>第六章</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图</w:t>
      </w:r>
      <w:r>
        <w:rPr>
          <w:rFonts w:ascii="黑体" w:hAnsi="黑体" w:eastAsia="黑体" w:cs="黑体"/>
          <w:color w:val="auto"/>
          <w:spacing w:val="9"/>
          <w:sz w:val="32"/>
          <w:szCs w:val="32"/>
          <w:highlight w:val="none"/>
        </w:rPr>
        <w:t xml:space="preserve">  </w:t>
      </w:r>
      <w:r>
        <w:rPr>
          <w:rFonts w:ascii="黑体" w:hAnsi="黑体" w:eastAsia="黑体" w:cs="黑体"/>
          <w:color w:val="auto"/>
          <w:spacing w:val="-8"/>
          <w:sz w:val="32"/>
          <w:szCs w:val="32"/>
          <w:highlight w:val="none"/>
        </w:rPr>
        <w:t>纸</w:t>
      </w:r>
    </w:p>
    <w:p w14:paraId="4AE7809F">
      <w:pPr>
        <w:spacing w:line="220" w:lineRule="auto"/>
        <w:rPr>
          <w:rFonts w:ascii="黑体" w:hAnsi="黑体" w:eastAsia="黑体" w:cs="黑体"/>
          <w:color w:val="auto"/>
          <w:sz w:val="32"/>
          <w:szCs w:val="32"/>
          <w:highlight w:val="none"/>
        </w:rPr>
        <w:sectPr>
          <w:footerReference r:id="rId202" w:type="default"/>
          <w:pgSz w:w="11905" w:h="16839"/>
          <w:pgMar w:top="400" w:right="1785" w:bottom="1004" w:left="1785" w:header="0" w:footer="828" w:gutter="0"/>
          <w:pgNumType w:fmt="decimal"/>
          <w:cols w:space="720" w:num="1"/>
        </w:sectPr>
      </w:pPr>
    </w:p>
    <w:p w14:paraId="4C34BA85">
      <w:pPr>
        <w:pStyle w:val="3"/>
        <w:spacing w:line="266" w:lineRule="auto"/>
        <w:rPr>
          <w:color w:val="auto"/>
          <w:highlight w:val="none"/>
        </w:rPr>
      </w:pPr>
    </w:p>
    <w:p w14:paraId="332414A5">
      <w:pPr>
        <w:pStyle w:val="3"/>
        <w:spacing w:line="266" w:lineRule="auto"/>
        <w:rPr>
          <w:color w:val="auto"/>
          <w:highlight w:val="none"/>
        </w:rPr>
      </w:pPr>
    </w:p>
    <w:p w14:paraId="6D3F040B">
      <w:pPr>
        <w:pStyle w:val="3"/>
        <w:spacing w:line="267" w:lineRule="auto"/>
        <w:rPr>
          <w:color w:val="auto"/>
          <w:highlight w:val="none"/>
        </w:rPr>
      </w:pPr>
    </w:p>
    <w:p w14:paraId="7AFA5608">
      <w:pPr>
        <w:pStyle w:val="3"/>
        <w:spacing w:line="267" w:lineRule="auto"/>
        <w:rPr>
          <w:color w:val="auto"/>
          <w:highlight w:val="none"/>
        </w:rPr>
      </w:pPr>
    </w:p>
    <w:p w14:paraId="6B583A2D">
      <w:pPr>
        <w:spacing w:before="78"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10"/>
          <w:sz w:val="24"/>
          <w:szCs w:val="24"/>
          <w:highlight w:val="none"/>
        </w:rPr>
        <w:t>1</w:t>
      </w:r>
      <w:r>
        <w:rPr>
          <w:rFonts w:ascii="Times New Roman" w:hAnsi="Times New Roman" w:eastAsia="Times New Roman" w:cs="Times New Roman"/>
          <w:color w:val="auto"/>
          <w:spacing w:val="-23"/>
          <w:sz w:val="24"/>
          <w:szCs w:val="24"/>
          <w:highlight w:val="none"/>
        </w:rPr>
        <w:t xml:space="preserve"> </w:t>
      </w:r>
      <w:r>
        <w:rPr>
          <w:rFonts w:ascii="黑体" w:hAnsi="黑体" w:eastAsia="黑体" w:cs="黑体"/>
          <w:color w:val="auto"/>
          <w:spacing w:val="-10"/>
          <w:sz w:val="24"/>
          <w:szCs w:val="24"/>
          <w:highlight w:val="none"/>
        </w:rPr>
        <w:t>．图纸目录</w:t>
      </w:r>
    </w:p>
    <w:p w14:paraId="59A0046A">
      <w:pPr>
        <w:spacing w:line="34" w:lineRule="auto"/>
        <w:rPr>
          <w:rFonts w:ascii="Arial"/>
          <w:color w:val="auto"/>
          <w:sz w:val="2"/>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14:paraId="3F85D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7A2F219C">
            <w:pPr>
              <w:pStyle w:val="11"/>
              <w:spacing w:before="125" w:line="222" w:lineRule="auto"/>
              <w:ind w:left="492"/>
              <w:rPr>
                <w:color w:val="auto"/>
                <w:highlight w:val="none"/>
              </w:rPr>
            </w:pPr>
            <w:r>
              <w:rPr>
                <w:color w:val="auto"/>
                <w:spacing w:val="-2"/>
                <w:highlight w:val="none"/>
              </w:rPr>
              <w:t>序号</w:t>
            </w:r>
          </w:p>
        </w:tc>
        <w:tc>
          <w:tcPr>
            <w:tcW w:w="1387" w:type="dxa"/>
            <w:vAlign w:val="top"/>
          </w:tcPr>
          <w:p w14:paraId="6FE59EB2">
            <w:pPr>
              <w:pStyle w:val="11"/>
              <w:spacing w:before="125" w:line="222" w:lineRule="auto"/>
              <w:ind w:left="509"/>
              <w:rPr>
                <w:color w:val="auto"/>
                <w:highlight w:val="none"/>
              </w:rPr>
            </w:pPr>
            <w:r>
              <w:rPr>
                <w:color w:val="auto"/>
                <w:spacing w:val="-7"/>
                <w:highlight w:val="none"/>
              </w:rPr>
              <w:t>图名</w:t>
            </w:r>
          </w:p>
        </w:tc>
        <w:tc>
          <w:tcPr>
            <w:tcW w:w="1382" w:type="dxa"/>
            <w:vAlign w:val="top"/>
          </w:tcPr>
          <w:p w14:paraId="64429482">
            <w:pPr>
              <w:pStyle w:val="11"/>
              <w:spacing w:before="125" w:line="222" w:lineRule="auto"/>
              <w:ind w:left="510"/>
              <w:rPr>
                <w:color w:val="auto"/>
                <w:highlight w:val="none"/>
              </w:rPr>
            </w:pPr>
            <w:r>
              <w:rPr>
                <w:color w:val="auto"/>
                <w:spacing w:val="-7"/>
                <w:highlight w:val="none"/>
              </w:rPr>
              <w:t>图号</w:t>
            </w:r>
          </w:p>
        </w:tc>
        <w:tc>
          <w:tcPr>
            <w:tcW w:w="1382" w:type="dxa"/>
            <w:vAlign w:val="top"/>
          </w:tcPr>
          <w:p w14:paraId="1D5C4A2C">
            <w:pPr>
              <w:pStyle w:val="11"/>
              <w:spacing w:before="125" w:line="220" w:lineRule="auto"/>
              <w:ind w:left="491"/>
              <w:rPr>
                <w:color w:val="auto"/>
                <w:highlight w:val="none"/>
              </w:rPr>
            </w:pPr>
            <w:r>
              <w:rPr>
                <w:color w:val="auto"/>
                <w:spacing w:val="-2"/>
                <w:highlight w:val="none"/>
              </w:rPr>
              <w:t>版本</w:t>
            </w:r>
          </w:p>
        </w:tc>
        <w:tc>
          <w:tcPr>
            <w:tcW w:w="1382" w:type="dxa"/>
            <w:vAlign w:val="top"/>
          </w:tcPr>
          <w:p w14:paraId="31BA952A">
            <w:pPr>
              <w:pStyle w:val="11"/>
              <w:spacing w:before="125" w:line="221" w:lineRule="auto"/>
              <w:ind w:left="298"/>
              <w:rPr>
                <w:color w:val="auto"/>
                <w:highlight w:val="none"/>
              </w:rPr>
            </w:pPr>
            <w:r>
              <w:rPr>
                <w:color w:val="auto"/>
                <w:spacing w:val="-5"/>
                <w:highlight w:val="none"/>
              </w:rPr>
              <w:t>出图日期</w:t>
            </w:r>
          </w:p>
        </w:tc>
        <w:tc>
          <w:tcPr>
            <w:tcW w:w="1391" w:type="dxa"/>
            <w:vAlign w:val="top"/>
          </w:tcPr>
          <w:p w14:paraId="259108F7">
            <w:pPr>
              <w:pStyle w:val="11"/>
              <w:spacing w:before="125" w:line="222" w:lineRule="auto"/>
              <w:ind w:left="495"/>
              <w:rPr>
                <w:color w:val="auto"/>
                <w:highlight w:val="none"/>
              </w:rPr>
            </w:pPr>
            <w:r>
              <w:rPr>
                <w:color w:val="auto"/>
                <w:spacing w:val="-3"/>
                <w:highlight w:val="none"/>
              </w:rPr>
              <w:t>备注</w:t>
            </w:r>
          </w:p>
        </w:tc>
      </w:tr>
      <w:tr w14:paraId="5AF74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5BD258E">
            <w:pPr>
              <w:rPr>
                <w:rFonts w:ascii="Arial"/>
                <w:color w:val="auto"/>
                <w:sz w:val="21"/>
                <w:highlight w:val="none"/>
              </w:rPr>
            </w:pPr>
          </w:p>
        </w:tc>
        <w:tc>
          <w:tcPr>
            <w:tcW w:w="1387" w:type="dxa"/>
            <w:vAlign w:val="top"/>
          </w:tcPr>
          <w:p w14:paraId="274B9C43">
            <w:pPr>
              <w:rPr>
                <w:rFonts w:ascii="Arial"/>
                <w:color w:val="auto"/>
                <w:sz w:val="21"/>
                <w:highlight w:val="none"/>
              </w:rPr>
            </w:pPr>
          </w:p>
        </w:tc>
        <w:tc>
          <w:tcPr>
            <w:tcW w:w="1382" w:type="dxa"/>
            <w:vAlign w:val="top"/>
          </w:tcPr>
          <w:p w14:paraId="598D0222">
            <w:pPr>
              <w:rPr>
                <w:rFonts w:ascii="Arial"/>
                <w:color w:val="auto"/>
                <w:sz w:val="21"/>
                <w:highlight w:val="none"/>
              </w:rPr>
            </w:pPr>
          </w:p>
        </w:tc>
        <w:tc>
          <w:tcPr>
            <w:tcW w:w="1382" w:type="dxa"/>
            <w:vAlign w:val="top"/>
          </w:tcPr>
          <w:p w14:paraId="40E1EEAF">
            <w:pPr>
              <w:rPr>
                <w:rFonts w:ascii="Arial"/>
                <w:color w:val="auto"/>
                <w:sz w:val="21"/>
                <w:highlight w:val="none"/>
              </w:rPr>
            </w:pPr>
          </w:p>
        </w:tc>
        <w:tc>
          <w:tcPr>
            <w:tcW w:w="1382" w:type="dxa"/>
            <w:vAlign w:val="top"/>
          </w:tcPr>
          <w:p w14:paraId="26CB701A">
            <w:pPr>
              <w:rPr>
                <w:rFonts w:ascii="Arial"/>
                <w:color w:val="auto"/>
                <w:sz w:val="21"/>
                <w:highlight w:val="none"/>
              </w:rPr>
            </w:pPr>
          </w:p>
        </w:tc>
        <w:tc>
          <w:tcPr>
            <w:tcW w:w="1391" w:type="dxa"/>
            <w:vAlign w:val="top"/>
          </w:tcPr>
          <w:p w14:paraId="239E10D2">
            <w:pPr>
              <w:rPr>
                <w:rFonts w:ascii="Arial"/>
                <w:color w:val="auto"/>
                <w:sz w:val="21"/>
                <w:highlight w:val="none"/>
              </w:rPr>
            </w:pPr>
          </w:p>
        </w:tc>
      </w:tr>
      <w:tr w14:paraId="0593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2900BBF">
            <w:pPr>
              <w:rPr>
                <w:rFonts w:ascii="Arial"/>
                <w:color w:val="auto"/>
                <w:sz w:val="21"/>
                <w:highlight w:val="none"/>
              </w:rPr>
            </w:pPr>
          </w:p>
        </w:tc>
        <w:tc>
          <w:tcPr>
            <w:tcW w:w="1387" w:type="dxa"/>
            <w:vAlign w:val="top"/>
          </w:tcPr>
          <w:p w14:paraId="0313FC5E">
            <w:pPr>
              <w:rPr>
                <w:rFonts w:ascii="Arial"/>
                <w:color w:val="auto"/>
                <w:sz w:val="21"/>
                <w:highlight w:val="none"/>
              </w:rPr>
            </w:pPr>
          </w:p>
        </w:tc>
        <w:tc>
          <w:tcPr>
            <w:tcW w:w="1382" w:type="dxa"/>
            <w:vAlign w:val="top"/>
          </w:tcPr>
          <w:p w14:paraId="4C30F0EA">
            <w:pPr>
              <w:rPr>
                <w:rFonts w:ascii="Arial"/>
                <w:color w:val="auto"/>
                <w:sz w:val="21"/>
                <w:highlight w:val="none"/>
              </w:rPr>
            </w:pPr>
          </w:p>
        </w:tc>
        <w:tc>
          <w:tcPr>
            <w:tcW w:w="1382" w:type="dxa"/>
            <w:vAlign w:val="top"/>
          </w:tcPr>
          <w:p w14:paraId="64034A80">
            <w:pPr>
              <w:rPr>
                <w:rFonts w:ascii="Arial"/>
                <w:color w:val="auto"/>
                <w:sz w:val="21"/>
                <w:highlight w:val="none"/>
              </w:rPr>
            </w:pPr>
          </w:p>
        </w:tc>
        <w:tc>
          <w:tcPr>
            <w:tcW w:w="1382" w:type="dxa"/>
            <w:vAlign w:val="top"/>
          </w:tcPr>
          <w:p w14:paraId="72CC8E74">
            <w:pPr>
              <w:rPr>
                <w:rFonts w:ascii="Arial"/>
                <w:color w:val="auto"/>
                <w:sz w:val="21"/>
                <w:highlight w:val="none"/>
              </w:rPr>
            </w:pPr>
          </w:p>
        </w:tc>
        <w:tc>
          <w:tcPr>
            <w:tcW w:w="1391" w:type="dxa"/>
            <w:vAlign w:val="top"/>
          </w:tcPr>
          <w:p w14:paraId="747FA8A0">
            <w:pPr>
              <w:rPr>
                <w:rFonts w:ascii="Arial"/>
                <w:color w:val="auto"/>
                <w:sz w:val="21"/>
                <w:highlight w:val="none"/>
              </w:rPr>
            </w:pPr>
          </w:p>
        </w:tc>
      </w:tr>
      <w:tr w14:paraId="59E14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28B94FA">
            <w:pPr>
              <w:rPr>
                <w:rFonts w:ascii="Arial"/>
                <w:color w:val="auto"/>
                <w:sz w:val="21"/>
                <w:highlight w:val="none"/>
              </w:rPr>
            </w:pPr>
          </w:p>
        </w:tc>
        <w:tc>
          <w:tcPr>
            <w:tcW w:w="1387" w:type="dxa"/>
            <w:vAlign w:val="top"/>
          </w:tcPr>
          <w:p w14:paraId="02EEAC85">
            <w:pPr>
              <w:rPr>
                <w:rFonts w:ascii="Arial"/>
                <w:color w:val="auto"/>
                <w:sz w:val="21"/>
                <w:highlight w:val="none"/>
              </w:rPr>
            </w:pPr>
          </w:p>
        </w:tc>
        <w:tc>
          <w:tcPr>
            <w:tcW w:w="1382" w:type="dxa"/>
            <w:vAlign w:val="top"/>
          </w:tcPr>
          <w:p w14:paraId="0FDB7F36">
            <w:pPr>
              <w:rPr>
                <w:rFonts w:ascii="Arial"/>
                <w:color w:val="auto"/>
                <w:sz w:val="21"/>
                <w:highlight w:val="none"/>
              </w:rPr>
            </w:pPr>
          </w:p>
        </w:tc>
        <w:tc>
          <w:tcPr>
            <w:tcW w:w="1382" w:type="dxa"/>
            <w:vAlign w:val="top"/>
          </w:tcPr>
          <w:p w14:paraId="35DF7477">
            <w:pPr>
              <w:rPr>
                <w:rFonts w:ascii="Arial"/>
                <w:color w:val="auto"/>
                <w:sz w:val="21"/>
                <w:highlight w:val="none"/>
              </w:rPr>
            </w:pPr>
          </w:p>
        </w:tc>
        <w:tc>
          <w:tcPr>
            <w:tcW w:w="1382" w:type="dxa"/>
            <w:vAlign w:val="top"/>
          </w:tcPr>
          <w:p w14:paraId="5478D79C">
            <w:pPr>
              <w:rPr>
                <w:rFonts w:ascii="Arial"/>
                <w:color w:val="auto"/>
                <w:sz w:val="21"/>
                <w:highlight w:val="none"/>
              </w:rPr>
            </w:pPr>
          </w:p>
        </w:tc>
        <w:tc>
          <w:tcPr>
            <w:tcW w:w="1391" w:type="dxa"/>
            <w:vAlign w:val="top"/>
          </w:tcPr>
          <w:p w14:paraId="7EF07789">
            <w:pPr>
              <w:rPr>
                <w:rFonts w:ascii="Arial"/>
                <w:color w:val="auto"/>
                <w:sz w:val="21"/>
                <w:highlight w:val="none"/>
              </w:rPr>
            </w:pPr>
          </w:p>
        </w:tc>
      </w:tr>
      <w:tr w14:paraId="04857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6CD7DE8A">
            <w:pPr>
              <w:rPr>
                <w:rFonts w:ascii="Arial"/>
                <w:color w:val="auto"/>
                <w:sz w:val="21"/>
                <w:highlight w:val="none"/>
              </w:rPr>
            </w:pPr>
          </w:p>
        </w:tc>
        <w:tc>
          <w:tcPr>
            <w:tcW w:w="1387" w:type="dxa"/>
            <w:vAlign w:val="top"/>
          </w:tcPr>
          <w:p w14:paraId="13398896">
            <w:pPr>
              <w:rPr>
                <w:rFonts w:ascii="Arial"/>
                <w:color w:val="auto"/>
                <w:sz w:val="21"/>
                <w:highlight w:val="none"/>
              </w:rPr>
            </w:pPr>
          </w:p>
        </w:tc>
        <w:tc>
          <w:tcPr>
            <w:tcW w:w="1382" w:type="dxa"/>
            <w:vAlign w:val="top"/>
          </w:tcPr>
          <w:p w14:paraId="5345F848">
            <w:pPr>
              <w:rPr>
                <w:rFonts w:ascii="Arial"/>
                <w:color w:val="auto"/>
                <w:sz w:val="21"/>
                <w:highlight w:val="none"/>
              </w:rPr>
            </w:pPr>
          </w:p>
        </w:tc>
        <w:tc>
          <w:tcPr>
            <w:tcW w:w="1382" w:type="dxa"/>
            <w:vAlign w:val="top"/>
          </w:tcPr>
          <w:p w14:paraId="30745908">
            <w:pPr>
              <w:rPr>
                <w:rFonts w:ascii="Arial"/>
                <w:color w:val="auto"/>
                <w:sz w:val="21"/>
                <w:highlight w:val="none"/>
              </w:rPr>
            </w:pPr>
          </w:p>
        </w:tc>
        <w:tc>
          <w:tcPr>
            <w:tcW w:w="1382" w:type="dxa"/>
            <w:vAlign w:val="top"/>
          </w:tcPr>
          <w:p w14:paraId="42F07388">
            <w:pPr>
              <w:rPr>
                <w:rFonts w:ascii="Arial"/>
                <w:color w:val="auto"/>
                <w:sz w:val="21"/>
                <w:highlight w:val="none"/>
              </w:rPr>
            </w:pPr>
          </w:p>
        </w:tc>
        <w:tc>
          <w:tcPr>
            <w:tcW w:w="1391" w:type="dxa"/>
            <w:vAlign w:val="top"/>
          </w:tcPr>
          <w:p w14:paraId="07955649">
            <w:pPr>
              <w:rPr>
                <w:rFonts w:ascii="Arial"/>
                <w:color w:val="auto"/>
                <w:sz w:val="21"/>
                <w:highlight w:val="none"/>
              </w:rPr>
            </w:pPr>
          </w:p>
        </w:tc>
      </w:tr>
      <w:tr w14:paraId="42A76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D0B4CC0">
            <w:pPr>
              <w:rPr>
                <w:rFonts w:ascii="Arial"/>
                <w:color w:val="auto"/>
                <w:sz w:val="21"/>
                <w:highlight w:val="none"/>
              </w:rPr>
            </w:pPr>
          </w:p>
        </w:tc>
        <w:tc>
          <w:tcPr>
            <w:tcW w:w="1387" w:type="dxa"/>
            <w:vAlign w:val="top"/>
          </w:tcPr>
          <w:p w14:paraId="43A621BC">
            <w:pPr>
              <w:rPr>
                <w:rFonts w:ascii="Arial"/>
                <w:color w:val="auto"/>
                <w:sz w:val="21"/>
                <w:highlight w:val="none"/>
              </w:rPr>
            </w:pPr>
          </w:p>
        </w:tc>
        <w:tc>
          <w:tcPr>
            <w:tcW w:w="1382" w:type="dxa"/>
            <w:vAlign w:val="top"/>
          </w:tcPr>
          <w:p w14:paraId="2B81B3A6">
            <w:pPr>
              <w:rPr>
                <w:rFonts w:ascii="Arial"/>
                <w:color w:val="auto"/>
                <w:sz w:val="21"/>
                <w:highlight w:val="none"/>
              </w:rPr>
            </w:pPr>
          </w:p>
        </w:tc>
        <w:tc>
          <w:tcPr>
            <w:tcW w:w="1382" w:type="dxa"/>
            <w:vAlign w:val="top"/>
          </w:tcPr>
          <w:p w14:paraId="3ABDBC91">
            <w:pPr>
              <w:rPr>
                <w:rFonts w:ascii="Arial"/>
                <w:color w:val="auto"/>
                <w:sz w:val="21"/>
                <w:highlight w:val="none"/>
              </w:rPr>
            </w:pPr>
          </w:p>
        </w:tc>
        <w:tc>
          <w:tcPr>
            <w:tcW w:w="1382" w:type="dxa"/>
            <w:vAlign w:val="top"/>
          </w:tcPr>
          <w:p w14:paraId="47AEB343">
            <w:pPr>
              <w:rPr>
                <w:rFonts w:ascii="Arial"/>
                <w:color w:val="auto"/>
                <w:sz w:val="21"/>
                <w:highlight w:val="none"/>
              </w:rPr>
            </w:pPr>
          </w:p>
        </w:tc>
        <w:tc>
          <w:tcPr>
            <w:tcW w:w="1391" w:type="dxa"/>
            <w:vAlign w:val="top"/>
          </w:tcPr>
          <w:p w14:paraId="2ACA5421">
            <w:pPr>
              <w:rPr>
                <w:rFonts w:ascii="Arial"/>
                <w:color w:val="auto"/>
                <w:sz w:val="21"/>
                <w:highlight w:val="none"/>
              </w:rPr>
            </w:pPr>
          </w:p>
        </w:tc>
      </w:tr>
      <w:tr w14:paraId="3F87C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13AFF6DB">
            <w:pPr>
              <w:rPr>
                <w:rFonts w:ascii="Arial"/>
                <w:color w:val="auto"/>
                <w:sz w:val="21"/>
                <w:highlight w:val="none"/>
              </w:rPr>
            </w:pPr>
          </w:p>
        </w:tc>
        <w:tc>
          <w:tcPr>
            <w:tcW w:w="1387" w:type="dxa"/>
            <w:vAlign w:val="top"/>
          </w:tcPr>
          <w:p w14:paraId="21DB098A">
            <w:pPr>
              <w:rPr>
                <w:rFonts w:ascii="Arial"/>
                <w:color w:val="auto"/>
                <w:sz w:val="21"/>
                <w:highlight w:val="none"/>
              </w:rPr>
            </w:pPr>
          </w:p>
        </w:tc>
        <w:tc>
          <w:tcPr>
            <w:tcW w:w="1382" w:type="dxa"/>
            <w:vAlign w:val="top"/>
          </w:tcPr>
          <w:p w14:paraId="6B390971">
            <w:pPr>
              <w:rPr>
                <w:rFonts w:ascii="Arial"/>
                <w:color w:val="auto"/>
                <w:sz w:val="21"/>
                <w:highlight w:val="none"/>
              </w:rPr>
            </w:pPr>
          </w:p>
        </w:tc>
        <w:tc>
          <w:tcPr>
            <w:tcW w:w="1382" w:type="dxa"/>
            <w:vAlign w:val="top"/>
          </w:tcPr>
          <w:p w14:paraId="067450BD">
            <w:pPr>
              <w:rPr>
                <w:rFonts w:ascii="Arial"/>
                <w:color w:val="auto"/>
                <w:sz w:val="21"/>
                <w:highlight w:val="none"/>
              </w:rPr>
            </w:pPr>
          </w:p>
        </w:tc>
        <w:tc>
          <w:tcPr>
            <w:tcW w:w="1382" w:type="dxa"/>
            <w:vAlign w:val="top"/>
          </w:tcPr>
          <w:p w14:paraId="18A10A84">
            <w:pPr>
              <w:rPr>
                <w:rFonts w:ascii="Arial"/>
                <w:color w:val="auto"/>
                <w:sz w:val="21"/>
                <w:highlight w:val="none"/>
              </w:rPr>
            </w:pPr>
          </w:p>
        </w:tc>
        <w:tc>
          <w:tcPr>
            <w:tcW w:w="1391" w:type="dxa"/>
            <w:vAlign w:val="top"/>
          </w:tcPr>
          <w:p w14:paraId="5DB5C662">
            <w:pPr>
              <w:rPr>
                <w:rFonts w:ascii="Arial"/>
                <w:color w:val="auto"/>
                <w:sz w:val="21"/>
                <w:highlight w:val="none"/>
              </w:rPr>
            </w:pPr>
          </w:p>
        </w:tc>
      </w:tr>
      <w:tr w14:paraId="0D6EE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47C99E9">
            <w:pPr>
              <w:rPr>
                <w:rFonts w:ascii="Arial"/>
                <w:color w:val="auto"/>
                <w:sz w:val="21"/>
                <w:highlight w:val="none"/>
              </w:rPr>
            </w:pPr>
          </w:p>
        </w:tc>
        <w:tc>
          <w:tcPr>
            <w:tcW w:w="1387" w:type="dxa"/>
            <w:vAlign w:val="top"/>
          </w:tcPr>
          <w:p w14:paraId="3D8FC44B">
            <w:pPr>
              <w:rPr>
                <w:rFonts w:ascii="Arial"/>
                <w:color w:val="auto"/>
                <w:sz w:val="21"/>
                <w:highlight w:val="none"/>
              </w:rPr>
            </w:pPr>
          </w:p>
        </w:tc>
        <w:tc>
          <w:tcPr>
            <w:tcW w:w="1382" w:type="dxa"/>
            <w:vAlign w:val="top"/>
          </w:tcPr>
          <w:p w14:paraId="065D7FD9">
            <w:pPr>
              <w:rPr>
                <w:rFonts w:ascii="Arial"/>
                <w:color w:val="auto"/>
                <w:sz w:val="21"/>
                <w:highlight w:val="none"/>
              </w:rPr>
            </w:pPr>
          </w:p>
        </w:tc>
        <w:tc>
          <w:tcPr>
            <w:tcW w:w="1382" w:type="dxa"/>
            <w:vAlign w:val="top"/>
          </w:tcPr>
          <w:p w14:paraId="3C3FE2D9">
            <w:pPr>
              <w:rPr>
                <w:rFonts w:ascii="Arial"/>
                <w:color w:val="auto"/>
                <w:sz w:val="21"/>
                <w:highlight w:val="none"/>
              </w:rPr>
            </w:pPr>
          </w:p>
        </w:tc>
        <w:tc>
          <w:tcPr>
            <w:tcW w:w="1382" w:type="dxa"/>
            <w:vAlign w:val="top"/>
          </w:tcPr>
          <w:p w14:paraId="345E5D8D">
            <w:pPr>
              <w:rPr>
                <w:rFonts w:ascii="Arial"/>
                <w:color w:val="auto"/>
                <w:sz w:val="21"/>
                <w:highlight w:val="none"/>
              </w:rPr>
            </w:pPr>
          </w:p>
        </w:tc>
        <w:tc>
          <w:tcPr>
            <w:tcW w:w="1391" w:type="dxa"/>
            <w:vAlign w:val="top"/>
          </w:tcPr>
          <w:p w14:paraId="6B34BF5F">
            <w:pPr>
              <w:rPr>
                <w:rFonts w:ascii="Arial"/>
                <w:color w:val="auto"/>
                <w:sz w:val="21"/>
                <w:highlight w:val="none"/>
              </w:rPr>
            </w:pPr>
          </w:p>
        </w:tc>
      </w:tr>
      <w:tr w14:paraId="740D8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B6B96D7">
            <w:pPr>
              <w:rPr>
                <w:rFonts w:ascii="Arial"/>
                <w:color w:val="auto"/>
                <w:sz w:val="21"/>
                <w:highlight w:val="none"/>
              </w:rPr>
            </w:pPr>
          </w:p>
        </w:tc>
        <w:tc>
          <w:tcPr>
            <w:tcW w:w="1387" w:type="dxa"/>
            <w:vAlign w:val="top"/>
          </w:tcPr>
          <w:p w14:paraId="749A7832">
            <w:pPr>
              <w:rPr>
                <w:rFonts w:ascii="Arial"/>
                <w:color w:val="auto"/>
                <w:sz w:val="21"/>
                <w:highlight w:val="none"/>
              </w:rPr>
            </w:pPr>
          </w:p>
        </w:tc>
        <w:tc>
          <w:tcPr>
            <w:tcW w:w="1382" w:type="dxa"/>
            <w:vAlign w:val="top"/>
          </w:tcPr>
          <w:p w14:paraId="0AFF43D1">
            <w:pPr>
              <w:rPr>
                <w:rFonts w:ascii="Arial"/>
                <w:color w:val="auto"/>
                <w:sz w:val="21"/>
                <w:highlight w:val="none"/>
              </w:rPr>
            </w:pPr>
          </w:p>
        </w:tc>
        <w:tc>
          <w:tcPr>
            <w:tcW w:w="1382" w:type="dxa"/>
            <w:vAlign w:val="top"/>
          </w:tcPr>
          <w:p w14:paraId="235036BB">
            <w:pPr>
              <w:rPr>
                <w:rFonts w:ascii="Arial"/>
                <w:color w:val="auto"/>
                <w:sz w:val="21"/>
                <w:highlight w:val="none"/>
              </w:rPr>
            </w:pPr>
          </w:p>
        </w:tc>
        <w:tc>
          <w:tcPr>
            <w:tcW w:w="1382" w:type="dxa"/>
            <w:vAlign w:val="top"/>
          </w:tcPr>
          <w:p w14:paraId="4CF3AD39">
            <w:pPr>
              <w:rPr>
                <w:rFonts w:ascii="Arial"/>
                <w:color w:val="auto"/>
                <w:sz w:val="21"/>
                <w:highlight w:val="none"/>
              </w:rPr>
            </w:pPr>
          </w:p>
        </w:tc>
        <w:tc>
          <w:tcPr>
            <w:tcW w:w="1391" w:type="dxa"/>
            <w:vAlign w:val="top"/>
          </w:tcPr>
          <w:p w14:paraId="68D5BF51">
            <w:pPr>
              <w:rPr>
                <w:rFonts w:ascii="Arial"/>
                <w:color w:val="auto"/>
                <w:sz w:val="21"/>
                <w:highlight w:val="none"/>
              </w:rPr>
            </w:pPr>
          </w:p>
        </w:tc>
      </w:tr>
      <w:tr w14:paraId="6A8C0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42B8DFCC">
            <w:pPr>
              <w:rPr>
                <w:rFonts w:ascii="Arial"/>
                <w:color w:val="auto"/>
                <w:sz w:val="21"/>
                <w:highlight w:val="none"/>
              </w:rPr>
            </w:pPr>
          </w:p>
        </w:tc>
        <w:tc>
          <w:tcPr>
            <w:tcW w:w="1387" w:type="dxa"/>
            <w:vAlign w:val="top"/>
          </w:tcPr>
          <w:p w14:paraId="19447A31">
            <w:pPr>
              <w:rPr>
                <w:rFonts w:ascii="Arial"/>
                <w:color w:val="auto"/>
                <w:sz w:val="21"/>
                <w:highlight w:val="none"/>
              </w:rPr>
            </w:pPr>
          </w:p>
        </w:tc>
        <w:tc>
          <w:tcPr>
            <w:tcW w:w="1382" w:type="dxa"/>
            <w:vAlign w:val="top"/>
          </w:tcPr>
          <w:p w14:paraId="3FA92CD2">
            <w:pPr>
              <w:rPr>
                <w:rFonts w:ascii="Arial"/>
                <w:color w:val="auto"/>
                <w:sz w:val="21"/>
                <w:highlight w:val="none"/>
              </w:rPr>
            </w:pPr>
          </w:p>
        </w:tc>
        <w:tc>
          <w:tcPr>
            <w:tcW w:w="1382" w:type="dxa"/>
            <w:vAlign w:val="top"/>
          </w:tcPr>
          <w:p w14:paraId="77E9AED4">
            <w:pPr>
              <w:rPr>
                <w:rFonts w:ascii="Arial"/>
                <w:color w:val="auto"/>
                <w:sz w:val="21"/>
                <w:highlight w:val="none"/>
              </w:rPr>
            </w:pPr>
          </w:p>
        </w:tc>
        <w:tc>
          <w:tcPr>
            <w:tcW w:w="1382" w:type="dxa"/>
            <w:vAlign w:val="top"/>
          </w:tcPr>
          <w:p w14:paraId="5F5D99E0">
            <w:pPr>
              <w:rPr>
                <w:rFonts w:ascii="Arial"/>
                <w:color w:val="auto"/>
                <w:sz w:val="21"/>
                <w:highlight w:val="none"/>
              </w:rPr>
            </w:pPr>
          </w:p>
        </w:tc>
        <w:tc>
          <w:tcPr>
            <w:tcW w:w="1391" w:type="dxa"/>
            <w:vAlign w:val="top"/>
          </w:tcPr>
          <w:p w14:paraId="57EB2833">
            <w:pPr>
              <w:rPr>
                <w:rFonts w:ascii="Arial"/>
                <w:color w:val="auto"/>
                <w:sz w:val="21"/>
                <w:highlight w:val="none"/>
              </w:rPr>
            </w:pPr>
          </w:p>
        </w:tc>
      </w:tr>
      <w:tr w14:paraId="2C7BD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C546874">
            <w:pPr>
              <w:rPr>
                <w:rFonts w:ascii="Arial"/>
                <w:color w:val="auto"/>
                <w:sz w:val="21"/>
                <w:highlight w:val="none"/>
              </w:rPr>
            </w:pPr>
          </w:p>
        </w:tc>
        <w:tc>
          <w:tcPr>
            <w:tcW w:w="1387" w:type="dxa"/>
            <w:vAlign w:val="top"/>
          </w:tcPr>
          <w:p w14:paraId="6DAC1B00">
            <w:pPr>
              <w:rPr>
                <w:rFonts w:ascii="Arial"/>
                <w:color w:val="auto"/>
                <w:sz w:val="21"/>
                <w:highlight w:val="none"/>
              </w:rPr>
            </w:pPr>
          </w:p>
        </w:tc>
        <w:tc>
          <w:tcPr>
            <w:tcW w:w="1382" w:type="dxa"/>
            <w:vAlign w:val="top"/>
          </w:tcPr>
          <w:p w14:paraId="04610100">
            <w:pPr>
              <w:rPr>
                <w:rFonts w:ascii="Arial"/>
                <w:color w:val="auto"/>
                <w:sz w:val="21"/>
                <w:highlight w:val="none"/>
              </w:rPr>
            </w:pPr>
          </w:p>
        </w:tc>
        <w:tc>
          <w:tcPr>
            <w:tcW w:w="1382" w:type="dxa"/>
            <w:vAlign w:val="top"/>
          </w:tcPr>
          <w:p w14:paraId="42D8C79A">
            <w:pPr>
              <w:rPr>
                <w:rFonts w:ascii="Arial"/>
                <w:color w:val="auto"/>
                <w:sz w:val="21"/>
                <w:highlight w:val="none"/>
              </w:rPr>
            </w:pPr>
          </w:p>
        </w:tc>
        <w:tc>
          <w:tcPr>
            <w:tcW w:w="1382" w:type="dxa"/>
            <w:vAlign w:val="top"/>
          </w:tcPr>
          <w:p w14:paraId="3599D402">
            <w:pPr>
              <w:rPr>
                <w:rFonts w:ascii="Arial"/>
                <w:color w:val="auto"/>
                <w:sz w:val="21"/>
                <w:highlight w:val="none"/>
              </w:rPr>
            </w:pPr>
          </w:p>
        </w:tc>
        <w:tc>
          <w:tcPr>
            <w:tcW w:w="1391" w:type="dxa"/>
            <w:vAlign w:val="top"/>
          </w:tcPr>
          <w:p w14:paraId="4B8E35E3">
            <w:pPr>
              <w:rPr>
                <w:rFonts w:ascii="Arial"/>
                <w:color w:val="auto"/>
                <w:sz w:val="21"/>
                <w:highlight w:val="none"/>
              </w:rPr>
            </w:pPr>
          </w:p>
        </w:tc>
      </w:tr>
      <w:tr w14:paraId="36985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1EA74759">
            <w:pPr>
              <w:rPr>
                <w:rFonts w:ascii="Arial"/>
                <w:color w:val="auto"/>
                <w:sz w:val="21"/>
                <w:highlight w:val="none"/>
              </w:rPr>
            </w:pPr>
          </w:p>
        </w:tc>
        <w:tc>
          <w:tcPr>
            <w:tcW w:w="1387" w:type="dxa"/>
            <w:vAlign w:val="top"/>
          </w:tcPr>
          <w:p w14:paraId="5532311B">
            <w:pPr>
              <w:rPr>
                <w:rFonts w:ascii="Arial"/>
                <w:color w:val="auto"/>
                <w:sz w:val="21"/>
                <w:highlight w:val="none"/>
              </w:rPr>
            </w:pPr>
          </w:p>
        </w:tc>
        <w:tc>
          <w:tcPr>
            <w:tcW w:w="1382" w:type="dxa"/>
            <w:vAlign w:val="top"/>
          </w:tcPr>
          <w:p w14:paraId="0E7DB2A1">
            <w:pPr>
              <w:rPr>
                <w:rFonts w:ascii="Arial"/>
                <w:color w:val="auto"/>
                <w:sz w:val="21"/>
                <w:highlight w:val="none"/>
              </w:rPr>
            </w:pPr>
          </w:p>
        </w:tc>
        <w:tc>
          <w:tcPr>
            <w:tcW w:w="1382" w:type="dxa"/>
            <w:vAlign w:val="top"/>
          </w:tcPr>
          <w:p w14:paraId="40AE33F4">
            <w:pPr>
              <w:rPr>
                <w:rFonts w:ascii="Arial"/>
                <w:color w:val="auto"/>
                <w:sz w:val="21"/>
                <w:highlight w:val="none"/>
              </w:rPr>
            </w:pPr>
          </w:p>
        </w:tc>
        <w:tc>
          <w:tcPr>
            <w:tcW w:w="1382" w:type="dxa"/>
            <w:vAlign w:val="top"/>
          </w:tcPr>
          <w:p w14:paraId="75C919C2">
            <w:pPr>
              <w:rPr>
                <w:rFonts w:ascii="Arial"/>
                <w:color w:val="auto"/>
                <w:sz w:val="21"/>
                <w:highlight w:val="none"/>
              </w:rPr>
            </w:pPr>
          </w:p>
        </w:tc>
        <w:tc>
          <w:tcPr>
            <w:tcW w:w="1391" w:type="dxa"/>
            <w:vAlign w:val="top"/>
          </w:tcPr>
          <w:p w14:paraId="3E6C53B1">
            <w:pPr>
              <w:rPr>
                <w:rFonts w:ascii="Arial"/>
                <w:color w:val="auto"/>
                <w:sz w:val="21"/>
                <w:highlight w:val="none"/>
              </w:rPr>
            </w:pPr>
          </w:p>
        </w:tc>
      </w:tr>
      <w:tr w14:paraId="485E1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2B80AB6">
            <w:pPr>
              <w:rPr>
                <w:rFonts w:ascii="Arial"/>
                <w:color w:val="auto"/>
                <w:sz w:val="21"/>
                <w:highlight w:val="none"/>
              </w:rPr>
            </w:pPr>
          </w:p>
        </w:tc>
        <w:tc>
          <w:tcPr>
            <w:tcW w:w="1387" w:type="dxa"/>
            <w:vAlign w:val="top"/>
          </w:tcPr>
          <w:p w14:paraId="4FF2F3F2">
            <w:pPr>
              <w:rPr>
                <w:rFonts w:ascii="Arial"/>
                <w:color w:val="auto"/>
                <w:sz w:val="21"/>
                <w:highlight w:val="none"/>
              </w:rPr>
            </w:pPr>
          </w:p>
        </w:tc>
        <w:tc>
          <w:tcPr>
            <w:tcW w:w="1382" w:type="dxa"/>
            <w:vAlign w:val="top"/>
          </w:tcPr>
          <w:p w14:paraId="4E62CB76">
            <w:pPr>
              <w:rPr>
                <w:rFonts w:ascii="Arial"/>
                <w:color w:val="auto"/>
                <w:sz w:val="21"/>
                <w:highlight w:val="none"/>
              </w:rPr>
            </w:pPr>
          </w:p>
        </w:tc>
        <w:tc>
          <w:tcPr>
            <w:tcW w:w="1382" w:type="dxa"/>
            <w:vAlign w:val="top"/>
          </w:tcPr>
          <w:p w14:paraId="4A6FEEE3">
            <w:pPr>
              <w:rPr>
                <w:rFonts w:ascii="Arial"/>
                <w:color w:val="auto"/>
                <w:sz w:val="21"/>
                <w:highlight w:val="none"/>
              </w:rPr>
            </w:pPr>
          </w:p>
        </w:tc>
        <w:tc>
          <w:tcPr>
            <w:tcW w:w="1382" w:type="dxa"/>
            <w:vAlign w:val="top"/>
          </w:tcPr>
          <w:p w14:paraId="4EF51BD0">
            <w:pPr>
              <w:rPr>
                <w:rFonts w:ascii="Arial"/>
                <w:color w:val="auto"/>
                <w:sz w:val="21"/>
                <w:highlight w:val="none"/>
              </w:rPr>
            </w:pPr>
          </w:p>
        </w:tc>
        <w:tc>
          <w:tcPr>
            <w:tcW w:w="1391" w:type="dxa"/>
            <w:vAlign w:val="top"/>
          </w:tcPr>
          <w:p w14:paraId="47D73771">
            <w:pPr>
              <w:rPr>
                <w:rFonts w:ascii="Arial"/>
                <w:color w:val="auto"/>
                <w:sz w:val="21"/>
                <w:highlight w:val="none"/>
              </w:rPr>
            </w:pPr>
          </w:p>
        </w:tc>
      </w:tr>
      <w:tr w14:paraId="039BB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62D3C256">
            <w:pPr>
              <w:rPr>
                <w:rFonts w:ascii="Arial"/>
                <w:color w:val="auto"/>
                <w:sz w:val="21"/>
                <w:highlight w:val="none"/>
              </w:rPr>
            </w:pPr>
          </w:p>
        </w:tc>
        <w:tc>
          <w:tcPr>
            <w:tcW w:w="1387" w:type="dxa"/>
            <w:vAlign w:val="top"/>
          </w:tcPr>
          <w:p w14:paraId="68D3A566">
            <w:pPr>
              <w:rPr>
                <w:rFonts w:ascii="Arial"/>
                <w:color w:val="auto"/>
                <w:sz w:val="21"/>
                <w:highlight w:val="none"/>
              </w:rPr>
            </w:pPr>
          </w:p>
        </w:tc>
        <w:tc>
          <w:tcPr>
            <w:tcW w:w="1382" w:type="dxa"/>
            <w:vAlign w:val="top"/>
          </w:tcPr>
          <w:p w14:paraId="59564711">
            <w:pPr>
              <w:rPr>
                <w:rFonts w:ascii="Arial"/>
                <w:color w:val="auto"/>
                <w:sz w:val="21"/>
                <w:highlight w:val="none"/>
              </w:rPr>
            </w:pPr>
          </w:p>
        </w:tc>
        <w:tc>
          <w:tcPr>
            <w:tcW w:w="1382" w:type="dxa"/>
            <w:vAlign w:val="top"/>
          </w:tcPr>
          <w:p w14:paraId="3654514C">
            <w:pPr>
              <w:rPr>
                <w:rFonts w:ascii="Arial"/>
                <w:color w:val="auto"/>
                <w:sz w:val="21"/>
                <w:highlight w:val="none"/>
              </w:rPr>
            </w:pPr>
          </w:p>
        </w:tc>
        <w:tc>
          <w:tcPr>
            <w:tcW w:w="1382" w:type="dxa"/>
            <w:vAlign w:val="top"/>
          </w:tcPr>
          <w:p w14:paraId="3BD0793B">
            <w:pPr>
              <w:rPr>
                <w:rFonts w:ascii="Arial"/>
                <w:color w:val="auto"/>
                <w:sz w:val="21"/>
                <w:highlight w:val="none"/>
              </w:rPr>
            </w:pPr>
          </w:p>
        </w:tc>
        <w:tc>
          <w:tcPr>
            <w:tcW w:w="1391" w:type="dxa"/>
            <w:vAlign w:val="top"/>
          </w:tcPr>
          <w:p w14:paraId="4B9BACB0">
            <w:pPr>
              <w:rPr>
                <w:rFonts w:ascii="Arial"/>
                <w:color w:val="auto"/>
                <w:sz w:val="21"/>
                <w:highlight w:val="none"/>
              </w:rPr>
            </w:pPr>
          </w:p>
        </w:tc>
      </w:tr>
      <w:tr w14:paraId="7D7B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5CF10F4">
            <w:pPr>
              <w:rPr>
                <w:rFonts w:ascii="Arial"/>
                <w:color w:val="auto"/>
                <w:sz w:val="21"/>
                <w:highlight w:val="none"/>
              </w:rPr>
            </w:pPr>
          </w:p>
        </w:tc>
        <w:tc>
          <w:tcPr>
            <w:tcW w:w="1387" w:type="dxa"/>
            <w:vAlign w:val="top"/>
          </w:tcPr>
          <w:p w14:paraId="68E0AD87">
            <w:pPr>
              <w:rPr>
                <w:rFonts w:ascii="Arial"/>
                <w:color w:val="auto"/>
                <w:sz w:val="21"/>
                <w:highlight w:val="none"/>
              </w:rPr>
            </w:pPr>
          </w:p>
        </w:tc>
        <w:tc>
          <w:tcPr>
            <w:tcW w:w="1382" w:type="dxa"/>
            <w:vAlign w:val="top"/>
          </w:tcPr>
          <w:p w14:paraId="1608D785">
            <w:pPr>
              <w:rPr>
                <w:rFonts w:ascii="Arial"/>
                <w:color w:val="auto"/>
                <w:sz w:val="21"/>
                <w:highlight w:val="none"/>
              </w:rPr>
            </w:pPr>
          </w:p>
        </w:tc>
        <w:tc>
          <w:tcPr>
            <w:tcW w:w="1382" w:type="dxa"/>
            <w:vAlign w:val="top"/>
          </w:tcPr>
          <w:p w14:paraId="7659063E">
            <w:pPr>
              <w:rPr>
                <w:rFonts w:ascii="Arial"/>
                <w:color w:val="auto"/>
                <w:sz w:val="21"/>
                <w:highlight w:val="none"/>
              </w:rPr>
            </w:pPr>
          </w:p>
        </w:tc>
        <w:tc>
          <w:tcPr>
            <w:tcW w:w="1382" w:type="dxa"/>
            <w:vAlign w:val="top"/>
          </w:tcPr>
          <w:p w14:paraId="4919FFE6">
            <w:pPr>
              <w:rPr>
                <w:rFonts w:ascii="Arial"/>
                <w:color w:val="auto"/>
                <w:sz w:val="21"/>
                <w:highlight w:val="none"/>
              </w:rPr>
            </w:pPr>
          </w:p>
        </w:tc>
        <w:tc>
          <w:tcPr>
            <w:tcW w:w="1391" w:type="dxa"/>
            <w:vAlign w:val="top"/>
          </w:tcPr>
          <w:p w14:paraId="2A66DC05">
            <w:pPr>
              <w:rPr>
                <w:rFonts w:ascii="Arial"/>
                <w:color w:val="auto"/>
                <w:sz w:val="21"/>
                <w:highlight w:val="none"/>
              </w:rPr>
            </w:pPr>
          </w:p>
        </w:tc>
      </w:tr>
      <w:tr w14:paraId="07159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636556A">
            <w:pPr>
              <w:rPr>
                <w:rFonts w:ascii="Arial"/>
                <w:color w:val="auto"/>
                <w:sz w:val="21"/>
                <w:highlight w:val="none"/>
              </w:rPr>
            </w:pPr>
          </w:p>
        </w:tc>
        <w:tc>
          <w:tcPr>
            <w:tcW w:w="1387" w:type="dxa"/>
            <w:vAlign w:val="top"/>
          </w:tcPr>
          <w:p w14:paraId="675F0875">
            <w:pPr>
              <w:rPr>
                <w:rFonts w:ascii="Arial"/>
                <w:color w:val="auto"/>
                <w:sz w:val="21"/>
                <w:highlight w:val="none"/>
              </w:rPr>
            </w:pPr>
          </w:p>
        </w:tc>
        <w:tc>
          <w:tcPr>
            <w:tcW w:w="1382" w:type="dxa"/>
            <w:vAlign w:val="top"/>
          </w:tcPr>
          <w:p w14:paraId="528763EB">
            <w:pPr>
              <w:rPr>
                <w:rFonts w:ascii="Arial"/>
                <w:color w:val="auto"/>
                <w:sz w:val="21"/>
                <w:highlight w:val="none"/>
              </w:rPr>
            </w:pPr>
          </w:p>
        </w:tc>
        <w:tc>
          <w:tcPr>
            <w:tcW w:w="1382" w:type="dxa"/>
            <w:vAlign w:val="top"/>
          </w:tcPr>
          <w:p w14:paraId="107CD3CE">
            <w:pPr>
              <w:rPr>
                <w:rFonts w:ascii="Arial"/>
                <w:color w:val="auto"/>
                <w:sz w:val="21"/>
                <w:highlight w:val="none"/>
              </w:rPr>
            </w:pPr>
          </w:p>
        </w:tc>
        <w:tc>
          <w:tcPr>
            <w:tcW w:w="1382" w:type="dxa"/>
            <w:vAlign w:val="top"/>
          </w:tcPr>
          <w:p w14:paraId="53E07D1A">
            <w:pPr>
              <w:rPr>
                <w:rFonts w:ascii="Arial"/>
                <w:color w:val="auto"/>
                <w:sz w:val="21"/>
                <w:highlight w:val="none"/>
              </w:rPr>
            </w:pPr>
          </w:p>
        </w:tc>
        <w:tc>
          <w:tcPr>
            <w:tcW w:w="1391" w:type="dxa"/>
            <w:vAlign w:val="top"/>
          </w:tcPr>
          <w:p w14:paraId="1BFCF086">
            <w:pPr>
              <w:rPr>
                <w:rFonts w:ascii="Arial"/>
                <w:color w:val="auto"/>
                <w:sz w:val="21"/>
                <w:highlight w:val="none"/>
              </w:rPr>
            </w:pPr>
          </w:p>
        </w:tc>
      </w:tr>
      <w:tr w14:paraId="56B15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1E5C9D50">
            <w:pPr>
              <w:rPr>
                <w:rFonts w:ascii="Arial"/>
                <w:color w:val="auto"/>
                <w:sz w:val="21"/>
                <w:highlight w:val="none"/>
              </w:rPr>
            </w:pPr>
          </w:p>
        </w:tc>
        <w:tc>
          <w:tcPr>
            <w:tcW w:w="1387" w:type="dxa"/>
            <w:vAlign w:val="top"/>
          </w:tcPr>
          <w:p w14:paraId="505C9BB4">
            <w:pPr>
              <w:rPr>
                <w:rFonts w:ascii="Arial"/>
                <w:color w:val="auto"/>
                <w:sz w:val="21"/>
                <w:highlight w:val="none"/>
              </w:rPr>
            </w:pPr>
          </w:p>
        </w:tc>
        <w:tc>
          <w:tcPr>
            <w:tcW w:w="1382" w:type="dxa"/>
            <w:vAlign w:val="top"/>
          </w:tcPr>
          <w:p w14:paraId="45631424">
            <w:pPr>
              <w:rPr>
                <w:rFonts w:ascii="Arial"/>
                <w:color w:val="auto"/>
                <w:sz w:val="21"/>
                <w:highlight w:val="none"/>
              </w:rPr>
            </w:pPr>
          </w:p>
        </w:tc>
        <w:tc>
          <w:tcPr>
            <w:tcW w:w="1382" w:type="dxa"/>
            <w:vAlign w:val="top"/>
          </w:tcPr>
          <w:p w14:paraId="555FD813">
            <w:pPr>
              <w:rPr>
                <w:rFonts w:ascii="Arial"/>
                <w:color w:val="auto"/>
                <w:sz w:val="21"/>
                <w:highlight w:val="none"/>
              </w:rPr>
            </w:pPr>
          </w:p>
        </w:tc>
        <w:tc>
          <w:tcPr>
            <w:tcW w:w="1382" w:type="dxa"/>
            <w:vAlign w:val="top"/>
          </w:tcPr>
          <w:p w14:paraId="112F4F03">
            <w:pPr>
              <w:rPr>
                <w:rFonts w:ascii="Arial"/>
                <w:color w:val="auto"/>
                <w:sz w:val="21"/>
                <w:highlight w:val="none"/>
              </w:rPr>
            </w:pPr>
          </w:p>
        </w:tc>
        <w:tc>
          <w:tcPr>
            <w:tcW w:w="1391" w:type="dxa"/>
            <w:vAlign w:val="top"/>
          </w:tcPr>
          <w:p w14:paraId="20D8D042">
            <w:pPr>
              <w:rPr>
                <w:rFonts w:ascii="Arial"/>
                <w:color w:val="auto"/>
                <w:sz w:val="21"/>
                <w:highlight w:val="none"/>
              </w:rPr>
            </w:pPr>
          </w:p>
        </w:tc>
      </w:tr>
      <w:tr w14:paraId="185C6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1387" w:type="dxa"/>
            <w:vAlign w:val="top"/>
          </w:tcPr>
          <w:p w14:paraId="634CB37A">
            <w:pPr>
              <w:rPr>
                <w:rFonts w:ascii="Arial"/>
                <w:color w:val="auto"/>
                <w:sz w:val="21"/>
                <w:highlight w:val="none"/>
              </w:rPr>
            </w:pPr>
          </w:p>
        </w:tc>
        <w:tc>
          <w:tcPr>
            <w:tcW w:w="1387" w:type="dxa"/>
            <w:vAlign w:val="top"/>
          </w:tcPr>
          <w:p w14:paraId="64C4871E">
            <w:pPr>
              <w:rPr>
                <w:rFonts w:ascii="Arial"/>
                <w:color w:val="auto"/>
                <w:sz w:val="21"/>
                <w:highlight w:val="none"/>
              </w:rPr>
            </w:pPr>
          </w:p>
        </w:tc>
        <w:tc>
          <w:tcPr>
            <w:tcW w:w="1382" w:type="dxa"/>
            <w:vAlign w:val="top"/>
          </w:tcPr>
          <w:p w14:paraId="1EB5C5E7">
            <w:pPr>
              <w:rPr>
                <w:rFonts w:ascii="Arial"/>
                <w:color w:val="auto"/>
                <w:sz w:val="21"/>
                <w:highlight w:val="none"/>
              </w:rPr>
            </w:pPr>
          </w:p>
        </w:tc>
        <w:tc>
          <w:tcPr>
            <w:tcW w:w="1382" w:type="dxa"/>
            <w:vAlign w:val="top"/>
          </w:tcPr>
          <w:p w14:paraId="38A15E0C">
            <w:pPr>
              <w:rPr>
                <w:rFonts w:ascii="Arial"/>
                <w:color w:val="auto"/>
                <w:sz w:val="21"/>
                <w:highlight w:val="none"/>
              </w:rPr>
            </w:pPr>
          </w:p>
        </w:tc>
        <w:tc>
          <w:tcPr>
            <w:tcW w:w="1382" w:type="dxa"/>
            <w:vAlign w:val="top"/>
          </w:tcPr>
          <w:p w14:paraId="479A8AAC">
            <w:pPr>
              <w:rPr>
                <w:rFonts w:ascii="Arial"/>
                <w:color w:val="auto"/>
                <w:sz w:val="21"/>
                <w:highlight w:val="none"/>
              </w:rPr>
            </w:pPr>
          </w:p>
        </w:tc>
        <w:tc>
          <w:tcPr>
            <w:tcW w:w="1391" w:type="dxa"/>
            <w:vAlign w:val="top"/>
          </w:tcPr>
          <w:p w14:paraId="0B8A1D93">
            <w:pPr>
              <w:rPr>
                <w:rFonts w:ascii="Arial"/>
                <w:color w:val="auto"/>
                <w:sz w:val="21"/>
                <w:highlight w:val="none"/>
              </w:rPr>
            </w:pPr>
          </w:p>
        </w:tc>
      </w:tr>
      <w:tr w14:paraId="20CEE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9365629">
            <w:pPr>
              <w:rPr>
                <w:rFonts w:ascii="Arial"/>
                <w:color w:val="auto"/>
                <w:sz w:val="21"/>
                <w:highlight w:val="none"/>
              </w:rPr>
            </w:pPr>
          </w:p>
        </w:tc>
        <w:tc>
          <w:tcPr>
            <w:tcW w:w="1387" w:type="dxa"/>
            <w:vAlign w:val="top"/>
          </w:tcPr>
          <w:p w14:paraId="33C76C17">
            <w:pPr>
              <w:rPr>
                <w:rFonts w:ascii="Arial"/>
                <w:color w:val="auto"/>
                <w:sz w:val="21"/>
                <w:highlight w:val="none"/>
              </w:rPr>
            </w:pPr>
          </w:p>
        </w:tc>
        <w:tc>
          <w:tcPr>
            <w:tcW w:w="1382" w:type="dxa"/>
            <w:vAlign w:val="top"/>
          </w:tcPr>
          <w:p w14:paraId="13A9BF7B">
            <w:pPr>
              <w:rPr>
                <w:rFonts w:ascii="Arial"/>
                <w:color w:val="auto"/>
                <w:sz w:val="21"/>
                <w:highlight w:val="none"/>
              </w:rPr>
            </w:pPr>
          </w:p>
        </w:tc>
        <w:tc>
          <w:tcPr>
            <w:tcW w:w="1382" w:type="dxa"/>
            <w:vAlign w:val="top"/>
          </w:tcPr>
          <w:p w14:paraId="04CB1BEB">
            <w:pPr>
              <w:rPr>
                <w:rFonts w:ascii="Arial"/>
                <w:color w:val="auto"/>
                <w:sz w:val="21"/>
                <w:highlight w:val="none"/>
              </w:rPr>
            </w:pPr>
          </w:p>
        </w:tc>
        <w:tc>
          <w:tcPr>
            <w:tcW w:w="1382" w:type="dxa"/>
            <w:vAlign w:val="top"/>
          </w:tcPr>
          <w:p w14:paraId="5EA7D953">
            <w:pPr>
              <w:rPr>
                <w:rFonts w:ascii="Arial"/>
                <w:color w:val="auto"/>
                <w:sz w:val="21"/>
                <w:highlight w:val="none"/>
              </w:rPr>
            </w:pPr>
          </w:p>
        </w:tc>
        <w:tc>
          <w:tcPr>
            <w:tcW w:w="1391" w:type="dxa"/>
            <w:vAlign w:val="top"/>
          </w:tcPr>
          <w:p w14:paraId="3812EA9D">
            <w:pPr>
              <w:rPr>
                <w:rFonts w:ascii="Arial"/>
                <w:color w:val="auto"/>
                <w:sz w:val="21"/>
                <w:highlight w:val="none"/>
              </w:rPr>
            </w:pPr>
          </w:p>
        </w:tc>
      </w:tr>
      <w:tr w14:paraId="4D68D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F0C997E">
            <w:pPr>
              <w:rPr>
                <w:rFonts w:ascii="Arial"/>
                <w:color w:val="auto"/>
                <w:sz w:val="21"/>
                <w:highlight w:val="none"/>
              </w:rPr>
            </w:pPr>
          </w:p>
        </w:tc>
        <w:tc>
          <w:tcPr>
            <w:tcW w:w="1387" w:type="dxa"/>
            <w:vAlign w:val="top"/>
          </w:tcPr>
          <w:p w14:paraId="2646BED8">
            <w:pPr>
              <w:rPr>
                <w:rFonts w:ascii="Arial"/>
                <w:color w:val="auto"/>
                <w:sz w:val="21"/>
                <w:highlight w:val="none"/>
              </w:rPr>
            </w:pPr>
          </w:p>
        </w:tc>
        <w:tc>
          <w:tcPr>
            <w:tcW w:w="1382" w:type="dxa"/>
            <w:vAlign w:val="top"/>
          </w:tcPr>
          <w:p w14:paraId="333E5C58">
            <w:pPr>
              <w:rPr>
                <w:rFonts w:ascii="Arial"/>
                <w:color w:val="auto"/>
                <w:sz w:val="21"/>
                <w:highlight w:val="none"/>
              </w:rPr>
            </w:pPr>
          </w:p>
        </w:tc>
        <w:tc>
          <w:tcPr>
            <w:tcW w:w="1382" w:type="dxa"/>
            <w:vAlign w:val="top"/>
          </w:tcPr>
          <w:p w14:paraId="0F0DE9C8">
            <w:pPr>
              <w:rPr>
                <w:rFonts w:ascii="Arial"/>
                <w:color w:val="auto"/>
                <w:sz w:val="21"/>
                <w:highlight w:val="none"/>
              </w:rPr>
            </w:pPr>
          </w:p>
        </w:tc>
        <w:tc>
          <w:tcPr>
            <w:tcW w:w="1382" w:type="dxa"/>
            <w:vAlign w:val="top"/>
          </w:tcPr>
          <w:p w14:paraId="4D32097A">
            <w:pPr>
              <w:rPr>
                <w:rFonts w:ascii="Arial"/>
                <w:color w:val="auto"/>
                <w:sz w:val="21"/>
                <w:highlight w:val="none"/>
              </w:rPr>
            </w:pPr>
          </w:p>
        </w:tc>
        <w:tc>
          <w:tcPr>
            <w:tcW w:w="1391" w:type="dxa"/>
            <w:vAlign w:val="top"/>
          </w:tcPr>
          <w:p w14:paraId="420B4BFC">
            <w:pPr>
              <w:rPr>
                <w:rFonts w:ascii="Arial"/>
                <w:color w:val="auto"/>
                <w:sz w:val="21"/>
                <w:highlight w:val="none"/>
              </w:rPr>
            </w:pPr>
          </w:p>
        </w:tc>
      </w:tr>
      <w:tr w14:paraId="55E5B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259FB93">
            <w:pPr>
              <w:rPr>
                <w:rFonts w:ascii="Arial"/>
                <w:color w:val="auto"/>
                <w:sz w:val="21"/>
                <w:highlight w:val="none"/>
              </w:rPr>
            </w:pPr>
          </w:p>
        </w:tc>
        <w:tc>
          <w:tcPr>
            <w:tcW w:w="1387" w:type="dxa"/>
            <w:vAlign w:val="top"/>
          </w:tcPr>
          <w:p w14:paraId="323AEE3C">
            <w:pPr>
              <w:rPr>
                <w:rFonts w:ascii="Arial"/>
                <w:color w:val="auto"/>
                <w:sz w:val="21"/>
                <w:highlight w:val="none"/>
              </w:rPr>
            </w:pPr>
          </w:p>
        </w:tc>
        <w:tc>
          <w:tcPr>
            <w:tcW w:w="1382" w:type="dxa"/>
            <w:vAlign w:val="top"/>
          </w:tcPr>
          <w:p w14:paraId="0C88487F">
            <w:pPr>
              <w:rPr>
                <w:rFonts w:ascii="Arial"/>
                <w:color w:val="auto"/>
                <w:sz w:val="21"/>
                <w:highlight w:val="none"/>
              </w:rPr>
            </w:pPr>
          </w:p>
        </w:tc>
        <w:tc>
          <w:tcPr>
            <w:tcW w:w="1382" w:type="dxa"/>
            <w:vAlign w:val="top"/>
          </w:tcPr>
          <w:p w14:paraId="29AD1C5D">
            <w:pPr>
              <w:rPr>
                <w:rFonts w:ascii="Arial"/>
                <w:color w:val="auto"/>
                <w:sz w:val="21"/>
                <w:highlight w:val="none"/>
              </w:rPr>
            </w:pPr>
          </w:p>
        </w:tc>
        <w:tc>
          <w:tcPr>
            <w:tcW w:w="1382" w:type="dxa"/>
            <w:vAlign w:val="top"/>
          </w:tcPr>
          <w:p w14:paraId="15D9E0F6">
            <w:pPr>
              <w:rPr>
                <w:rFonts w:ascii="Arial"/>
                <w:color w:val="auto"/>
                <w:sz w:val="21"/>
                <w:highlight w:val="none"/>
              </w:rPr>
            </w:pPr>
          </w:p>
        </w:tc>
        <w:tc>
          <w:tcPr>
            <w:tcW w:w="1391" w:type="dxa"/>
            <w:vAlign w:val="top"/>
          </w:tcPr>
          <w:p w14:paraId="77C251A3">
            <w:pPr>
              <w:rPr>
                <w:rFonts w:ascii="Arial"/>
                <w:color w:val="auto"/>
                <w:sz w:val="21"/>
                <w:highlight w:val="none"/>
              </w:rPr>
            </w:pPr>
          </w:p>
        </w:tc>
      </w:tr>
      <w:tr w14:paraId="670B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593D440">
            <w:pPr>
              <w:rPr>
                <w:rFonts w:ascii="Arial"/>
                <w:color w:val="auto"/>
                <w:sz w:val="21"/>
                <w:highlight w:val="none"/>
              </w:rPr>
            </w:pPr>
          </w:p>
        </w:tc>
        <w:tc>
          <w:tcPr>
            <w:tcW w:w="1387" w:type="dxa"/>
            <w:vAlign w:val="top"/>
          </w:tcPr>
          <w:p w14:paraId="1C88EA96">
            <w:pPr>
              <w:rPr>
                <w:rFonts w:ascii="Arial"/>
                <w:color w:val="auto"/>
                <w:sz w:val="21"/>
                <w:highlight w:val="none"/>
              </w:rPr>
            </w:pPr>
          </w:p>
        </w:tc>
        <w:tc>
          <w:tcPr>
            <w:tcW w:w="1382" w:type="dxa"/>
            <w:vAlign w:val="top"/>
          </w:tcPr>
          <w:p w14:paraId="1391106C">
            <w:pPr>
              <w:rPr>
                <w:rFonts w:ascii="Arial"/>
                <w:color w:val="auto"/>
                <w:sz w:val="21"/>
                <w:highlight w:val="none"/>
              </w:rPr>
            </w:pPr>
          </w:p>
        </w:tc>
        <w:tc>
          <w:tcPr>
            <w:tcW w:w="1382" w:type="dxa"/>
            <w:vAlign w:val="top"/>
          </w:tcPr>
          <w:p w14:paraId="0FA03630">
            <w:pPr>
              <w:rPr>
                <w:rFonts w:ascii="Arial"/>
                <w:color w:val="auto"/>
                <w:sz w:val="21"/>
                <w:highlight w:val="none"/>
              </w:rPr>
            </w:pPr>
          </w:p>
        </w:tc>
        <w:tc>
          <w:tcPr>
            <w:tcW w:w="1382" w:type="dxa"/>
            <w:vAlign w:val="top"/>
          </w:tcPr>
          <w:p w14:paraId="18FC0857">
            <w:pPr>
              <w:rPr>
                <w:rFonts w:ascii="Arial"/>
                <w:color w:val="auto"/>
                <w:sz w:val="21"/>
                <w:highlight w:val="none"/>
              </w:rPr>
            </w:pPr>
          </w:p>
        </w:tc>
        <w:tc>
          <w:tcPr>
            <w:tcW w:w="1391" w:type="dxa"/>
            <w:vAlign w:val="top"/>
          </w:tcPr>
          <w:p w14:paraId="0746EC90">
            <w:pPr>
              <w:rPr>
                <w:rFonts w:ascii="Arial"/>
                <w:color w:val="auto"/>
                <w:sz w:val="21"/>
                <w:highlight w:val="none"/>
              </w:rPr>
            </w:pPr>
          </w:p>
        </w:tc>
      </w:tr>
      <w:tr w14:paraId="0D660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6F671379">
            <w:pPr>
              <w:rPr>
                <w:rFonts w:ascii="Arial"/>
                <w:color w:val="auto"/>
                <w:sz w:val="21"/>
                <w:highlight w:val="none"/>
              </w:rPr>
            </w:pPr>
          </w:p>
        </w:tc>
        <w:tc>
          <w:tcPr>
            <w:tcW w:w="1387" w:type="dxa"/>
            <w:vAlign w:val="top"/>
          </w:tcPr>
          <w:p w14:paraId="3FDB9E4B">
            <w:pPr>
              <w:rPr>
                <w:rFonts w:ascii="Arial"/>
                <w:color w:val="auto"/>
                <w:sz w:val="21"/>
                <w:highlight w:val="none"/>
              </w:rPr>
            </w:pPr>
          </w:p>
        </w:tc>
        <w:tc>
          <w:tcPr>
            <w:tcW w:w="1382" w:type="dxa"/>
            <w:vAlign w:val="top"/>
          </w:tcPr>
          <w:p w14:paraId="2FFF67F9">
            <w:pPr>
              <w:rPr>
                <w:rFonts w:ascii="Arial"/>
                <w:color w:val="auto"/>
                <w:sz w:val="21"/>
                <w:highlight w:val="none"/>
              </w:rPr>
            </w:pPr>
          </w:p>
        </w:tc>
        <w:tc>
          <w:tcPr>
            <w:tcW w:w="1382" w:type="dxa"/>
            <w:vAlign w:val="top"/>
          </w:tcPr>
          <w:p w14:paraId="33191AEF">
            <w:pPr>
              <w:rPr>
                <w:rFonts w:ascii="Arial"/>
                <w:color w:val="auto"/>
                <w:sz w:val="21"/>
                <w:highlight w:val="none"/>
              </w:rPr>
            </w:pPr>
          </w:p>
        </w:tc>
        <w:tc>
          <w:tcPr>
            <w:tcW w:w="1382" w:type="dxa"/>
            <w:vAlign w:val="top"/>
          </w:tcPr>
          <w:p w14:paraId="0E5EE541">
            <w:pPr>
              <w:rPr>
                <w:rFonts w:ascii="Arial"/>
                <w:color w:val="auto"/>
                <w:sz w:val="21"/>
                <w:highlight w:val="none"/>
              </w:rPr>
            </w:pPr>
          </w:p>
        </w:tc>
        <w:tc>
          <w:tcPr>
            <w:tcW w:w="1391" w:type="dxa"/>
            <w:vAlign w:val="top"/>
          </w:tcPr>
          <w:p w14:paraId="71903231">
            <w:pPr>
              <w:rPr>
                <w:rFonts w:ascii="Arial"/>
                <w:color w:val="auto"/>
                <w:sz w:val="21"/>
                <w:highlight w:val="none"/>
              </w:rPr>
            </w:pPr>
          </w:p>
        </w:tc>
      </w:tr>
      <w:tr w14:paraId="4F1B1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B232F80">
            <w:pPr>
              <w:rPr>
                <w:rFonts w:ascii="Arial"/>
                <w:color w:val="auto"/>
                <w:sz w:val="21"/>
                <w:highlight w:val="none"/>
              </w:rPr>
            </w:pPr>
          </w:p>
        </w:tc>
        <w:tc>
          <w:tcPr>
            <w:tcW w:w="1387" w:type="dxa"/>
            <w:vAlign w:val="top"/>
          </w:tcPr>
          <w:p w14:paraId="7386E4F8">
            <w:pPr>
              <w:rPr>
                <w:rFonts w:ascii="Arial"/>
                <w:color w:val="auto"/>
                <w:sz w:val="21"/>
                <w:highlight w:val="none"/>
              </w:rPr>
            </w:pPr>
          </w:p>
        </w:tc>
        <w:tc>
          <w:tcPr>
            <w:tcW w:w="1382" w:type="dxa"/>
            <w:vAlign w:val="top"/>
          </w:tcPr>
          <w:p w14:paraId="7F96400B">
            <w:pPr>
              <w:rPr>
                <w:rFonts w:ascii="Arial"/>
                <w:color w:val="auto"/>
                <w:sz w:val="21"/>
                <w:highlight w:val="none"/>
              </w:rPr>
            </w:pPr>
          </w:p>
        </w:tc>
        <w:tc>
          <w:tcPr>
            <w:tcW w:w="1382" w:type="dxa"/>
            <w:vAlign w:val="top"/>
          </w:tcPr>
          <w:p w14:paraId="3EDF293D">
            <w:pPr>
              <w:rPr>
                <w:rFonts w:ascii="Arial"/>
                <w:color w:val="auto"/>
                <w:sz w:val="21"/>
                <w:highlight w:val="none"/>
              </w:rPr>
            </w:pPr>
          </w:p>
        </w:tc>
        <w:tc>
          <w:tcPr>
            <w:tcW w:w="1382" w:type="dxa"/>
            <w:vAlign w:val="top"/>
          </w:tcPr>
          <w:p w14:paraId="74BF9832">
            <w:pPr>
              <w:rPr>
                <w:rFonts w:ascii="Arial"/>
                <w:color w:val="auto"/>
                <w:sz w:val="21"/>
                <w:highlight w:val="none"/>
              </w:rPr>
            </w:pPr>
          </w:p>
        </w:tc>
        <w:tc>
          <w:tcPr>
            <w:tcW w:w="1391" w:type="dxa"/>
            <w:vAlign w:val="top"/>
          </w:tcPr>
          <w:p w14:paraId="5D47C332">
            <w:pPr>
              <w:rPr>
                <w:rFonts w:ascii="Arial"/>
                <w:color w:val="auto"/>
                <w:sz w:val="21"/>
                <w:highlight w:val="none"/>
              </w:rPr>
            </w:pPr>
          </w:p>
        </w:tc>
      </w:tr>
      <w:tr w14:paraId="45BC1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DF43E0D">
            <w:pPr>
              <w:rPr>
                <w:rFonts w:ascii="Arial"/>
                <w:color w:val="auto"/>
                <w:sz w:val="21"/>
                <w:highlight w:val="none"/>
              </w:rPr>
            </w:pPr>
          </w:p>
        </w:tc>
        <w:tc>
          <w:tcPr>
            <w:tcW w:w="1387" w:type="dxa"/>
            <w:vAlign w:val="top"/>
          </w:tcPr>
          <w:p w14:paraId="1C192F40">
            <w:pPr>
              <w:rPr>
                <w:rFonts w:ascii="Arial"/>
                <w:color w:val="auto"/>
                <w:sz w:val="21"/>
                <w:highlight w:val="none"/>
              </w:rPr>
            </w:pPr>
          </w:p>
        </w:tc>
        <w:tc>
          <w:tcPr>
            <w:tcW w:w="1382" w:type="dxa"/>
            <w:vAlign w:val="top"/>
          </w:tcPr>
          <w:p w14:paraId="6F44C430">
            <w:pPr>
              <w:rPr>
                <w:rFonts w:ascii="Arial"/>
                <w:color w:val="auto"/>
                <w:sz w:val="21"/>
                <w:highlight w:val="none"/>
              </w:rPr>
            </w:pPr>
          </w:p>
        </w:tc>
        <w:tc>
          <w:tcPr>
            <w:tcW w:w="1382" w:type="dxa"/>
            <w:vAlign w:val="top"/>
          </w:tcPr>
          <w:p w14:paraId="25136584">
            <w:pPr>
              <w:rPr>
                <w:rFonts w:ascii="Arial"/>
                <w:color w:val="auto"/>
                <w:sz w:val="21"/>
                <w:highlight w:val="none"/>
              </w:rPr>
            </w:pPr>
          </w:p>
        </w:tc>
        <w:tc>
          <w:tcPr>
            <w:tcW w:w="1382" w:type="dxa"/>
            <w:vAlign w:val="top"/>
          </w:tcPr>
          <w:p w14:paraId="7FD3D0C9">
            <w:pPr>
              <w:rPr>
                <w:rFonts w:ascii="Arial"/>
                <w:color w:val="auto"/>
                <w:sz w:val="21"/>
                <w:highlight w:val="none"/>
              </w:rPr>
            </w:pPr>
          </w:p>
        </w:tc>
        <w:tc>
          <w:tcPr>
            <w:tcW w:w="1391" w:type="dxa"/>
            <w:vAlign w:val="top"/>
          </w:tcPr>
          <w:p w14:paraId="1DEFD24A">
            <w:pPr>
              <w:rPr>
                <w:rFonts w:ascii="Arial"/>
                <w:color w:val="auto"/>
                <w:sz w:val="21"/>
                <w:highlight w:val="none"/>
              </w:rPr>
            </w:pPr>
          </w:p>
        </w:tc>
      </w:tr>
      <w:tr w14:paraId="29B3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1654EF78">
            <w:pPr>
              <w:rPr>
                <w:rFonts w:ascii="Arial"/>
                <w:color w:val="auto"/>
                <w:sz w:val="21"/>
                <w:highlight w:val="none"/>
              </w:rPr>
            </w:pPr>
          </w:p>
        </w:tc>
        <w:tc>
          <w:tcPr>
            <w:tcW w:w="1387" w:type="dxa"/>
            <w:vAlign w:val="top"/>
          </w:tcPr>
          <w:p w14:paraId="510D1960">
            <w:pPr>
              <w:rPr>
                <w:rFonts w:ascii="Arial"/>
                <w:color w:val="auto"/>
                <w:sz w:val="21"/>
                <w:highlight w:val="none"/>
              </w:rPr>
            </w:pPr>
          </w:p>
        </w:tc>
        <w:tc>
          <w:tcPr>
            <w:tcW w:w="1382" w:type="dxa"/>
            <w:vAlign w:val="top"/>
          </w:tcPr>
          <w:p w14:paraId="041CB308">
            <w:pPr>
              <w:rPr>
                <w:rFonts w:ascii="Arial"/>
                <w:color w:val="auto"/>
                <w:sz w:val="21"/>
                <w:highlight w:val="none"/>
              </w:rPr>
            </w:pPr>
          </w:p>
        </w:tc>
        <w:tc>
          <w:tcPr>
            <w:tcW w:w="1382" w:type="dxa"/>
            <w:vAlign w:val="top"/>
          </w:tcPr>
          <w:p w14:paraId="029D70A7">
            <w:pPr>
              <w:rPr>
                <w:rFonts w:ascii="Arial"/>
                <w:color w:val="auto"/>
                <w:sz w:val="21"/>
                <w:highlight w:val="none"/>
              </w:rPr>
            </w:pPr>
          </w:p>
        </w:tc>
        <w:tc>
          <w:tcPr>
            <w:tcW w:w="1382" w:type="dxa"/>
            <w:vAlign w:val="top"/>
          </w:tcPr>
          <w:p w14:paraId="1A996869">
            <w:pPr>
              <w:rPr>
                <w:rFonts w:ascii="Arial"/>
                <w:color w:val="auto"/>
                <w:sz w:val="21"/>
                <w:highlight w:val="none"/>
              </w:rPr>
            </w:pPr>
          </w:p>
        </w:tc>
        <w:tc>
          <w:tcPr>
            <w:tcW w:w="1391" w:type="dxa"/>
            <w:vAlign w:val="top"/>
          </w:tcPr>
          <w:p w14:paraId="75B4FFB9">
            <w:pPr>
              <w:rPr>
                <w:rFonts w:ascii="Arial"/>
                <w:color w:val="auto"/>
                <w:sz w:val="21"/>
                <w:highlight w:val="none"/>
              </w:rPr>
            </w:pPr>
          </w:p>
        </w:tc>
      </w:tr>
    </w:tbl>
    <w:p w14:paraId="3C38854E">
      <w:pPr>
        <w:pStyle w:val="3"/>
        <w:rPr>
          <w:color w:val="auto"/>
          <w:highlight w:val="none"/>
        </w:rPr>
      </w:pPr>
    </w:p>
    <w:p w14:paraId="702A5CE0">
      <w:pPr>
        <w:rPr>
          <w:color w:val="auto"/>
          <w:highlight w:val="none"/>
        </w:rPr>
        <w:sectPr>
          <w:footerReference r:id="rId203" w:type="default"/>
          <w:pgSz w:w="11905" w:h="16839"/>
          <w:pgMar w:top="400" w:right="1785" w:bottom="1004" w:left="1785" w:header="0" w:footer="828" w:gutter="0"/>
          <w:pgNumType w:fmt="decimal"/>
          <w:cols w:space="720" w:num="1"/>
        </w:sectPr>
      </w:pPr>
    </w:p>
    <w:p w14:paraId="38CAC314">
      <w:pPr>
        <w:pStyle w:val="3"/>
        <w:spacing w:line="266" w:lineRule="auto"/>
        <w:rPr>
          <w:color w:val="auto"/>
          <w:highlight w:val="none"/>
        </w:rPr>
      </w:pPr>
    </w:p>
    <w:p w14:paraId="3BD3ED8C">
      <w:pPr>
        <w:pStyle w:val="3"/>
        <w:spacing w:line="266" w:lineRule="auto"/>
        <w:rPr>
          <w:color w:val="auto"/>
          <w:highlight w:val="none"/>
        </w:rPr>
      </w:pPr>
    </w:p>
    <w:p w14:paraId="1CC76494">
      <w:pPr>
        <w:pStyle w:val="3"/>
        <w:spacing w:line="266" w:lineRule="auto"/>
        <w:rPr>
          <w:color w:val="auto"/>
          <w:highlight w:val="none"/>
        </w:rPr>
      </w:pPr>
    </w:p>
    <w:p w14:paraId="17D8B2E7">
      <w:pPr>
        <w:pStyle w:val="3"/>
        <w:spacing w:line="267" w:lineRule="auto"/>
        <w:rPr>
          <w:color w:val="auto"/>
          <w:highlight w:val="none"/>
        </w:rPr>
      </w:pPr>
    </w:p>
    <w:p w14:paraId="41224E80">
      <w:pPr>
        <w:spacing w:before="78" w:line="220"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16"/>
          <w:sz w:val="24"/>
          <w:szCs w:val="24"/>
          <w:highlight w:val="none"/>
        </w:rPr>
        <w:t>2</w:t>
      </w:r>
      <w:r>
        <w:rPr>
          <w:rFonts w:ascii="Times New Roman" w:hAnsi="Times New Roman" w:eastAsia="Times New Roman" w:cs="Times New Roman"/>
          <w:color w:val="auto"/>
          <w:spacing w:val="-25"/>
          <w:sz w:val="24"/>
          <w:szCs w:val="24"/>
          <w:highlight w:val="none"/>
        </w:rPr>
        <w:t xml:space="preserve"> </w:t>
      </w:r>
      <w:r>
        <w:rPr>
          <w:rFonts w:ascii="黑体" w:hAnsi="黑体" w:eastAsia="黑体" w:cs="黑体"/>
          <w:color w:val="auto"/>
          <w:spacing w:val="-16"/>
          <w:sz w:val="24"/>
          <w:szCs w:val="24"/>
          <w:highlight w:val="none"/>
        </w:rPr>
        <w:t>．</w:t>
      </w:r>
      <w:r>
        <w:rPr>
          <w:rFonts w:ascii="黑体" w:hAnsi="黑体" w:eastAsia="黑体" w:cs="黑体"/>
          <w:color w:val="auto"/>
          <w:spacing w:val="-97"/>
          <w:sz w:val="24"/>
          <w:szCs w:val="24"/>
          <w:highlight w:val="none"/>
        </w:rPr>
        <w:t xml:space="preserve"> </w:t>
      </w:r>
      <w:r>
        <w:rPr>
          <w:rFonts w:ascii="黑体" w:hAnsi="黑体" w:eastAsia="黑体" w:cs="黑体"/>
          <w:color w:val="auto"/>
          <w:spacing w:val="-16"/>
          <w:sz w:val="24"/>
          <w:szCs w:val="24"/>
          <w:highlight w:val="none"/>
        </w:rPr>
        <w:t>图</w:t>
      </w:r>
      <w:r>
        <w:rPr>
          <w:rFonts w:ascii="黑体" w:hAnsi="黑体" w:eastAsia="黑体" w:cs="黑体"/>
          <w:color w:val="auto"/>
          <w:spacing w:val="18"/>
          <w:sz w:val="24"/>
          <w:szCs w:val="24"/>
          <w:highlight w:val="none"/>
        </w:rPr>
        <w:t xml:space="preserve"> </w:t>
      </w:r>
      <w:r>
        <w:rPr>
          <w:rFonts w:ascii="黑体" w:hAnsi="黑体" w:eastAsia="黑体" w:cs="黑体"/>
          <w:color w:val="auto"/>
          <w:spacing w:val="-16"/>
          <w:sz w:val="24"/>
          <w:szCs w:val="24"/>
          <w:highlight w:val="none"/>
        </w:rPr>
        <w:t>纸</w:t>
      </w:r>
    </w:p>
    <w:p w14:paraId="0ADAA315">
      <w:pPr>
        <w:spacing w:line="220" w:lineRule="auto"/>
        <w:rPr>
          <w:rFonts w:ascii="黑体" w:hAnsi="黑体" w:eastAsia="黑体" w:cs="黑体"/>
          <w:color w:val="auto"/>
          <w:sz w:val="24"/>
          <w:szCs w:val="24"/>
          <w:highlight w:val="none"/>
        </w:rPr>
        <w:sectPr>
          <w:footerReference r:id="rId204" w:type="default"/>
          <w:pgSz w:w="11905" w:h="16839"/>
          <w:pgMar w:top="400" w:right="1785" w:bottom="1004" w:left="1785" w:header="0" w:footer="829" w:gutter="0"/>
          <w:pgNumType w:fmt="decimal"/>
          <w:cols w:space="720" w:num="1"/>
        </w:sectPr>
      </w:pPr>
    </w:p>
    <w:p w14:paraId="05B9351B">
      <w:pPr>
        <w:pStyle w:val="3"/>
        <w:spacing w:line="252" w:lineRule="auto"/>
        <w:rPr>
          <w:color w:val="auto"/>
          <w:highlight w:val="none"/>
        </w:rPr>
      </w:pPr>
    </w:p>
    <w:p w14:paraId="06E53D1B">
      <w:pPr>
        <w:pStyle w:val="3"/>
        <w:spacing w:line="253" w:lineRule="auto"/>
        <w:rPr>
          <w:color w:val="auto"/>
          <w:highlight w:val="none"/>
        </w:rPr>
      </w:pPr>
    </w:p>
    <w:p w14:paraId="79D45AAB">
      <w:pPr>
        <w:pStyle w:val="3"/>
        <w:spacing w:line="253" w:lineRule="auto"/>
        <w:rPr>
          <w:color w:val="auto"/>
          <w:highlight w:val="none"/>
        </w:rPr>
      </w:pPr>
    </w:p>
    <w:p w14:paraId="78C88C6D">
      <w:pPr>
        <w:pStyle w:val="3"/>
        <w:spacing w:line="253" w:lineRule="auto"/>
        <w:rPr>
          <w:color w:val="auto"/>
          <w:highlight w:val="none"/>
        </w:rPr>
      </w:pPr>
    </w:p>
    <w:p w14:paraId="03FBB313">
      <w:pPr>
        <w:pStyle w:val="3"/>
        <w:spacing w:line="253" w:lineRule="auto"/>
        <w:rPr>
          <w:color w:val="auto"/>
          <w:highlight w:val="none"/>
        </w:rPr>
      </w:pPr>
    </w:p>
    <w:p w14:paraId="13B9CC8B">
      <w:pPr>
        <w:pStyle w:val="3"/>
        <w:spacing w:line="253" w:lineRule="auto"/>
        <w:rPr>
          <w:color w:val="auto"/>
          <w:highlight w:val="none"/>
        </w:rPr>
      </w:pPr>
    </w:p>
    <w:p w14:paraId="489D3C3A">
      <w:pPr>
        <w:pStyle w:val="3"/>
        <w:spacing w:line="253" w:lineRule="auto"/>
        <w:rPr>
          <w:color w:val="auto"/>
          <w:highlight w:val="none"/>
        </w:rPr>
      </w:pPr>
    </w:p>
    <w:p w14:paraId="0B168376">
      <w:pPr>
        <w:pStyle w:val="3"/>
        <w:spacing w:line="253" w:lineRule="auto"/>
        <w:rPr>
          <w:color w:val="auto"/>
          <w:highlight w:val="none"/>
        </w:rPr>
      </w:pPr>
    </w:p>
    <w:p w14:paraId="0E396064">
      <w:pPr>
        <w:pStyle w:val="3"/>
        <w:spacing w:line="253" w:lineRule="auto"/>
        <w:rPr>
          <w:color w:val="auto"/>
          <w:highlight w:val="none"/>
        </w:rPr>
      </w:pPr>
    </w:p>
    <w:p w14:paraId="79AA8BE6">
      <w:pPr>
        <w:pStyle w:val="3"/>
        <w:spacing w:line="253" w:lineRule="auto"/>
        <w:rPr>
          <w:color w:val="auto"/>
          <w:highlight w:val="none"/>
        </w:rPr>
      </w:pPr>
    </w:p>
    <w:p w14:paraId="10F4CAB2">
      <w:pPr>
        <w:pStyle w:val="3"/>
        <w:spacing w:line="253" w:lineRule="auto"/>
        <w:rPr>
          <w:color w:val="auto"/>
          <w:highlight w:val="none"/>
        </w:rPr>
      </w:pPr>
    </w:p>
    <w:p w14:paraId="468CFA54">
      <w:pPr>
        <w:pStyle w:val="3"/>
        <w:spacing w:line="253" w:lineRule="auto"/>
        <w:rPr>
          <w:color w:val="auto"/>
          <w:highlight w:val="none"/>
        </w:rPr>
      </w:pPr>
    </w:p>
    <w:p w14:paraId="68A3D6F5">
      <w:pPr>
        <w:pStyle w:val="3"/>
        <w:spacing w:line="253" w:lineRule="auto"/>
        <w:rPr>
          <w:color w:val="auto"/>
          <w:highlight w:val="none"/>
        </w:rPr>
      </w:pPr>
    </w:p>
    <w:p w14:paraId="6BE4BF5B">
      <w:pPr>
        <w:pStyle w:val="3"/>
        <w:spacing w:line="253" w:lineRule="auto"/>
        <w:rPr>
          <w:color w:val="auto"/>
          <w:highlight w:val="none"/>
        </w:rPr>
      </w:pPr>
    </w:p>
    <w:p w14:paraId="6966DC59">
      <w:pPr>
        <w:pStyle w:val="3"/>
        <w:spacing w:line="253" w:lineRule="auto"/>
        <w:rPr>
          <w:color w:val="auto"/>
          <w:highlight w:val="none"/>
        </w:rPr>
      </w:pPr>
    </w:p>
    <w:p w14:paraId="5970F6E0">
      <w:pPr>
        <w:pStyle w:val="3"/>
        <w:spacing w:line="253" w:lineRule="auto"/>
        <w:rPr>
          <w:color w:val="auto"/>
          <w:highlight w:val="none"/>
        </w:rPr>
      </w:pPr>
    </w:p>
    <w:p w14:paraId="493C50D3">
      <w:pPr>
        <w:pStyle w:val="3"/>
        <w:spacing w:line="253" w:lineRule="auto"/>
        <w:rPr>
          <w:color w:val="auto"/>
          <w:highlight w:val="none"/>
        </w:rPr>
      </w:pPr>
    </w:p>
    <w:p w14:paraId="776E7184">
      <w:pPr>
        <w:pStyle w:val="3"/>
        <w:spacing w:line="253" w:lineRule="auto"/>
        <w:rPr>
          <w:color w:val="auto"/>
          <w:highlight w:val="none"/>
        </w:rPr>
      </w:pPr>
    </w:p>
    <w:p w14:paraId="52025376">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5"/>
          <w:sz w:val="48"/>
          <w:szCs w:val="48"/>
          <w:highlight w:val="none"/>
        </w:rPr>
        <w:t>第三卷</w:t>
      </w:r>
    </w:p>
    <w:p w14:paraId="3F1DD43D">
      <w:pPr>
        <w:spacing w:line="219" w:lineRule="auto"/>
        <w:rPr>
          <w:rFonts w:ascii="黑体" w:hAnsi="黑体" w:eastAsia="黑体" w:cs="黑体"/>
          <w:color w:val="auto"/>
          <w:sz w:val="48"/>
          <w:szCs w:val="48"/>
          <w:highlight w:val="none"/>
        </w:rPr>
        <w:sectPr>
          <w:footerReference r:id="rId205" w:type="default"/>
          <w:pgSz w:w="11905" w:h="16839"/>
          <w:pgMar w:top="400" w:right="1785" w:bottom="1004" w:left="1785" w:header="0" w:footer="829" w:gutter="0"/>
          <w:pgNumType w:fmt="decimal"/>
          <w:cols w:space="720" w:num="1"/>
        </w:sectPr>
      </w:pPr>
    </w:p>
    <w:p w14:paraId="3B72FC8C">
      <w:pPr>
        <w:pStyle w:val="3"/>
        <w:spacing w:line="246" w:lineRule="auto"/>
        <w:rPr>
          <w:color w:val="auto"/>
          <w:highlight w:val="none"/>
        </w:rPr>
      </w:pPr>
    </w:p>
    <w:p w14:paraId="0738F5FA">
      <w:pPr>
        <w:pStyle w:val="3"/>
        <w:spacing w:line="246" w:lineRule="auto"/>
        <w:rPr>
          <w:color w:val="auto"/>
          <w:highlight w:val="none"/>
        </w:rPr>
      </w:pPr>
    </w:p>
    <w:p w14:paraId="57EFD5CC">
      <w:pPr>
        <w:pStyle w:val="3"/>
        <w:spacing w:line="246" w:lineRule="auto"/>
        <w:rPr>
          <w:color w:val="auto"/>
          <w:highlight w:val="none"/>
        </w:rPr>
      </w:pPr>
    </w:p>
    <w:p w14:paraId="7CCA5627">
      <w:pPr>
        <w:pStyle w:val="3"/>
        <w:spacing w:line="246" w:lineRule="auto"/>
        <w:rPr>
          <w:color w:val="auto"/>
          <w:highlight w:val="none"/>
        </w:rPr>
      </w:pPr>
    </w:p>
    <w:p w14:paraId="0D21F610">
      <w:pPr>
        <w:pStyle w:val="3"/>
        <w:spacing w:line="246" w:lineRule="auto"/>
        <w:rPr>
          <w:color w:val="auto"/>
          <w:highlight w:val="none"/>
        </w:rPr>
      </w:pPr>
    </w:p>
    <w:p w14:paraId="4ECCADD7">
      <w:pPr>
        <w:pStyle w:val="3"/>
        <w:spacing w:line="246" w:lineRule="auto"/>
        <w:rPr>
          <w:color w:val="auto"/>
          <w:highlight w:val="none"/>
        </w:rPr>
      </w:pPr>
    </w:p>
    <w:p w14:paraId="367A87DB">
      <w:pPr>
        <w:pStyle w:val="3"/>
        <w:spacing w:line="246" w:lineRule="auto"/>
        <w:rPr>
          <w:color w:val="auto"/>
          <w:highlight w:val="none"/>
        </w:rPr>
      </w:pPr>
    </w:p>
    <w:p w14:paraId="23291477">
      <w:pPr>
        <w:pStyle w:val="3"/>
        <w:spacing w:line="246" w:lineRule="auto"/>
        <w:rPr>
          <w:color w:val="auto"/>
          <w:highlight w:val="none"/>
        </w:rPr>
      </w:pPr>
    </w:p>
    <w:p w14:paraId="683EDF22">
      <w:pPr>
        <w:pStyle w:val="3"/>
        <w:spacing w:line="246" w:lineRule="auto"/>
        <w:rPr>
          <w:color w:val="auto"/>
          <w:highlight w:val="none"/>
        </w:rPr>
      </w:pPr>
    </w:p>
    <w:p w14:paraId="00E17D17">
      <w:pPr>
        <w:pStyle w:val="3"/>
        <w:spacing w:line="246" w:lineRule="auto"/>
        <w:rPr>
          <w:color w:val="auto"/>
          <w:highlight w:val="none"/>
        </w:rPr>
      </w:pPr>
    </w:p>
    <w:p w14:paraId="36371614">
      <w:pPr>
        <w:pStyle w:val="3"/>
        <w:spacing w:line="246" w:lineRule="auto"/>
        <w:rPr>
          <w:color w:val="auto"/>
          <w:highlight w:val="none"/>
        </w:rPr>
      </w:pPr>
    </w:p>
    <w:p w14:paraId="2B30D6F4">
      <w:pPr>
        <w:pStyle w:val="3"/>
        <w:spacing w:line="246" w:lineRule="auto"/>
        <w:rPr>
          <w:color w:val="auto"/>
          <w:highlight w:val="none"/>
        </w:rPr>
      </w:pPr>
    </w:p>
    <w:p w14:paraId="3F98B5ED">
      <w:pPr>
        <w:pStyle w:val="3"/>
        <w:spacing w:line="247" w:lineRule="auto"/>
        <w:rPr>
          <w:color w:val="auto"/>
          <w:highlight w:val="none"/>
        </w:rPr>
      </w:pPr>
    </w:p>
    <w:p w14:paraId="7B205B0D">
      <w:pPr>
        <w:pStyle w:val="3"/>
        <w:spacing w:line="247" w:lineRule="auto"/>
        <w:rPr>
          <w:color w:val="auto"/>
          <w:highlight w:val="none"/>
        </w:rPr>
      </w:pPr>
    </w:p>
    <w:p w14:paraId="232293DC">
      <w:pPr>
        <w:pStyle w:val="3"/>
        <w:spacing w:line="247" w:lineRule="auto"/>
        <w:rPr>
          <w:color w:val="auto"/>
          <w:highlight w:val="none"/>
        </w:rPr>
      </w:pPr>
    </w:p>
    <w:p w14:paraId="30B2B371">
      <w:pPr>
        <w:pStyle w:val="3"/>
        <w:spacing w:line="247" w:lineRule="auto"/>
        <w:rPr>
          <w:color w:val="auto"/>
          <w:highlight w:val="none"/>
        </w:rPr>
      </w:pPr>
    </w:p>
    <w:p w14:paraId="0E48ED74">
      <w:pPr>
        <w:pStyle w:val="3"/>
        <w:spacing w:line="247" w:lineRule="auto"/>
        <w:rPr>
          <w:color w:val="auto"/>
          <w:highlight w:val="none"/>
        </w:rPr>
      </w:pPr>
    </w:p>
    <w:p w14:paraId="474FA40A">
      <w:pPr>
        <w:pStyle w:val="3"/>
        <w:spacing w:line="247" w:lineRule="auto"/>
        <w:rPr>
          <w:color w:val="auto"/>
          <w:highlight w:val="none"/>
        </w:rPr>
      </w:pPr>
    </w:p>
    <w:p w14:paraId="0460B10C">
      <w:pPr>
        <w:spacing w:before="104" w:line="220" w:lineRule="auto"/>
        <w:ind w:left="2418"/>
        <w:outlineLvl w:val="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第七章  技术标准和要求</w:t>
      </w:r>
    </w:p>
    <w:p w14:paraId="469C72A7">
      <w:pPr>
        <w:spacing w:line="220" w:lineRule="auto"/>
        <w:rPr>
          <w:rFonts w:ascii="黑体" w:hAnsi="黑体" w:eastAsia="黑体" w:cs="黑体"/>
          <w:color w:val="auto"/>
          <w:sz w:val="32"/>
          <w:szCs w:val="32"/>
          <w:highlight w:val="none"/>
        </w:rPr>
        <w:sectPr>
          <w:footerReference r:id="rId206" w:type="default"/>
          <w:pgSz w:w="11905" w:h="16839"/>
          <w:pgMar w:top="400" w:right="1785" w:bottom="1004" w:left="1785" w:header="0" w:footer="828" w:gutter="0"/>
          <w:pgNumType w:fmt="decimal"/>
          <w:cols w:space="720" w:num="1"/>
        </w:sectPr>
      </w:pPr>
    </w:p>
    <w:p w14:paraId="014F827D">
      <w:pPr>
        <w:pStyle w:val="3"/>
        <w:spacing w:line="247" w:lineRule="auto"/>
        <w:rPr>
          <w:color w:val="auto"/>
          <w:highlight w:val="none"/>
        </w:rPr>
      </w:pPr>
    </w:p>
    <w:p w14:paraId="1072B8EC">
      <w:pPr>
        <w:pStyle w:val="3"/>
        <w:spacing w:line="247" w:lineRule="auto"/>
        <w:rPr>
          <w:color w:val="auto"/>
          <w:highlight w:val="none"/>
        </w:rPr>
      </w:pPr>
    </w:p>
    <w:p w14:paraId="11642E41">
      <w:pPr>
        <w:pStyle w:val="3"/>
        <w:spacing w:line="247" w:lineRule="auto"/>
        <w:rPr>
          <w:color w:val="auto"/>
          <w:highlight w:val="none"/>
        </w:rPr>
      </w:pPr>
    </w:p>
    <w:p w14:paraId="3B4E05F2">
      <w:pPr>
        <w:pStyle w:val="3"/>
        <w:spacing w:line="248" w:lineRule="auto"/>
        <w:rPr>
          <w:color w:val="auto"/>
          <w:highlight w:val="none"/>
        </w:rPr>
      </w:pPr>
    </w:p>
    <w:p w14:paraId="773C60D4">
      <w:pPr>
        <w:spacing w:before="88" w:line="225" w:lineRule="auto"/>
        <w:ind w:left="2638"/>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第七章  技术标准和要求</w:t>
      </w:r>
    </w:p>
    <w:p w14:paraId="7F3F98D7">
      <w:pPr>
        <w:spacing w:line="219" w:lineRule="auto"/>
        <w:rPr>
          <w:rFonts w:ascii="宋体" w:hAnsi="宋体" w:eastAsia="宋体" w:cs="宋体"/>
          <w:color w:val="auto"/>
          <w:sz w:val="21"/>
          <w:szCs w:val="21"/>
          <w:highlight w:val="none"/>
        </w:rPr>
      </w:pPr>
    </w:p>
    <w:p w14:paraId="6B57FA38">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1、工程说明</w:t>
      </w:r>
    </w:p>
    <w:p w14:paraId="33729DCA">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1.1 工程名称：</w:t>
      </w:r>
      <w:r>
        <w:rPr>
          <w:rStyle w:val="8"/>
          <w:rFonts w:hint="eastAsia" w:ascii="宋体" w:hAnsi="宋体" w:cs="宋体"/>
          <w:color w:val="auto"/>
          <w:sz w:val="24"/>
          <w:highlight w:val="none"/>
          <w:lang w:eastAsia="zh-CN"/>
        </w:rPr>
        <w:t>营口市保障性租赁住房(2025年第一批)项目</w:t>
      </w:r>
    </w:p>
    <w:p w14:paraId="37784EEB">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1.2 工程地点：</w:t>
      </w:r>
      <w:r>
        <w:rPr>
          <w:rStyle w:val="8"/>
          <w:rFonts w:hint="eastAsia" w:ascii="宋体" w:hAnsi="宋体" w:eastAsia="宋体" w:cs="宋体"/>
          <w:color w:val="auto"/>
          <w:sz w:val="24"/>
          <w:highlight w:val="none"/>
          <w:lang w:val="en-US" w:eastAsia="zh-CN"/>
        </w:rPr>
        <w:t>辽宁省</w:t>
      </w:r>
      <w:r>
        <w:rPr>
          <w:rStyle w:val="8"/>
          <w:rFonts w:hint="eastAsia" w:ascii="宋体" w:hAnsi="宋体" w:eastAsia="宋体" w:cs="宋体"/>
          <w:color w:val="auto"/>
          <w:sz w:val="24"/>
          <w:highlight w:val="none"/>
          <w:lang w:eastAsia="zh-CN"/>
        </w:rPr>
        <w:t>营口市</w:t>
      </w:r>
    </w:p>
    <w:p w14:paraId="52200E4E">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1.3 工程概况：</w:t>
      </w:r>
    </w:p>
    <w:p w14:paraId="44285B75">
      <w:pPr>
        <w:pStyle w:val="16"/>
        <w:spacing w:line="360" w:lineRule="auto"/>
        <w:rPr>
          <w:rStyle w:val="8"/>
          <w:rFonts w:hint="eastAsia" w:ascii="宋体" w:hAnsi="宋体" w:cs="宋体"/>
          <w:color w:val="auto"/>
          <w:sz w:val="24"/>
          <w:highlight w:val="none"/>
          <w:lang w:eastAsia="zh-CN"/>
        </w:rPr>
      </w:pPr>
      <w:r>
        <w:rPr>
          <w:rStyle w:val="8"/>
          <w:rFonts w:hint="eastAsia" w:ascii="宋体" w:hAnsi="宋体" w:cs="宋体"/>
          <w:color w:val="auto"/>
          <w:sz w:val="24"/>
          <w:highlight w:val="none"/>
          <w:lang w:eastAsia="zh-CN"/>
        </w:rPr>
        <w:t>本项目拟收购两个住宅项目用于保障性租赁住房，其中本标段为金沙滩澜湾小区（二期项目）共275套住房，面积共计16440.00平方米，对其进行装修改造，并配置家具家电。</w:t>
      </w:r>
    </w:p>
    <w:p w14:paraId="75F22226">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2、招标范围</w:t>
      </w:r>
    </w:p>
    <w:p w14:paraId="03C0AE6C">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2.1 以下给出的工程承包范围和说明描述只是概括的，不应认为是全面的、无缺的，  承包人根据图纸去完全了解工程的实际范围。</w:t>
      </w:r>
    </w:p>
    <w:p w14:paraId="1F9AB94D">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2.2 承包人应详细阅读构成本工程合同文件及其它有关文件。尤其是已充分研究了招标文件、清单的内容。</w:t>
      </w:r>
    </w:p>
    <w:p w14:paraId="07BD86E2">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2.3 本工程承包方式：固定单价合同。</w:t>
      </w:r>
    </w:p>
    <w:p w14:paraId="4BBFB300">
      <w:pPr>
        <w:pStyle w:val="16"/>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cs="宋体"/>
          <w:color w:val="auto"/>
          <w:sz w:val="24"/>
          <w:highlight w:val="none"/>
        </w:rPr>
        <w:t>2.4 招标范围：</w:t>
      </w:r>
      <w:r>
        <w:rPr>
          <w:rStyle w:val="8"/>
          <w:rFonts w:hint="eastAsia" w:ascii="宋体" w:hAnsi="宋体" w:cs="宋体"/>
          <w:color w:val="auto"/>
          <w:sz w:val="24"/>
          <w:highlight w:val="none"/>
          <w:lang w:eastAsia="zh-CN"/>
        </w:rPr>
        <w:t>本项目拟收购两个住宅项目用于保障性租赁住房，其中本标段为金沙滩澜湾小区（二期项目）共275套住房，面积共计16440.00平方米，对其进行装修改造，并配置家具家电。</w:t>
      </w:r>
    </w:p>
    <w:p w14:paraId="20AD2E5C">
      <w:pPr>
        <w:pStyle w:val="16"/>
        <w:numPr>
          <w:ilvl w:val="0"/>
          <w:numId w:val="3"/>
        </w:numPr>
        <w:spacing w:line="360" w:lineRule="auto"/>
        <w:rPr>
          <w:rStyle w:val="8"/>
          <w:rFonts w:hint="eastAsia" w:ascii="宋体" w:hAnsi="宋体" w:cs="宋体"/>
          <w:color w:val="auto"/>
          <w:sz w:val="24"/>
          <w:highlight w:val="none"/>
          <w:lang w:val="en-US" w:eastAsia="zh-CN"/>
        </w:rPr>
      </w:pPr>
      <w:r>
        <w:rPr>
          <w:rStyle w:val="8"/>
          <w:rFonts w:hint="eastAsia" w:ascii="宋体" w:hAnsi="宋体" w:cs="宋体"/>
          <w:color w:val="auto"/>
          <w:sz w:val="24"/>
          <w:highlight w:val="none"/>
        </w:rPr>
        <w:t>工期：</w:t>
      </w:r>
      <w:r>
        <w:rPr>
          <w:rStyle w:val="8"/>
          <w:rFonts w:hint="eastAsia" w:ascii="宋体" w:hAnsi="宋体" w:cs="宋体"/>
          <w:color w:val="auto"/>
          <w:sz w:val="24"/>
          <w:highlight w:val="none"/>
          <w:lang w:val="en-US" w:eastAsia="zh-CN"/>
        </w:rPr>
        <w:t>67日历天</w:t>
      </w:r>
    </w:p>
    <w:p w14:paraId="16E79148">
      <w:pPr>
        <w:pStyle w:val="16"/>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eastAsia="宋体" w:cs="宋体"/>
          <w:color w:val="auto"/>
          <w:sz w:val="24"/>
          <w:highlight w:val="none"/>
          <w:lang w:val="en-US" w:eastAsia="zh-CN"/>
        </w:rPr>
        <w:t>4、驻场要求：项目实施期间施工单位项目经理与项目班子成员应当按照合同约定驻场要求进行管理。</w:t>
      </w:r>
    </w:p>
    <w:p w14:paraId="79A8D171">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lang w:val="en-US" w:eastAsia="zh-CN"/>
        </w:rPr>
        <w:t>5</w:t>
      </w:r>
      <w:r>
        <w:rPr>
          <w:rStyle w:val="8"/>
          <w:rFonts w:hint="eastAsia" w:ascii="宋体" w:hAnsi="宋体" w:cs="宋体"/>
          <w:color w:val="auto"/>
          <w:sz w:val="24"/>
          <w:highlight w:val="none"/>
        </w:rPr>
        <w:t>、特别说明</w:t>
      </w:r>
    </w:p>
    <w:p w14:paraId="772DBE19">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本招标工程质量标准必须符合中华人民共和国国家标准，如果本招标文件中规定的执行 标准高于国家标准，则按本招标文件中规定的标准执行，如果低于国家标准，则按国家 标准执行。</w:t>
      </w:r>
    </w:p>
    <w:p w14:paraId="25E6F80B">
      <w:pPr>
        <w:spacing w:line="219" w:lineRule="auto"/>
        <w:rPr>
          <w:rFonts w:ascii="宋体" w:hAnsi="宋体" w:eastAsia="宋体" w:cs="宋体"/>
          <w:color w:val="auto"/>
          <w:sz w:val="21"/>
          <w:szCs w:val="21"/>
          <w:highlight w:val="none"/>
        </w:rPr>
        <w:sectPr>
          <w:headerReference r:id="rId207" w:type="default"/>
          <w:footerReference r:id="rId208" w:type="default"/>
          <w:pgSz w:w="11905" w:h="16839"/>
          <w:pgMar w:top="400" w:right="1785" w:bottom="1004" w:left="1785" w:header="0" w:footer="828" w:gutter="0"/>
          <w:pgNumType w:fmt="decimal"/>
          <w:cols w:space="720" w:num="1"/>
        </w:sectPr>
      </w:pPr>
    </w:p>
    <w:p w14:paraId="64F48A88">
      <w:pPr>
        <w:pStyle w:val="3"/>
        <w:spacing w:line="251" w:lineRule="auto"/>
        <w:rPr>
          <w:color w:val="auto"/>
          <w:highlight w:val="none"/>
        </w:rPr>
      </w:pPr>
    </w:p>
    <w:p w14:paraId="195E9839">
      <w:pPr>
        <w:pStyle w:val="3"/>
        <w:spacing w:line="251" w:lineRule="auto"/>
        <w:rPr>
          <w:color w:val="auto"/>
          <w:highlight w:val="none"/>
        </w:rPr>
      </w:pPr>
    </w:p>
    <w:p w14:paraId="21A3137A">
      <w:pPr>
        <w:pStyle w:val="3"/>
        <w:spacing w:line="251" w:lineRule="auto"/>
        <w:rPr>
          <w:color w:val="auto"/>
          <w:highlight w:val="none"/>
        </w:rPr>
      </w:pPr>
    </w:p>
    <w:p w14:paraId="583F7CE0">
      <w:pPr>
        <w:pStyle w:val="3"/>
        <w:spacing w:line="251" w:lineRule="auto"/>
        <w:rPr>
          <w:color w:val="auto"/>
          <w:highlight w:val="none"/>
        </w:rPr>
      </w:pPr>
    </w:p>
    <w:p w14:paraId="1C3698A9">
      <w:pPr>
        <w:pStyle w:val="3"/>
        <w:spacing w:line="252" w:lineRule="auto"/>
        <w:rPr>
          <w:color w:val="auto"/>
          <w:highlight w:val="none"/>
        </w:rPr>
      </w:pPr>
    </w:p>
    <w:p w14:paraId="4F7B39CF">
      <w:pPr>
        <w:pStyle w:val="3"/>
        <w:spacing w:line="252" w:lineRule="auto"/>
        <w:rPr>
          <w:color w:val="auto"/>
          <w:highlight w:val="none"/>
        </w:rPr>
      </w:pPr>
    </w:p>
    <w:p w14:paraId="2D292DFD">
      <w:pPr>
        <w:pStyle w:val="3"/>
        <w:spacing w:line="252" w:lineRule="auto"/>
        <w:rPr>
          <w:color w:val="auto"/>
          <w:highlight w:val="none"/>
        </w:rPr>
      </w:pPr>
    </w:p>
    <w:p w14:paraId="55949F42">
      <w:pPr>
        <w:pStyle w:val="3"/>
        <w:spacing w:line="252" w:lineRule="auto"/>
        <w:rPr>
          <w:color w:val="auto"/>
          <w:highlight w:val="none"/>
        </w:rPr>
      </w:pPr>
    </w:p>
    <w:p w14:paraId="50397B18">
      <w:pPr>
        <w:pStyle w:val="3"/>
        <w:spacing w:line="252" w:lineRule="auto"/>
        <w:rPr>
          <w:color w:val="auto"/>
          <w:highlight w:val="none"/>
        </w:rPr>
      </w:pPr>
    </w:p>
    <w:p w14:paraId="3CEFAE7E">
      <w:pPr>
        <w:pStyle w:val="3"/>
        <w:spacing w:line="252" w:lineRule="auto"/>
        <w:rPr>
          <w:color w:val="auto"/>
          <w:highlight w:val="none"/>
        </w:rPr>
      </w:pPr>
    </w:p>
    <w:p w14:paraId="2F8B31B3">
      <w:pPr>
        <w:pStyle w:val="3"/>
        <w:spacing w:line="252" w:lineRule="auto"/>
        <w:rPr>
          <w:color w:val="auto"/>
          <w:highlight w:val="none"/>
        </w:rPr>
      </w:pPr>
    </w:p>
    <w:p w14:paraId="2640A68B">
      <w:pPr>
        <w:pStyle w:val="3"/>
        <w:spacing w:line="252" w:lineRule="auto"/>
        <w:rPr>
          <w:color w:val="auto"/>
          <w:highlight w:val="none"/>
        </w:rPr>
      </w:pPr>
    </w:p>
    <w:p w14:paraId="783420D0">
      <w:pPr>
        <w:pStyle w:val="3"/>
        <w:spacing w:line="252" w:lineRule="auto"/>
        <w:rPr>
          <w:color w:val="auto"/>
          <w:highlight w:val="none"/>
        </w:rPr>
      </w:pPr>
    </w:p>
    <w:p w14:paraId="51714FF2">
      <w:pPr>
        <w:pStyle w:val="3"/>
        <w:spacing w:line="252" w:lineRule="auto"/>
        <w:rPr>
          <w:color w:val="auto"/>
          <w:highlight w:val="none"/>
        </w:rPr>
      </w:pPr>
    </w:p>
    <w:p w14:paraId="6534EC64">
      <w:pPr>
        <w:pStyle w:val="3"/>
        <w:spacing w:line="252" w:lineRule="auto"/>
        <w:rPr>
          <w:color w:val="auto"/>
          <w:highlight w:val="none"/>
        </w:rPr>
      </w:pPr>
    </w:p>
    <w:p w14:paraId="7B4D080F">
      <w:pPr>
        <w:pStyle w:val="3"/>
        <w:spacing w:line="252" w:lineRule="auto"/>
        <w:rPr>
          <w:color w:val="auto"/>
          <w:highlight w:val="none"/>
        </w:rPr>
      </w:pPr>
    </w:p>
    <w:p w14:paraId="067A4FFC">
      <w:pPr>
        <w:spacing w:before="156" w:line="219" w:lineRule="auto"/>
        <w:ind w:left="3467"/>
        <w:rPr>
          <w:rFonts w:ascii="黑体" w:hAnsi="黑体" w:eastAsia="黑体" w:cs="黑体"/>
          <w:color w:val="auto"/>
          <w:sz w:val="48"/>
          <w:szCs w:val="48"/>
          <w:highlight w:val="none"/>
        </w:rPr>
      </w:pPr>
      <w:bookmarkStart w:id="1319" w:name="bookmark292"/>
      <w:bookmarkEnd w:id="1319"/>
      <w:r>
        <w:rPr>
          <w:rFonts w:ascii="黑体" w:hAnsi="黑体" w:eastAsia="黑体" w:cs="黑体"/>
          <w:color w:val="auto"/>
          <w:spacing w:val="-5"/>
          <w:sz w:val="48"/>
          <w:szCs w:val="48"/>
          <w:highlight w:val="none"/>
        </w:rPr>
        <w:t>第四卷</w:t>
      </w:r>
    </w:p>
    <w:p w14:paraId="46C0C089">
      <w:pPr>
        <w:spacing w:line="219" w:lineRule="auto"/>
        <w:rPr>
          <w:rFonts w:ascii="黑体" w:hAnsi="黑体" w:eastAsia="黑体" w:cs="黑体"/>
          <w:color w:val="auto"/>
          <w:sz w:val="48"/>
          <w:szCs w:val="48"/>
          <w:highlight w:val="none"/>
        </w:rPr>
        <w:sectPr>
          <w:footerReference r:id="rId209" w:type="default"/>
          <w:pgSz w:w="11905" w:h="16839"/>
          <w:pgMar w:top="400" w:right="1785" w:bottom="1004" w:left="1785" w:header="0" w:footer="828" w:gutter="0"/>
          <w:pgNumType w:fmt="decimal"/>
          <w:cols w:space="720" w:num="1"/>
        </w:sectPr>
      </w:pPr>
    </w:p>
    <w:p w14:paraId="77DD51AD">
      <w:pPr>
        <w:pStyle w:val="3"/>
        <w:spacing w:line="242" w:lineRule="auto"/>
        <w:rPr>
          <w:color w:val="auto"/>
          <w:highlight w:val="none"/>
        </w:rPr>
      </w:pPr>
    </w:p>
    <w:p w14:paraId="781ADE41">
      <w:pPr>
        <w:pStyle w:val="3"/>
        <w:spacing w:line="242" w:lineRule="auto"/>
        <w:rPr>
          <w:color w:val="auto"/>
          <w:highlight w:val="none"/>
        </w:rPr>
      </w:pPr>
    </w:p>
    <w:p w14:paraId="33E6E11F">
      <w:pPr>
        <w:pStyle w:val="3"/>
        <w:spacing w:line="242" w:lineRule="auto"/>
        <w:rPr>
          <w:color w:val="auto"/>
          <w:highlight w:val="none"/>
        </w:rPr>
      </w:pPr>
    </w:p>
    <w:p w14:paraId="52FD24E8">
      <w:pPr>
        <w:pStyle w:val="3"/>
        <w:spacing w:line="242" w:lineRule="auto"/>
        <w:rPr>
          <w:color w:val="auto"/>
          <w:highlight w:val="none"/>
        </w:rPr>
      </w:pPr>
    </w:p>
    <w:p w14:paraId="1CC09C91">
      <w:pPr>
        <w:pStyle w:val="3"/>
        <w:spacing w:line="242" w:lineRule="auto"/>
        <w:rPr>
          <w:color w:val="auto"/>
          <w:highlight w:val="none"/>
        </w:rPr>
      </w:pPr>
    </w:p>
    <w:p w14:paraId="395921B4">
      <w:pPr>
        <w:pStyle w:val="3"/>
        <w:spacing w:line="242" w:lineRule="auto"/>
        <w:rPr>
          <w:color w:val="auto"/>
          <w:highlight w:val="none"/>
        </w:rPr>
      </w:pPr>
    </w:p>
    <w:p w14:paraId="751D6AC4">
      <w:pPr>
        <w:pStyle w:val="3"/>
        <w:spacing w:line="243" w:lineRule="auto"/>
        <w:rPr>
          <w:color w:val="auto"/>
          <w:highlight w:val="none"/>
        </w:rPr>
      </w:pPr>
    </w:p>
    <w:p w14:paraId="77C5DDF7">
      <w:pPr>
        <w:pStyle w:val="3"/>
        <w:spacing w:line="243" w:lineRule="auto"/>
        <w:rPr>
          <w:color w:val="auto"/>
          <w:highlight w:val="none"/>
        </w:rPr>
      </w:pPr>
    </w:p>
    <w:p w14:paraId="51A9DBEC">
      <w:pPr>
        <w:pStyle w:val="3"/>
        <w:spacing w:line="243" w:lineRule="auto"/>
        <w:rPr>
          <w:color w:val="auto"/>
          <w:highlight w:val="none"/>
        </w:rPr>
      </w:pPr>
    </w:p>
    <w:p w14:paraId="5AD3BD60">
      <w:pPr>
        <w:pStyle w:val="3"/>
        <w:spacing w:line="243" w:lineRule="auto"/>
        <w:rPr>
          <w:color w:val="auto"/>
          <w:highlight w:val="none"/>
        </w:rPr>
      </w:pPr>
    </w:p>
    <w:p w14:paraId="7F27406C">
      <w:pPr>
        <w:pStyle w:val="3"/>
        <w:spacing w:line="243" w:lineRule="auto"/>
        <w:rPr>
          <w:color w:val="auto"/>
          <w:highlight w:val="none"/>
        </w:rPr>
      </w:pPr>
    </w:p>
    <w:p w14:paraId="3C1974A0">
      <w:pPr>
        <w:pStyle w:val="3"/>
        <w:spacing w:line="243" w:lineRule="auto"/>
        <w:rPr>
          <w:color w:val="auto"/>
          <w:highlight w:val="none"/>
        </w:rPr>
      </w:pPr>
    </w:p>
    <w:p w14:paraId="46B0CD95">
      <w:pPr>
        <w:pStyle w:val="3"/>
        <w:spacing w:line="243" w:lineRule="auto"/>
        <w:rPr>
          <w:color w:val="auto"/>
          <w:highlight w:val="none"/>
        </w:rPr>
      </w:pPr>
    </w:p>
    <w:p w14:paraId="3A21DE8E">
      <w:pPr>
        <w:pStyle w:val="3"/>
        <w:spacing w:line="243" w:lineRule="auto"/>
        <w:rPr>
          <w:color w:val="auto"/>
          <w:highlight w:val="none"/>
        </w:rPr>
      </w:pPr>
    </w:p>
    <w:p w14:paraId="26D9BF2E">
      <w:pPr>
        <w:pStyle w:val="3"/>
        <w:spacing w:line="243" w:lineRule="auto"/>
        <w:rPr>
          <w:color w:val="auto"/>
          <w:highlight w:val="none"/>
        </w:rPr>
      </w:pPr>
    </w:p>
    <w:p w14:paraId="7B82339B">
      <w:pPr>
        <w:pStyle w:val="3"/>
        <w:spacing w:line="243" w:lineRule="auto"/>
        <w:rPr>
          <w:color w:val="auto"/>
          <w:highlight w:val="none"/>
        </w:rPr>
      </w:pPr>
    </w:p>
    <w:p w14:paraId="404DA795">
      <w:pPr>
        <w:pStyle w:val="3"/>
        <w:spacing w:line="243" w:lineRule="auto"/>
        <w:rPr>
          <w:color w:val="auto"/>
          <w:highlight w:val="none"/>
        </w:rPr>
      </w:pPr>
    </w:p>
    <w:p w14:paraId="030745D3">
      <w:pPr>
        <w:pStyle w:val="3"/>
        <w:spacing w:line="243" w:lineRule="auto"/>
        <w:rPr>
          <w:color w:val="auto"/>
          <w:highlight w:val="none"/>
        </w:rPr>
      </w:pPr>
    </w:p>
    <w:p w14:paraId="4BBAAE8B">
      <w:pPr>
        <w:pStyle w:val="3"/>
        <w:spacing w:line="243" w:lineRule="auto"/>
        <w:rPr>
          <w:color w:val="auto"/>
          <w:highlight w:val="none"/>
        </w:rPr>
      </w:pPr>
    </w:p>
    <w:p w14:paraId="130F1605">
      <w:pPr>
        <w:pStyle w:val="3"/>
        <w:spacing w:line="243" w:lineRule="auto"/>
        <w:rPr>
          <w:color w:val="auto"/>
          <w:highlight w:val="none"/>
        </w:rPr>
      </w:pPr>
    </w:p>
    <w:p w14:paraId="2DD34378">
      <w:pPr>
        <w:spacing w:before="104" w:line="220" w:lineRule="auto"/>
        <w:ind w:left="2577"/>
        <w:outlineLvl w:val="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第八章  投标文件格式</w:t>
      </w:r>
    </w:p>
    <w:p w14:paraId="74D222E4">
      <w:pPr>
        <w:spacing w:line="220" w:lineRule="auto"/>
        <w:rPr>
          <w:rFonts w:ascii="黑体" w:hAnsi="黑体" w:eastAsia="黑体" w:cs="黑体"/>
          <w:color w:val="auto"/>
          <w:sz w:val="32"/>
          <w:szCs w:val="32"/>
          <w:highlight w:val="none"/>
        </w:rPr>
        <w:sectPr>
          <w:footerReference r:id="rId210" w:type="default"/>
          <w:pgSz w:w="11905" w:h="16839"/>
          <w:pgMar w:top="400" w:right="1785" w:bottom="1004" w:left="1785" w:header="0" w:footer="828" w:gutter="0"/>
          <w:pgNumType w:fmt="decimal"/>
          <w:cols w:space="720" w:num="1"/>
        </w:sectPr>
      </w:pPr>
    </w:p>
    <w:p w14:paraId="207BDD60">
      <w:pPr>
        <w:pStyle w:val="3"/>
        <w:spacing w:line="263" w:lineRule="auto"/>
        <w:rPr>
          <w:color w:val="auto"/>
          <w:highlight w:val="none"/>
        </w:rPr>
      </w:pPr>
    </w:p>
    <w:p w14:paraId="50834384">
      <w:pPr>
        <w:pStyle w:val="3"/>
        <w:spacing w:line="263" w:lineRule="auto"/>
        <w:rPr>
          <w:color w:val="auto"/>
          <w:highlight w:val="none"/>
        </w:rPr>
      </w:pPr>
    </w:p>
    <w:p w14:paraId="499379CF">
      <w:pPr>
        <w:pStyle w:val="3"/>
        <w:spacing w:line="263" w:lineRule="auto"/>
        <w:rPr>
          <w:color w:val="auto"/>
          <w:highlight w:val="none"/>
        </w:rPr>
      </w:pPr>
    </w:p>
    <w:p w14:paraId="594E63E6">
      <w:pPr>
        <w:pStyle w:val="3"/>
        <w:spacing w:line="263" w:lineRule="auto"/>
        <w:rPr>
          <w:color w:val="auto"/>
          <w:highlight w:val="none"/>
        </w:rPr>
      </w:pPr>
    </w:p>
    <w:p w14:paraId="3612707F">
      <w:pPr>
        <w:pStyle w:val="3"/>
        <w:spacing w:line="264" w:lineRule="auto"/>
        <w:rPr>
          <w:color w:val="auto"/>
          <w:highlight w:val="none"/>
        </w:rPr>
      </w:pPr>
    </w:p>
    <w:p w14:paraId="6E02A3FF">
      <w:pPr>
        <w:pStyle w:val="3"/>
        <w:spacing w:line="264" w:lineRule="auto"/>
        <w:rPr>
          <w:color w:val="auto"/>
          <w:highlight w:val="none"/>
        </w:rPr>
      </w:pPr>
    </w:p>
    <w:p w14:paraId="7472F480">
      <w:pPr>
        <w:pStyle w:val="3"/>
        <w:spacing w:line="264" w:lineRule="auto"/>
        <w:rPr>
          <w:color w:val="auto"/>
          <w:highlight w:val="none"/>
        </w:rPr>
      </w:pPr>
    </w:p>
    <w:p w14:paraId="7A418264">
      <w:pPr>
        <w:pStyle w:val="3"/>
        <w:spacing w:line="264" w:lineRule="auto"/>
        <w:rPr>
          <w:color w:val="auto"/>
          <w:highlight w:val="none"/>
        </w:rPr>
      </w:pPr>
    </w:p>
    <w:p w14:paraId="79EE44FF">
      <w:pPr>
        <w:pStyle w:val="3"/>
        <w:spacing w:line="264" w:lineRule="auto"/>
        <w:rPr>
          <w:color w:val="auto"/>
          <w:highlight w:val="none"/>
        </w:rPr>
      </w:pPr>
    </w:p>
    <w:p w14:paraId="6AB0AEA7">
      <w:pPr>
        <w:pStyle w:val="3"/>
        <w:spacing w:line="264" w:lineRule="auto"/>
        <w:rPr>
          <w:color w:val="auto"/>
          <w:highlight w:val="none"/>
        </w:rPr>
      </w:pPr>
    </w:p>
    <w:p w14:paraId="61067250">
      <w:pPr>
        <w:tabs>
          <w:tab w:val="left" w:pos="4033"/>
        </w:tabs>
        <w:spacing w:before="88" w:line="225" w:lineRule="auto"/>
        <w:ind w:left="1494"/>
        <w:rPr>
          <w:rFonts w:ascii="黑体" w:hAnsi="黑体" w:eastAsia="黑体" w:cs="黑体"/>
          <w:color w:val="auto"/>
          <w:sz w:val="27"/>
          <w:szCs w:val="27"/>
          <w:highlight w:val="none"/>
        </w:rPr>
      </w:pPr>
      <w:r>
        <w:rPr>
          <w:rFonts w:ascii="宋体" w:hAnsi="宋体" w:eastAsia="宋体" w:cs="宋体"/>
          <w:color w:val="auto"/>
          <w:sz w:val="27"/>
          <w:szCs w:val="27"/>
          <w:highlight w:val="none"/>
          <w:u w:val="single" w:color="auto"/>
        </w:rPr>
        <w:tab/>
      </w:r>
      <w:r>
        <w:rPr>
          <w:rFonts w:ascii="宋体" w:hAnsi="宋体" w:eastAsia="宋体" w:cs="宋体"/>
          <w:color w:val="auto"/>
          <w:spacing w:val="25"/>
          <w:sz w:val="27"/>
          <w:szCs w:val="27"/>
          <w:highlight w:val="none"/>
        </w:rPr>
        <w:t xml:space="preserve"> </w:t>
      </w:r>
      <w:r>
        <w:rPr>
          <w:rFonts w:ascii="宋体" w:hAnsi="宋体" w:eastAsia="宋体" w:cs="宋体"/>
          <w:color w:val="auto"/>
          <w:spacing w:val="-18"/>
          <w:sz w:val="27"/>
          <w:szCs w:val="27"/>
          <w:highlight w:val="none"/>
        </w:rPr>
        <w:t xml:space="preserve">（标段名称） </w:t>
      </w:r>
      <w:r>
        <w:rPr>
          <w:rFonts w:ascii="黑体" w:hAnsi="黑体" w:eastAsia="黑体" w:cs="黑体"/>
          <w:color w:val="auto"/>
          <w:spacing w:val="-18"/>
          <w:sz w:val="27"/>
          <w:szCs w:val="27"/>
          <w:highlight w:val="none"/>
        </w:rPr>
        <w:t>项目招标</w:t>
      </w:r>
    </w:p>
    <w:p w14:paraId="6B70ABFB">
      <w:pPr>
        <w:pStyle w:val="3"/>
        <w:spacing w:line="289" w:lineRule="auto"/>
        <w:rPr>
          <w:color w:val="auto"/>
          <w:highlight w:val="none"/>
        </w:rPr>
      </w:pPr>
    </w:p>
    <w:p w14:paraId="6A5A67AD">
      <w:pPr>
        <w:pStyle w:val="3"/>
        <w:spacing w:line="289" w:lineRule="auto"/>
        <w:rPr>
          <w:color w:val="auto"/>
          <w:highlight w:val="none"/>
        </w:rPr>
      </w:pPr>
    </w:p>
    <w:p w14:paraId="3C66A909">
      <w:pPr>
        <w:pStyle w:val="3"/>
        <w:spacing w:line="290" w:lineRule="auto"/>
        <w:rPr>
          <w:color w:val="auto"/>
          <w:highlight w:val="none"/>
        </w:rPr>
      </w:pPr>
    </w:p>
    <w:p w14:paraId="1DA0EB49">
      <w:pPr>
        <w:spacing w:before="166" w:line="222" w:lineRule="auto"/>
        <w:ind w:left="2364"/>
        <w:rPr>
          <w:rFonts w:ascii="黑体" w:hAnsi="黑体" w:eastAsia="黑体" w:cs="黑体"/>
          <w:color w:val="auto"/>
          <w:sz w:val="51"/>
          <w:szCs w:val="51"/>
          <w:highlight w:val="none"/>
        </w:rPr>
      </w:pPr>
      <w:bookmarkStart w:id="1320" w:name="bookmark293"/>
      <w:bookmarkEnd w:id="1320"/>
      <w:r>
        <w:rPr>
          <w:rFonts w:ascii="黑体" w:hAnsi="黑体" w:eastAsia="黑体" w:cs="黑体"/>
          <w:color w:val="auto"/>
          <w:spacing w:val="-7"/>
          <w:sz w:val="51"/>
          <w:szCs w:val="51"/>
          <w:highlight w:val="none"/>
        </w:rPr>
        <w:t>投</w:t>
      </w:r>
      <w:r>
        <w:rPr>
          <w:rFonts w:ascii="黑体" w:hAnsi="黑体" w:eastAsia="黑体" w:cs="黑体"/>
          <w:color w:val="auto"/>
          <w:spacing w:val="9"/>
          <w:sz w:val="51"/>
          <w:szCs w:val="51"/>
          <w:highlight w:val="none"/>
        </w:rPr>
        <w:t xml:space="preserve">  </w:t>
      </w:r>
      <w:r>
        <w:rPr>
          <w:rFonts w:ascii="黑体" w:hAnsi="黑体" w:eastAsia="黑体" w:cs="黑体"/>
          <w:color w:val="auto"/>
          <w:spacing w:val="-7"/>
          <w:sz w:val="51"/>
          <w:szCs w:val="51"/>
          <w:highlight w:val="none"/>
        </w:rPr>
        <w:t>标</w:t>
      </w:r>
      <w:r>
        <w:rPr>
          <w:rFonts w:ascii="黑体" w:hAnsi="黑体" w:eastAsia="黑体" w:cs="黑体"/>
          <w:color w:val="auto"/>
          <w:spacing w:val="20"/>
          <w:sz w:val="51"/>
          <w:szCs w:val="51"/>
          <w:highlight w:val="none"/>
        </w:rPr>
        <w:t xml:space="preserve">  </w:t>
      </w:r>
      <w:r>
        <w:rPr>
          <w:rFonts w:ascii="黑体" w:hAnsi="黑体" w:eastAsia="黑体" w:cs="黑体"/>
          <w:color w:val="auto"/>
          <w:spacing w:val="-7"/>
          <w:sz w:val="51"/>
          <w:szCs w:val="51"/>
          <w:highlight w:val="none"/>
        </w:rPr>
        <w:t>文</w:t>
      </w:r>
      <w:r>
        <w:rPr>
          <w:rFonts w:ascii="黑体" w:hAnsi="黑体" w:eastAsia="黑体" w:cs="黑体"/>
          <w:color w:val="auto"/>
          <w:spacing w:val="12"/>
          <w:sz w:val="51"/>
          <w:szCs w:val="51"/>
          <w:highlight w:val="none"/>
        </w:rPr>
        <w:t xml:space="preserve">  </w:t>
      </w:r>
      <w:r>
        <w:rPr>
          <w:rFonts w:ascii="黑体" w:hAnsi="黑体" w:eastAsia="黑体" w:cs="黑体"/>
          <w:color w:val="auto"/>
          <w:spacing w:val="-7"/>
          <w:sz w:val="51"/>
          <w:szCs w:val="51"/>
          <w:highlight w:val="none"/>
        </w:rPr>
        <w:t>件</w:t>
      </w:r>
    </w:p>
    <w:p w14:paraId="019C0944">
      <w:pPr>
        <w:pStyle w:val="3"/>
        <w:spacing w:line="254" w:lineRule="auto"/>
        <w:rPr>
          <w:color w:val="auto"/>
          <w:highlight w:val="none"/>
        </w:rPr>
      </w:pPr>
    </w:p>
    <w:p w14:paraId="1E1686D1">
      <w:pPr>
        <w:pStyle w:val="3"/>
        <w:spacing w:line="255" w:lineRule="auto"/>
        <w:rPr>
          <w:color w:val="auto"/>
          <w:highlight w:val="none"/>
        </w:rPr>
      </w:pPr>
    </w:p>
    <w:p w14:paraId="39C523E2">
      <w:pPr>
        <w:pStyle w:val="3"/>
        <w:spacing w:line="255" w:lineRule="auto"/>
        <w:rPr>
          <w:color w:val="auto"/>
          <w:highlight w:val="none"/>
        </w:rPr>
      </w:pPr>
    </w:p>
    <w:p w14:paraId="1F6B4D1E">
      <w:pPr>
        <w:spacing w:before="88" w:line="236" w:lineRule="auto"/>
        <w:ind w:left="1512" w:right="1508"/>
        <w:rPr>
          <w:rFonts w:ascii="楷体" w:hAnsi="楷体" w:eastAsia="楷体" w:cs="楷体"/>
          <w:color w:val="auto"/>
          <w:sz w:val="27"/>
          <w:szCs w:val="27"/>
          <w:highlight w:val="none"/>
        </w:rPr>
      </w:pPr>
      <w:r>
        <w:rPr>
          <w:rFonts w:ascii="楷体" w:hAnsi="楷体" w:eastAsia="楷体" w:cs="楷体"/>
          <w:color w:val="auto"/>
          <w:spacing w:val="-5"/>
          <w:sz w:val="27"/>
          <w:szCs w:val="27"/>
          <w:highlight w:val="none"/>
        </w:rPr>
        <w:t>（标段唯一标识码</w:t>
      </w:r>
      <w:r>
        <w:rPr>
          <w:rFonts w:ascii="楷体" w:hAnsi="楷体" w:eastAsia="楷体" w:cs="楷体"/>
          <w:color w:val="auto"/>
          <w:spacing w:val="-20"/>
          <w:sz w:val="27"/>
          <w:szCs w:val="27"/>
          <w:highlight w:val="none"/>
        </w:rPr>
        <w:t>：</w:t>
      </w:r>
      <w:r>
        <w:rPr>
          <w:rFonts w:ascii="楷体" w:hAnsi="楷体" w:eastAsia="楷体" w:cs="楷体"/>
          <w:color w:val="auto"/>
          <w:spacing w:val="-16"/>
          <w:sz w:val="27"/>
          <w:szCs w:val="27"/>
          <w:highlight w:val="none"/>
        </w:rPr>
        <w:t xml:space="preserve"> </w:t>
      </w:r>
      <w:r>
        <w:rPr>
          <w:rFonts w:ascii="楷体" w:hAnsi="楷体" w:eastAsia="楷体" w:cs="楷体"/>
          <w:color w:val="auto"/>
          <w:spacing w:val="5"/>
          <w:sz w:val="27"/>
          <w:szCs w:val="27"/>
          <w:highlight w:val="none"/>
          <w:u w:val="single" w:color="auto"/>
        </w:rPr>
        <w:t xml:space="preserve">                  </w:t>
      </w:r>
      <w:r>
        <w:rPr>
          <w:rFonts w:ascii="楷体" w:hAnsi="楷体" w:eastAsia="楷体" w:cs="楷体"/>
          <w:color w:val="auto"/>
          <w:spacing w:val="-83"/>
          <w:sz w:val="27"/>
          <w:szCs w:val="27"/>
          <w:highlight w:val="none"/>
        </w:rPr>
        <w:t xml:space="preserve"> </w:t>
      </w:r>
      <w:r>
        <w:rPr>
          <w:rFonts w:ascii="楷体" w:hAnsi="楷体" w:eastAsia="楷体" w:cs="楷体"/>
          <w:color w:val="auto"/>
          <w:spacing w:val="-20"/>
          <w:sz w:val="27"/>
          <w:szCs w:val="27"/>
          <w:highlight w:val="none"/>
        </w:rPr>
        <w:t>）</w:t>
      </w:r>
      <w:r>
        <w:rPr>
          <w:rFonts w:ascii="楷体" w:hAnsi="楷体" w:eastAsia="楷体" w:cs="楷体"/>
          <w:color w:val="auto"/>
          <w:sz w:val="27"/>
          <w:szCs w:val="27"/>
          <w:highlight w:val="none"/>
        </w:rPr>
        <w:t xml:space="preserve"> </w:t>
      </w:r>
      <w:r>
        <w:rPr>
          <w:rFonts w:ascii="楷体" w:hAnsi="楷体" w:eastAsia="楷体" w:cs="楷体"/>
          <w:color w:val="auto"/>
          <w:spacing w:val="-16"/>
          <w:sz w:val="27"/>
          <w:szCs w:val="27"/>
          <w:highlight w:val="none"/>
        </w:rPr>
        <w:t>（标段编号</w:t>
      </w:r>
      <w:r>
        <w:rPr>
          <w:rFonts w:ascii="楷体" w:hAnsi="楷体" w:eastAsia="楷体" w:cs="楷体"/>
          <w:color w:val="auto"/>
          <w:spacing w:val="-21"/>
          <w:sz w:val="27"/>
          <w:szCs w:val="27"/>
          <w:highlight w:val="none"/>
        </w:rPr>
        <w:t>：</w:t>
      </w:r>
      <w:r>
        <w:rPr>
          <w:rFonts w:ascii="楷体" w:hAnsi="楷体" w:eastAsia="楷体" w:cs="楷体"/>
          <w:color w:val="auto"/>
          <w:spacing w:val="-4"/>
          <w:sz w:val="27"/>
          <w:szCs w:val="27"/>
          <w:highlight w:val="none"/>
        </w:rPr>
        <w:t xml:space="preserve"> </w:t>
      </w:r>
      <w:r>
        <w:rPr>
          <w:rFonts w:ascii="楷体" w:hAnsi="楷体" w:eastAsia="楷体" w:cs="楷体"/>
          <w:color w:val="auto"/>
          <w:spacing w:val="5"/>
          <w:sz w:val="27"/>
          <w:szCs w:val="27"/>
          <w:highlight w:val="none"/>
          <w:u w:val="single" w:color="auto"/>
        </w:rPr>
        <w:t xml:space="preserve">                        </w:t>
      </w:r>
      <w:r>
        <w:rPr>
          <w:rFonts w:ascii="楷体" w:hAnsi="楷体" w:eastAsia="楷体" w:cs="楷体"/>
          <w:color w:val="auto"/>
          <w:spacing w:val="-84"/>
          <w:sz w:val="27"/>
          <w:szCs w:val="27"/>
          <w:highlight w:val="none"/>
        </w:rPr>
        <w:t xml:space="preserve"> </w:t>
      </w:r>
      <w:r>
        <w:rPr>
          <w:rFonts w:ascii="楷体" w:hAnsi="楷体" w:eastAsia="楷体" w:cs="楷体"/>
          <w:color w:val="auto"/>
          <w:spacing w:val="-21"/>
          <w:sz w:val="27"/>
          <w:szCs w:val="27"/>
          <w:highlight w:val="none"/>
        </w:rPr>
        <w:t>）</w:t>
      </w:r>
    </w:p>
    <w:p w14:paraId="46593C95">
      <w:pPr>
        <w:pStyle w:val="3"/>
        <w:spacing w:line="244" w:lineRule="auto"/>
        <w:rPr>
          <w:color w:val="auto"/>
          <w:highlight w:val="none"/>
        </w:rPr>
      </w:pPr>
    </w:p>
    <w:p w14:paraId="12828DA0">
      <w:pPr>
        <w:pStyle w:val="3"/>
        <w:spacing w:line="244" w:lineRule="auto"/>
        <w:rPr>
          <w:color w:val="auto"/>
          <w:highlight w:val="none"/>
        </w:rPr>
      </w:pPr>
    </w:p>
    <w:p w14:paraId="3F81D7C6">
      <w:pPr>
        <w:pStyle w:val="3"/>
        <w:spacing w:line="245" w:lineRule="auto"/>
        <w:rPr>
          <w:color w:val="auto"/>
          <w:highlight w:val="none"/>
        </w:rPr>
      </w:pPr>
    </w:p>
    <w:p w14:paraId="0C891554">
      <w:pPr>
        <w:pStyle w:val="3"/>
        <w:spacing w:line="245" w:lineRule="auto"/>
        <w:rPr>
          <w:color w:val="auto"/>
          <w:highlight w:val="none"/>
        </w:rPr>
      </w:pPr>
    </w:p>
    <w:p w14:paraId="1A16BB42">
      <w:pPr>
        <w:pStyle w:val="3"/>
        <w:spacing w:line="245" w:lineRule="auto"/>
        <w:rPr>
          <w:color w:val="auto"/>
          <w:highlight w:val="none"/>
        </w:rPr>
      </w:pPr>
    </w:p>
    <w:p w14:paraId="18F92AE1">
      <w:pPr>
        <w:pStyle w:val="3"/>
        <w:spacing w:line="245" w:lineRule="auto"/>
        <w:rPr>
          <w:color w:val="auto"/>
          <w:highlight w:val="none"/>
        </w:rPr>
      </w:pPr>
    </w:p>
    <w:p w14:paraId="6A1E5EFF">
      <w:pPr>
        <w:pStyle w:val="3"/>
        <w:spacing w:line="245" w:lineRule="auto"/>
        <w:rPr>
          <w:color w:val="auto"/>
          <w:highlight w:val="none"/>
        </w:rPr>
      </w:pPr>
    </w:p>
    <w:p w14:paraId="5B92EC45">
      <w:pPr>
        <w:pStyle w:val="3"/>
        <w:spacing w:line="245" w:lineRule="auto"/>
        <w:rPr>
          <w:color w:val="auto"/>
          <w:highlight w:val="none"/>
        </w:rPr>
      </w:pPr>
    </w:p>
    <w:p w14:paraId="436C108B">
      <w:pPr>
        <w:pStyle w:val="3"/>
        <w:spacing w:line="245" w:lineRule="auto"/>
        <w:rPr>
          <w:color w:val="auto"/>
          <w:highlight w:val="none"/>
        </w:rPr>
      </w:pPr>
    </w:p>
    <w:p w14:paraId="3A4BBEAE">
      <w:pPr>
        <w:pStyle w:val="3"/>
        <w:spacing w:line="245" w:lineRule="auto"/>
        <w:rPr>
          <w:color w:val="auto"/>
          <w:highlight w:val="none"/>
        </w:rPr>
      </w:pPr>
    </w:p>
    <w:p w14:paraId="6A349EFC">
      <w:pPr>
        <w:pStyle w:val="3"/>
        <w:spacing w:line="245" w:lineRule="auto"/>
        <w:rPr>
          <w:color w:val="auto"/>
          <w:highlight w:val="none"/>
        </w:rPr>
      </w:pPr>
    </w:p>
    <w:p w14:paraId="2DEE374A">
      <w:pPr>
        <w:pStyle w:val="3"/>
        <w:spacing w:line="245" w:lineRule="auto"/>
        <w:rPr>
          <w:color w:val="auto"/>
          <w:highlight w:val="none"/>
        </w:rPr>
      </w:pPr>
    </w:p>
    <w:p w14:paraId="6D7CC2EC">
      <w:pPr>
        <w:pStyle w:val="3"/>
        <w:spacing w:line="245" w:lineRule="auto"/>
        <w:rPr>
          <w:color w:val="auto"/>
          <w:highlight w:val="none"/>
        </w:rPr>
      </w:pPr>
    </w:p>
    <w:p w14:paraId="53ABD489">
      <w:pPr>
        <w:pStyle w:val="3"/>
        <w:spacing w:line="245" w:lineRule="auto"/>
        <w:rPr>
          <w:color w:val="auto"/>
          <w:highlight w:val="none"/>
        </w:rPr>
      </w:pPr>
    </w:p>
    <w:p w14:paraId="1DD020AA">
      <w:pPr>
        <w:pStyle w:val="3"/>
        <w:spacing w:line="245" w:lineRule="auto"/>
        <w:rPr>
          <w:color w:val="auto"/>
          <w:highlight w:val="none"/>
        </w:rPr>
      </w:pPr>
    </w:p>
    <w:p w14:paraId="00E25DCD">
      <w:pPr>
        <w:pStyle w:val="3"/>
        <w:spacing w:line="245" w:lineRule="auto"/>
        <w:rPr>
          <w:color w:val="auto"/>
          <w:highlight w:val="none"/>
        </w:rPr>
      </w:pPr>
    </w:p>
    <w:p w14:paraId="6C07F46D">
      <w:pPr>
        <w:pStyle w:val="3"/>
        <w:spacing w:line="245" w:lineRule="auto"/>
        <w:rPr>
          <w:color w:val="auto"/>
          <w:highlight w:val="none"/>
        </w:rPr>
      </w:pPr>
    </w:p>
    <w:p w14:paraId="3A0D7F07">
      <w:pPr>
        <w:pStyle w:val="3"/>
        <w:spacing w:line="245" w:lineRule="auto"/>
        <w:rPr>
          <w:color w:val="auto"/>
          <w:highlight w:val="none"/>
        </w:rPr>
      </w:pPr>
    </w:p>
    <w:p w14:paraId="2BFE2799">
      <w:pPr>
        <w:pStyle w:val="3"/>
        <w:spacing w:line="245" w:lineRule="auto"/>
        <w:rPr>
          <w:color w:val="auto"/>
          <w:highlight w:val="none"/>
        </w:rPr>
      </w:pPr>
    </w:p>
    <w:p w14:paraId="3A11C358">
      <w:pPr>
        <w:pStyle w:val="3"/>
        <w:spacing w:line="245" w:lineRule="auto"/>
        <w:rPr>
          <w:color w:val="auto"/>
          <w:highlight w:val="none"/>
        </w:rPr>
      </w:pPr>
    </w:p>
    <w:p w14:paraId="5FF25F30">
      <w:pPr>
        <w:spacing w:before="88" w:line="225" w:lineRule="auto"/>
        <w:ind w:left="883"/>
        <w:rPr>
          <w:rFonts w:ascii="黑体" w:hAnsi="黑体" w:eastAsia="黑体" w:cs="黑体"/>
          <w:color w:val="auto"/>
          <w:sz w:val="27"/>
          <w:szCs w:val="27"/>
          <w:highlight w:val="none"/>
        </w:rPr>
      </w:pPr>
      <w:r>
        <w:rPr>
          <w:rFonts w:ascii="黑体" w:hAnsi="黑体" w:eastAsia="黑体" w:cs="黑体"/>
          <w:color w:val="auto"/>
          <w:spacing w:val="-24"/>
          <w:w w:val="98"/>
          <w:sz w:val="27"/>
          <w:szCs w:val="27"/>
          <w:highlight w:val="none"/>
        </w:rPr>
        <w:t>投标人</w:t>
      </w:r>
      <w:r>
        <w:rPr>
          <w:rFonts w:ascii="黑体" w:hAnsi="黑体" w:eastAsia="黑体" w:cs="黑体"/>
          <w:color w:val="auto"/>
          <w:spacing w:val="-19"/>
          <w:sz w:val="27"/>
          <w:szCs w:val="27"/>
          <w:highlight w:val="none"/>
        </w:rPr>
        <w:t>：</w:t>
      </w:r>
      <w:r>
        <w:rPr>
          <w:rFonts w:ascii="黑体" w:hAnsi="黑体" w:eastAsia="黑体" w:cs="黑体"/>
          <w:color w:val="auto"/>
          <w:spacing w:val="16"/>
          <w:sz w:val="27"/>
          <w:szCs w:val="27"/>
          <w:highlight w:val="none"/>
        </w:rPr>
        <w:t xml:space="preserve"> </w:t>
      </w:r>
      <w:r>
        <w:rPr>
          <w:rFonts w:ascii="黑体" w:hAnsi="黑体" w:eastAsia="黑体" w:cs="黑体"/>
          <w:color w:val="auto"/>
          <w:sz w:val="27"/>
          <w:szCs w:val="27"/>
          <w:highlight w:val="none"/>
          <w:u w:val="single" w:color="auto"/>
        </w:rPr>
        <w:t xml:space="preserve">                            </w:t>
      </w:r>
      <w:r>
        <w:rPr>
          <w:rFonts w:ascii="黑体" w:hAnsi="黑体" w:eastAsia="黑体" w:cs="黑体"/>
          <w:color w:val="auto"/>
          <w:spacing w:val="42"/>
          <w:sz w:val="27"/>
          <w:szCs w:val="27"/>
          <w:highlight w:val="none"/>
        </w:rPr>
        <w:t xml:space="preserve"> </w:t>
      </w:r>
      <w:r>
        <w:rPr>
          <w:rFonts w:ascii="黑体" w:hAnsi="黑体" w:eastAsia="黑体" w:cs="黑体"/>
          <w:color w:val="auto"/>
          <w:spacing w:val="-19"/>
          <w:sz w:val="27"/>
          <w:szCs w:val="27"/>
          <w:highlight w:val="none"/>
        </w:rPr>
        <w:t>（</w:t>
      </w:r>
      <w:r>
        <w:rPr>
          <w:rFonts w:ascii="黑体" w:hAnsi="黑体" w:eastAsia="黑体" w:cs="黑体"/>
          <w:color w:val="auto"/>
          <w:spacing w:val="-24"/>
          <w:w w:val="98"/>
          <w:sz w:val="27"/>
          <w:szCs w:val="27"/>
          <w:highlight w:val="none"/>
        </w:rPr>
        <w:t>盖单位章）</w:t>
      </w:r>
    </w:p>
    <w:p w14:paraId="5977D176">
      <w:pPr>
        <w:spacing w:before="213" w:line="225" w:lineRule="auto"/>
        <w:ind w:left="887"/>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法定代表人或授权委托人</w:t>
      </w:r>
      <w:r>
        <w:rPr>
          <w:rFonts w:ascii="黑体" w:hAnsi="黑体" w:eastAsia="黑体" w:cs="黑体"/>
          <w:color w:val="auto"/>
          <w:spacing w:val="5"/>
          <w:sz w:val="27"/>
          <w:szCs w:val="27"/>
          <w:highlight w:val="none"/>
        </w:rPr>
        <w:t>：</w:t>
      </w:r>
      <w:r>
        <w:rPr>
          <w:rFonts w:ascii="黑体" w:hAnsi="黑体" w:eastAsia="黑体" w:cs="黑体"/>
          <w:color w:val="auto"/>
          <w:spacing w:val="-26"/>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44"/>
          <w:sz w:val="27"/>
          <w:szCs w:val="27"/>
          <w:highlight w:val="none"/>
        </w:rPr>
        <w:t xml:space="preserve"> </w:t>
      </w:r>
      <w:r>
        <w:rPr>
          <w:rFonts w:ascii="黑体" w:hAnsi="黑体" w:eastAsia="黑体" w:cs="黑体"/>
          <w:color w:val="auto"/>
          <w:spacing w:val="5"/>
          <w:sz w:val="27"/>
          <w:szCs w:val="27"/>
          <w:highlight w:val="none"/>
        </w:rPr>
        <w:t>（</w:t>
      </w:r>
      <w:r>
        <w:rPr>
          <w:rFonts w:ascii="黑体" w:hAnsi="黑体" w:eastAsia="黑体" w:cs="黑体"/>
          <w:color w:val="auto"/>
          <w:spacing w:val="-7"/>
          <w:sz w:val="27"/>
          <w:szCs w:val="27"/>
          <w:highlight w:val="none"/>
        </w:rPr>
        <w:t>签章）</w:t>
      </w:r>
    </w:p>
    <w:p w14:paraId="75EB6542">
      <w:pPr>
        <w:pStyle w:val="3"/>
        <w:spacing w:line="244" w:lineRule="auto"/>
        <w:rPr>
          <w:color w:val="auto"/>
          <w:highlight w:val="none"/>
        </w:rPr>
      </w:pPr>
    </w:p>
    <w:p w14:paraId="43256820">
      <w:pPr>
        <w:pStyle w:val="3"/>
        <w:spacing w:line="244" w:lineRule="auto"/>
        <w:rPr>
          <w:color w:val="auto"/>
          <w:highlight w:val="none"/>
        </w:rPr>
      </w:pPr>
    </w:p>
    <w:p w14:paraId="3EDBA647">
      <w:pPr>
        <w:tabs>
          <w:tab w:val="left" w:pos="3390"/>
        </w:tabs>
        <w:spacing w:before="88" w:line="226" w:lineRule="auto"/>
        <w:ind w:left="2555"/>
        <w:rPr>
          <w:rFonts w:ascii="黑体" w:hAnsi="黑体" w:eastAsia="黑体" w:cs="黑体"/>
          <w:color w:val="auto"/>
          <w:sz w:val="27"/>
          <w:szCs w:val="27"/>
          <w:highlight w:val="none"/>
        </w:rPr>
      </w:pPr>
      <w:r>
        <w:rPr>
          <w:rFonts w:ascii="黑体" w:hAnsi="黑体" w:eastAsia="黑体" w:cs="黑体"/>
          <w:color w:val="auto"/>
          <w:sz w:val="27"/>
          <w:szCs w:val="27"/>
          <w:highlight w:val="none"/>
          <w:u w:val="single" w:color="auto"/>
        </w:rPr>
        <w:tab/>
      </w:r>
      <w:r>
        <w:rPr>
          <w:rFonts w:ascii="黑体" w:hAnsi="黑体" w:eastAsia="黑体" w:cs="黑体"/>
          <w:color w:val="auto"/>
          <w:spacing w:val="-121"/>
          <w:sz w:val="27"/>
          <w:szCs w:val="27"/>
          <w:highlight w:val="none"/>
        </w:rPr>
        <w:t xml:space="preserve"> </w:t>
      </w:r>
      <w:r>
        <w:rPr>
          <w:rFonts w:ascii="黑体" w:hAnsi="黑体" w:eastAsia="黑体" w:cs="黑体"/>
          <w:color w:val="auto"/>
          <w:spacing w:val="-5"/>
          <w:sz w:val="27"/>
          <w:szCs w:val="27"/>
          <w:highlight w:val="none"/>
        </w:rPr>
        <w:t>年</w:t>
      </w:r>
      <w:r>
        <w:rPr>
          <w:rFonts w:ascii="黑体" w:hAnsi="黑体" w:eastAsia="黑体" w:cs="黑体"/>
          <w:color w:val="auto"/>
          <w:spacing w:val="-135"/>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113"/>
          <w:sz w:val="27"/>
          <w:szCs w:val="27"/>
          <w:highlight w:val="none"/>
        </w:rPr>
        <w:t xml:space="preserve"> </w:t>
      </w:r>
      <w:r>
        <w:rPr>
          <w:rFonts w:ascii="黑体" w:hAnsi="黑体" w:eastAsia="黑体" w:cs="黑体"/>
          <w:color w:val="auto"/>
          <w:spacing w:val="-5"/>
          <w:sz w:val="27"/>
          <w:szCs w:val="27"/>
          <w:highlight w:val="none"/>
        </w:rPr>
        <w:t>月</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79"/>
          <w:sz w:val="27"/>
          <w:szCs w:val="27"/>
          <w:highlight w:val="none"/>
        </w:rPr>
        <w:t xml:space="preserve"> </w:t>
      </w:r>
      <w:r>
        <w:rPr>
          <w:rFonts w:ascii="黑体" w:hAnsi="黑体" w:eastAsia="黑体" w:cs="黑体"/>
          <w:color w:val="auto"/>
          <w:spacing w:val="-5"/>
          <w:sz w:val="27"/>
          <w:szCs w:val="27"/>
          <w:highlight w:val="none"/>
        </w:rPr>
        <w:t>日</w:t>
      </w:r>
    </w:p>
    <w:p w14:paraId="5284D2AC">
      <w:pPr>
        <w:spacing w:line="226" w:lineRule="auto"/>
        <w:rPr>
          <w:rFonts w:ascii="黑体" w:hAnsi="黑体" w:eastAsia="黑体" w:cs="黑体"/>
          <w:color w:val="auto"/>
          <w:sz w:val="27"/>
          <w:szCs w:val="27"/>
          <w:highlight w:val="none"/>
        </w:rPr>
        <w:sectPr>
          <w:footerReference r:id="rId211" w:type="default"/>
          <w:pgSz w:w="11905" w:h="16839"/>
          <w:pgMar w:top="400" w:right="1785" w:bottom="1004" w:left="1785" w:header="0" w:footer="828" w:gutter="0"/>
          <w:pgNumType w:fmt="decimal"/>
          <w:cols w:space="720" w:num="1"/>
        </w:sectPr>
      </w:pPr>
    </w:p>
    <w:p w14:paraId="36077099">
      <w:pPr>
        <w:pStyle w:val="3"/>
        <w:spacing w:line="255" w:lineRule="auto"/>
        <w:rPr>
          <w:color w:val="auto"/>
          <w:highlight w:val="none"/>
        </w:rPr>
      </w:pPr>
    </w:p>
    <w:p w14:paraId="065877AE">
      <w:pPr>
        <w:pStyle w:val="3"/>
        <w:spacing w:line="256" w:lineRule="auto"/>
        <w:rPr>
          <w:color w:val="auto"/>
          <w:highlight w:val="none"/>
        </w:rPr>
      </w:pPr>
    </w:p>
    <w:p w14:paraId="0E78E2B5">
      <w:pPr>
        <w:pStyle w:val="3"/>
        <w:spacing w:line="256" w:lineRule="auto"/>
        <w:rPr>
          <w:color w:val="auto"/>
          <w:highlight w:val="none"/>
        </w:rPr>
      </w:pPr>
    </w:p>
    <w:p w14:paraId="68B81444">
      <w:pPr>
        <w:pStyle w:val="3"/>
        <w:spacing w:line="256" w:lineRule="auto"/>
        <w:rPr>
          <w:color w:val="auto"/>
          <w:highlight w:val="none"/>
        </w:rPr>
      </w:pPr>
    </w:p>
    <w:p w14:paraId="61450712">
      <w:pPr>
        <w:spacing w:before="88" w:line="225" w:lineRule="auto"/>
        <w:ind w:left="3792"/>
        <w:rPr>
          <w:rFonts w:ascii="黑体" w:hAnsi="黑体" w:eastAsia="黑体" w:cs="黑体"/>
          <w:color w:val="auto"/>
          <w:sz w:val="27"/>
          <w:szCs w:val="27"/>
          <w:highlight w:val="none"/>
        </w:rPr>
      </w:pPr>
      <w:bookmarkStart w:id="1321" w:name="bookmark295"/>
      <w:bookmarkEnd w:id="1321"/>
      <w:bookmarkStart w:id="1322" w:name="bookmark294"/>
      <w:bookmarkEnd w:id="1322"/>
      <w:r>
        <w:rPr>
          <w:rFonts w:ascii="黑体" w:hAnsi="黑体" w:eastAsia="黑体" w:cs="黑体"/>
          <w:color w:val="auto"/>
          <w:spacing w:val="-19"/>
          <w:sz w:val="27"/>
          <w:szCs w:val="27"/>
          <w:highlight w:val="none"/>
        </w:rPr>
        <w:t>目</w:t>
      </w:r>
      <w:r>
        <w:rPr>
          <w:rFonts w:ascii="黑体" w:hAnsi="黑体" w:eastAsia="黑体" w:cs="黑体"/>
          <w:color w:val="auto"/>
          <w:spacing w:val="15"/>
          <w:sz w:val="27"/>
          <w:szCs w:val="27"/>
          <w:highlight w:val="none"/>
        </w:rPr>
        <w:t xml:space="preserve">  </w:t>
      </w:r>
      <w:r>
        <w:rPr>
          <w:rFonts w:ascii="黑体" w:hAnsi="黑体" w:eastAsia="黑体" w:cs="黑体"/>
          <w:color w:val="auto"/>
          <w:spacing w:val="-19"/>
          <w:sz w:val="27"/>
          <w:szCs w:val="27"/>
          <w:highlight w:val="none"/>
        </w:rPr>
        <w:t>录</w:t>
      </w:r>
    </w:p>
    <w:p w14:paraId="05A5A697">
      <w:pPr>
        <w:pStyle w:val="3"/>
        <w:spacing w:line="272" w:lineRule="auto"/>
        <w:rPr>
          <w:color w:val="auto"/>
          <w:highlight w:val="none"/>
        </w:rPr>
      </w:pPr>
    </w:p>
    <w:p w14:paraId="0D8C9C67">
      <w:pPr>
        <w:pStyle w:val="3"/>
        <w:spacing w:line="273" w:lineRule="auto"/>
        <w:rPr>
          <w:color w:val="auto"/>
          <w:highlight w:val="none"/>
        </w:rPr>
      </w:pPr>
    </w:p>
    <w:p w14:paraId="1AB8C730">
      <w:pPr>
        <w:pStyle w:val="3"/>
        <w:spacing w:line="273" w:lineRule="auto"/>
        <w:rPr>
          <w:color w:val="auto"/>
          <w:highlight w:val="none"/>
        </w:rPr>
      </w:pPr>
    </w:p>
    <w:p w14:paraId="00B79626">
      <w:pPr>
        <w:spacing w:before="68" w:line="600" w:lineRule="exact"/>
        <w:ind w:left="21"/>
        <w:rPr>
          <w:rFonts w:ascii="宋体" w:hAnsi="宋体" w:eastAsia="宋体" w:cs="宋体"/>
          <w:color w:val="auto"/>
          <w:sz w:val="21"/>
          <w:szCs w:val="21"/>
          <w:highlight w:val="none"/>
        </w:rPr>
      </w:pPr>
      <w:r>
        <w:rPr>
          <w:rFonts w:ascii="宋体" w:hAnsi="宋体" w:eastAsia="宋体" w:cs="宋体"/>
          <w:color w:val="auto"/>
          <w:spacing w:val="-2"/>
          <w:position w:val="30"/>
          <w:sz w:val="21"/>
          <w:szCs w:val="21"/>
          <w:highlight w:val="none"/>
        </w:rPr>
        <w:t>一、投标函及投标函附录等</w:t>
      </w:r>
    </w:p>
    <w:p w14:paraId="5D12E4F5">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二、法定代表人身份证明</w:t>
      </w:r>
    </w:p>
    <w:p w14:paraId="3754A255">
      <w:pPr>
        <w:pStyle w:val="3"/>
        <w:spacing w:line="278" w:lineRule="auto"/>
        <w:rPr>
          <w:color w:val="auto"/>
          <w:highlight w:val="none"/>
        </w:rPr>
      </w:pPr>
    </w:p>
    <w:p w14:paraId="1772E49E">
      <w:pPr>
        <w:spacing w:before="69"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二、授权委托书</w:t>
      </w:r>
    </w:p>
    <w:p w14:paraId="5E5186EF">
      <w:pPr>
        <w:pStyle w:val="3"/>
        <w:spacing w:line="280" w:lineRule="auto"/>
        <w:rPr>
          <w:color w:val="auto"/>
          <w:highlight w:val="none"/>
        </w:rPr>
      </w:pPr>
    </w:p>
    <w:p w14:paraId="7E00B153">
      <w:pPr>
        <w:spacing w:before="6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三、投标保证金</w:t>
      </w:r>
    </w:p>
    <w:p w14:paraId="423D9297">
      <w:pPr>
        <w:pStyle w:val="3"/>
        <w:spacing w:line="278" w:lineRule="auto"/>
        <w:rPr>
          <w:color w:val="auto"/>
          <w:highlight w:val="none"/>
        </w:rPr>
      </w:pPr>
    </w:p>
    <w:p w14:paraId="47404CBD">
      <w:pPr>
        <w:spacing w:before="68" w:line="600" w:lineRule="exact"/>
        <w:ind w:left="38"/>
        <w:rPr>
          <w:rFonts w:ascii="宋体" w:hAnsi="宋体" w:eastAsia="宋体" w:cs="宋体"/>
          <w:color w:val="auto"/>
          <w:sz w:val="21"/>
          <w:szCs w:val="21"/>
          <w:highlight w:val="none"/>
        </w:rPr>
      </w:pPr>
      <w:r>
        <w:rPr>
          <w:rFonts w:ascii="宋体" w:hAnsi="宋体" w:eastAsia="宋体" w:cs="宋体"/>
          <w:color w:val="auto"/>
          <w:spacing w:val="-4"/>
          <w:position w:val="30"/>
          <w:sz w:val="21"/>
          <w:szCs w:val="21"/>
          <w:highlight w:val="none"/>
        </w:rPr>
        <w:t>四、联合体协议书（如有）</w:t>
      </w:r>
    </w:p>
    <w:p w14:paraId="68978CDF">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五、拟分包计划表（如有）</w:t>
      </w:r>
    </w:p>
    <w:p w14:paraId="0FF65B8C">
      <w:pPr>
        <w:pStyle w:val="3"/>
        <w:spacing w:line="280" w:lineRule="auto"/>
        <w:rPr>
          <w:color w:val="auto"/>
          <w:highlight w:val="none"/>
        </w:rPr>
      </w:pPr>
    </w:p>
    <w:p w14:paraId="0BBC5514">
      <w:pPr>
        <w:spacing w:before="69" w:line="600" w:lineRule="exact"/>
        <w:ind w:left="20"/>
        <w:rPr>
          <w:rFonts w:ascii="宋体" w:hAnsi="宋体" w:eastAsia="宋体" w:cs="宋体"/>
          <w:color w:val="auto"/>
          <w:sz w:val="21"/>
          <w:szCs w:val="21"/>
          <w:highlight w:val="none"/>
        </w:rPr>
      </w:pPr>
      <w:r>
        <w:rPr>
          <w:rFonts w:ascii="宋体" w:hAnsi="宋体" w:eastAsia="宋体" w:cs="宋体"/>
          <w:color w:val="auto"/>
          <w:spacing w:val="-1"/>
          <w:position w:val="30"/>
          <w:sz w:val="21"/>
          <w:szCs w:val="21"/>
          <w:highlight w:val="none"/>
        </w:rPr>
        <w:t>六、项目管理机构</w:t>
      </w:r>
    </w:p>
    <w:p w14:paraId="2D92D499">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七、资格审查资料</w:t>
      </w:r>
    </w:p>
    <w:p w14:paraId="1787D845">
      <w:pPr>
        <w:pStyle w:val="3"/>
        <w:spacing w:line="279" w:lineRule="auto"/>
        <w:rPr>
          <w:color w:val="auto"/>
          <w:highlight w:val="none"/>
        </w:rPr>
      </w:pPr>
    </w:p>
    <w:p w14:paraId="4EBF1084">
      <w:pPr>
        <w:spacing w:before="68" w:line="601" w:lineRule="exact"/>
        <w:ind w:left="21"/>
        <w:rPr>
          <w:rFonts w:ascii="宋体" w:hAnsi="宋体" w:eastAsia="宋体" w:cs="宋体"/>
          <w:color w:val="auto"/>
          <w:sz w:val="21"/>
          <w:szCs w:val="21"/>
          <w:highlight w:val="none"/>
        </w:rPr>
      </w:pPr>
      <w:r>
        <w:rPr>
          <w:rFonts w:ascii="宋体" w:hAnsi="宋体" w:eastAsia="宋体" w:cs="宋体"/>
          <w:color w:val="auto"/>
          <w:spacing w:val="-1"/>
          <w:position w:val="30"/>
          <w:sz w:val="21"/>
          <w:szCs w:val="21"/>
          <w:highlight w:val="none"/>
        </w:rPr>
        <w:t>八、已标价工程量清单</w:t>
      </w:r>
    </w:p>
    <w:p w14:paraId="3A3884A4">
      <w:pPr>
        <w:spacing w:line="222"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九、施工组织设计</w:t>
      </w:r>
    </w:p>
    <w:p w14:paraId="1FF9B168">
      <w:pPr>
        <w:pStyle w:val="3"/>
        <w:spacing w:line="277" w:lineRule="auto"/>
        <w:rPr>
          <w:color w:val="auto"/>
          <w:highlight w:val="none"/>
        </w:rPr>
      </w:pPr>
    </w:p>
    <w:p w14:paraId="2A6E2103">
      <w:pPr>
        <w:spacing w:before="68"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十、其他材料</w:t>
      </w:r>
    </w:p>
    <w:p w14:paraId="794C44AE">
      <w:pPr>
        <w:spacing w:line="220" w:lineRule="auto"/>
        <w:rPr>
          <w:rFonts w:ascii="宋体" w:hAnsi="宋体" w:eastAsia="宋体" w:cs="宋体"/>
          <w:color w:val="auto"/>
          <w:sz w:val="21"/>
          <w:szCs w:val="21"/>
          <w:highlight w:val="none"/>
        </w:rPr>
        <w:sectPr>
          <w:footerReference r:id="rId212" w:type="default"/>
          <w:pgSz w:w="11905" w:h="16839"/>
          <w:pgMar w:top="400" w:right="1785" w:bottom="1004" w:left="1785" w:header="0" w:footer="828" w:gutter="0"/>
          <w:pgNumType w:fmt="decimal"/>
          <w:cols w:space="720" w:num="1"/>
        </w:sectPr>
      </w:pPr>
    </w:p>
    <w:p w14:paraId="1D95F4C3">
      <w:pPr>
        <w:pStyle w:val="3"/>
        <w:spacing w:line="255" w:lineRule="auto"/>
        <w:rPr>
          <w:color w:val="auto"/>
          <w:highlight w:val="none"/>
        </w:rPr>
      </w:pPr>
    </w:p>
    <w:p w14:paraId="2943E76C">
      <w:pPr>
        <w:pStyle w:val="3"/>
        <w:spacing w:line="256" w:lineRule="auto"/>
        <w:rPr>
          <w:color w:val="auto"/>
          <w:highlight w:val="none"/>
        </w:rPr>
      </w:pPr>
    </w:p>
    <w:p w14:paraId="46A93A48">
      <w:pPr>
        <w:pStyle w:val="3"/>
        <w:spacing w:line="256" w:lineRule="auto"/>
        <w:rPr>
          <w:color w:val="auto"/>
          <w:highlight w:val="none"/>
        </w:rPr>
      </w:pPr>
    </w:p>
    <w:p w14:paraId="0428F573">
      <w:pPr>
        <w:pStyle w:val="3"/>
        <w:spacing w:line="256" w:lineRule="auto"/>
        <w:rPr>
          <w:color w:val="auto"/>
          <w:highlight w:val="none"/>
        </w:rPr>
      </w:pPr>
    </w:p>
    <w:p w14:paraId="29407842">
      <w:pPr>
        <w:spacing w:before="88" w:line="403" w:lineRule="exact"/>
        <w:ind w:left="2503"/>
        <w:rPr>
          <w:rFonts w:ascii="黑体" w:hAnsi="黑体" w:eastAsia="黑体" w:cs="黑体"/>
          <w:color w:val="auto"/>
          <w:sz w:val="27"/>
          <w:szCs w:val="27"/>
          <w:highlight w:val="none"/>
        </w:rPr>
      </w:pPr>
      <w:bookmarkStart w:id="1323" w:name="bookmark296"/>
      <w:bookmarkEnd w:id="1323"/>
      <w:r>
        <w:rPr>
          <w:rFonts w:ascii="黑体" w:hAnsi="黑体" w:eastAsia="黑体" w:cs="黑体"/>
          <w:color w:val="auto"/>
          <w:spacing w:val="7"/>
          <w:position w:val="9"/>
          <w:sz w:val="27"/>
          <w:szCs w:val="27"/>
          <w:highlight w:val="none"/>
        </w:rPr>
        <w:t>一、投标函及投标函附录等</w:t>
      </w:r>
    </w:p>
    <w:p w14:paraId="7B293743">
      <w:pPr>
        <w:spacing w:line="225" w:lineRule="auto"/>
        <w:ind w:left="3361"/>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rPr>
        <w:t>（一）投标函</w:t>
      </w:r>
    </w:p>
    <w:p w14:paraId="55080909">
      <w:pPr>
        <w:tabs>
          <w:tab w:val="left" w:pos="1273"/>
        </w:tabs>
        <w:spacing w:before="160"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45A8B9D8">
      <w:pPr>
        <w:spacing w:before="189" w:line="387" w:lineRule="auto"/>
        <w:ind w:left="19" w:right="1" w:firstLine="43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我方已仔细研究了</w:t>
      </w:r>
      <w:r>
        <w:rPr>
          <w:rFonts w:ascii="宋体" w:hAnsi="宋体" w:eastAsia="宋体" w:cs="宋体"/>
          <w:color w:val="auto"/>
          <w:spacing w:val="-89"/>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23"/>
          <w:sz w:val="21"/>
          <w:szCs w:val="21"/>
          <w:highlight w:val="none"/>
        </w:rPr>
        <w:t xml:space="preserve"> </w:t>
      </w:r>
      <w:r>
        <w:rPr>
          <w:rFonts w:ascii="宋体" w:hAnsi="宋体" w:eastAsia="宋体" w:cs="宋体"/>
          <w:color w:val="auto"/>
          <w:spacing w:val="-6"/>
          <w:sz w:val="21"/>
          <w:szCs w:val="21"/>
          <w:highlight w:val="none"/>
        </w:rPr>
        <w:t>（标段名称） 项目招标文件的全部内容，愿意以【人民币</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 xml:space="preserve">（大写）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8"/>
          <w:sz w:val="21"/>
          <w:szCs w:val="21"/>
          <w:highlight w:val="none"/>
        </w:rPr>
        <w:t>元(</w:t>
      </w:r>
      <w:r>
        <w:rPr>
          <w:rFonts w:ascii="Times New Roman" w:hAnsi="Times New Roman" w:eastAsia="Times New Roman" w:cs="Times New Roman"/>
          <w:color w:val="auto"/>
          <w:spacing w:val="-8"/>
          <w:sz w:val="21"/>
          <w:szCs w:val="21"/>
          <w:highlight w:val="none"/>
        </w:rPr>
        <w:t>¥</w:t>
      </w:r>
      <w:r>
        <w:rPr>
          <w:rFonts w:ascii="Times New Roman" w:hAnsi="Times New Roman" w:eastAsia="Times New Roman" w:cs="Times New Roman"/>
          <w:color w:val="auto"/>
          <w:spacing w:val="-8"/>
          <w:sz w:val="21"/>
          <w:szCs w:val="21"/>
          <w:highlight w:val="none"/>
          <w:u w:val="single" w:color="auto"/>
        </w:rPr>
        <w:t xml:space="preserve">              </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8"/>
          <w:sz w:val="21"/>
          <w:szCs w:val="21"/>
          <w:highlight w:val="none"/>
        </w:rPr>
        <w:t>元）】【综合费率</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
          <w:sz w:val="21"/>
          <w:szCs w:val="21"/>
          <w:highlight w:val="none"/>
          <w:u w:val="single" w:color="auto"/>
        </w:rPr>
        <w:t xml:space="preserve">   </w:t>
      </w:r>
      <w:r>
        <w:rPr>
          <w:rFonts w:ascii="Times New Roman" w:hAnsi="Times New Roman" w:eastAsia="Times New Roman" w:cs="Times New Roman"/>
          <w:color w:val="auto"/>
          <w:spacing w:val="-9"/>
          <w:sz w:val="21"/>
          <w:szCs w:val="21"/>
          <w:highlight w:val="none"/>
        </w:rPr>
        <w:t>/</w:t>
      </w:r>
      <w:r>
        <w:rPr>
          <w:rFonts w:ascii="宋体" w:hAnsi="宋体" w:eastAsia="宋体" w:cs="宋体"/>
          <w:color w:val="auto"/>
          <w:spacing w:val="-9"/>
          <w:sz w:val="21"/>
          <w:szCs w:val="21"/>
          <w:highlight w:val="none"/>
        </w:rPr>
        <w:t>下浮率</w:t>
      </w:r>
      <w:r>
        <w:rPr>
          <w:rFonts w:ascii="宋体" w:hAnsi="宋体" w:eastAsia="宋体" w:cs="宋体"/>
          <w:color w:val="auto"/>
          <w:spacing w:val="-9"/>
          <w:sz w:val="21"/>
          <w:szCs w:val="21"/>
          <w:highlight w:val="none"/>
          <w:u w:val="single" w:color="auto"/>
        </w:rPr>
        <w:t xml:space="preserve">    </w:t>
      </w:r>
      <w:r>
        <w:rPr>
          <w:rFonts w:ascii="Times New Roman" w:hAnsi="Times New Roman" w:eastAsia="Times New Roman" w:cs="Times New Roman"/>
          <w:color w:val="auto"/>
          <w:spacing w:val="-9"/>
          <w:sz w:val="21"/>
          <w:szCs w:val="21"/>
          <w:highlight w:val="none"/>
        </w:rPr>
        <w:t>/</w:t>
      </w:r>
      <w:r>
        <w:rPr>
          <w:rFonts w:ascii="宋体" w:hAnsi="宋体" w:eastAsia="宋体" w:cs="宋体"/>
          <w:color w:val="auto"/>
          <w:spacing w:val="-9"/>
          <w:sz w:val="21"/>
          <w:szCs w:val="21"/>
          <w:highlight w:val="none"/>
        </w:rPr>
        <w:t>综合单价</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44"/>
          <w:sz w:val="21"/>
          <w:szCs w:val="21"/>
          <w:highlight w:val="none"/>
        </w:rPr>
        <w:t xml:space="preserve"> </w:t>
      </w:r>
      <w:r>
        <w:rPr>
          <w:rFonts w:ascii="宋体" w:hAnsi="宋体" w:eastAsia="宋体" w:cs="宋体"/>
          <w:color w:val="auto"/>
          <w:spacing w:val="-9"/>
          <w:sz w:val="21"/>
          <w:szCs w:val="21"/>
          <w:highlight w:val="none"/>
        </w:rPr>
        <w:t>（如有）】的投</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标报价，</w:t>
      </w:r>
      <w:r>
        <w:rPr>
          <w:rFonts w:ascii="宋体" w:hAnsi="宋体" w:eastAsia="宋体" w:cs="宋体"/>
          <w:color w:val="auto"/>
          <w:spacing w:val="20"/>
          <w:sz w:val="21"/>
          <w:szCs w:val="21"/>
          <w:highlight w:val="none"/>
        </w:rPr>
        <w:t xml:space="preserve"> </w:t>
      </w:r>
      <w:r>
        <w:rPr>
          <w:rFonts w:ascii="宋体" w:hAnsi="宋体" w:eastAsia="宋体" w:cs="宋体"/>
          <w:color w:val="auto"/>
          <w:spacing w:val="-11"/>
          <w:sz w:val="21"/>
          <w:szCs w:val="21"/>
          <w:highlight w:val="none"/>
        </w:rPr>
        <w:t>工期</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1"/>
          <w:sz w:val="21"/>
          <w:szCs w:val="21"/>
          <w:highlight w:val="none"/>
        </w:rPr>
        <w:t>日历天， 按合同约定实施和完成承包工程，</w:t>
      </w:r>
      <w:r>
        <w:rPr>
          <w:rFonts w:ascii="宋体" w:hAnsi="宋体" w:eastAsia="宋体" w:cs="宋体"/>
          <w:color w:val="auto"/>
          <w:spacing w:val="51"/>
          <w:sz w:val="21"/>
          <w:szCs w:val="21"/>
          <w:highlight w:val="none"/>
        </w:rPr>
        <w:t xml:space="preserve"> </w:t>
      </w:r>
      <w:r>
        <w:rPr>
          <w:rFonts w:ascii="宋体" w:hAnsi="宋体" w:eastAsia="宋体" w:cs="宋体"/>
          <w:color w:val="auto"/>
          <w:spacing w:val="-11"/>
          <w:sz w:val="21"/>
          <w:szCs w:val="21"/>
          <w:highlight w:val="none"/>
        </w:rPr>
        <w:t>修补工程中</w:t>
      </w:r>
      <w:r>
        <w:rPr>
          <w:rFonts w:ascii="宋体" w:hAnsi="宋体" w:eastAsia="宋体" w:cs="宋体"/>
          <w:color w:val="auto"/>
          <w:spacing w:val="-12"/>
          <w:sz w:val="21"/>
          <w:szCs w:val="21"/>
          <w:highlight w:val="none"/>
        </w:rPr>
        <w:t>的任何缺陷，工</w:t>
      </w:r>
    </w:p>
    <w:p w14:paraId="2DE04E5F">
      <w:pPr>
        <w:spacing w:before="1" w:line="221"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程质量达到</w:t>
      </w:r>
      <w:r>
        <w:rPr>
          <w:rFonts w:ascii="宋体" w:hAnsi="宋体" w:eastAsia="宋体" w:cs="宋体"/>
          <w:color w:val="auto"/>
          <w:spacing w:val="-101"/>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w:t>
      </w:r>
    </w:p>
    <w:p w14:paraId="73E48821">
      <w:pPr>
        <w:spacing w:before="219" w:line="422" w:lineRule="auto"/>
        <w:ind w:right="1"/>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在我方的上述投标总报价中， 包括：安全文明施工费 </w:t>
      </w: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3"/>
          <w:sz w:val="21"/>
          <w:szCs w:val="21"/>
          <w:highlight w:val="none"/>
        </w:rPr>
        <w:t>元；暂列金额</w:t>
      </w:r>
    </w:p>
    <w:p w14:paraId="5E2F8892">
      <w:pPr>
        <w:spacing w:line="219" w:lineRule="auto"/>
        <w:ind w:left="1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
          <w:sz w:val="21"/>
          <w:szCs w:val="21"/>
          <w:highlight w:val="none"/>
        </w:rPr>
        <w:t xml:space="preserve">元；专业工程暂估价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
          <w:sz w:val="21"/>
          <w:szCs w:val="21"/>
          <w:highlight w:val="none"/>
        </w:rPr>
        <w:t>元。</w:t>
      </w:r>
    </w:p>
    <w:p w14:paraId="7004FA48">
      <w:pPr>
        <w:spacing w:before="231" w:line="397" w:lineRule="auto"/>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我方拟派的项目经理</w:t>
      </w:r>
      <w:r>
        <w:rPr>
          <w:rFonts w:ascii="宋体" w:hAnsi="宋体" w:eastAsia="宋体" w:cs="宋体"/>
          <w:color w:val="auto"/>
          <w:spacing w:val="-20"/>
          <w:sz w:val="21"/>
          <w:szCs w:val="21"/>
          <w:highlight w:val="none"/>
        </w:rPr>
        <w:t>：</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姓名</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证书名称</w:t>
      </w:r>
      <w:r>
        <w:rPr>
          <w:rFonts w:ascii="宋体" w:hAnsi="宋体" w:eastAsia="宋体" w:cs="宋体"/>
          <w:color w:val="auto"/>
          <w:spacing w:val="-20"/>
          <w:sz w:val="21"/>
          <w:szCs w:val="21"/>
          <w:highlight w:val="none"/>
        </w:rPr>
        <w:t>：</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77"/>
          <w:sz w:val="21"/>
          <w:szCs w:val="21"/>
          <w:highlight w:val="none"/>
        </w:rPr>
        <w:t xml:space="preserve"> </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证书编号：</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047259FD">
      <w:pPr>
        <w:spacing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我方承诺在投标有效期</w:t>
      </w:r>
      <w:r>
        <w:rPr>
          <w:rFonts w:ascii="宋体" w:hAnsi="宋体" w:eastAsia="宋体" w:cs="宋体"/>
          <w:color w:val="auto"/>
          <w:spacing w:val="-93"/>
          <w:sz w:val="21"/>
          <w:szCs w:val="21"/>
          <w:highlight w:val="none"/>
        </w:rPr>
        <w:t xml:space="preserve"> </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2"/>
          <w:sz w:val="21"/>
          <w:szCs w:val="21"/>
          <w:highlight w:val="none"/>
        </w:rPr>
        <w:t>天内不修改、撤销投标文件。</w:t>
      </w:r>
    </w:p>
    <w:p w14:paraId="11CAC76A">
      <w:pPr>
        <w:spacing w:before="187" w:line="388"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随同本投标函提交投标保证金一份，</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金额为人民币（大</w:t>
      </w:r>
      <w:r>
        <w:rPr>
          <w:rFonts w:ascii="宋体" w:hAnsi="宋体" w:eastAsia="宋体" w:cs="宋体"/>
          <w:color w:val="auto"/>
          <w:spacing w:val="-3"/>
          <w:sz w:val="21"/>
          <w:szCs w:val="21"/>
          <w:highlight w:val="none"/>
        </w:rPr>
        <w:t xml:space="preserve">写）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元(</w:t>
      </w:r>
      <w:r>
        <w:rPr>
          <w:rFonts w:ascii="Times New Roman" w:hAnsi="Times New Roman" w:eastAsia="Times New Roman" w:cs="Times New Roman"/>
          <w:color w:val="auto"/>
          <w:spacing w:val="-3"/>
          <w:sz w:val="21"/>
          <w:szCs w:val="21"/>
          <w:highlight w:val="none"/>
        </w:rPr>
        <w:t>¥</w:t>
      </w:r>
      <w:r>
        <w:rPr>
          <w:rFonts w:ascii="Times New Roman" w:hAnsi="Times New Roman" w:eastAsia="Times New Roman" w:cs="Times New Roman"/>
          <w:color w:val="auto"/>
          <w:spacing w:val="-3"/>
          <w:sz w:val="21"/>
          <w:szCs w:val="21"/>
          <w:highlight w:val="none"/>
          <w:u w:val="single" w:color="auto"/>
        </w:rPr>
        <w:t xml:space="preserve">            </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3"/>
          <w:sz w:val="21"/>
          <w:szCs w:val="21"/>
          <w:highlight w:val="none"/>
        </w:rPr>
        <w:t>)。</w:t>
      </w:r>
    </w:p>
    <w:p w14:paraId="3019B668">
      <w:pPr>
        <w:spacing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如我方中标：</w:t>
      </w:r>
    </w:p>
    <w:p w14:paraId="6CF98B0F">
      <w:pPr>
        <w:spacing w:before="190" w:line="437" w:lineRule="exact"/>
        <w:ind w:left="447"/>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w:t>
      </w:r>
      <w:r>
        <w:rPr>
          <w:rFonts w:ascii="Times New Roman" w:hAnsi="Times New Roman" w:eastAsia="Times New Roman" w:cs="Times New Roman"/>
          <w:color w:val="auto"/>
          <w:position w:val="17"/>
          <w:sz w:val="21"/>
          <w:szCs w:val="21"/>
          <w:highlight w:val="none"/>
        </w:rPr>
        <w:t>1</w:t>
      </w:r>
      <w:r>
        <w:rPr>
          <w:rFonts w:ascii="宋体" w:hAnsi="宋体" w:eastAsia="宋体" w:cs="宋体"/>
          <w:color w:val="auto"/>
          <w:position w:val="17"/>
          <w:sz w:val="21"/>
          <w:szCs w:val="21"/>
          <w:highlight w:val="none"/>
        </w:rPr>
        <w:t>）我方承诺在收到中标通知书后，在中标通知书规定</w:t>
      </w:r>
      <w:r>
        <w:rPr>
          <w:rFonts w:ascii="宋体" w:hAnsi="宋体" w:eastAsia="宋体" w:cs="宋体"/>
          <w:color w:val="auto"/>
          <w:spacing w:val="-1"/>
          <w:position w:val="17"/>
          <w:sz w:val="21"/>
          <w:szCs w:val="21"/>
          <w:highlight w:val="none"/>
        </w:rPr>
        <w:t>的期限内与你方签订合同。</w:t>
      </w:r>
    </w:p>
    <w:p w14:paraId="7155A8E7">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）随同本投标函递交的投标函附录属于合同文件的组成部分。</w:t>
      </w:r>
    </w:p>
    <w:p w14:paraId="39008056">
      <w:pPr>
        <w:spacing w:before="191"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）我方承诺按照招标文件规定向你方递交履约保证金。</w:t>
      </w:r>
    </w:p>
    <w:p w14:paraId="00010D1A">
      <w:pPr>
        <w:spacing w:before="191" w:line="436" w:lineRule="exact"/>
        <w:ind w:left="447"/>
        <w:rPr>
          <w:rFonts w:ascii="宋体" w:hAnsi="宋体" w:eastAsia="宋体" w:cs="宋体"/>
          <w:color w:val="auto"/>
          <w:sz w:val="21"/>
          <w:szCs w:val="21"/>
          <w:highlight w:val="none"/>
        </w:rPr>
      </w:pPr>
      <w:r>
        <w:rPr>
          <w:rFonts w:ascii="宋体" w:hAnsi="宋体" w:eastAsia="宋体" w:cs="宋体"/>
          <w:color w:val="auto"/>
          <w:spacing w:val="-1"/>
          <w:position w:val="17"/>
          <w:sz w:val="21"/>
          <w:szCs w:val="21"/>
          <w:highlight w:val="none"/>
        </w:rPr>
        <w:t>（</w:t>
      </w:r>
      <w:r>
        <w:rPr>
          <w:rFonts w:ascii="Times New Roman" w:hAnsi="Times New Roman" w:eastAsia="Times New Roman" w:cs="Times New Roman"/>
          <w:color w:val="auto"/>
          <w:spacing w:val="-1"/>
          <w:position w:val="17"/>
          <w:sz w:val="21"/>
          <w:szCs w:val="21"/>
          <w:highlight w:val="none"/>
        </w:rPr>
        <w:t>4</w:t>
      </w:r>
      <w:r>
        <w:rPr>
          <w:rFonts w:ascii="宋体" w:hAnsi="宋体" w:eastAsia="宋体" w:cs="宋体"/>
          <w:color w:val="auto"/>
          <w:spacing w:val="-1"/>
          <w:position w:val="17"/>
          <w:sz w:val="21"/>
          <w:szCs w:val="21"/>
          <w:highlight w:val="none"/>
        </w:rPr>
        <w:t>）我方承诺在合同约定的期限内完成并</w:t>
      </w:r>
      <w:r>
        <w:rPr>
          <w:rFonts w:ascii="宋体" w:hAnsi="宋体" w:eastAsia="宋体" w:cs="宋体"/>
          <w:color w:val="auto"/>
          <w:spacing w:val="-2"/>
          <w:position w:val="17"/>
          <w:sz w:val="21"/>
          <w:szCs w:val="21"/>
          <w:highlight w:val="none"/>
        </w:rPr>
        <w:t>移交全部合同工程。</w:t>
      </w:r>
    </w:p>
    <w:p w14:paraId="2BE1E8CB">
      <w:pPr>
        <w:spacing w:before="1" w:line="232"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w:t>
      </w:r>
    </w:p>
    <w:p w14:paraId="77687EE7">
      <w:pPr>
        <w:spacing w:before="178" w:line="441"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7"/>
          <w:sz w:val="21"/>
          <w:szCs w:val="21"/>
          <w:highlight w:val="none"/>
        </w:rPr>
        <w:t>6.</w:t>
      </w:r>
      <w:r>
        <w:rPr>
          <w:rFonts w:ascii="宋体" w:hAnsi="宋体" w:eastAsia="宋体" w:cs="宋体"/>
          <w:color w:val="auto"/>
          <w:spacing w:val="4"/>
          <w:position w:val="17"/>
          <w:sz w:val="21"/>
          <w:szCs w:val="21"/>
          <w:highlight w:val="none"/>
        </w:rPr>
        <w:t>我方在此声明，所递交的投标文件及有关资料内容完整、真实和准确，且不存在第</w:t>
      </w:r>
    </w:p>
    <w:p w14:paraId="1B943620">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二章“投标人须知”第</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1.4.3 </w:t>
      </w:r>
      <w:r>
        <w:rPr>
          <w:rFonts w:ascii="宋体" w:hAnsi="宋体" w:eastAsia="宋体" w:cs="宋体"/>
          <w:color w:val="auto"/>
          <w:spacing w:val="-2"/>
          <w:sz w:val="21"/>
          <w:szCs w:val="21"/>
          <w:highlight w:val="none"/>
        </w:rPr>
        <w:t>项规定的任何一种情形。</w:t>
      </w:r>
    </w:p>
    <w:p w14:paraId="156CE6C3">
      <w:pPr>
        <w:spacing w:before="186"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52"/>
          <w:sz w:val="21"/>
          <w:szCs w:val="21"/>
          <w:highlight w:val="none"/>
        </w:rPr>
        <w:t xml:space="preserve"> </w:t>
      </w:r>
      <w:r>
        <w:rPr>
          <w:rFonts w:ascii="Times New Roman" w:hAnsi="Times New Roman" w:eastAsia="Times New Roman" w:cs="Times New Roman"/>
          <w:color w:val="auto"/>
          <w:spacing w:val="-4"/>
          <w:sz w:val="21"/>
          <w:szCs w:val="21"/>
          <w:highlight w:val="none"/>
          <w:u w:val="single" w:color="auto"/>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（其他补充说明）。</w:t>
      </w:r>
    </w:p>
    <w:p w14:paraId="7BBA3C87">
      <w:pPr>
        <w:spacing w:before="191" w:line="388" w:lineRule="auto"/>
        <w:ind w:left="3699"/>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投</w:t>
      </w:r>
      <w:r>
        <w:rPr>
          <w:rFonts w:ascii="宋体" w:hAnsi="宋体" w:eastAsia="宋体" w:cs="宋体"/>
          <w:color w:val="auto"/>
          <w:spacing w:val="-42"/>
          <w:sz w:val="21"/>
          <w:szCs w:val="21"/>
          <w:highlight w:val="none"/>
        </w:rPr>
        <w:t xml:space="preserve"> </w:t>
      </w:r>
      <w:r>
        <w:rPr>
          <w:rFonts w:ascii="宋体" w:hAnsi="宋体" w:eastAsia="宋体" w:cs="宋体"/>
          <w:color w:val="auto"/>
          <w:spacing w:val="-24"/>
          <w:sz w:val="21"/>
          <w:szCs w:val="21"/>
          <w:highlight w:val="none"/>
        </w:rPr>
        <w:t>标</w:t>
      </w:r>
      <w:r>
        <w:rPr>
          <w:rFonts w:ascii="宋体" w:hAnsi="宋体" w:eastAsia="宋体" w:cs="宋体"/>
          <w:color w:val="auto"/>
          <w:spacing w:val="-43"/>
          <w:sz w:val="21"/>
          <w:szCs w:val="21"/>
          <w:highlight w:val="none"/>
        </w:rPr>
        <w:t xml:space="preserve"> </w:t>
      </w:r>
      <w:r>
        <w:rPr>
          <w:rFonts w:ascii="宋体" w:hAnsi="宋体" w:eastAsia="宋体" w:cs="宋体"/>
          <w:color w:val="auto"/>
          <w:spacing w:val="-24"/>
          <w:sz w:val="21"/>
          <w:szCs w:val="21"/>
          <w:highlight w:val="none"/>
        </w:rPr>
        <w:t>人</w:t>
      </w:r>
      <w:r>
        <w:rPr>
          <w:rFonts w:ascii="宋体" w:hAnsi="宋体" w:eastAsia="宋体" w:cs="宋体"/>
          <w:color w:val="auto"/>
          <w:spacing w:val="2"/>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24"/>
          <w:sz w:val="21"/>
          <w:szCs w:val="21"/>
          <w:highlight w:val="none"/>
        </w:rPr>
        <w:t>盖单位章）</w:t>
      </w:r>
    </w:p>
    <w:p w14:paraId="0916E5EB">
      <w:pPr>
        <w:spacing w:before="1" w:line="219" w:lineRule="auto"/>
        <w:ind w:left="243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7"/>
          <w:sz w:val="21"/>
          <w:szCs w:val="21"/>
          <w:highlight w:val="none"/>
        </w:rPr>
        <w:t>签章）</w:t>
      </w:r>
    </w:p>
    <w:p w14:paraId="356B7C79">
      <w:pPr>
        <w:tabs>
          <w:tab w:val="left" w:pos="6844"/>
        </w:tabs>
        <w:spacing w:before="189" w:line="387" w:lineRule="auto"/>
        <w:ind w:left="3694" w:right="1488" w:firstLine="1"/>
        <w:jc w:val="both"/>
        <w:rPr>
          <w:rFonts w:ascii="宋体" w:hAnsi="宋体" w:eastAsia="宋体" w:cs="宋体"/>
          <w:color w:val="auto"/>
          <w:sz w:val="21"/>
          <w:szCs w:val="21"/>
          <w:highlight w:val="none"/>
        </w:rPr>
      </w:pPr>
      <w:r>
        <w:rPr>
          <w:rFonts w:ascii="宋体" w:hAnsi="宋体" w:eastAsia="宋体" w:cs="宋体"/>
          <w:color w:val="auto"/>
          <w:spacing w:val="-28"/>
          <w:w w:val="96"/>
          <w:sz w:val="21"/>
          <w:szCs w:val="21"/>
          <w:highlight w:val="none"/>
        </w:rPr>
        <w:t>地址：</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35"/>
          <w:sz w:val="21"/>
          <w:szCs w:val="21"/>
          <w:highlight w:val="none"/>
        </w:rPr>
        <w:t>网址：</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30"/>
          <w:w w:val="97"/>
          <w:sz w:val="21"/>
          <w:szCs w:val="21"/>
          <w:highlight w:val="none"/>
        </w:rPr>
        <w:t>电话：</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6"/>
          <w:w w:val="95"/>
          <w:sz w:val="21"/>
          <w:szCs w:val="21"/>
          <w:highlight w:val="none"/>
        </w:rPr>
        <w:t>传真：</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u w:val="single" w:color="auto"/>
        </w:rPr>
        <w:t xml:space="preserve">                         </w:t>
      </w:r>
    </w:p>
    <w:p w14:paraId="3E3A571C">
      <w:pPr>
        <w:spacing w:line="220" w:lineRule="auto"/>
        <w:ind w:left="3712"/>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6"/>
          <w:sz w:val="21"/>
          <w:szCs w:val="21"/>
          <w:highlight w:val="none"/>
        </w:rPr>
        <w:t xml:space="preserve"> </w:t>
      </w:r>
      <w:r>
        <w:rPr>
          <w:rFonts w:ascii="宋体" w:hAnsi="宋体" w:eastAsia="宋体" w:cs="宋体"/>
          <w:color w:val="auto"/>
          <w:sz w:val="21"/>
          <w:szCs w:val="21"/>
          <w:highlight w:val="none"/>
          <w:u w:val="single" w:color="auto"/>
        </w:rPr>
        <w:t xml:space="preserve">                     </w:t>
      </w:r>
    </w:p>
    <w:p w14:paraId="39F01647">
      <w:pPr>
        <w:tabs>
          <w:tab w:val="left" w:pos="5580"/>
        </w:tabs>
        <w:spacing w:before="191" w:line="221" w:lineRule="auto"/>
        <w:ind w:left="515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1EE8BCFB">
      <w:pPr>
        <w:spacing w:line="221" w:lineRule="auto"/>
        <w:rPr>
          <w:rFonts w:ascii="宋体" w:hAnsi="宋体" w:eastAsia="宋体" w:cs="宋体"/>
          <w:color w:val="auto"/>
          <w:sz w:val="21"/>
          <w:szCs w:val="21"/>
          <w:highlight w:val="none"/>
        </w:rPr>
        <w:sectPr>
          <w:footerReference r:id="rId213" w:type="default"/>
          <w:pgSz w:w="11905" w:h="16839"/>
          <w:pgMar w:top="400" w:right="1785" w:bottom="1004" w:left="1785" w:header="0" w:footer="828" w:gutter="0"/>
          <w:pgNumType w:fmt="decimal"/>
          <w:cols w:space="720" w:num="1"/>
        </w:sectPr>
      </w:pPr>
    </w:p>
    <w:p w14:paraId="27604D88">
      <w:pPr>
        <w:pStyle w:val="3"/>
        <w:spacing w:line="257" w:lineRule="auto"/>
        <w:rPr>
          <w:color w:val="auto"/>
          <w:highlight w:val="none"/>
        </w:rPr>
      </w:pPr>
    </w:p>
    <w:p w14:paraId="55DE7FD4">
      <w:pPr>
        <w:pStyle w:val="3"/>
        <w:spacing w:line="257" w:lineRule="auto"/>
        <w:rPr>
          <w:color w:val="auto"/>
          <w:highlight w:val="none"/>
        </w:rPr>
      </w:pPr>
    </w:p>
    <w:p w14:paraId="0966D744">
      <w:pPr>
        <w:pStyle w:val="3"/>
        <w:spacing w:line="257" w:lineRule="auto"/>
        <w:rPr>
          <w:color w:val="auto"/>
          <w:highlight w:val="none"/>
        </w:rPr>
      </w:pPr>
    </w:p>
    <w:p w14:paraId="62ABBF25">
      <w:pPr>
        <w:pStyle w:val="3"/>
        <w:spacing w:line="257" w:lineRule="auto"/>
        <w:rPr>
          <w:color w:val="auto"/>
          <w:highlight w:val="none"/>
        </w:rPr>
      </w:pPr>
    </w:p>
    <w:p w14:paraId="1797D2A6">
      <w:pPr>
        <w:spacing w:before="87" w:line="225" w:lineRule="auto"/>
        <w:ind w:left="3390"/>
        <w:rPr>
          <w:rFonts w:ascii="黑体" w:hAnsi="黑体" w:eastAsia="黑体" w:cs="黑体"/>
          <w:color w:val="auto"/>
          <w:sz w:val="27"/>
          <w:szCs w:val="27"/>
          <w:highlight w:val="none"/>
        </w:rPr>
      </w:pPr>
      <w:bookmarkStart w:id="1324" w:name="bookmark297"/>
      <w:bookmarkEnd w:id="1324"/>
      <w:r>
        <w:rPr>
          <w:rFonts w:ascii="黑体" w:hAnsi="黑体" w:eastAsia="黑体" w:cs="黑体"/>
          <w:color w:val="auto"/>
          <w:spacing w:val="3"/>
          <w:sz w:val="27"/>
          <w:szCs w:val="27"/>
          <w:highlight w:val="none"/>
        </w:rPr>
        <w:t>（二）投标函附录</w:t>
      </w:r>
    </w:p>
    <w:p w14:paraId="3014A402">
      <w:pPr>
        <w:spacing w:before="291" w:line="214" w:lineRule="auto"/>
        <w:ind w:left="330"/>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tbl>
      <w:tblPr>
        <w:tblStyle w:val="10"/>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14:paraId="32AB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20BE94FB">
            <w:pPr>
              <w:pStyle w:val="11"/>
              <w:spacing w:before="178" w:line="222" w:lineRule="auto"/>
              <w:ind w:left="160"/>
              <w:rPr>
                <w:color w:val="auto"/>
                <w:highlight w:val="none"/>
              </w:rPr>
            </w:pPr>
            <w:r>
              <w:rPr>
                <w:color w:val="auto"/>
                <w:spacing w:val="-2"/>
                <w:highlight w:val="none"/>
              </w:rPr>
              <w:t>序号</w:t>
            </w:r>
          </w:p>
        </w:tc>
        <w:tc>
          <w:tcPr>
            <w:tcW w:w="2400" w:type="dxa"/>
            <w:vAlign w:val="top"/>
          </w:tcPr>
          <w:p w14:paraId="2E4E816D">
            <w:pPr>
              <w:pStyle w:val="11"/>
              <w:spacing w:before="178" w:line="221" w:lineRule="auto"/>
              <w:ind w:left="787"/>
              <w:rPr>
                <w:color w:val="auto"/>
                <w:highlight w:val="none"/>
              </w:rPr>
            </w:pPr>
            <w:r>
              <w:rPr>
                <w:color w:val="auto"/>
                <w:spacing w:val="-1"/>
                <w:highlight w:val="none"/>
              </w:rPr>
              <w:t>条款内容</w:t>
            </w:r>
          </w:p>
        </w:tc>
        <w:tc>
          <w:tcPr>
            <w:tcW w:w="1315" w:type="dxa"/>
            <w:vAlign w:val="top"/>
          </w:tcPr>
          <w:p w14:paraId="520ACB74">
            <w:pPr>
              <w:pStyle w:val="11"/>
              <w:spacing w:before="178" w:line="221" w:lineRule="auto"/>
              <w:ind w:left="135"/>
              <w:rPr>
                <w:color w:val="auto"/>
                <w:highlight w:val="none"/>
              </w:rPr>
            </w:pPr>
            <w:r>
              <w:rPr>
                <w:color w:val="auto"/>
                <w:spacing w:val="-1"/>
                <w:highlight w:val="none"/>
              </w:rPr>
              <w:t>合同条款号</w:t>
            </w:r>
          </w:p>
        </w:tc>
        <w:tc>
          <w:tcPr>
            <w:tcW w:w="3786" w:type="dxa"/>
            <w:vAlign w:val="top"/>
          </w:tcPr>
          <w:p w14:paraId="1A177D79">
            <w:pPr>
              <w:pStyle w:val="11"/>
              <w:spacing w:before="178" w:line="221" w:lineRule="auto"/>
              <w:ind w:left="1479"/>
              <w:rPr>
                <w:color w:val="auto"/>
                <w:highlight w:val="none"/>
              </w:rPr>
            </w:pPr>
            <w:r>
              <w:rPr>
                <w:color w:val="auto"/>
                <w:spacing w:val="-2"/>
                <w:highlight w:val="none"/>
              </w:rPr>
              <w:t>约定内容</w:t>
            </w:r>
          </w:p>
        </w:tc>
        <w:tc>
          <w:tcPr>
            <w:tcW w:w="729" w:type="dxa"/>
            <w:vAlign w:val="top"/>
          </w:tcPr>
          <w:p w14:paraId="044566AB">
            <w:pPr>
              <w:pStyle w:val="11"/>
              <w:spacing w:before="178" w:line="222" w:lineRule="auto"/>
              <w:ind w:left="159"/>
              <w:rPr>
                <w:color w:val="auto"/>
                <w:highlight w:val="none"/>
              </w:rPr>
            </w:pPr>
            <w:r>
              <w:rPr>
                <w:color w:val="auto"/>
                <w:spacing w:val="-3"/>
                <w:highlight w:val="none"/>
              </w:rPr>
              <w:t>备注</w:t>
            </w:r>
          </w:p>
        </w:tc>
      </w:tr>
      <w:tr w14:paraId="210E4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14:paraId="0C56F64B">
            <w:pPr>
              <w:pStyle w:val="11"/>
              <w:spacing w:before="155" w:line="183" w:lineRule="auto"/>
              <w:ind w:left="330"/>
              <w:rPr>
                <w:color w:val="auto"/>
                <w:highlight w:val="none"/>
              </w:rPr>
            </w:pPr>
            <w:r>
              <w:rPr>
                <w:color w:val="auto"/>
                <w:highlight w:val="none"/>
              </w:rPr>
              <w:t>1</w:t>
            </w:r>
          </w:p>
        </w:tc>
        <w:tc>
          <w:tcPr>
            <w:tcW w:w="2400" w:type="dxa"/>
            <w:vAlign w:val="top"/>
          </w:tcPr>
          <w:p w14:paraId="4D2ECEE3">
            <w:pPr>
              <w:pStyle w:val="11"/>
              <w:spacing w:before="121" w:line="221" w:lineRule="auto"/>
              <w:ind w:left="117"/>
              <w:rPr>
                <w:color w:val="auto"/>
                <w:highlight w:val="none"/>
              </w:rPr>
            </w:pPr>
            <w:r>
              <w:rPr>
                <w:color w:val="auto"/>
                <w:spacing w:val="-2"/>
                <w:highlight w:val="none"/>
              </w:rPr>
              <w:t>项目经理</w:t>
            </w:r>
          </w:p>
        </w:tc>
        <w:tc>
          <w:tcPr>
            <w:tcW w:w="1315" w:type="dxa"/>
            <w:vAlign w:val="top"/>
          </w:tcPr>
          <w:p w14:paraId="162CF09E">
            <w:pPr>
              <w:pStyle w:val="11"/>
              <w:spacing w:before="179" w:line="183" w:lineRule="auto"/>
              <w:ind w:left="308"/>
              <w:rPr>
                <w:color w:val="auto"/>
                <w:highlight w:val="none"/>
              </w:rPr>
            </w:pPr>
            <w:r>
              <w:rPr>
                <w:color w:val="auto"/>
                <w:highlight w:val="none"/>
              </w:rPr>
              <w:fldChar w:fldCharType="begin"/>
            </w:r>
            <w:r>
              <w:rPr>
                <w:color w:val="auto"/>
                <w:highlight w:val="none"/>
              </w:rPr>
              <w:instrText xml:space="preserve"> HYPERLINK "1.1.2.8" </w:instrText>
            </w:r>
            <w:r>
              <w:rPr>
                <w:color w:val="auto"/>
                <w:highlight w:val="none"/>
              </w:rPr>
              <w:fldChar w:fldCharType="separate"/>
            </w:r>
            <w:r>
              <w:rPr>
                <w:color w:val="auto"/>
                <w:spacing w:val="-3"/>
                <w:highlight w:val="none"/>
              </w:rPr>
              <w:t>1.1.2.8</w:t>
            </w:r>
            <w:r>
              <w:rPr>
                <w:color w:val="auto"/>
                <w:spacing w:val="-3"/>
                <w:highlight w:val="none"/>
              </w:rPr>
              <w:fldChar w:fldCharType="end"/>
            </w:r>
          </w:p>
        </w:tc>
        <w:tc>
          <w:tcPr>
            <w:tcW w:w="3786" w:type="dxa"/>
            <w:vAlign w:val="top"/>
          </w:tcPr>
          <w:p w14:paraId="0892F8FE">
            <w:pPr>
              <w:pStyle w:val="11"/>
              <w:spacing w:before="120" w:line="221" w:lineRule="auto"/>
              <w:ind w:left="117"/>
              <w:rPr>
                <w:color w:val="auto"/>
                <w:highlight w:val="none"/>
              </w:rPr>
            </w:pPr>
            <w:r>
              <w:rPr>
                <w:color w:val="auto"/>
                <w:spacing w:val="-5"/>
                <w:highlight w:val="none"/>
              </w:rPr>
              <w:t>（见投标函）</w:t>
            </w:r>
          </w:p>
        </w:tc>
        <w:tc>
          <w:tcPr>
            <w:tcW w:w="729" w:type="dxa"/>
            <w:vAlign w:val="top"/>
          </w:tcPr>
          <w:p w14:paraId="50D4FEC9">
            <w:pPr>
              <w:rPr>
                <w:rFonts w:ascii="Arial"/>
                <w:color w:val="auto"/>
                <w:sz w:val="21"/>
                <w:highlight w:val="none"/>
              </w:rPr>
            </w:pPr>
          </w:p>
        </w:tc>
      </w:tr>
      <w:tr w14:paraId="43301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64A78398">
            <w:pPr>
              <w:pStyle w:val="11"/>
              <w:spacing w:before="137" w:line="182" w:lineRule="auto"/>
              <w:ind w:left="317"/>
              <w:rPr>
                <w:color w:val="auto"/>
                <w:highlight w:val="none"/>
              </w:rPr>
            </w:pPr>
            <w:r>
              <w:rPr>
                <w:color w:val="auto"/>
                <w:highlight w:val="none"/>
              </w:rPr>
              <w:t>2</w:t>
            </w:r>
          </w:p>
        </w:tc>
        <w:tc>
          <w:tcPr>
            <w:tcW w:w="2400" w:type="dxa"/>
            <w:vAlign w:val="top"/>
          </w:tcPr>
          <w:p w14:paraId="13388AAF">
            <w:pPr>
              <w:pStyle w:val="11"/>
              <w:spacing w:before="102" w:line="221" w:lineRule="auto"/>
              <w:ind w:left="116"/>
              <w:rPr>
                <w:color w:val="auto"/>
                <w:highlight w:val="none"/>
              </w:rPr>
            </w:pPr>
            <w:r>
              <w:rPr>
                <w:color w:val="auto"/>
                <w:spacing w:val="-3"/>
                <w:highlight w:val="none"/>
              </w:rPr>
              <w:t>工期</w:t>
            </w:r>
          </w:p>
        </w:tc>
        <w:tc>
          <w:tcPr>
            <w:tcW w:w="1315" w:type="dxa"/>
            <w:vAlign w:val="top"/>
          </w:tcPr>
          <w:p w14:paraId="0B2F8429">
            <w:pPr>
              <w:pStyle w:val="11"/>
              <w:spacing w:before="165" w:line="183" w:lineRule="auto"/>
              <w:ind w:left="308"/>
              <w:rPr>
                <w:color w:val="auto"/>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color w:val="auto"/>
                <w:spacing w:val="-3"/>
                <w:highlight w:val="none"/>
              </w:rPr>
              <w:t>1.1.4.3</w:t>
            </w:r>
            <w:r>
              <w:rPr>
                <w:color w:val="auto"/>
                <w:spacing w:val="-3"/>
                <w:highlight w:val="none"/>
              </w:rPr>
              <w:fldChar w:fldCharType="end"/>
            </w:r>
          </w:p>
        </w:tc>
        <w:tc>
          <w:tcPr>
            <w:tcW w:w="3786" w:type="dxa"/>
            <w:vAlign w:val="top"/>
          </w:tcPr>
          <w:p w14:paraId="6D8625FF">
            <w:pPr>
              <w:pStyle w:val="11"/>
              <w:spacing w:before="101" w:line="221" w:lineRule="auto"/>
              <w:ind w:left="117"/>
              <w:rPr>
                <w:color w:val="auto"/>
                <w:highlight w:val="none"/>
              </w:rPr>
            </w:pPr>
            <w:r>
              <w:rPr>
                <w:color w:val="auto"/>
                <w:spacing w:val="-5"/>
                <w:highlight w:val="none"/>
              </w:rPr>
              <w:t>（见投标函）</w:t>
            </w:r>
          </w:p>
        </w:tc>
        <w:tc>
          <w:tcPr>
            <w:tcW w:w="729" w:type="dxa"/>
            <w:vAlign w:val="top"/>
          </w:tcPr>
          <w:p w14:paraId="2F964580">
            <w:pPr>
              <w:rPr>
                <w:rFonts w:ascii="Arial"/>
                <w:color w:val="auto"/>
                <w:sz w:val="21"/>
                <w:highlight w:val="none"/>
              </w:rPr>
            </w:pPr>
          </w:p>
        </w:tc>
      </w:tr>
      <w:tr w14:paraId="01D98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018C9990">
            <w:pPr>
              <w:pStyle w:val="11"/>
              <w:spacing w:before="137" w:line="182" w:lineRule="auto"/>
              <w:ind w:left="319"/>
              <w:rPr>
                <w:color w:val="auto"/>
                <w:highlight w:val="none"/>
              </w:rPr>
            </w:pPr>
            <w:r>
              <w:rPr>
                <w:color w:val="auto"/>
                <w:highlight w:val="none"/>
              </w:rPr>
              <w:t>3</w:t>
            </w:r>
          </w:p>
        </w:tc>
        <w:tc>
          <w:tcPr>
            <w:tcW w:w="2400" w:type="dxa"/>
            <w:vAlign w:val="top"/>
          </w:tcPr>
          <w:p w14:paraId="74F208AC">
            <w:pPr>
              <w:pStyle w:val="11"/>
              <w:spacing w:before="101" w:line="221" w:lineRule="auto"/>
              <w:ind w:left="113"/>
              <w:rPr>
                <w:color w:val="auto"/>
                <w:highlight w:val="none"/>
              </w:rPr>
            </w:pPr>
            <w:r>
              <w:rPr>
                <w:color w:val="auto"/>
                <w:spacing w:val="-1"/>
                <w:highlight w:val="none"/>
              </w:rPr>
              <w:t>缺陷责任期</w:t>
            </w:r>
          </w:p>
        </w:tc>
        <w:tc>
          <w:tcPr>
            <w:tcW w:w="1315" w:type="dxa"/>
            <w:vAlign w:val="top"/>
          </w:tcPr>
          <w:p w14:paraId="0CBFB2A1">
            <w:pPr>
              <w:pStyle w:val="11"/>
              <w:spacing w:before="160" w:line="183" w:lineRule="auto"/>
              <w:ind w:left="336"/>
              <w:rPr>
                <w:color w:val="auto"/>
                <w:highlight w:val="none"/>
              </w:rPr>
            </w:pPr>
            <w:r>
              <w:rPr>
                <w:color w:val="auto"/>
                <w:highlight w:val="none"/>
              </w:rPr>
              <w:fldChar w:fldCharType="begin"/>
            </w:r>
            <w:r>
              <w:rPr>
                <w:color w:val="auto"/>
                <w:highlight w:val="none"/>
              </w:rPr>
              <w:instrText xml:space="preserve"> HYPERLINK "1.1.4.4" </w:instrText>
            </w:r>
            <w:r>
              <w:rPr>
                <w:color w:val="auto"/>
                <w:highlight w:val="none"/>
              </w:rPr>
              <w:fldChar w:fldCharType="separate"/>
            </w:r>
            <w:r>
              <w:rPr>
                <w:color w:val="auto"/>
                <w:spacing w:val="-3"/>
                <w:highlight w:val="none"/>
              </w:rPr>
              <w:t>1.1.4.4</w:t>
            </w:r>
            <w:r>
              <w:rPr>
                <w:color w:val="auto"/>
                <w:spacing w:val="-3"/>
                <w:highlight w:val="none"/>
              </w:rPr>
              <w:fldChar w:fldCharType="end"/>
            </w:r>
          </w:p>
        </w:tc>
        <w:tc>
          <w:tcPr>
            <w:tcW w:w="3786" w:type="dxa"/>
            <w:vAlign w:val="top"/>
          </w:tcPr>
          <w:p w14:paraId="1D6A76F4">
            <w:pPr>
              <w:rPr>
                <w:rFonts w:ascii="Arial"/>
                <w:color w:val="auto"/>
                <w:sz w:val="21"/>
                <w:highlight w:val="none"/>
              </w:rPr>
            </w:pPr>
          </w:p>
        </w:tc>
        <w:tc>
          <w:tcPr>
            <w:tcW w:w="729" w:type="dxa"/>
            <w:vAlign w:val="top"/>
          </w:tcPr>
          <w:p w14:paraId="6D59886E">
            <w:pPr>
              <w:rPr>
                <w:rFonts w:ascii="Arial"/>
                <w:color w:val="auto"/>
                <w:sz w:val="21"/>
                <w:highlight w:val="none"/>
              </w:rPr>
            </w:pPr>
          </w:p>
        </w:tc>
      </w:tr>
      <w:tr w14:paraId="01D8B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752343C8">
            <w:pPr>
              <w:pStyle w:val="11"/>
              <w:spacing w:before="210" w:line="182" w:lineRule="auto"/>
              <w:ind w:left="314"/>
              <w:rPr>
                <w:color w:val="auto"/>
                <w:highlight w:val="none"/>
              </w:rPr>
            </w:pPr>
            <w:r>
              <w:rPr>
                <w:color w:val="auto"/>
                <w:highlight w:val="none"/>
              </w:rPr>
              <w:t>4</w:t>
            </w:r>
          </w:p>
        </w:tc>
        <w:tc>
          <w:tcPr>
            <w:tcW w:w="2400" w:type="dxa"/>
            <w:vAlign w:val="top"/>
          </w:tcPr>
          <w:p w14:paraId="5D33EADB">
            <w:pPr>
              <w:pStyle w:val="11"/>
              <w:spacing w:before="40" w:line="229" w:lineRule="auto"/>
              <w:ind w:left="113" w:right="102" w:firstLine="4"/>
              <w:rPr>
                <w:color w:val="auto"/>
                <w:highlight w:val="none"/>
              </w:rPr>
            </w:pPr>
            <w:r>
              <w:rPr>
                <w:color w:val="auto"/>
                <w:spacing w:val="7"/>
                <w:highlight w:val="none"/>
              </w:rPr>
              <w:t>项目经理每月在施工现</w:t>
            </w:r>
            <w:r>
              <w:rPr>
                <w:color w:val="auto"/>
                <w:spacing w:val="3"/>
                <w:highlight w:val="none"/>
              </w:rPr>
              <w:t xml:space="preserve"> </w:t>
            </w:r>
            <w:r>
              <w:rPr>
                <w:color w:val="auto"/>
                <w:spacing w:val="-1"/>
                <w:highlight w:val="none"/>
              </w:rPr>
              <w:t>场的时间</w:t>
            </w:r>
          </w:p>
        </w:tc>
        <w:tc>
          <w:tcPr>
            <w:tcW w:w="1315" w:type="dxa"/>
            <w:vAlign w:val="top"/>
          </w:tcPr>
          <w:p w14:paraId="0A5D9DA9">
            <w:pPr>
              <w:pStyle w:val="11"/>
              <w:spacing w:before="233" w:line="183" w:lineRule="auto"/>
              <w:ind w:left="431"/>
              <w:rPr>
                <w:color w:val="auto"/>
                <w:highlight w:val="none"/>
              </w:rPr>
            </w:pPr>
            <w:r>
              <w:rPr>
                <w:color w:val="auto"/>
                <w:spacing w:val="-2"/>
                <w:highlight w:val="none"/>
              </w:rPr>
              <w:t>3.2.1</w:t>
            </w:r>
          </w:p>
        </w:tc>
        <w:tc>
          <w:tcPr>
            <w:tcW w:w="3786" w:type="dxa"/>
            <w:vAlign w:val="top"/>
          </w:tcPr>
          <w:p w14:paraId="7C2CC04C">
            <w:pPr>
              <w:rPr>
                <w:rFonts w:ascii="Arial"/>
                <w:color w:val="auto"/>
                <w:sz w:val="21"/>
                <w:highlight w:val="none"/>
              </w:rPr>
            </w:pPr>
          </w:p>
        </w:tc>
        <w:tc>
          <w:tcPr>
            <w:tcW w:w="729" w:type="dxa"/>
            <w:vAlign w:val="top"/>
          </w:tcPr>
          <w:p w14:paraId="3E55231A">
            <w:pPr>
              <w:rPr>
                <w:rFonts w:ascii="Arial"/>
                <w:color w:val="auto"/>
                <w:sz w:val="21"/>
                <w:highlight w:val="none"/>
              </w:rPr>
            </w:pPr>
          </w:p>
        </w:tc>
      </w:tr>
      <w:tr w14:paraId="07B19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6A60ADD4">
            <w:pPr>
              <w:pStyle w:val="11"/>
              <w:spacing w:before="211" w:line="181" w:lineRule="auto"/>
              <w:ind w:left="319"/>
              <w:rPr>
                <w:color w:val="auto"/>
                <w:highlight w:val="none"/>
              </w:rPr>
            </w:pPr>
            <w:r>
              <w:rPr>
                <w:color w:val="auto"/>
                <w:highlight w:val="none"/>
              </w:rPr>
              <w:t>5</w:t>
            </w:r>
          </w:p>
        </w:tc>
        <w:tc>
          <w:tcPr>
            <w:tcW w:w="2400" w:type="dxa"/>
            <w:vAlign w:val="top"/>
          </w:tcPr>
          <w:p w14:paraId="152C160E">
            <w:pPr>
              <w:pStyle w:val="11"/>
              <w:spacing w:before="40" w:line="229" w:lineRule="auto"/>
              <w:ind w:left="115" w:right="102" w:firstLine="1"/>
              <w:rPr>
                <w:color w:val="auto"/>
                <w:highlight w:val="none"/>
              </w:rPr>
            </w:pPr>
            <w:r>
              <w:rPr>
                <w:color w:val="auto"/>
                <w:spacing w:val="7"/>
                <w:highlight w:val="none"/>
              </w:rPr>
              <w:t>项目经理擅自离开施工</w:t>
            </w:r>
            <w:r>
              <w:rPr>
                <w:color w:val="auto"/>
                <w:spacing w:val="3"/>
                <w:highlight w:val="none"/>
              </w:rPr>
              <w:t xml:space="preserve"> </w:t>
            </w:r>
            <w:r>
              <w:rPr>
                <w:color w:val="auto"/>
                <w:spacing w:val="-1"/>
                <w:highlight w:val="none"/>
              </w:rPr>
              <w:t>现场的违约责任</w:t>
            </w:r>
          </w:p>
        </w:tc>
        <w:tc>
          <w:tcPr>
            <w:tcW w:w="1315" w:type="dxa"/>
            <w:vAlign w:val="top"/>
          </w:tcPr>
          <w:p w14:paraId="538DB474">
            <w:pPr>
              <w:pStyle w:val="11"/>
              <w:spacing w:before="233" w:line="183" w:lineRule="auto"/>
              <w:ind w:left="431"/>
              <w:rPr>
                <w:color w:val="auto"/>
                <w:highlight w:val="none"/>
              </w:rPr>
            </w:pPr>
            <w:r>
              <w:rPr>
                <w:color w:val="auto"/>
                <w:spacing w:val="-2"/>
                <w:highlight w:val="none"/>
              </w:rPr>
              <w:t>3.2.1</w:t>
            </w:r>
          </w:p>
        </w:tc>
        <w:tc>
          <w:tcPr>
            <w:tcW w:w="3786" w:type="dxa"/>
            <w:vAlign w:val="top"/>
          </w:tcPr>
          <w:p w14:paraId="037ADBFD">
            <w:pPr>
              <w:rPr>
                <w:rFonts w:ascii="Arial"/>
                <w:color w:val="auto"/>
                <w:sz w:val="21"/>
                <w:highlight w:val="none"/>
              </w:rPr>
            </w:pPr>
          </w:p>
        </w:tc>
        <w:tc>
          <w:tcPr>
            <w:tcW w:w="729" w:type="dxa"/>
            <w:vAlign w:val="top"/>
          </w:tcPr>
          <w:p w14:paraId="71C2326F">
            <w:pPr>
              <w:rPr>
                <w:rFonts w:ascii="Arial"/>
                <w:color w:val="auto"/>
                <w:sz w:val="21"/>
                <w:highlight w:val="none"/>
              </w:rPr>
            </w:pPr>
          </w:p>
        </w:tc>
      </w:tr>
      <w:tr w14:paraId="32C7F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0F34723A">
            <w:pPr>
              <w:pStyle w:val="11"/>
              <w:spacing w:before="215" w:line="182" w:lineRule="auto"/>
              <w:ind w:left="316"/>
              <w:rPr>
                <w:color w:val="auto"/>
                <w:highlight w:val="none"/>
              </w:rPr>
            </w:pPr>
            <w:r>
              <w:rPr>
                <w:color w:val="auto"/>
                <w:highlight w:val="none"/>
              </w:rPr>
              <w:t>6</w:t>
            </w:r>
          </w:p>
        </w:tc>
        <w:tc>
          <w:tcPr>
            <w:tcW w:w="2400" w:type="dxa"/>
            <w:vAlign w:val="top"/>
          </w:tcPr>
          <w:p w14:paraId="7DBB76D2">
            <w:pPr>
              <w:pStyle w:val="11"/>
              <w:spacing w:before="40" w:line="229" w:lineRule="auto"/>
              <w:ind w:left="118" w:right="102" w:hanging="4"/>
              <w:rPr>
                <w:color w:val="auto"/>
                <w:highlight w:val="none"/>
              </w:rPr>
            </w:pPr>
            <w:r>
              <w:rPr>
                <w:color w:val="auto"/>
                <w:spacing w:val="7"/>
                <w:highlight w:val="none"/>
              </w:rPr>
              <w:t>擅自更换项目经理的违</w:t>
            </w:r>
            <w:r>
              <w:rPr>
                <w:color w:val="auto"/>
                <w:spacing w:val="6"/>
                <w:highlight w:val="none"/>
              </w:rPr>
              <w:t xml:space="preserve"> </w:t>
            </w:r>
            <w:r>
              <w:rPr>
                <w:color w:val="auto"/>
                <w:spacing w:val="-3"/>
                <w:highlight w:val="none"/>
              </w:rPr>
              <w:t>约责任</w:t>
            </w:r>
          </w:p>
        </w:tc>
        <w:tc>
          <w:tcPr>
            <w:tcW w:w="1315" w:type="dxa"/>
            <w:vAlign w:val="top"/>
          </w:tcPr>
          <w:p w14:paraId="64315953">
            <w:pPr>
              <w:pStyle w:val="11"/>
              <w:spacing w:before="239" w:line="182" w:lineRule="auto"/>
              <w:ind w:left="431"/>
              <w:rPr>
                <w:color w:val="auto"/>
                <w:highlight w:val="none"/>
              </w:rPr>
            </w:pPr>
            <w:r>
              <w:rPr>
                <w:color w:val="auto"/>
                <w:spacing w:val="-2"/>
                <w:highlight w:val="none"/>
              </w:rPr>
              <w:t>3.2.3</w:t>
            </w:r>
          </w:p>
        </w:tc>
        <w:tc>
          <w:tcPr>
            <w:tcW w:w="3786" w:type="dxa"/>
            <w:vAlign w:val="top"/>
          </w:tcPr>
          <w:p w14:paraId="017E9D46">
            <w:pPr>
              <w:rPr>
                <w:rFonts w:ascii="Arial"/>
                <w:color w:val="auto"/>
                <w:sz w:val="21"/>
                <w:highlight w:val="none"/>
              </w:rPr>
            </w:pPr>
          </w:p>
        </w:tc>
        <w:tc>
          <w:tcPr>
            <w:tcW w:w="729" w:type="dxa"/>
            <w:vAlign w:val="top"/>
          </w:tcPr>
          <w:p w14:paraId="26237D24">
            <w:pPr>
              <w:rPr>
                <w:rFonts w:ascii="Arial"/>
                <w:color w:val="auto"/>
                <w:sz w:val="21"/>
                <w:highlight w:val="none"/>
              </w:rPr>
            </w:pPr>
          </w:p>
        </w:tc>
      </w:tr>
      <w:tr w14:paraId="683AD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1B3D8F8A">
            <w:pPr>
              <w:pStyle w:val="11"/>
              <w:spacing w:before="216" w:line="181" w:lineRule="auto"/>
              <w:ind w:left="320"/>
              <w:rPr>
                <w:color w:val="auto"/>
                <w:highlight w:val="none"/>
              </w:rPr>
            </w:pPr>
            <w:r>
              <w:rPr>
                <w:color w:val="auto"/>
                <w:highlight w:val="none"/>
              </w:rPr>
              <w:t>7</w:t>
            </w:r>
          </w:p>
        </w:tc>
        <w:tc>
          <w:tcPr>
            <w:tcW w:w="2400" w:type="dxa"/>
            <w:vAlign w:val="top"/>
          </w:tcPr>
          <w:p w14:paraId="64EFE5BF">
            <w:pPr>
              <w:pStyle w:val="11"/>
              <w:spacing w:before="40" w:line="231" w:lineRule="auto"/>
              <w:ind w:left="153" w:right="102" w:hanging="38"/>
              <w:rPr>
                <w:color w:val="auto"/>
                <w:highlight w:val="none"/>
              </w:rPr>
            </w:pPr>
            <w:r>
              <w:rPr>
                <w:color w:val="auto"/>
                <w:spacing w:val="7"/>
                <w:highlight w:val="none"/>
              </w:rPr>
              <w:t>无正当理由拒绝更换项</w:t>
            </w:r>
            <w:r>
              <w:rPr>
                <w:color w:val="auto"/>
                <w:spacing w:val="5"/>
                <w:highlight w:val="none"/>
              </w:rPr>
              <w:t xml:space="preserve"> </w:t>
            </w:r>
            <w:r>
              <w:rPr>
                <w:color w:val="auto"/>
                <w:spacing w:val="-6"/>
                <w:highlight w:val="none"/>
              </w:rPr>
              <w:t>目经理的违约责任</w:t>
            </w:r>
          </w:p>
        </w:tc>
        <w:tc>
          <w:tcPr>
            <w:tcW w:w="1315" w:type="dxa"/>
            <w:vAlign w:val="top"/>
          </w:tcPr>
          <w:p w14:paraId="6D811C01">
            <w:pPr>
              <w:pStyle w:val="11"/>
              <w:spacing w:before="239" w:line="182" w:lineRule="auto"/>
              <w:ind w:left="431"/>
              <w:rPr>
                <w:color w:val="auto"/>
                <w:highlight w:val="none"/>
              </w:rPr>
            </w:pPr>
            <w:r>
              <w:rPr>
                <w:color w:val="auto"/>
                <w:spacing w:val="-2"/>
                <w:highlight w:val="none"/>
              </w:rPr>
              <w:t>3.2.4</w:t>
            </w:r>
          </w:p>
        </w:tc>
        <w:tc>
          <w:tcPr>
            <w:tcW w:w="3786" w:type="dxa"/>
            <w:vAlign w:val="top"/>
          </w:tcPr>
          <w:p w14:paraId="1D9D2756">
            <w:pPr>
              <w:rPr>
                <w:rFonts w:ascii="Arial"/>
                <w:color w:val="auto"/>
                <w:sz w:val="21"/>
                <w:highlight w:val="none"/>
              </w:rPr>
            </w:pPr>
          </w:p>
        </w:tc>
        <w:tc>
          <w:tcPr>
            <w:tcW w:w="729" w:type="dxa"/>
            <w:vAlign w:val="top"/>
          </w:tcPr>
          <w:p w14:paraId="059C47FE">
            <w:pPr>
              <w:rPr>
                <w:rFonts w:ascii="Arial"/>
                <w:color w:val="auto"/>
                <w:sz w:val="21"/>
                <w:highlight w:val="none"/>
              </w:rPr>
            </w:pPr>
          </w:p>
        </w:tc>
      </w:tr>
      <w:tr w14:paraId="0D6C2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14:paraId="50F4C809">
            <w:pPr>
              <w:pStyle w:val="11"/>
              <w:spacing w:before="119" w:line="182" w:lineRule="auto"/>
              <w:ind w:left="316"/>
              <w:rPr>
                <w:color w:val="auto"/>
                <w:highlight w:val="none"/>
              </w:rPr>
            </w:pPr>
            <w:r>
              <w:rPr>
                <w:color w:val="auto"/>
                <w:highlight w:val="none"/>
              </w:rPr>
              <w:t>8</w:t>
            </w:r>
          </w:p>
        </w:tc>
        <w:tc>
          <w:tcPr>
            <w:tcW w:w="2400" w:type="dxa"/>
            <w:vAlign w:val="top"/>
          </w:tcPr>
          <w:p w14:paraId="5ED48048">
            <w:pPr>
              <w:pStyle w:val="11"/>
              <w:spacing w:before="83" w:line="221" w:lineRule="auto"/>
              <w:ind w:left="113"/>
              <w:rPr>
                <w:color w:val="auto"/>
                <w:highlight w:val="none"/>
              </w:rPr>
            </w:pPr>
            <w:r>
              <w:rPr>
                <w:color w:val="auto"/>
                <w:spacing w:val="-1"/>
                <w:highlight w:val="none"/>
              </w:rPr>
              <w:t>承包人履约担保金额</w:t>
            </w:r>
          </w:p>
        </w:tc>
        <w:tc>
          <w:tcPr>
            <w:tcW w:w="1315" w:type="dxa"/>
            <w:vAlign w:val="top"/>
          </w:tcPr>
          <w:p w14:paraId="12A7D7C5">
            <w:pPr>
              <w:pStyle w:val="11"/>
              <w:spacing w:before="119" w:line="182" w:lineRule="auto"/>
              <w:ind w:left="536"/>
              <w:rPr>
                <w:color w:val="auto"/>
                <w:highlight w:val="none"/>
              </w:rPr>
            </w:pPr>
            <w:r>
              <w:rPr>
                <w:color w:val="auto"/>
                <w:spacing w:val="-3"/>
                <w:highlight w:val="none"/>
              </w:rPr>
              <w:t>3.7</w:t>
            </w:r>
          </w:p>
        </w:tc>
        <w:tc>
          <w:tcPr>
            <w:tcW w:w="3786" w:type="dxa"/>
            <w:vAlign w:val="top"/>
          </w:tcPr>
          <w:p w14:paraId="085B90B5">
            <w:pPr>
              <w:rPr>
                <w:rFonts w:ascii="Arial"/>
                <w:color w:val="auto"/>
                <w:sz w:val="21"/>
                <w:highlight w:val="none"/>
              </w:rPr>
            </w:pPr>
          </w:p>
        </w:tc>
        <w:tc>
          <w:tcPr>
            <w:tcW w:w="729" w:type="dxa"/>
            <w:vAlign w:val="top"/>
          </w:tcPr>
          <w:p w14:paraId="6A38D1A2">
            <w:pPr>
              <w:rPr>
                <w:rFonts w:ascii="Arial"/>
                <w:color w:val="auto"/>
                <w:sz w:val="21"/>
                <w:highlight w:val="none"/>
              </w:rPr>
            </w:pPr>
          </w:p>
        </w:tc>
      </w:tr>
      <w:tr w14:paraId="2A00C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14:paraId="541E4FBC">
            <w:pPr>
              <w:pStyle w:val="11"/>
              <w:spacing w:before="104" w:line="182" w:lineRule="auto"/>
              <w:ind w:left="316"/>
              <w:rPr>
                <w:color w:val="auto"/>
                <w:highlight w:val="none"/>
              </w:rPr>
            </w:pPr>
            <w:r>
              <w:rPr>
                <w:color w:val="auto"/>
                <w:highlight w:val="none"/>
              </w:rPr>
              <w:t>9</w:t>
            </w:r>
          </w:p>
        </w:tc>
        <w:tc>
          <w:tcPr>
            <w:tcW w:w="2400" w:type="dxa"/>
            <w:vAlign w:val="top"/>
          </w:tcPr>
          <w:p w14:paraId="4BBA1BAC">
            <w:pPr>
              <w:pStyle w:val="11"/>
              <w:spacing w:before="69" w:line="221" w:lineRule="auto"/>
              <w:ind w:left="116"/>
              <w:rPr>
                <w:color w:val="auto"/>
                <w:highlight w:val="none"/>
              </w:rPr>
            </w:pPr>
            <w:r>
              <w:rPr>
                <w:color w:val="auto"/>
                <w:spacing w:val="-3"/>
                <w:highlight w:val="none"/>
              </w:rPr>
              <w:t>分包</w:t>
            </w:r>
          </w:p>
        </w:tc>
        <w:tc>
          <w:tcPr>
            <w:tcW w:w="1315" w:type="dxa"/>
            <w:vAlign w:val="top"/>
          </w:tcPr>
          <w:p w14:paraId="383BECA2">
            <w:pPr>
              <w:pStyle w:val="11"/>
              <w:spacing w:before="104" w:line="182" w:lineRule="auto"/>
              <w:ind w:left="431"/>
              <w:rPr>
                <w:color w:val="auto"/>
                <w:highlight w:val="none"/>
              </w:rPr>
            </w:pPr>
            <w:r>
              <w:rPr>
                <w:color w:val="auto"/>
                <w:spacing w:val="-2"/>
                <w:highlight w:val="none"/>
              </w:rPr>
              <w:t>3.5.2</w:t>
            </w:r>
          </w:p>
        </w:tc>
        <w:tc>
          <w:tcPr>
            <w:tcW w:w="3786" w:type="dxa"/>
            <w:vAlign w:val="top"/>
          </w:tcPr>
          <w:p w14:paraId="20E87D79">
            <w:pPr>
              <w:pStyle w:val="11"/>
              <w:spacing w:before="69" w:line="220" w:lineRule="auto"/>
              <w:ind w:left="114"/>
              <w:rPr>
                <w:color w:val="auto"/>
                <w:highlight w:val="none"/>
              </w:rPr>
            </w:pPr>
            <w:r>
              <w:rPr>
                <w:color w:val="auto"/>
                <w:spacing w:val="-1"/>
                <w:highlight w:val="none"/>
              </w:rPr>
              <w:t>见拟分包计划表</w:t>
            </w:r>
          </w:p>
        </w:tc>
        <w:tc>
          <w:tcPr>
            <w:tcW w:w="729" w:type="dxa"/>
            <w:vAlign w:val="top"/>
          </w:tcPr>
          <w:p w14:paraId="4D5B4B9B">
            <w:pPr>
              <w:rPr>
                <w:rFonts w:ascii="Arial"/>
                <w:color w:val="auto"/>
                <w:sz w:val="21"/>
                <w:highlight w:val="none"/>
              </w:rPr>
            </w:pPr>
          </w:p>
        </w:tc>
      </w:tr>
      <w:tr w14:paraId="3D693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25" w:type="dxa"/>
            <w:vAlign w:val="top"/>
          </w:tcPr>
          <w:p w14:paraId="5EFE1E60">
            <w:pPr>
              <w:pStyle w:val="11"/>
              <w:spacing w:before="137" w:line="183" w:lineRule="auto"/>
              <w:ind w:left="278"/>
              <w:rPr>
                <w:color w:val="auto"/>
                <w:highlight w:val="none"/>
              </w:rPr>
            </w:pPr>
            <w:r>
              <w:rPr>
                <w:color w:val="auto"/>
                <w:spacing w:val="-6"/>
                <w:highlight w:val="none"/>
              </w:rPr>
              <w:t>10</w:t>
            </w:r>
          </w:p>
        </w:tc>
        <w:tc>
          <w:tcPr>
            <w:tcW w:w="2400" w:type="dxa"/>
            <w:vAlign w:val="top"/>
          </w:tcPr>
          <w:p w14:paraId="57497EE0">
            <w:pPr>
              <w:pStyle w:val="11"/>
              <w:spacing w:before="102" w:line="221" w:lineRule="auto"/>
              <w:ind w:left="112"/>
              <w:rPr>
                <w:color w:val="auto"/>
                <w:highlight w:val="none"/>
              </w:rPr>
            </w:pPr>
            <w:r>
              <w:rPr>
                <w:color w:val="auto"/>
                <w:spacing w:val="-1"/>
                <w:highlight w:val="none"/>
              </w:rPr>
              <w:t>逾期竣工违约金</w:t>
            </w:r>
          </w:p>
        </w:tc>
        <w:tc>
          <w:tcPr>
            <w:tcW w:w="1315" w:type="dxa"/>
            <w:vAlign w:val="top"/>
          </w:tcPr>
          <w:p w14:paraId="0C798ACA">
            <w:pPr>
              <w:pStyle w:val="11"/>
              <w:spacing w:before="138" w:line="182" w:lineRule="auto"/>
              <w:ind w:left="432"/>
              <w:rPr>
                <w:color w:val="auto"/>
                <w:highlight w:val="none"/>
              </w:rPr>
            </w:pPr>
            <w:r>
              <w:rPr>
                <w:color w:val="auto"/>
                <w:spacing w:val="-2"/>
                <w:highlight w:val="none"/>
              </w:rPr>
              <w:t>7.5.2</w:t>
            </w:r>
          </w:p>
        </w:tc>
        <w:tc>
          <w:tcPr>
            <w:tcW w:w="3786" w:type="dxa"/>
            <w:vAlign w:val="top"/>
          </w:tcPr>
          <w:p w14:paraId="6C718C6D">
            <w:pPr>
              <w:pStyle w:val="11"/>
              <w:tabs>
                <w:tab w:val="left" w:pos="1259"/>
              </w:tabs>
              <w:spacing w:before="103" w:line="221" w:lineRule="auto"/>
              <w:ind w:left="102"/>
              <w:rPr>
                <w:color w:val="auto"/>
                <w:highlight w:val="none"/>
              </w:rPr>
            </w:pPr>
            <w:r>
              <w:rPr>
                <w:color w:val="auto"/>
                <w:highlight w:val="none"/>
                <w:u w:val="single" w:color="auto"/>
              </w:rPr>
              <w:tab/>
            </w:r>
            <w:r>
              <w:rPr>
                <w:color w:val="auto"/>
                <w:spacing w:val="-94"/>
                <w:highlight w:val="none"/>
              </w:rPr>
              <w:t xml:space="preserve"> </w:t>
            </w:r>
            <w:r>
              <w:rPr>
                <w:color w:val="auto"/>
                <w:spacing w:val="-3"/>
                <w:highlight w:val="none"/>
              </w:rPr>
              <w:t>元/天</w:t>
            </w:r>
          </w:p>
        </w:tc>
        <w:tc>
          <w:tcPr>
            <w:tcW w:w="729" w:type="dxa"/>
            <w:vAlign w:val="top"/>
          </w:tcPr>
          <w:p w14:paraId="7AD4256B">
            <w:pPr>
              <w:rPr>
                <w:rFonts w:ascii="Arial"/>
                <w:color w:val="auto"/>
                <w:sz w:val="21"/>
                <w:highlight w:val="none"/>
              </w:rPr>
            </w:pPr>
          </w:p>
        </w:tc>
      </w:tr>
      <w:tr w14:paraId="23E7F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37D8E6DE">
            <w:pPr>
              <w:pStyle w:val="11"/>
              <w:spacing w:before="137" w:line="183" w:lineRule="auto"/>
              <w:ind w:left="278"/>
              <w:rPr>
                <w:color w:val="auto"/>
                <w:highlight w:val="none"/>
              </w:rPr>
            </w:pPr>
            <w:r>
              <w:rPr>
                <w:color w:val="auto"/>
                <w:spacing w:val="-6"/>
                <w:highlight w:val="none"/>
              </w:rPr>
              <w:t>11</w:t>
            </w:r>
          </w:p>
        </w:tc>
        <w:tc>
          <w:tcPr>
            <w:tcW w:w="2400" w:type="dxa"/>
            <w:vAlign w:val="top"/>
          </w:tcPr>
          <w:p w14:paraId="4ADEE838">
            <w:pPr>
              <w:pStyle w:val="11"/>
              <w:spacing w:before="102" w:line="221" w:lineRule="auto"/>
              <w:ind w:left="112"/>
              <w:rPr>
                <w:color w:val="auto"/>
                <w:highlight w:val="none"/>
              </w:rPr>
            </w:pPr>
            <w:r>
              <w:rPr>
                <w:color w:val="auto"/>
                <w:spacing w:val="-1"/>
                <w:highlight w:val="none"/>
              </w:rPr>
              <w:t>逾期竣工违约金的上限</w:t>
            </w:r>
          </w:p>
        </w:tc>
        <w:tc>
          <w:tcPr>
            <w:tcW w:w="1315" w:type="dxa"/>
            <w:vAlign w:val="top"/>
          </w:tcPr>
          <w:p w14:paraId="42398410">
            <w:pPr>
              <w:pStyle w:val="11"/>
              <w:spacing w:before="138" w:line="182" w:lineRule="auto"/>
              <w:ind w:left="432"/>
              <w:rPr>
                <w:color w:val="auto"/>
                <w:highlight w:val="none"/>
              </w:rPr>
            </w:pPr>
            <w:r>
              <w:rPr>
                <w:color w:val="auto"/>
                <w:spacing w:val="-2"/>
                <w:highlight w:val="none"/>
              </w:rPr>
              <w:t>7.5.2</w:t>
            </w:r>
          </w:p>
        </w:tc>
        <w:tc>
          <w:tcPr>
            <w:tcW w:w="3786" w:type="dxa"/>
            <w:vAlign w:val="top"/>
          </w:tcPr>
          <w:p w14:paraId="4400F831">
            <w:pPr>
              <w:rPr>
                <w:rFonts w:ascii="Arial"/>
                <w:color w:val="auto"/>
                <w:sz w:val="21"/>
                <w:highlight w:val="none"/>
              </w:rPr>
            </w:pPr>
            <w:r>
              <w:rPr>
                <w:color w:val="auto"/>
                <w:highlight w:val="none"/>
              </w:rPr>
              <w:pict>
                <v:rect id="_x0000_s2075" o:spid="_x0000_s2075" o:spt="1" style="position:absolute;left:0pt;margin-left:5.3pt;margin-top:15.9pt;height:0.5pt;width:68.2pt;mso-position-horizontal-relative:page;mso-position-vertical-relative:page;z-index:251728896;mso-width-relative:page;mso-height-relative:page;" fillcolor="#000000" filled="t" stroked="f" coordsize="21600,21600">
                  <v:path/>
                  <v:fill on="t" focussize="0,0"/>
                  <v:stroke on="f"/>
                  <v:imagedata o:title=""/>
                  <o:lock v:ext="edit"/>
                </v:rect>
              </w:pict>
            </w:r>
          </w:p>
        </w:tc>
        <w:tc>
          <w:tcPr>
            <w:tcW w:w="729" w:type="dxa"/>
            <w:vAlign w:val="top"/>
          </w:tcPr>
          <w:p w14:paraId="46BD2B55">
            <w:pPr>
              <w:rPr>
                <w:rFonts w:ascii="Arial"/>
                <w:color w:val="auto"/>
                <w:sz w:val="21"/>
                <w:highlight w:val="none"/>
              </w:rPr>
            </w:pPr>
          </w:p>
        </w:tc>
      </w:tr>
      <w:tr w14:paraId="79444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14:paraId="68DD3C6B">
            <w:pPr>
              <w:pStyle w:val="11"/>
              <w:spacing w:before="214" w:line="183" w:lineRule="auto"/>
              <w:ind w:left="278"/>
              <w:rPr>
                <w:color w:val="auto"/>
                <w:highlight w:val="none"/>
              </w:rPr>
            </w:pPr>
            <w:r>
              <w:rPr>
                <w:color w:val="auto"/>
                <w:spacing w:val="-6"/>
                <w:highlight w:val="none"/>
              </w:rPr>
              <w:t>12</w:t>
            </w:r>
          </w:p>
        </w:tc>
        <w:tc>
          <w:tcPr>
            <w:tcW w:w="2400" w:type="dxa"/>
            <w:vAlign w:val="top"/>
          </w:tcPr>
          <w:p w14:paraId="2266504F">
            <w:pPr>
              <w:pStyle w:val="11"/>
              <w:spacing w:before="180" w:line="219" w:lineRule="auto"/>
              <w:ind w:left="114"/>
              <w:rPr>
                <w:color w:val="auto"/>
                <w:highlight w:val="none"/>
              </w:rPr>
            </w:pPr>
            <w:r>
              <w:rPr>
                <w:color w:val="auto"/>
                <w:spacing w:val="-1"/>
                <w:highlight w:val="none"/>
              </w:rPr>
              <w:t>价格调整的差额计算</w:t>
            </w:r>
          </w:p>
        </w:tc>
        <w:tc>
          <w:tcPr>
            <w:tcW w:w="1315" w:type="dxa"/>
            <w:vAlign w:val="top"/>
          </w:tcPr>
          <w:p w14:paraId="5655175C">
            <w:pPr>
              <w:pStyle w:val="11"/>
              <w:spacing w:before="214" w:line="183" w:lineRule="auto"/>
              <w:ind w:left="495"/>
              <w:rPr>
                <w:color w:val="auto"/>
                <w:highlight w:val="none"/>
              </w:rPr>
            </w:pPr>
            <w:r>
              <w:rPr>
                <w:color w:val="auto"/>
                <w:spacing w:val="-5"/>
                <w:highlight w:val="none"/>
              </w:rPr>
              <w:t>11.1</w:t>
            </w:r>
          </w:p>
        </w:tc>
        <w:tc>
          <w:tcPr>
            <w:tcW w:w="3786" w:type="dxa"/>
            <w:vAlign w:val="top"/>
          </w:tcPr>
          <w:p w14:paraId="27833A10">
            <w:pPr>
              <w:pStyle w:val="11"/>
              <w:spacing w:before="46" w:line="228" w:lineRule="auto"/>
              <w:ind w:left="112" w:right="101" w:hanging="3"/>
              <w:rPr>
                <w:color w:val="auto"/>
                <w:highlight w:val="none"/>
              </w:rPr>
            </w:pPr>
            <w:r>
              <w:rPr>
                <w:color w:val="auto"/>
                <w:spacing w:val="-6"/>
                <w:highlight w:val="none"/>
              </w:rPr>
              <w:t>采用价格指数进行价格调整时， 见价格</w:t>
            </w:r>
            <w:r>
              <w:rPr>
                <w:color w:val="auto"/>
                <w:spacing w:val="1"/>
                <w:highlight w:val="none"/>
              </w:rPr>
              <w:t xml:space="preserve"> </w:t>
            </w:r>
            <w:r>
              <w:rPr>
                <w:color w:val="auto"/>
                <w:spacing w:val="-1"/>
                <w:highlight w:val="none"/>
              </w:rPr>
              <w:t>指数权重表</w:t>
            </w:r>
          </w:p>
        </w:tc>
        <w:tc>
          <w:tcPr>
            <w:tcW w:w="729" w:type="dxa"/>
            <w:vAlign w:val="top"/>
          </w:tcPr>
          <w:p w14:paraId="5BD82183">
            <w:pPr>
              <w:rPr>
                <w:rFonts w:ascii="Arial"/>
                <w:color w:val="auto"/>
                <w:sz w:val="21"/>
                <w:highlight w:val="none"/>
              </w:rPr>
            </w:pPr>
          </w:p>
        </w:tc>
      </w:tr>
      <w:tr w14:paraId="5244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14:paraId="0FB24372">
            <w:pPr>
              <w:pStyle w:val="11"/>
              <w:spacing w:before="148" w:line="183" w:lineRule="auto"/>
              <w:ind w:left="278"/>
              <w:rPr>
                <w:color w:val="auto"/>
                <w:highlight w:val="none"/>
              </w:rPr>
            </w:pPr>
            <w:r>
              <w:rPr>
                <w:color w:val="auto"/>
                <w:spacing w:val="-6"/>
                <w:highlight w:val="none"/>
              </w:rPr>
              <w:t>13</w:t>
            </w:r>
          </w:p>
        </w:tc>
        <w:tc>
          <w:tcPr>
            <w:tcW w:w="2400" w:type="dxa"/>
            <w:vAlign w:val="top"/>
          </w:tcPr>
          <w:p w14:paraId="746888A0">
            <w:pPr>
              <w:pStyle w:val="11"/>
              <w:spacing w:before="113" w:line="221" w:lineRule="auto"/>
              <w:ind w:left="115"/>
              <w:rPr>
                <w:color w:val="auto"/>
                <w:highlight w:val="none"/>
              </w:rPr>
            </w:pPr>
            <w:r>
              <w:rPr>
                <w:color w:val="auto"/>
                <w:spacing w:val="-1"/>
                <w:highlight w:val="none"/>
              </w:rPr>
              <w:t>预付款支付比例或金额</w:t>
            </w:r>
          </w:p>
        </w:tc>
        <w:tc>
          <w:tcPr>
            <w:tcW w:w="1315" w:type="dxa"/>
            <w:vAlign w:val="top"/>
          </w:tcPr>
          <w:p w14:paraId="2CFFAB4F">
            <w:pPr>
              <w:pStyle w:val="11"/>
              <w:spacing w:before="148" w:line="183" w:lineRule="auto"/>
              <w:ind w:left="389"/>
              <w:rPr>
                <w:color w:val="auto"/>
                <w:highlight w:val="none"/>
              </w:rPr>
            </w:pPr>
            <w:r>
              <w:rPr>
                <w:color w:val="auto"/>
                <w:spacing w:val="-3"/>
                <w:highlight w:val="none"/>
              </w:rPr>
              <w:t>12.2.1</w:t>
            </w:r>
          </w:p>
        </w:tc>
        <w:tc>
          <w:tcPr>
            <w:tcW w:w="3786" w:type="dxa"/>
            <w:vAlign w:val="top"/>
          </w:tcPr>
          <w:p w14:paraId="49534C2A">
            <w:pPr>
              <w:rPr>
                <w:rFonts w:ascii="Arial"/>
                <w:color w:val="auto"/>
                <w:sz w:val="21"/>
                <w:highlight w:val="none"/>
              </w:rPr>
            </w:pPr>
          </w:p>
        </w:tc>
        <w:tc>
          <w:tcPr>
            <w:tcW w:w="729" w:type="dxa"/>
            <w:vAlign w:val="top"/>
          </w:tcPr>
          <w:p w14:paraId="45D9291C">
            <w:pPr>
              <w:rPr>
                <w:rFonts w:ascii="Arial"/>
                <w:color w:val="auto"/>
                <w:sz w:val="21"/>
                <w:highlight w:val="none"/>
              </w:rPr>
            </w:pPr>
          </w:p>
        </w:tc>
      </w:tr>
      <w:tr w14:paraId="002D3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1" w:hRule="atLeast"/>
        </w:trPr>
        <w:tc>
          <w:tcPr>
            <w:tcW w:w="725" w:type="dxa"/>
            <w:vAlign w:val="top"/>
          </w:tcPr>
          <w:p w14:paraId="48F32540">
            <w:pPr>
              <w:pStyle w:val="11"/>
              <w:spacing w:before="181" w:line="183" w:lineRule="auto"/>
              <w:ind w:left="278"/>
              <w:rPr>
                <w:color w:val="auto"/>
                <w:highlight w:val="none"/>
              </w:rPr>
            </w:pPr>
            <w:r>
              <w:rPr>
                <w:color w:val="auto"/>
                <w:spacing w:val="-6"/>
                <w:highlight w:val="none"/>
              </w:rPr>
              <w:t>14</w:t>
            </w:r>
          </w:p>
        </w:tc>
        <w:tc>
          <w:tcPr>
            <w:tcW w:w="2400" w:type="dxa"/>
            <w:vAlign w:val="top"/>
          </w:tcPr>
          <w:p w14:paraId="4D307160">
            <w:pPr>
              <w:pStyle w:val="11"/>
              <w:spacing w:before="113" w:line="221" w:lineRule="auto"/>
              <w:ind w:left="114"/>
              <w:rPr>
                <w:color w:val="auto"/>
                <w:highlight w:val="none"/>
              </w:rPr>
            </w:pPr>
            <w:r>
              <w:rPr>
                <w:color w:val="auto"/>
                <w:spacing w:val="-1"/>
                <w:highlight w:val="none"/>
              </w:rPr>
              <w:t>质量保证金额度</w:t>
            </w:r>
          </w:p>
        </w:tc>
        <w:tc>
          <w:tcPr>
            <w:tcW w:w="1315" w:type="dxa"/>
            <w:vAlign w:val="top"/>
          </w:tcPr>
          <w:p w14:paraId="67F998A5">
            <w:pPr>
              <w:pStyle w:val="11"/>
              <w:spacing w:before="148" w:line="183" w:lineRule="auto"/>
              <w:ind w:left="389"/>
              <w:rPr>
                <w:color w:val="auto"/>
                <w:highlight w:val="none"/>
              </w:rPr>
            </w:pPr>
            <w:r>
              <w:rPr>
                <w:color w:val="auto"/>
                <w:spacing w:val="-3"/>
                <w:highlight w:val="none"/>
              </w:rPr>
              <w:t>15.3.1</w:t>
            </w:r>
          </w:p>
        </w:tc>
        <w:tc>
          <w:tcPr>
            <w:tcW w:w="3786" w:type="dxa"/>
            <w:vAlign w:val="top"/>
          </w:tcPr>
          <w:p w14:paraId="6F2CDFA5">
            <w:pPr>
              <w:rPr>
                <w:rFonts w:ascii="Arial"/>
                <w:color w:val="auto"/>
                <w:sz w:val="21"/>
                <w:highlight w:val="none"/>
              </w:rPr>
            </w:pPr>
          </w:p>
        </w:tc>
        <w:tc>
          <w:tcPr>
            <w:tcW w:w="729" w:type="dxa"/>
            <w:vAlign w:val="top"/>
          </w:tcPr>
          <w:p w14:paraId="3FBCFE38">
            <w:pPr>
              <w:rPr>
                <w:rFonts w:ascii="Arial"/>
                <w:color w:val="auto"/>
                <w:sz w:val="21"/>
                <w:highlight w:val="none"/>
              </w:rPr>
            </w:pPr>
          </w:p>
        </w:tc>
      </w:tr>
      <w:tr w14:paraId="62213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00097F10">
            <w:pPr>
              <w:pStyle w:val="11"/>
              <w:spacing w:before="139" w:line="183" w:lineRule="auto"/>
              <w:ind w:left="278"/>
              <w:rPr>
                <w:color w:val="auto"/>
                <w:highlight w:val="none"/>
              </w:rPr>
            </w:pPr>
            <w:r>
              <w:rPr>
                <w:color w:val="auto"/>
                <w:spacing w:val="-6"/>
                <w:highlight w:val="none"/>
              </w:rPr>
              <w:t>15</w:t>
            </w:r>
          </w:p>
        </w:tc>
        <w:tc>
          <w:tcPr>
            <w:tcW w:w="2400" w:type="dxa"/>
            <w:vAlign w:val="top"/>
          </w:tcPr>
          <w:p w14:paraId="1DF7B800">
            <w:pPr>
              <w:pStyle w:val="11"/>
              <w:spacing w:before="105" w:line="221" w:lineRule="auto"/>
              <w:ind w:left="114"/>
              <w:rPr>
                <w:color w:val="auto"/>
                <w:highlight w:val="none"/>
              </w:rPr>
            </w:pPr>
            <w:r>
              <w:rPr>
                <w:color w:val="auto"/>
                <w:spacing w:val="-1"/>
                <w:highlight w:val="none"/>
              </w:rPr>
              <w:t>质量保证金的扣留方式</w:t>
            </w:r>
          </w:p>
        </w:tc>
        <w:tc>
          <w:tcPr>
            <w:tcW w:w="1315" w:type="dxa"/>
            <w:vAlign w:val="top"/>
          </w:tcPr>
          <w:p w14:paraId="5DE508E2">
            <w:pPr>
              <w:pStyle w:val="11"/>
              <w:spacing w:before="139" w:line="183" w:lineRule="auto"/>
              <w:ind w:left="389"/>
              <w:rPr>
                <w:color w:val="auto"/>
                <w:highlight w:val="none"/>
              </w:rPr>
            </w:pPr>
            <w:r>
              <w:rPr>
                <w:color w:val="auto"/>
                <w:spacing w:val="-3"/>
                <w:highlight w:val="none"/>
              </w:rPr>
              <w:t>15.3.2</w:t>
            </w:r>
          </w:p>
        </w:tc>
        <w:tc>
          <w:tcPr>
            <w:tcW w:w="3786" w:type="dxa"/>
            <w:vAlign w:val="top"/>
          </w:tcPr>
          <w:p w14:paraId="1C7D1C87">
            <w:pPr>
              <w:rPr>
                <w:rFonts w:ascii="Arial"/>
                <w:color w:val="auto"/>
                <w:sz w:val="21"/>
                <w:highlight w:val="none"/>
              </w:rPr>
            </w:pPr>
          </w:p>
        </w:tc>
        <w:tc>
          <w:tcPr>
            <w:tcW w:w="729" w:type="dxa"/>
            <w:vAlign w:val="top"/>
          </w:tcPr>
          <w:p w14:paraId="762D5A0E">
            <w:pPr>
              <w:rPr>
                <w:rFonts w:ascii="Arial"/>
                <w:color w:val="auto"/>
                <w:sz w:val="21"/>
                <w:highlight w:val="none"/>
              </w:rPr>
            </w:pPr>
          </w:p>
        </w:tc>
      </w:tr>
      <w:tr w14:paraId="03817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14:paraId="0D2F6351">
            <w:pPr>
              <w:pStyle w:val="11"/>
              <w:spacing w:before="231" w:line="183" w:lineRule="auto"/>
              <w:ind w:left="278"/>
              <w:rPr>
                <w:color w:val="auto"/>
                <w:highlight w:val="none"/>
              </w:rPr>
            </w:pPr>
            <w:r>
              <w:rPr>
                <w:color w:val="auto"/>
                <w:spacing w:val="-6"/>
                <w:highlight w:val="none"/>
              </w:rPr>
              <w:t>16</w:t>
            </w:r>
          </w:p>
        </w:tc>
        <w:tc>
          <w:tcPr>
            <w:tcW w:w="2400" w:type="dxa"/>
            <w:vAlign w:val="top"/>
          </w:tcPr>
          <w:p w14:paraId="045156C2">
            <w:pPr>
              <w:pStyle w:val="11"/>
              <w:spacing w:before="196" w:line="221" w:lineRule="auto"/>
              <w:ind w:left="114"/>
              <w:rPr>
                <w:color w:val="auto"/>
                <w:highlight w:val="none"/>
              </w:rPr>
            </w:pPr>
            <w:r>
              <w:rPr>
                <w:color w:val="auto"/>
                <w:spacing w:val="-1"/>
                <w:highlight w:val="none"/>
              </w:rPr>
              <w:t>技术标准和要求</w:t>
            </w:r>
          </w:p>
        </w:tc>
        <w:tc>
          <w:tcPr>
            <w:tcW w:w="1315" w:type="dxa"/>
            <w:vAlign w:val="top"/>
          </w:tcPr>
          <w:p w14:paraId="2623F596">
            <w:pPr>
              <w:rPr>
                <w:rFonts w:ascii="Arial"/>
                <w:color w:val="auto"/>
                <w:sz w:val="21"/>
                <w:highlight w:val="none"/>
              </w:rPr>
            </w:pPr>
          </w:p>
        </w:tc>
        <w:tc>
          <w:tcPr>
            <w:tcW w:w="3786" w:type="dxa"/>
            <w:vAlign w:val="top"/>
          </w:tcPr>
          <w:p w14:paraId="23DC96B7">
            <w:pPr>
              <w:pStyle w:val="11"/>
              <w:spacing w:before="196" w:line="220" w:lineRule="auto"/>
              <w:ind w:left="112"/>
              <w:rPr>
                <w:color w:val="auto"/>
                <w:highlight w:val="none"/>
              </w:rPr>
            </w:pPr>
            <w:r>
              <w:rPr>
                <w:color w:val="auto"/>
                <w:spacing w:val="-1"/>
                <w:highlight w:val="none"/>
              </w:rPr>
              <w:t>符合第七章“技术标准和要求”规定</w:t>
            </w:r>
          </w:p>
        </w:tc>
        <w:tc>
          <w:tcPr>
            <w:tcW w:w="729" w:type="dxa"/>
            <w:vAlign w:val="top"/>
          </w:tcPr>
          <w:p w14:paraId="14B4478B">
            <w:pPr>
              <w:rPr>
                <w:rFonts w:ascii="Arial"/>
                <w:color w:val="auto"/>
                <w:sz w:val="21"/>
                <w:highlight w:val="none"/>
              </w:rPr>
            </w:pPr>
          </w:p>
        </w:tc>
      </w:tr>
      <w:tr w14:paraId="6F57E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14:paraId="34A17459">
            <w:pPr>
              <w:pStyle w:val="11"/>
              <w:spacing w:before="116" w:line="230" w:lineRule="auto"/>
              <w:ind w:left="134" w:right="106" w:hanging="14"/>
              <w:rPr>
                <w:color w:val="auto"/>
                <w:highlight w:val="none"/>
              </w:rPr>
            </w:pPr>
            <w:r>
              <w:rPr>
                <w:color w:val="auto"/>
                <w:highlight w:val="none"/>
              </w:rPr>
              <w:t>备注： 投标人在响应招标文件中规定的实质性要求和条件的基础上，可做出其他有利于招标人</w:t>
            </w:r>
            <w:r>
              <w:rPr>
                <w:color w:val="auto"/>
                <w:spacing w:val="6"/>
                <w:highlight w:val="none"/>
              </w:rPr>
              <w:t xml:space="preserve"> </w:t>
            </w:r>
            <w:r>
              <w:rPr>
                <w:color w:val="auto"/>
                <w:spacing w:val="-3"/>
                <w:highlight w:val="none"/>
              </w:rPr>
              <w:t>的承诺。此类承诺可在本表中予以补充填写。</w:t>
            </w:r>
          </w:p>
        </w:tc>
      </w:tr>
    </w:tbl>
    <w:p w14:paraId="7C26ADB6">
      <w:pPr>
        <w:pStyle w:val="3"/>
        <w:spacing w:line="269" w:lineRule="auto"/>
        <w:rPr>
          <w:color w:val="auto"/>
          <w:highlight w:val="none"/>
        </w:rPr>
      </w:pPr>
    </w:p>
    <w:p w14:paraId="2CD31C80">
      <w:pPr>
        <w:pStyle w:val="3"/>
        <w:spacing w:line="270" w:lineRule="auto"/>
        <w:rPr>
          <w:color w:val="auto"/>
          <w:highlight w:val="none"/>
        </w:rPr>
      </w:pPr>
    </w:p>
    <w:p w14:paraId="75966C29">
      <w:pPr>
        <w:spacing w:before="69" w:line="388" w:lineRule="auto"/>
        <w:ind w:left="4010"/>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投</w:t>
      </w:r>
      <w:r>
        <w:rPr>
          <w:rFonts w:ascii="宋体" w:hAnsi="宋体" w:eastAsia="宋体" w:cs="宋体"/>
          <w:color w:val="auto"/>
          <w:spacing w:val="-43"/>
          <w:sz w:val="21"/>
          <w:szCs w:val="21"/>
          <w:highlight w:val="none"/>
        </w:rPr>
        <w:t xml:space="preserve"> </w:t>
      </w:r>
      <w:r>
        <w:rPr>
          <w:rFonts w:ascii="宋体" w:hAnsi="宋体" w:eastAsia="宋体" w:cs="宋体"/>
          <w:color w:val="auto"/>
          <w:spacing w:val="-22"/>
          <w:sz w:val="21"/>
          <w:szCs w:val="21"/>
          <w:highlight w:val="none"/>
        </w:rPr>
        <w:t>标</w:t>
      </w:r>
      <w:r>
        <w:rPr>
          <w:rFonts w:ascii="宋体" w:hAnsi="宋体" w:eastAsia="宋体" w:cs="宋体"/>
          <w:color w:val="auto"/>
          <w:spacing w:val="-43"/>
          <w:sz w:val="21"/>
          <w:szCs w:val="21"/>
          <w:highlight w:val="none"/>
        </w:rPr>
        <w:t xml:space="preserve"> </w:t>
      </w:r>
      <w:r>
        <w:rPr>
          <w:rFonts w:ascii="宋体" w:hAnsi="宋体" w:eastAsia="宋体" w:cs="宋体"/>
          <w:color w:val="auto"/>
          <w:spacing w:val="-22"/>
          <w:sz w:val="21"/>
          <w:szCs w:val="21"/>
          <w:highlight w:val="none"/>
        </w:rPr>
        <w:t>人</w:t>
      </w:r>
      <w:r>
        <w:rPr>
          <w:rFonts w:ascii="宋体" w:hAnsi="宋体" w:eastAsia="宋体" w:cs="宋体"/>
          <w:color w:val="auto"/>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2"/>
          <w:sz w:val="21"/>
          <w:szCs w:val="21"/>
          <w:highlight w:val="none"/>
        </w:rPr>
        <w:t>盖单位章）</w:t>
      </w:r>
    </w:p>
    <w:p w14:paraId="695545BB">
      <w:pPr>
        <w:spacing w:line="219" w:lineRule="auto"/>
        <w:ind w:left="27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法定代表人或授权委托人</w:t>
      </w:r>
      <w:r>
        <w:rPr>
          <w:rFonts w:ascii="宋体" w:hAnsi="宋体" w:eastAsia="宋体" w:cs="宋体"/>
          <w:color w:val="auto"/>
          <w:spacing w:val="-10"/>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1"/>
          <w:sz w:val="21"/>
          <w:szCs w:val="21"/>
          <w:highlight w:val="none"/>
        </w:rPr>
        <w:t>签章）</w:t>
      </w:r>
    </w:p>
    <w:p w14:paraId="6B25EA10">
      <w:pPr>
        <w:tabs>
          <w:tab w:val="left" w:pos="5839"/>
        </w:tabs>
        <w:spacing w:before="191" w:line="221" w:lineRule="auto"/>
        <w:ind w:left="536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372788FA">
      <w:pPr>
        <w:spacing w:line="221" w:lineRule="auto"/>
        <w:rPr>
          <w:rFonts w:ascii="宋体" w:hAnsi="宋体" w:eastAsia="宋体" w:cs="宋体"/>
          <w:color w:val="auto"/>
          <w:sz w:val="21"/>
          <w:szCs w:val="21"/>
          <w:highlight w:val="none"/>
        </w:rPr>
        <w:sectPr>
          <w:footerReference r:id="rId214" w:type="default"/>
          <w:pgSz w:w="11905" w:h="16839"/>
          <w:pgMar w:top="400" w:right="1469" w:bottom="1004" w:left="1474" w:header="0" w:footer="828" w:gutter="0"/>
          <w:pgNumType w:fmt="decimal"/>
          <w:cols w:space="720" w:num="1"/>
        </w:sectPr>
      </w:pPr>
    </w:p>
    <w:p w14:paraId="6C5484DC">
      <w:pPr>
        <w:pStyle w:val="3"/>
        <w:spacing w:line="257" w:lineRule="auto"/>
        <w:rPr>
          <w:color w:val="auto"/>
          <w:highlight w:val="none"/>
        </w:rPr>
      </w:pPr>
    </w:p>
    <w:p w14:paraId="70DCF7A0">
      <w:pPr>
        <w:pStyle w:val="3"/>
        <w:spacing w:line="257" w:lineRule="auto"/>
        <w:rPr>
          <w:color w:val="auto"/>
          <w:highlight w:val="none"/>
        </w:rPr>
      </w:pPr>
    </w:p>
    <w:p w14:paraId="656E44FD">
      <w:pPr>
        <w:pStyle w:val="3"/>
        <w:spacing w:line="257" w:lineRule="auto"/>
        <w:rPr>
          <w:color w:val="auto"/>
          <w:highlight w:val="none"/>
        </w:rPr>
      </w:pPr>
    </w:p>
    <w:p w14:paraId="4B815C33">
      <w:pPr>
        <w:pStyle w:val="3"/>
        <w:spacing w:line="258" w:lineRule="auto"/>
        <w:rPr>
          <w:color w:val="auto"/>
          <w:highlight w:val="none"/>
        </w:rPr>
      </w:pPr>
    </w:p>
    <w:p w14:paraId="0D0024EA">
      <w:pPr>
        <w:spacing w:before="87" w:line="225" w:lineRule="auto"/>
        <w:ind w:left="3078"/>
        <w:rPr>
          <w:rFonts w:ascii="黑体" w:hAnsi="黑体" w:eastAsia="黑体" w:cs="黑体"/>
          <w:color w:val="auto"/>
          <w:sz w:val="27"/>
          <w:szCs w:val="27"/>
          <w:highlight w:val="none"/>
        </w:rPr>
      </w:pPr>
      <w:bookmarkStart w:id="1325" w:name="bookmark298"/>
      <w:bookmarkEnd w:id="1325"/>
      <w:r>
        <w:rPr>
          <w:rFonts w:ascii="黑体" w:hAnsi="黑体" w:eastAsia="黑体" w:cs="黑体"/>
          <w:color w:val="auto"/>
          <w:spacing w:val="3"/>
          <w:sz w:val="27"/>
          <w:szCs w:val="27"/>
          <w:highlight w:val="none"/>
        </w:rPr>
        <w:t>（三）告知承诺函</w:t>
      </w:r>
    </w:p>
    <w:p w14:paraId="041042D4">
      <w:pPr>
        <w:spacing w:before="161" w:line="386" w:lineRule="auto"/>
        <w:ind w:left="19" w:right="153"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我单位参与</w:t>
      </w:r>
      <w:r>
        <w:rPr>
          <w:rFonts w:ascii="宋体" w:hAnsi="宋体" w:eastAsia="宋体" w:cs="宋体"/>
          <w:color w:val="auto"/>
          <w:sz w:val="21"/>
          <w:szCs w:val="21"/>
          <w:highlight w:val="none"/>
          <w:u w:val="single" w:color="auto"/>
        </w:rPr>
        <w:t xml:space="preserve">  （标段名称 ）  </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的投标。根据《中华</w:t>
      </w:r>
      <w:r>
        <w:rPr>
          <w:rFonts w:ascii="宋体" w:hAnsi="宋体" w:eastAsia="宋体" w:cs="宋体"/>
          <w:color w:val="auto"/>
          <w:spacing w:val="-1"/>
          <w:sz w:val="21"/>
          <w:szCs w:val="21"/>
          <w:highlight w:val="none"/>
        </w:rPr>
        <w:t>人民共和国招标投标法》等法律法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规的规定，我已知悉本单位相关权利义务，作为法定代表人（或授权委托人</w:t>
      </w:r>
      <w:r>
        <w:rPr>
          <w:rFonts w:ascii="宋体" w:hAnsi="宋体" w:eastAsia="宋体" w:cs="宋体"/>
          <w:color w:val="auto"/>
          <w:spacing w:val="-30"/>
          <w:sz w:val="21"/>
          <w:szCs w:val="21"/>
          <w:highlight w:val="none"/>
        </w:rPr>
        <w:t>），</w:t>
      </w:r>
      <w:r>
        <w:rPr>
          <w:rFonts w:ascii="宋体" w:hAnsi="宋体" w:eastAsia="宋体" w:cs="宋体"/>
          <w:color w:val="auto"/>
          <w:spacing w:val="-1"/>
          <w:sz w:val="21"/>
          <w:szCs w:val="21"/>
          <w:highlight w:val="none"/>
        </w:rPr>
        <w:t>本人清楚知</w:t>
      </w:r>
    </w:p>
    <w:p w14:paraId="61E48988">
      <w:pPr>
        <w:spacing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晓我单位在本项目投标活动的情况。本人已详细阅读告知承诺函的内容，并在此郑重承诺：</w:t>
      </w:r>
    </w:p>
    <w:p w14:paraId="63D25D04">
      <w:pPr>
        <w:spacing w:before="192" w:line="441" w:lineRule="exact"/>
        <w:ind w:left="444"/>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一、我单位和我本人遵循公开、公平、公正、诚实守信的原则，  依法依规参与本项目</w:t>
      </w:r>
    </w:p>
    <w:p w14:paraId="125BF810">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投标。</w:t>
      </w:r>
    </w:p>
    <w:p w14:paraId="6882836A">
      <w:pPr>
        <w:spacing w:before="185" w:line="442" w:lineRule="exact"/>
        <w:ind w:left="444"/>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二、我单位具有参与本次投标的资质和能力，公司运营状况良好，</w:t>
      </w:r>
      <w:r>
        <w:rPr>
          <w:rFonts w:ascii="宋体" w:hAnsi="宋体" w:eastAsia="宋体" w:cs="宋体"/>
          <w:color w:val="auto"/>
          <w:spacing w:val="-4"/>
          <w:position w:val="17"/>
          <w:sz w:val="21"/>
          <w:szCs w:val="21"/>
          <w:highlight w:val="none"/>
        </w:rPr>
        <w:t xml:space="preserve">  不存在挂靠投标、</w:t>
      </w:r>
    </w:p>
    <w:p w14:paraId="2EBA30F5">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不受让、租借、出租、出借资格或资质证书，无处罚期内的不良行为。</w:t>
      </w:r>
    </w:p>
    <w:p w14:paraId="5CECD241">
      <w:pPr>
        <w:spacing w:before="192" w:line="436" w:lineRule="exact"/>
        <w:ind w:left="441"/>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三、我单位在本项目投标过程中从招标公告</w:t>
      </w:r>
      <w:r>
        <w:rPr>
          <w:rFonts w:ascii="Times New Roman" w:hAnsi="Times New Roman" w:eastAsia="Times New Roman" w:cs="Times New Roman"/>
          <w:color w:val="auto"/>
          <w:spacing w:val="1"/>
          <w:position w:val="16"/>
          <w:sz w:val="21"/>
          <w:szCs w:val="21"/>
          <w:highlight w:val="none"/>
        </w:rPr>
        <w:t>/</w:t>
      </w:r>
      <w:r>
        <w:rPr>
          <w:rFonts w:ascii="宋体" w:hAnsi="宋体" w:eastAsia="宋体" w:cs="宋体"/>
          <w:color w:val="auto"/>
          <w:spacing w:val="1"/>
          <w:position w:val="16"/>
          <w:sz w:val="21"/>
          <w:szCs w:val="21"/>
          <w:highlight w:val="none"/>
        </w:rPr>
        <w:t>投标邀请书列明的渠道获取招标文件，没</w:t>
      </w:r>
    </w:p>
    <w:p w14:paraId="242E3FF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有通过其他不正当渠道获取招标文件。</w:t>
      </w:r>
    </w:p>
    <w:p w14:paraId="031DC0D8">
      <w:pPr>
        <w:spacing w:before="191" w:line="442" w:lineRule="exact"/>
        <w:ind w:left="461"/>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四、我单位承诺投标文件由本单位员工独立编</w:t>
      </w:r>
      <w:r>
        <w:rPr>
          <w:rFonts w:ascii="宋体" w:hAnsi="宋体" w:eastAsia="宋体" w:cs="宋体"/>
          <w:color w:val="auto"/>
          <w:spacing w:val="2"/>
          <w:position w:val="17"/>
          <w:sz w:val="21"/>
          <w:szCs w:val="21"/>
          <w:highlight w:val="none"/>
        </w:rPr>
        <w:t>制，严格遵守保密义务。所提供的一切</w:t>
      </w:r>
    </w:p>
    <w:p w14:paraId="7D52CAA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投标相关材料都是真实、有效、合法的。</w:t>
      </w:r>
    </w:p>
    <w:p w14:paraId="36B80E4C">
      <w:pPr>
        <w:spacing w:before="187" w:line="441" w:lineRule="exact"/>
        <w:ind w:left="444"/>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五、我单位不与其他投标人相互串通投标报价， 不恶意压低或抬高投标报价，不排挤</w:t>
      </w:r>
    </w:p>
    <w:p w14:paraId="6BEEE72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其他投标人的公平竞争，不损害招标人或其他投标人</w:t>
      </w:r>
      <w:r>
        <w:rPr>
          <w:rFonts w:ascii="宋体" w:hAnsi="宋体" w:eastAsia="宋体" w:cs="宋体"/>
          <w:color w:val="auto"/>
          <w:spacing w:val="-1"/>
          <w:sz w:val="21"/>
          <w:szCs w:val="21"/>
          <w:highlight w:val="none"/>
        </w:rPr>
        <w:t>的合法权益。</w:t>
      </w:r>
    </w:p>
    <w:p w14:paraId="3585AB99">
      <w:pPr>
        <w:spacing w:before="190" w:line="43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六、我单位不与招标人或招标代理机构串通投标，损害国家利益、社会公共利益或者</w:t>
      </w:r>
    </w:p>
    <w:p w14:paraId="17BE5F2C">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他人的合法权益。</w:t>
      </w:r>
    </w:p>
    <w:p w14:paraId="1DB95CAC">
      <w:pPr>
        <w:spacing w:before="191" w:line="442" w:lineRule="exact"/>
        <w:ind w:left="440"/>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七、我单位不向招标人或者评标委员会成员行贿以牟取中标，不在开标后进行虚假恶</w:t>
      </w:r>
    </w:p>
    <w:p w14:paraId="0581ED9E">
      <w:pPr>
        <w:spacing w:line="221" w:lineRule="auto"/>
        <w:ind w:left="2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意投诉。</w:t>
      </w:r>
    </w:p>
    <w:p w14:paraId="384F2F79">
      <w:pPr>
        <w:spacing w:before="185" w:line="387" w:lineRule="auto"/>
        <w:ind w:left="20" w:right="156"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八、我单位和我个人清楚并知晓《中华人民共和国刑法》第二百二十三条“投标人相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互串通投标报价， 损害招标人或者其他投标人利益</w:t>
      </w:r>
      <w:r>
        <w:rPr>
          <w:rFonts w:ascii="宋体" w:hAnsi="宋体" w:eastAsia="宋体" w:cs="宋体"/>
          <w:color w:val="auto"/>
          <w:spacing w:val="-3"/>
          <w:sz w:val="21"/>
          <w:szCs w:val="21"/>
          <w:highlight w:val="none"/>
        </w:rPr>
        <w:t>，情节严重的， 处三年以下有期徒刑或</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者拘役，并处或者单处罚金。投标人与招标人串通投标，损害国家、集体</w:t>
      </w:r>
      <w:r>
        <w:rPr>
          <w:rFonts w:ascii="宋体" w:hAnsi="宋体" w:eastAsia="宋体" w:cs="宋体"/>
          <w:color w:val="auto"/>
          <w:spacing w:val="2"/>
          <w:sz w:val="21"/>
          <w:szCs w:val="21"/>
          <w:highlight w:val="none"/>
        </w:rPr>
        <w:t>、公民的合法利</w:t>
      </w:r>
    </w:p>
    <w:p w14:paraId="4D6132C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益的，依照前款的规定处罚”的规定。</w:t>
      </w:r>
    </w:p>
    <w:p w14:paraId="6F1C04B2">
      <w:pPr>
        <w:spacing w:before="191" w:line="443" w:lineRule="exact"/>
        <w:ind w:left="446"/>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九、我单位如在本项目招标投标活动评标工作中存在串通投标、弄</w:t>
      </w:r>
      <w:r>
        <w:rPr>
          <w:rFonts w:ascii="宋体" w:hAnsi="宋体" w:eastAsia="宋体" w:cs="宋体"/>
          <w:color w:val="auto"/>
          <w:spacing w:val="2"/>
          <w:position w:val="17"/>
          <w:sz w:val="21"/>
          <w:szCs w:val="21"/>
          <w:highlight w:val="none"/>
        </w:rPr>
        <w:t>虚作假等行为的，</w:t>
      </w:r>
    </w:p>
    <w:p w14:paraId="3BA042AB">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本单位及本人自愿承担法律责任，接受相应刑事、纪律和行政处罚以及失信惩戒。</w:t>
      </w:r>
    </w:p>
    <w:p w14:paraId="79EDCB31">
      <w:pPr>
        <w:spacing w:before="187"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十、本承诺函由我单位盖章及法定代表人（授权委托人）本人亲自盖章</w:t>
      </w:r>
      <w:r>
        <w:rPr>
          <w:rFonts w:ascii="宋体" w:hAnsi="宋体" w:eastAsia="宋体" w:cs="宋体"/>
          <w:color w:val="auto"/>
          <w:spacing w:val="-1"/>
          <w:sz w:val="21"/>
          <w:szCs w:val="21"/>
          <w:highlight w:val="none"/>
        </w:rPr>
        <w:t>或签字确认。</w:t>
      </w:r>
    </w:p>
    <w:p w14:paraId="7A667E49">
      <w:pPr>
        <w:pStyle w:val="3"/>
        <w:spacing w:line="280" w:lineRule="auto"/>
        <w:rPr>
          <w:color w:val="auto"/>
          <w:highlight w:val="none"/>
        </w:rPr>
      </w:pPr>
    </w:p>
    <w:p w14:paraId="6A8B41A1">
      <w:pPr>
        <w:pStyle w:val="3"/>
        <w:spacing w:line="281" w:lineRule="auto"/>
        <w:rPr>
          <w:color w:val="auto"/>
          <w:highlight w:val="none"/>
        </w:rPr>
      </w:pPr>
    </w:p>
    <w:p w14:paraId="6DE00184">
      <w:pPr>
        <w:spacing w:before="69" w:line="437" w:lineRule="exact"/>
        <w:ind w:left="5166"/>
        <w:rPr>
          <w:rFonts w:ascii="宋体" w:hAnsi="宋体" w:eastAsia="宋体" w:cs="宋体"/>
          <w:color w:val="auto"/>
          <w:sz w:val="21"/>
          <w:szCs w:val="21"/>
          <w:highlight w:val="none"/>
        </w:rPr>
      </w:pPr>
      <w:r>
        <w:rPr>
          <w:rFonts w:ascii="宋体" w:hAnsi="宋体" w:eastAsia="宋体" w:cs="宋体"/>
          <w:color w:val="auto"/>
          <w:spacing w:val="-11"/>
          <w:position w:val="17"/>
          <w:sz w:val="21"/>
          <w:szCs w:val="21"/>
          <w:highlight w:val="none"/>
        </w:rPr>
        <w:t>承诺单位</w:t>
      </w:r>
      <w:r>
        <w:rPr>
          <w:rFonts w:ascii="宋体" w:hAnsi="宋体" w:eastAsia="宋体" w:cs="宋体"/>
          <w:color w:val="auto"/>
          <w:spacing w:val="-5"/>
          <w:position w:val="17"/>
          <w:sz w:val="21"/>
          <w:szCs w:val="21"/>
          <w:highlight w:val="none"/>
        </w:rPr>
        <w:t>：（</w:t>
      </w:r>
      <w:r>
        <w:rPr>
          <w:rFonts w:ascii="宋体" w:hAnsi="宋体" w:eastAsia="宋体" w:cs="宋体"/>
          <w:color w:val="auto"/>
          <w:spacing w:val="-11"/>
          <w:position w:val="17"/>
          <w:sz w:val="21"/>
          <w:szCs w:val="21"/>
          <w:highlight w:val="none"/>
        </w:rPr>
        <w:t>盖单位章）</w:t>
      </w:r>
    </w:p>
    <w:p w14:paraId="68EF01C3">
      <w:pPr>
        <w:spacing w:before="1" w:line="219" w:lineRule="auto"/>
        <w:ind w:left="411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签章）</w:t>
      </w:r>
    </w:p>
    <w:p w14:paraId="4D4EF1CC">
      <w:pPr>
        <w:spacing w:before="191" w:line="221" w:lineRule="auto"/>
        <w:ind w:left="4441"/>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承诺时间：</w:t>
      </w:r>
      <w:r>
        <w:rPr>
          <w:rFonts w:ascii="宋体" w:hAnsi="宋体" w:eastAsia="宋体" w:cs="宋体"/>
          <w:color w:val="auto"/>
          <w:spacing w:val="30"/>
          <w:sz w:val="21"/>
          <w:szCs w:val="21"/>
          <w:highlight w:val="none"/>
        </w:rPr>
        <w:t xml:space="preserve">  </w:t>
      </w:r>
      <w:r>
        <w:rPr>
          <w:rFonts w:ascii="宋体" w:hAnsi="宋体" w:eastAsia="宋体" w:cs="宋体"/>
          <w:color w:val="auto"/>
          <w:spacing w:val="-17"/>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7"/>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7"/>
          <w:sz w:val="21"/>
          <w:szCs w:val="21"/>
          <w:highlight w:val="none"/>
        </w:rPr>
        <w:t>日</w:t>
      </w:r>
    </w:p>
    <w:p w14:paraId="459B0CFE">
      <w:pPr>
        <w:spacing w:line="221" w:lineRule="auto"/>
        <w:rPr>
          <w:rFonts w:ascii="宋体" w:hAnsi="宋体" w:eastAsia="宋体" w:cs="宋体"/>
          <w:color w:val="auto"/>
          <w:sz w:val="21"/>
          <w:szCs w:val="21"/>
          <w:highlight w:val="none"/>
        </w:rPr>
        <w:sectPr>
          <w:footerReference r:id="rId215" w:type="default"/>
          <w:pgSz w:w="11905" w:h="16839"/>
          <w:pgMar w:top="400" w:right="1635" w:bottom="1004" w:left="1785" w:header="0" w:footer="828" w:gutter="0"/>
          <w:pgNumType w:fmt="decimal"/>
          <w:cols w:space="720" w:num="1"/>
        </w:sectPr>
      </w:pPr>
    </w:p>
    <w:p w14:paraId="4CA3F243">
      <w:pPr>
        <w:pStyle w:val="3"/>
        <w:spacing w:line="257" w:lineRule="auto"/>
        <w:rPr>
          <w:color w:val="auto"/>
          <w:highlight w:val="none"/>
        </w:rPr>
      </w:pPr>
    </w:p>
    <w:p w14:paraId="114707FE">
      <w:pPr>
        <w:pStyle w:val="3"/>
        <w:spacing w:line="257" w:lineRule="auto"/>
        <w:rPr>
          <w:color w:val="auto"/>
          <w:highlight w:val="none"/>
        </w:rPr>
      </w:pPr>
    </w:p>
    <w:p w14:paraId="0BDD6067">
      <w:pPr>
        <w:pStyle w:val="3"/>
        <w:spacing w:line="257" w:lineRule="auto"/>
        <w:rPr>
          <w:color w:val="auto"/>
          <w:highlight w:val="none"/>
        </w:rPr>
      </w:pPr>
    </w:p>
    <w:p w14:paraId="28F10729">
      <w:pPr>
        <w:pStyle w:val="3"/>
        <w:spacing w:line="257" w:lineRule="auto"/>
        <w:rPr>
          <w:color w:val="auto"/>
          <w:highlight w:val="none"/>
        </w:rPr>
      </w:pPr>
    </w:p>
    <w:p w14:paraId="1D0687D6">
      <w:pPr>
        <w:spacing w:before="88" w:line="224" w:lineRule="auto"/>
        <w:ind w:left="3361"/>
        <w:rPr>
          <w:rFonts w:ascii="黑体" w:hAnsi="黑体" w:eastAsia="黑体" w:cs="黑体"/>
          <w:color w:val="auto"/>
          <w:sz w:val="27"/>
          <w:szCs w:val="27"/>
          <w:highlight w:val="none"/>
        </w:rPr>
      </w:pPr>
      <w:bookmarkStart w:id="1326" w:name="bookmark301"/>
      <w:bookmarkEnd w:id="1326"/>
      <w:bookmarkStart w:id="1327" w:name="bookmark299"/>
      <w:bookmarkEnd w:id="1327"/>
      <w:bookmarkStart w:id="1328" w:name="bookmark300"/>
      <w:bookmarkEnd w:id="1328"/>
      <w:r>
        <w:rPr>
          <w:rFonts w:ascii="黑体" w:hAnsi="黑体" w:eastAsia="黑体" w:cs="黑体"/>
          <w:color w:val="auto"/>
          <w:spacing w:val="-2"/>
          <w:sz w:val="27"/>
          <w:szCs w:val="27"/>
          <w:highlight w:val="none"/>
        </w:rPr>
        <w:t>（四）声明函</w:t>
      </w:r>
    </w:p>
    <w:p w14:paraId="6BABDD18">
      <w:pPr>
        <w:pStyle w:val="3"/>
        <w:spacing w:line="266" w:lineRule="auto"/>
        <w:rPr>
          <w:color w:val="auto"/>
          <w:highlight w:val="none"/>
        </w:rPr>
      </w:pPr>
    </w:p>
    <w:p w14:paraId="3BAF52E9">
      <w:pPr>
        <w:pStyle w:val="3"/>
        <w:spacing w:line="266" w:lineRule="auto"/>
        <w:rPr>
          <w:color w:val="auto"/>
          <w:highlight w:val="none"/>
        </w:rPr>
      </w:pPr>
    </w:p>
    <w:p w14:paraId="400E1AF3">
      <w:pPr>
        <w:spacing w:before="69" w:line="220" w:lineRule="auto"/>
        <w:ind w:left="440"/>
        <w:rPr>
          <w:rFonts w:ascii="宋体" w:hAnsi="宋体" w:eastAsia="宋体" w:cs="宋体"/>
          <w:color w:val="auto"/>
          <w:sz w:val="21"/>
          <w:szCs w:val="21"/>
          <w:highlight w:val="none"/>
        </w:rPr>
      </w:pPr>
      <w:r>
        <w:rPr>
          <w:rFonts w:ascii="宋体" w:hAnsi="宋体" w:eastAsia="宋体" w:cs="宋体"/>
          <w:color w:val="auto"/>
          <w:sz w:val="21"/>
          <w:szCs w:val="21"/>
          <w:highlight w:val="none"/>
        </w:rPr>
        <w:t>在本项目编制投标文件过程中，我单位声明</w:t>
      </w:r>
      <w:r>
        <w:rPr>
          <w:rFonts w:ascii="宋体" w:hAnsi="宋体" w:eastAsia="宋体" w:cs="宋体"/>
          <w:color w:val="auto"/>
          <w:spacing w:val="-1"/>
          <w:sz w:val="21"/>
          <w:szCs w:val="21"/>
          <w:highlight w:val="none"/>
        </w:rPr>
        <w:t>如下：</w:t>
      </w:r>
    </w:p>
    <w:p w14:paraId="13CF6E01">
      <w:pPr>
        <w:spacing w:before="186" w:line="220"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一、未与本标段其他投标人委托同一单位或同</w:t>
      </w:r>
      <w:r>
        <w:rPr>
          <w:rFonts w:ascii="宋体" w:hAnsi="宋体" w:eastAsia="宋体" w:cs="宋体"/>
          <w:color w:val="auto"/>
          <w:spacing w:val="-1"/>
          <w:sz w:val="21"/>
          <w:szCs w:val="21"/>
          <w:highlight w:val="none"/>
        </w:rPr>
        <w:t>一人编制投标文件；</w:t>
      </w:r>
    </w:p>
    <w:p w14:paraId="52037957">
      <w:pPr>
        <w:spacing w:before="191" w:line="219"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二、未与本标段其他投标人协商投标报价；</w:t>
      </w:r>
    </w:p>
    <w:p w14:paraId="521736A9">
      <w:pPr>
        <w:spacing w:before="192"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三、未与本标段其他投标人使用同一电脑等电子设备编制投标文</w:t>
      </w:r>
      <w:r>
        <w:rPr>
          <w:rFonts w:ascii="宋体" w:hAnsi="宋体" w:eastAsia="宋体" w:cs="宋体"/>
          <w:color w:val="auto"/>
          <w:spacing w:val="-2"/>
          <w:sz w:val="21"/>
          <w:szCs w:val="21"/>
          <w:highlight w:val="none"/>
        </w:rPr>
        <w:t>件；</w:t>
      </w:r>
    </w:p>
    <w:p w14:paraId="6E7DFC56">
      <w:pPr>
        <w:spacing w:before="186" w:line="220"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四、未使用“网络虚拟设备”等无法识别电子设备归属的电脑编制投标文件；</w:t>
      </w:r>
    </w:p>
    <w:p w14:paraId="71D470F9">
      <w:pPr>
        <w:spacing w:before="192" w:line="386" w:lineRule="auto"/>
        <w:ind w:left="39" w:right="428"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五、本项目技术标（施工组织设计）是针对本项目现场实际、技术特点以及施工 </w:t>
      </w:r>
      <w:r>
        <w:rPr>
          <w:rFonts w:ascii="宋体" w:hAnsi="宋体" w:eastAsia="宋体" w:cs="宋体"/>
          <w:color w:val="auto"/>
          <w:sz w:val="21"/>
          <w:szCs w:val="21"/>
          <w:highlight w:val="none"/>
        </w:rPr>
        <w:t>图纸而编制的相应的技术方案， 在编制过程中未抄袭、摘</w:t>
      </w:r>
      <w:r>
        <w:rPr>
          <w:rFonts w:ascii="宋体" w:hAnsi="宋体" w:eastAsia="宋体" w:cs="宋体"/>
          <w:color w:val="auto"/>
          <w:spacing w:val="-1"/>
          <w:sz w:val="21"/>
          <w:szCs w:val="21"/>
          <w:highlight w:val="none"/>
        </w:rPr>
        <w:t>抄网络或其他项目相关技术</w:t>
      </w:r>
    </w:p>
    <w:p w14:paraId="6FB9EF41">
      <w:pPr>
        <w:spacing w:before="1" w:line="220" w:lineRule="auto"/>
        <w:ind w:left="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资料，对文件内容具有独立自主知识产权；</w:t>
      </w:r>
    </w:p>
    <w:p w14:paraId="0042A6A1">
      <w:pPr>
        <w:spacing w:before="190" w:line="443" w:lineRule="exact"/>
        <w:ind w:left="442"/>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六、本项目经济标（投标报价）是依据本项目给定的图纸、工程量清单、最高投</w:t>
      </w:r>
    </w:p>
    <w:p w14:paraId="3D8A607E">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标限价以及现场实际独立编制的，对投标报价编制的完整性、</w:t>
      </w:r>
      <w:r>
        <w:rPr>
          <w:rFonts w:ascii="宋体" w:hAnsi="宋体" w:eastAsia="宋体" w:cs="宋体"/>
          <w:color w:val="auto"/>
          <w:spacing w:val="-1"/>
          <w:sz w:val="21"/>
          <w:szCs w:val="21"/>
          <w:highlight w:val="none"/>
        </w:rPr>
        <w:t>准确性负责；</w:t>
      </w:r>
    </w:p>
    <w:p w14:paraId="0614B375">
      <w:pPr>
        <w:spacing w:before="187" w:line="387" w:lineRule="auto"/>
        <w:ind w:left="18" w:right="425"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七、本项目资信标提供的材料均为我单位真实、有效和完整的材料， 不存在任何</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弄虚作假行为。投标文件所附的各类材料均为我单位提供相关材料和填写的内容在主 体信息库依据规则生成，我单位已对材料进行确认，并认可提供材料的有效性、真实</w:t>
      </w:r>
    </w:p>
    <w:p w14:paraId="6EBA08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性和完整性。</w:t>
      </w:r>
    </w:p>
    <w:p w14:paraId="2E56BAB0">
      <w:pPr>
        <w:spacing w:before="191" w:line="386" w:lineRule="auto"/>
        <w:ind w:left="19" w:right="428"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我单位对以上声明内容完全负责， 如违反以上任一一款，评标委员会有权依据招</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标文件相应条款否决我单位投标文件，招标人有权依据相关法律不接受我单位投标并</w:t>
      </w:r>
    </w:p>
    <w:p w14:paraId="41D270DA">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没收我单位投标保证金，由此造成的一切法律责任和经济损失我单位均予以承担。</w:t>
      </w:r>
    </w:p>
    <w:p w14:paraId="7835A53C">
      <w:pPr>
        <w:spacing w:before="191" w:line="221" w:lineRule="auto"/>
        <w:ind w:left="44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特此声明！</w:t>
      </w:r>
    </w:p>
    <w:p w14:paraId="7FC13E9D">
      <w:pPr>
        <w:pStyle w:val="3"/>
        <w:spacing w:line="286" w:lineRule="auto"/>
        <w:rPr>
          <w:color w:val="auto"/>
          <w:highlight w:val="none"/>
        </w:rPr>
      </w:pPr>
    </w:p>
    <w:p w14:paraId="4A0EF29A">
      <w:pPr>
        <w:pStyle w:val="3"/>
        <w:spacing w:line="287" w:lineRule="auto"/>
        <w:rPr>
          <w:color w:val="auto"/>
          <w:highlight w:val="none"/>
        </w:rPr>
      </w:pPr>
    </w:p>
    <w:p w14:paraId="02B00976">
      <w:pPr>
        <w:pStyle w:val="3"/>
        <w:spacing w:line="287" w:lineRule="auto"/>
        <w:rPr>
          <w:color w:val="auto"/>
          <w:highlight w:val="none"/>
        </w:rPr>
      </w:pPr>
    </w:p>
    <w:p w14:paraId="3F8B65DA">
      <w:pPr>
        <w:pStyle w:val="3"/>
        <w:spacing w:line="287" w:lineRule="auto"/>
        <w:rPr>
          <w:color w:val="auto"/>
          <w:highlight w:val="none"/>
        </w:rPr>
      </w:pPr>
    </w:p>
    <w:p w14:paraId="100563F1">
      <w:pPr>
        <w:pStyle w:val="3"/>
        <w:spacing w:line="287" w:lineRule="auto"/>
        <w:rPr>
          <w:color w:val="auto"/>
          <w:highlight w:val="none"/>
        </w:rPr>
      </w:pPr>
    </w:p>
    <w:p w14:paraId="4FDBD72E">
      <w:pPr>
        <w:spacing w:before="68" w:line="220" w:lineRule="auto"/>
        <w:ind w:left="4118"/>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声明单位</w:t>
      </w:r>
      <w:r>
        <w:rPr>
          <w:rFonts w:ascii="宋体" w:hAnsi="宋体" w:eastAsia="宋体" w:cs="宋体"/>
          <w:color w:val="auto"/>
          <w:spacing w:val="-7"/>
          <w:sz w:val="21"/>
          <w:szCs w:val="21"/>
          <w:highlight w:val="none"/>
        </w:rPr>
        <w:t>：（</w:t>
      </w:r>
      <w:r>
        <w:rPr>
          <w:rFonts w:ascii="宋体" w:hAnsi="宋体" w:eastAsia="宋体" w:cs="宋体"/>
          <w:color w:val="auto"/>
          <w:spacing w:val="-11"/>
          <w:sz w:val="21"/>
          <w:szCs w:val="21"/>
          <w:highlight w:val="none"/>
        </w:rPr>
        <w:t>盖单位章）</w:t>
      </w:r>
    </w:p>
    <w:p w14:paraId="71C6C8BE">
      <w:pPr>
        <w:spacing w:before="187" w:line="220" w:lineRule="auto"/>
        <w:ind w:left="411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签章）</w:t>
      </w:r>
    </w:p>
    <w:p w14:paraId="430DC9EB">
      <w:pPr>
        <w:spacing w:before="191" w:line="221" w:lineRule="auto"/>
        <w:ind w:left="4133"/>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声明时间：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5"/>
          <w:sz w:val="21"/>
          <w:szCs w:val="21"/>
          <w:highlight w:val="none"/>
        </w:rPr>
        <w:t xml:space="preserve">   </w:t>
      </w:r>
      <w:r>
        <w:rPr>
          <w:rFonts w:ascii="宋体" w:hAnsi="宋体" w:eastAsia="宋体" w:cs="宋体"/>
          <w:color w:val="auto"/>
          <w:spacing w:val="-19"/>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9"/>
          <w:sz w:val="21"/>
          <w:szCs w:val="21"/>
          <w:highlight w:val="none"/>
        </w:rPr>
        <w:t>日</w:t>
      </w:r>
    </w:p>
    <w:p w14:paraId="09F0A004">
      <w:pPr>
        <w:spacing w:line="221" w:lineRule="auto"/>
        <w:rPr>
          <w:rFonts w:ascii="宋体" w:hAnsi="宋体" w:eastAsia="宋体" w:cs="宋体"/>
          <w:color w:val="auto"/>
          <w:sz w:val="21"/>
          <w:szCs w:val="21"/>
          <w:highlight w:val="none"/>
        </w:rPr>
        <w:sectPr>
          <w:footerReference r:id="rId216" w:type="default"/>
          <w:pgSz w:w="11905" w:h="16839"/>
          <w:pgMar w:top="400" w:right="1785" w:bottom="1004" w:left="1785" w:header="0" w:footer="828" w:gutter="0"/>
          <w:pgNumType w:fmt="decimal"/>
          <w:cols w:space="720" w:num="1"/>
        </w:sectPr>
      </w:pPr>
    </w:p>
    <w:p w14:paraId="5F4CA4FA">
      <w:pPr>
        <w:pStyle w:val="3"/>
        <w:spacing w:line="255" w:lineRule="auto"/>
        <w:rPr>
          <w:color w:val="auto"/>
          <w:highlight w:val="none"/>
        </w:rPr>
      </w:pPr>
    </w:p>
    <w:p w14:paraId="06E761E2">
      <w:pPr>
        <w:pStyle w:val="3"/>
        <w:spacing w:line="256" w:lineRule="auto"/>
        <w:rPr>
          <w:color w:val="auto"/>
          <w:highlight w:val="none"/>
        </w:rPr>
      </w:pPr>
    </w:p>
    <w:p w14:paraId="1749E70C">
      <w:pPr>
        <w:pStyle w:val="3"/>
        <w:spacing w:line="256" w:lineRule="auto"/>
        <w:rPr>
          <w:color w:val="auto"/>
          <w:highlight w:val="none"/>
        </w:rPr>
      </w:pPr>
    </w:p>
    <w:p w14:paraId="4CACFDD5">
      <w:pPr>
        <w:pStyle w:val="3"/>
        <w:spacing w:line="256" w:lineRule="auto"/>
        <w:rPr>
          <w:color w:val="auto"/>
          <w:highlight w:val="none"/>
        </w:rPr>
      </w:pPr>
    </w:p>
    <w:p w14:paraId="3B48E0D3">
      <w:pPr>
        <w:spacing w:before="88" w:line="224" w:lineRule="auto"/>
        <w:ind w:left="2642"/>
        <w:rPr>
          <w:rFonts w:ascii="黑体" w:hAnsi="黑体" w:eastAsia="黑体" w:cs="黑体"/>
          <w:color w:val="auto"/>
          <w:sz w:val="27"/>
          <w:szCs w:val="27"/>
          <w:highlight w:val="none"/>
        </w:rPr>
      </w:pPr>
      <w:bookmarkStart w:id="1329" w:name="bookmark302"/>
      <w:bookmarkEnd w:id="1329"/>
      <w:r>
        <w:rPr>
          <w:rFonts w:ascii="黑体" w:hAnsi="黑体" w:eastAsia="黑体" w:cs="黑体"/>
          <w:color w:val="auto"/>
          <w:spacing w:val="8"/>
          <w:sz w:val="27"/>
          <w:szCs w:val="27"/>
          <w:highlight w:val="none"/>
        </w:rPr>
        <w:t>二、法定代表人身份证明</w:t>
      </w:r>
    </w:p>
    <w:p w14:paraId="3FAA9101">
      <w:pPr>
        <w:tabs>
          <w:tab w:val="left" w:pos="6939"/>
        </w:tabs>
        <w:spacing w:before="211" w:line="440" w:lineRule="auto"/>
        <w:ind w:left="18" w:right="1393" w:firstLine="2"/>
        <w:jc w:val="both"/>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1"/>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3"/>
          <w:w w:val="96"/>
          <w:sz w:val="21"/>
          <w:szCs w:val="21"/>
          <w:highlight w:val="none"/>
        </w:rPr>
        <w:t>单位性质：</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66FE400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成立时间：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19"/>
          <w:sz w:val="21"/>
          <w:szCs w:val="21"/>
          <w:highlight w:val="none"/>
        </w:rPr>
        <w:t>月</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19"/>
          <w:sz w:val="21"/>
          <w:szCs w:val="21"/>
          <w:highlight w:val="none"/>
        </w:rPr>
        <w:t>日</w:t>
      </w:r>
    </w:p>
    <w:p w14:paraId="67EB2524">
      <w:pPr>
        <w:spacing w:before="248" w:line="221" w:lineRule="auto"/>
        <w:ind w:left="20"/>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经营期限：</w:t>
      </w:r>
      <w:r>
        <w:rPr>
          <w:rFonts w:ascii="宋体" w:hAnsi="宋体" w:eastAsia="宋体" w:cs="宋体"/>
          <w:color w:val="auto"/>
          <w:spacing w:val="20"/>
          <w:sz w:val="21"/>
          <w:szCs w:val="21"/>
          <w:highlight w:val="none"/>
        </w:rPr>
        <w:t xml:space="preserve"> </w:t>
      </w:r>
      <w:r>
        <w:rPr>
          <w:rFonts w:ascii="宋体" w:hAnsi="宋体" w:eastAsia="宋体" w:cs="宋体"/>
          <w:color w:val="auto"/>
          <w:sz w:val="21"/>
          <w:szCs w:val="21"/>
          <w:highlight w:val="none"/>
          <w:u w:val="single" w:color="auto"/>
        </w:rPr>
        <w:t xml:space="preserve">                                                        </w:t>
      </w:r>
    </w:p>
    <w:p w14:paraId="0296FA23">
      <w:pPr>
        <w:spacing w:before="248" w:line="221" w:lineRule="auto"/>
        <w:ind w:left="18"/>
        <w:rPr>
          <w:rFonts w:ascii="宋体" w:hAnsi="宋体" w:eastAsia="宋体" w:cs="宋体"/>
          <w:color w:val="auto"/>
          <w:sz w:val="21"/>
          <w:szCs w:val="21"/>
          <w:highlight w:val="none"/>
        </w:rPr>
      </w:pPr>
      <w:r>
        <w:rPr>
          <w:rFonts w:ascii="宋体" w:hAnsi="宋体" w:eastAsia="宋体" w:cs="宋体"/>
          <w:color w:val="auto"/>
          <w:spacing w:val="-30"/>
          <w:sz w:val="21"/>
          <w:szCs w:val="21"/>
          <w:highlight w:val="none"/>
        </w:rPr>
        <w:t>姓</w:t>
      </w:r>
      <w:r>
        <w:rPr>
          <w:rFonts w:ascii="宋体" w:hAnsi="宋体" w:eastAsia="宋体" w:cs="宋体"/>
          <w:color w:val="auto"/>
          <w:spacing w:val="3"/>
          <w:sz w:val="21"/>
          <w:szCs w:val="21"/>
          <w:highlight w:val="none"/>
        </w:rPr>
        <w:t xml:space="preserve">    </w:t>
      </w:r>
      <w:r>
        <w:rPr>
          <w:rFonts w:ascii="宋体" w:hAnsi="宋体" w:eastAsia="宋体" w:cs="宋体"/>
          <w:color w:val="auto"/>
          <w:spacing w:val="-30"/>
          <w:sz w:val="21"/>
          <w:szCs w:val="21"/>
          <w:highlight w:val="none"/>
        </w:rPr>
        <w:t>名：</w:t>
      </w:r>
      <w:r>
        <w:rPr>
          <w:rFonts w:ascii="宋体" w:hAnsi="宋体" w:eastAsia="宋体" w:cs="宋体"/>
          <w:color w:val="auto"/>
          <w:spacing w:val="-3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0"/>
          <w:sz w:val="21"/>
          <w:szCs w:val="21"/>
          <w:highlight w:val="none"/>
        </w:rPr>
        <w:t>性</w:t>
      </w:r>
      <w:r>
        <w:rPr>
          <w:rFonts w:ascii="宋体" w:hAnsi="宋体" w:eastAsia="宋体" w:cs="宋体"/>
          <w:color w:val="auto"/>
          <w:sz w:val="21"/>
          <w:szCs w:val="21"/>
          <w:highlight w:val="none"/>
        </w:rPr>
        <w:t xml:space="preserve">        </w:t>
      </w:r>
      <w:r>
        <w:rPr>
          <w:rFonts w:ascii="宋体" w:hAnsi="宋体" w:eastAsia="宋体" w:cs="宋体"/>
          <w:color w:val="auto"/>
          <w:spacing w:val="-30"/>
          <w:sz w:val="21"/>
          <w:szCs w:val="21"/>
          <w:highlight w:val="none"/>
        </w:rPr>
        <w:t>别：</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u w:val="single" w:color="auto"/>
        </w:rPr>
        <w:t xml:space="preserve">                </w:t>
      </w:r>
    </w:p>
    <w:p w14:paraId="05C7CAE4">
      <w:pPr>
        <w:spacing w:before="247" w:line="221" w:lineRule="auto"/>
        <w:ind w:left="19"/>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龄：</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29"/>
          <w:w w:val="99"/>
          <w:sz w:val="21"/>
          <w:szCs w:val="21"/>
          <w:highlight w:val="none"/>
        </w:rPr>
        <w:t>职</w:t>
      </w:r>
      <w:r>
        <w:rPr>
          <w:rFonts w:ascii="宋体" w:hAnsi="宋体" w:eastAsia="宋体" w:cs="宋体"/>
          <w:color w:val="auto"/>
          <w:sz w:val="21"/>
          <w:szCs w:val="21"/>
          <w:highlight w:val="none"/>
        </w:rPr>
        <w:t xml:space="preserve">        </w:t>
      </w:r>
      <w:r>
        <w:rPr>
          <w:rFonts w:ascii="宋体" w:hAnsi="宋体" w:eastAsia="宋体" w:cs="宋体"/>
          <w:color w:val="auto"/>
          <w:spacing w:val="-29"/>
          <w:w w:val="99"/>
          <w:sz w:val="21"/>
          <w:szCs w:val="21"/>
          <w:highlight w:val="none"/>
        </w:rPr>
        <w:t>务：</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u w:val="single" w:color="auto"/>
        </w:rPr>
        <w:t xml:space="preserve">                </w:t>
      </w:r>
    </w:p>
    <w:p w14:paraId="57182E84">
      <w:pPr>
        <w:spacing w:before="254" w:line="439" w:lineRule="auto"/>
        <w:ind w:left="22"/>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系</w:t>
      </w:r>
      <w:r>
        <w:rPr>
          <w:rFonts w:ascii="宋体" w:hAnsi="宋体" w:eastAsia="宋体" w:cs="宋体"/>
          <w:color w:val="auto"/>
          <w:spacing w:val="-9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w:t>
      </w:r>
      <w:r>
        <w:rPr>
          <w:rFonts w:ascii="宋体" w:hAnsi="宋体" w:eastAsia="宋体" w:cs="宋体"/>
          <w:color w:val="auto"/>
          <w:spacing w:val="-17"/>
          <w:sz w:val="21"/>
          <w:szCs w:val="21"/>
          <w:highlight w:val="none"/>
        </w:rPr>
        <w:t>（投标人名称）</w:t>
      </w:r>
      <w:r>
        <w:rPr>
          <w:rFonts w:ascii="宋体" w:hAnsi="宋体" w:eastAsia="宋体" w:cs="宋体"/>
          <w:color w:val="auto"/>
          <w:spacing w:val="35"/>
          <w:sz w:val="21"/>
          <w:szCs w:val="21"/>
          <w:highlight w:val="none"/>
        </w:rPr>
        <w:t xml:space="preserve"> </w:t>
      </w:r>
      <w:r>
        <w:rPr>
          <w:rFonts w:ascii="宋体" w:hAnsi="宋体" w:eastAsia="宋体" w:cs="宋体"/>
          <w:color w:val="auto"/>
          <w:spacing w:val="-17"/>
          <w:sz w:val="21"/>
          <w:szCs w:val="21"/>
          <w:highlight w:val="none"/>
        </w:rPr>
        <w:t>的法定代表人。</w:t>
      </w:r>
    </w:p>
    <w:p w14:paraId="731486E5">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特此证明。</w:t>
      </w:r>
    </w:p>
    <w:p w14:paraId="59913685">
      <w:pPr>
        <w:pStyle w:val="3"/>
        <w:spacing w:line="292" w:lineRule="auto"/>
        <w:rPr>
          <w:color w:val="auto"/>
          <w:highlight w:val="none"/>
        </w:rPr>
      </w:pPr>
    </w:p>
    <w:p w14:paraId="54B14888">
      <w:pPr>
        <w:pStyle w:val="3"/>
        <w:spacing w:line="293" w:lineRule="auto"/>
        <w:rPr>
          <w:color w:val="auto"/>
          <w:highlight w:val="none"/>
        </w:rPr>
      </w:pPr>
    </w:p>
    <w:p w14:paraId="42662FD7">
      <w:pPr>
        <w:pStyle w:val="3"/>
        <w:spacing w:line="293" w:lineRule="auto"/>
        <w:rPr>
          <w:color w:val="auto"/>
          <w:highlight w:val="none"/>
        </w:rPr>
      </w:pPr>
    </w:p>
    <w:p w14:paraId="4A95D93A">
      <w:pPr>
        <w:pStyle w:val="3"/>
        <w:spacing w:line="293" w:lineRule="auto"/>
        <w:rPr>
          <w:color w:val="auto"/>
          <w:highlight w:val="none"/>
        </w:rPr>
      </w:pPr>
    </w:p>
    <w:p w14:paraId="47B56104">
      <w:pPr>
        <w:spacing w:before="68" w:line="439" w:lineRule="auto"/>
        <w:ind w:right="11"/>
        <w:jc w:val="right"/>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pacing w:val="-16"/>
          <w:sz w:val="21"/>
          <w:szCs w:val="21"/>
          <w:highlight w:val="none"/>
        </w:rPr>
        <w:t>：</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7"/>
          <w:sz w:val="21"/>
          <w:szCs w:val="21"/>
          <w:highlight w:val="none"/>
        </w:rPr>
        <w:t xml:space="preserve"> </w:t>
      </w:r>
      <w:r>
        <w:rPr>
          <w:rFonts w:ascii="宋体" w:hAnsi="宋体" w:eastAsia="宋体" w:cs="宋体"/>
          <w:color w:val="auto"/>
          <w:spacing w:val="-16"/>
          <w:sz w:val="21"/>
          <w:szCs w:val="21"/>
          <w:highlight w:val="none"/>
        </w:rPr>
        <w:t>（</w:t>
      </w:r>
      <w:r>
        <w:rPr>
          <w:rFonts w:ascii="宋体" w:hAnsi="宋体" w:eastAsia="宋体" w:cs="宋体"/>
          <w:color w:val="auto"/>
          <w:spacing w:val="-23"/>
          <w:w w:val="98"/>
          <w:sz w:val="21"/>
          <w:szCs w:val="21"/>
          <w:highlight w:val="none"/>
        </w:rPr>
        <w:t>盖单位章）</w:t>
      </w:r>
    </w:p>
    <w:p w14:paraId="77E06089">
      <w:pPr>
        <w:tabs>
          <w:tab w:val="left" w:pos="5915"/>
        </w:tabs>
        <w:spacing w:before="1" w:line="220" w:lineRule="auto"/>
        <w:ind w:left="496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22ECF52F">
      <w:pPr>
        <w:spacing w:line="220" w:lineRule="auto"/>
        <w:rPr>
          <w:rFonts w:ascii="宋体" w:hAnsi="宋体" w:eastAsia="宋体" w:cs="宋体"/>
          <w:color w:val="auto"/>
          <w:sz w:val="21"/>
          <w:szCs w:val="21"/>
          <w:highlight w:val="none"/>
        </w:rPr>
        <w:sectPr>
          <w:footerReference r:id="rId217" w:type="default"/>
          <w:pgSz w:w="11905" w:h="16839"/>
          <w:pgMar w:top="400" w:right="1785" w:bottom="1004" w:left="1785" w:header="0" w:footer="828" w:gutter="0"/>
          <w:pgNumType w:fmt="decimal"/>
          <w:cols w:space="720" w:num="1"/>
        </w:sectPr>
      </w:pPr>
    </w:p>
    <w:p w14:paraId="6AEFCEF3">
      <w:pPr>
        <w:pStyle w:val="3"/>
        <w:spacing w:line="256" w:lineRule="auto"/>
        <w:rPr>
          <w:color w:val="auto"/>
          <w:highlight w:val="none"/>
        </w:rPr>
      </w:pPr>
    </w:p>
    <w:p w14:paraId="193C9775">
      <w:pPr>
        <w:pStyle w:val="3"/>
        <w:spacing w:line="256" w:lineRule="auto"/>
        <w:rPr>
          <w:color w:val="auto"/>
          <w:highlight w:val="none"/>
        </w:rPr>
      </w:pPr>
    </w:p>
    <w:p w14:paraId="7FDA7E2C">
      <w:pPr>
        <w:pStyle w:val="3"/>
        <w:spacing w:line="256" w:lineRule="auto"/>
        <w:rPr>
          <w:color w:val="auto"/>
          <w:highlight w:val="none"/>
        </w:rPr>
      </w:pPr>
    </w:p>
    <w:p w14:paraId="0A301CCF">
      <w:pPr>
        <w:pStyle w:val="3"/>
        <w:spacing w:line="256" w:lineRule="auto"/>
        <w:rPr>
          <w:color w:val="auto"/>
          <w:highlight w:val="none"/>
        </w:rPr>
      </w:pPr>
    </w:p>
    <w:p w14:paraId="5B025143">
      <w:pPr>
        <w:spacing w:before="88" w:line="225" w:lineRule="auto"/>
        <w:ind w:left="3204"/>
        <w:rPr>
          <w:rFonts w:ascii="黑体" w:hAnsi="黑体" w:eastAsia="黑体" w:cs="黑体"/>
          <w:color w:val="auto"/>
          <w:sz w:val="27"/>
          <w:szCs w:val="27"/>
          <w:highlight w:val="none"/>
        </w:rPr>
      </w:pPr>
      <w:bookmarkStart w:id="1330" w:name="bookmark303"/>
      <w:bookmarkEnd w:id="1330"/>
      <w:r>
        <w:rPr>
          <w:rFonts w:ascii="黑体" w:hAnsi="黑体" w:eastAsia="黑体" w:cs="黑体"/>
          <w:color w:val="auto"/>
          <w:spacing w:val="6"/>
          <w:sz w:val="27"/>
          <w:szCs w:val="27"/>
          <w:highlight w:val="none"/>
        </w:rPr>
        <w:t>二、授权委托书</w:t>
      </w:r>
    </w:p>
    <w:p w14:paraId="52ED1904">
      <w:pPr>
        <w:pStyle w:val="3"/>
        <w:spacing w:line="320" w:lineRule="auto"/>
        <w:rPr>
          <w:color w:val="auto"/>
          <w:highlight w:val="none"/>
        </w:rPr>
      </w:pPr>
    </w:p>
    <w:p w14:paraId="69F9804F">
      <w:pPr>
        <w:pStyle w:val="3"/>
        <w:spacing w:line="320" w:lineRule="auto"/>
        <w:rPr>
          <w:color w:val="auto"/>
          <w:highlight w:val="none"/>
        </w:rPr>
      </w:pPr>
    </w:p>
    <w:p w14:paraId="5C7A7DAD">
      <w:pPr>
        <w:spacing w:before="68" w:line="439" w:lineRule="auto"/>
        <w:ind w:left="18" w:firstLine="423"/>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本人</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10"/>
          <w:sz w:val="21"/>
          <w:szCs w:val="21"/>
          <w:highlight w:val="none"/>
        </w:rPr>
        <w:t xml:space="preserve"> （姓名）系</w:t>
      </w:r>
      <w:r>
        <w:rPr>
          <w:rFonts w:ascii="宋体" w:hAnsi="宋体" w:eastAsia="宋体" w:cs="宋体"/>
          <w:color w:val="auto"/>
          <w:spacing w:val="-70"/>
          <w:sz w:val="21"/>
          <w:szCs w:val="21"/>
          <w:highlight w:val="none"/>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17"/>
          <w:sz w:val="21"/>
          <w:szCs w:val="21"/>
          <w:highlight w:val="none"/>
        </w:rPr>
        <w:t xml:space="preserve"> </w:t>
      </w:r>
      <w:r>
        <w:rPr>
          <w:rFonts w:ascii="宋体" w:hAnsi="宋体" w:eastAsia="宋体" w:cs="宋体"/>
          <w:color w:val="auto"/>
          <w:spacing w:val="-10"/>
          <w:sz w:val="21"/>
          <w:szCs w:val="21"/>
          <w:highlight w:val="none"/>
        </w:rPr>
        <w:t>（投标人名称）的法定代表人，现委托</w:t>
      </w:r>
      <w:r>
        <w:rPr>
          <w:rFonts w:ascii="宋体" w:hAnsi="宋体" w:eastAsia="宋体" w:cs="宋体"/>
          <w:color w:val="auto"/>
          <w:spacing w:val="-103"/>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10"/>
          <w:sz w:val="21"/>
          <w:szCs w:val="21"/>
          <w:highlight w:val="none"/>
        </w:rPr>
        <w:t>（姓</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名）为我方代理人。代理人根据授权，以我方名义签署、澄清、说明、补正、递交、撤回、</w:t>
      </w:r>
      <w:r>
        <w:rPr>
          <w:rFonts w:ascii="宋体" w:hAnsi="宋体" w:eastAsia="宋体" w:cs="宋体"/>
          <w:color w:val="auto"/>
          <w:spacing w:val="1"/>
          <w:sz w:val="21"/>
          <w:szCs w:val="21"/>
          <w:highlight w:val="none"/>
        </w:rPr>
        <w:t xml:space="preserve"> </w:t>
      </w:r>
      <w:r>
        <w:rPr>
          <w:rFonts w:ascii="宋体" w:hAnsi="宋体" w:eastAsia="宋体" w:cs="宋体"/>
          <w:color w:val="auto"/>
          <w:spacing w:val="-7"/>
          <w:sz w:val="21"/>
          <w:szCs w:val="21"/>
          <w:highlight w:val="none"/>
        </w:rPr>
        <w:t>修改</w:t>
      </w:r>
      <w:r>
        <w:rPr>
          <w:rFonts w:ascii="宋体" w:hAnsi="宋体" w:eastAsia="宋体" w:cs="宋体"/>
          <w:color w:val="auto"/>
          <w:spacing w:val="-104"/>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 xml:space="preserve"> （标段名称）项目</w:t>
      </w:r>
      <w:r>
        <w:rPr>
          <w:rFonts w:ascii="宋体" w:hAnsi="宋体" w:eastAsia="宋体" w:cs="宋体"/>
          <w:color w:val="auto"/>
          <w:spacing w:val="-26"/>
          <w:sz w:val="21"/>
          <w:szCs w:val="21"/>
          <w:highlight w:val="none"/>
        </w:rPr>
        <w:t xml:space="preserve"> </w:t>
      </w:r>
      <w:r>
        <w:rPr>
          <w:rFonts w:ascii="宋体" w:hAnsi="宋体" w:eastAsia="宋体" w:cs="宋体"/>
          <w:color w:val="auto"/>
          <w:spacing w:val="-7"/>
          <w:sz w:val="21"/>
          <w:szCs w:val="21"/>
          <w:highlight w:val="none"/>
        </w:rPr>
        <w:t>（标段唯一标识码</w:t>
      </w:r>
      <w:r>
        <w:rPr>
          <w:rFonts w:ascii="宋体" w:hAnsi="宋体" w:eastAsia="宋体" w:cs="宋体"/>
          <w:color w:val="auto"/>
          <w:spacing w:val="-12"/>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7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投标文件、签订合同和处</w:t>
      </w:r>
    </w:p>
    <w:p w14:paraId="7D098CF1">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理有关事宜，其法律后果由我方承担。</w:t>
      </w:r>
    </w:p>
    <w:p w14:paraId="2B52D14B">
      <w:pPr>
        <w:pStyle w:val="3"/>
        <w:spacing w:line="298" w:lineRule="auto"/>
        <w:rPr>
          <w:color w:val="auto"/>
          <w:highlight w:val="none"/>
        </w:rPr>
      </w:pPr>
    </w:p>
    <w:p w14:paraId="1F894DD1">
      <w:pPr>
        <w:spacing w:before="69" w:line="221" w:lineRule="auto"/>
        <w:ind w:left="440"/>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委托期限：</w:t>
      </w:r>
      <w:r>
        <w:rPr>
          <w:rFonts w:ascii="宋体" w:hAnsi="宋体" w:eastAsia="宋体" w:cs="宋体"/>
          <w:color w:val="auto"/>
          <w:spacing w:val="49"/>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6"/>
          <w:sz w:val="21"/>
          <w:szCs w:val="21"/>
          <w:highlight w:val="none"/>
        </w:rPr>
        <w:t>。</w:t>
      </w:r>
    </w:p>
    <w:p w14:paraId="37E3BECD">
      <w:pPr>
        <w:pStyle w:val="3"/>
        <w:spacing w:line="416" w:lineRule="auto"/>
        <w:rPr>
          <w:color w:val="auto"/>
          <w:highlight w:val="none"/>
        </w:rPr>
      </w:pPr>
    </w:p>
    <w:p w14:paraId="4470AB77">
      <w:pPr>
        <w:spacing w:before="68"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代理人无转委托权。</w:t>
      </w:r>
    </w:p>
    <w:p w14:paraId="2B3D047A">
      <w:pPr>
        <w:pStyle w:val="3"/>
        <w:spacing w:line="422" w:lineRule="auto"/>
        <w:rPr>
          <w:color w:val="auto"/>
          <w:highlight w:val="none"/>
        </w:rPr>
      </w:pPr>
    </w:p>
    <w:p w14:paraId="2B57555D">
      <w:pPr>
        <w:spacing w:before="68" w:line="220" w:lineRule="auto"/>
        <w:ind w:left="23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（附授权委托人身份证正反面复印件）</w:t>
      </w:r>
    </w:p>
    <w:p w14:paraId="6310AE34">
      <w:pPr>
        <w:pStyle w:val="3"/>
        <w:spacing w:line="262" w:lineRule="auto"/>
        <w:rPr>
          <w:color w:val="auto"/>
          <w:highlight w:val="none"/>
        </w:rPr>
      </w:pPr>
    </w:p>
    <w:p w14:paraId="482F70F5">
      <w:pPr>
        <w:pStyle w:val="3"/>
        <w:spacing w:line="262" w:lineRule="auto"/>
        <w:rPr>
          <w:color w:val="auto"/>
          <w:highlight w:val="none"/>
        </w:rPr>
      </w:pPr>
    </w:p>
    <w:p w14:paraId="083DD987">
      <w:pPr>
        <w:pStyle w:val="3"/>
        <w:spacing w:line="262" w:lineRule="auto"/>
        <w:rPr>
          <w:color w:val="auto"/>
          <w:highlight w:val="none"/>
        </w:rPr>
      </w:pPr>
    </w:p>
    <w:p w14:paraId="6BCBD4DC">
      <w:pPr>
        <w:pStyle w:val="3"/>
        <w:spacing w:line="262" w:lineRule="auto"/>
        <w:rPr>
          <w:color w:val="auto"/>
          <w:highlight w:val="none"/>
        </w:rPr>
      </w:pPr>
    </w:p>
    <w:p w14:paraId="0B03B74D">
      <w:pPr>
        <w:pStyle w:val="3"/>
        <w:spacing w:line="262" w:lineRule="auto"/>
        <w:rPr>
          <w:color w:val="auto"/>
          <w:highlight w:val="none"/>
        </w:rPr>
      </w:pPr>
    </w:p>
    <w:p w14:paraId="7BCEA1E9">
      <w:pPr>
        <w:pStyle w:val="3"/>
        <w:spacing w:line="263" w:lineRule="auto"/>
        <w:rPr>
          <w:color w:val="auto"/>
          <w:highlight w:val="none"/>
        </w:rPr>
      </w:pPr>
    </w:p>
    <w:p w14:paraId="68004FF0">
      <w:pPr>
        <w:spacing w:before="69" w:line="220" w:lineRule="auto"/>
        <w:ind w:left="359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投</w:t>
      </w:r>
      <w:r>
        <w:rPr>
          <w:rFonts w:ascii="宋体" w:hAnsi="宋体" w:eastAsia="宋体" w:cs="宋体"/>
          <w:color w:val="auto"/>
          <w:spacing w:val="5"/>
          <w:sz w:val="21"/>
          <w:szCs w:val="21"/>
          <w:highlight w:val="none"/>
        </w:rPr>
        <w:t xml:space="preserve">  </w:t>
      </w:r>
      <w:r>
        <w:rPr>
          <w:rFonts w:ascii="宋体" w:hAnsi="宋体" w:eastAsia="宋体" w:cs="宋体"/>
          <w:color w:val="auto"/>
          <w:spacing w:val="-10"/>
          <w:sz w:val="21"/>
          <w:szCs w:val="21"/>
          <w:highlight w:val="none"/>
        </w:rPr>
        <w:t>标</w:t>
      </w:r>
      <w:r>
        <w:rPr>
          <w:rFonts w:ascii="宋体" w:hAnsi="宋体" w:eastAsia="宋体" w:cs="宋体"/>
          <w:color w:val="auto"/>
          <w:spacing w:val="5"/>
          <w:sz w:val="21"/>
          <w:szCs w:val="21"/>
          <w:highlight w:val="none"/>
        </w:rPr>
        <w:t xml:space="preserve">  </w:t>
      </w:r>
      <w:r>
        <w:rPr>
          <w:rFonts w:ascii="宋体" w:hAnsi="宋体" w:eastAsia="宋体" w:cs="宋体"/>
          <w:color w:val="auto"/>
          <w:spacing w:val="-10"/>
          <w:sz w:val="21"/>
          <w:szCs w:val="21"/>
          <w:highlight w:val="none"/>
        </w:rPr>
        <w:t>人</w:t>
      </w:r>
      <w:r>
        <w:rPr>
          <w:rFonts w:ascii="宋体" w:hAnsi="宋体" w:eastAsia="宋体" w:cs="宋体"/>
          <w:color w:val="auto"/>
          <w:spacing w:val="-15"/>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0"/>
          <w:sz w:val="21"/>
          <w:szCs w:val="21"/>
          <w:highlight w:val="none"/>
        </w:rPr>
        <w:t>盖单位章）</w:t>
      </w:r>
    </w:p>
    <w:p w14:paraId="70F69503">
      <w:pPr>
        <w:pStyle w:val="3"/>
        <w:rPr>
          <w:color w:val="auto"/>
          <w:highlight w:val="none"/>
        </w:rPr>
      </w:pPr>
    </w:p>
    <w:p w14:paraId="3D2C5102">
      <w:pPr>
        <w:pStyle w:val="3"/>
        <w:rPr>
          <w:color w:val="auto"/>
          <w:highlight w:val="none"/>
        </w:rPr>
      </w:pPr>
    </w:p>
    <w:p w14:paraId="714CB80B">
      <w:pPr>
        <w:spacing w:before="68" w:line="220" w:lineRule="auto"/>
        <w:ind w:left="359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法定代表人</w:t>
      </w:r>
      <w:r>
        <w:rPr>
          <w:rFonts w:ascii="宋体" w:hAnsi="宋体" w:eastAsia="宋体" w:cs="宋体"/>
          <w:color w:val="auto"/>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12"/>
          <w:sz w:val="21"/>
          <w:szCs w:val="21"/>
          <w:highlight w:val="none"/>
        </w:rPr>
        <w:t>签章）</w:t>
      </w:r>
    </w:p>
    <w:p w14:paraId="5A98E06B">
      <w:pPr>
        <w:pStyle w:val="3"/>
        <w:spacing w:line="475" w:lineRule="auto"/>
        <w:rPr>
          <w:color w:val="auto"/>
          <w:highlight w:val="none"/>
        </w:rPr>
      </w:pPr>
    </w:p>
    <w:p w14:paraId="2ECFECA3">
      <w:pPr>
        <w:spacing w:before="69" w:line="221" w:lineRule="auto"/>
        <w:ind w:left="35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身份证号码：</w:t>
      </w:r>
      <w:r>
        <w:rPr>
          <w:rFonts w:ascii="宋体" w:hAnsi="宋体" w:eastAsia="宋体" w:cs="宋体"/>
          <w:color w:val="auto"/>
          <w:sz w:val="21"/>
          <w:szCs w:val="21"/>
          <w:highlight w:val="none"/>
          <w:u w:val="single" w:color="auto"/>
        </w:rPr>
        <w:t xml:space="preserve">                        </w:t>
      </w:r>
    </w:p>
    <w:p w14:paraId="29D1BBFF">
      <w:pPr>
        <w:pStyle w:val="3"/>
        <w:spacing w:line="479" w:lineRule="auto"/>
        <w:rPr>
          <w:color w:val="auto"/>
          <w:highlight w:val="none"/>
        </w:rPr>
      </w:pPr>
    </w:p>
    <w:p w14:paraId="07A83921">
      <w:pPr>
        <w:spacing w:before="68" w:line="220" w:lineRule="auto"/>
        <w:ind w:left="359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委托代理人</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12"/>
          <w:sz w:val="21"/>
          <w:szCs w:val="21"/>
          <w:highlight w:val="none"/>
        </w:rPr>
        <w:t>签章）</w:t>
      </w:r>
    </w:p>
    <w:p w14:paraId="3864C4F4">
      <w:pPr>
        <w:pStyle w:val="3"/>
        <w:spacing w:line="479" w:lineRule="auto"/>
        <w:rPr>
          <w:color w:val="auto"/>
          <w:highlight w:val="none"/>
        </w:rPr>
      </w:pPr>
    </w:p>
    <w:p w14:paraId="1F493D7F">
      <w:pPr>
        <w:spacing w:before="69" w:line="221" w:lineRule="auto"/>
        <w:ind w:left="35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身份证号码：</w:t>
      </w:r>
      <w:r>
        <w:rPr>
          <w:rFonts w:ascii="宋体" w:hAnsi="宋体" w:eastAsia="宋体" w:cs="宋体"/>
          <w:color w:val="auto"/>
          <w:sz w:val="21"/>
          <w:szCs w:val="21"/>
          <w:highlight w:val="none"/>
          <w:u w:val="single" w:color="auto"/>
        </w:rPr>
        <w:t xml:space="preserve">                        </w:t>
      </w:r>
    </w:p>
    <w:p w14:paraId="5ED9D106">
      <w:pPr>
        <w:pStyle w:val="3"/>
        <w:spacing w:line="474" w:lineRule="auto"/>
        <w:rPr>
          <w:color w:val="auto"/>
          <w:highlight w:val="none"/>
        </w:rPr>
      </w:pPr>
    </w:p>
    <w:p w14:paraId="79AAC06D">
      <w:pPr>
        <w:tabs>
          <w:tab w:val="left" w:pos="5685"/>
        </w:tabs>
        <w:spacing w:before="69" w:line="221" w:lineRule="auto"/>
        <w:ind w:left="484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05BE73A9">
      <w:pPr>
        <w:spacing w:line="221" w:lineRule="auto"/>
        <w:rPr>
          <w:rFonts w:ascii="宋体" w:hAnsi="宋体" w:eastAsia="宋体" w:cs="宋体"/>
          <w:color w:val="auto"/>
          <w:sz w:val="21"/>
          <w:szCs w:val="21"/>
          <w:highlight w:val="none"/>
        </w:rPr>
        <w:sectPr>
          <w:footerReference r:id="rId218" w:type="default"/>
          <w:pgSz w:w="11905" w:h="16839"/>
          <w:pgMar w:top="400" w:right="1617" w:bottom="1004" w:left="1785" w:header="0" w:footer="828" w:gutter="0"/>
          <w:pgNumType w:fmt="decimal"/>
          <w:cols w:space="720" w:num="1"/>
        </w:sectPr>
      </w:pPr>
    </w:p>
    <w:p w14:paraId="72EA65F6">
      <w:pPr>
        <w:pStyle w:val="3"/>
        <w:spacing w:line="256" w:lineRule="auto"/>
        <w:rPr>
          <w:color w:val="auto"/>
          <w:highlight w:val="none"/>
        </w:rPr>
      </w:pPr>
    </w:p>
    <w:p w14:paraId="19C704F1">
      <w:pPr>
        <w:pStyle w:val="3"/>
        <w:spacing w:line="256" w:lineRule="auto"/>
        <w:rPr>
          <w:color w:val="auto"/>
          <w:highlight w:val="none"/>
        </w:rPr>
      </w:pPr>
    </w:p>
    <w:p w14:paraId="15D96D3E">
      <w:pPr>
        <w:pStyle w:val="3"/>
        <w:spacing w:line="256" w:lineRule="auto"/>
        <w:rPr>
          <w:color w:val="auto"/>
          <w:highlight w:val="none"/>
        </w:rPr>
      </w:pPr>
    </w:p>
    <w:p w14:paraId="47171762">
      <w:pPr>
        <w:pStyle w:val="3"/>
        <w:spacing w:line="256" w:lineRule="auto"/>
        <w:rPr>
          <w:color w:val="auto"/>
          <w:highlight w:val="none"/>
        </w:rPr>
      </w:pPr>
    </w:p>
    <w:p w14:paraId="14157CA5">
      <w:pPr>
        <w:spacing w:before="88" w:line="225" w:lineRule="auto"/>
        <w:ind w:left="3205"/>
        <w:rPr>
          <w:rFonts w:ascii="黑体" w:hAnsi="黑体" w:eastAsia="黑体" w:cs="黑体"/>
          <w:color w:val="auto"/>
          <w:sz w:val="27"/>
          <w:szCs w:val="27"/>
          <w:highlight w:val="none"/>
        </w:rPr>
      </w:pPr>
      <w:bookmarkStart w:id="1331" w:name="bookmark304"/>
      <w:bookmarkEnd w:id="1331"/>
      <w:r>
        <w:rPr>
          <w:rFonts w:ascii="黑体" w:hAnsi="黑体" w:eastAsia="黑体" w:cs="黑体"/>
          <w:color w:val="auto"/>
          <w:spacing w:val="6"/>
          <w:sz w:val="27"/>
          <w:szCs w:val="27"/>
          <w:highlight w:val="none"/>
        </w:rPr>
        <w:t>三、投标保证金</w:t>
      </w:r>
    </w:p>
    <w:p w14:paraId="79A66039">
      <w:pPr>
        <w:pStyle w:val="3"/>
        <w:spacing w:line="477" w:lineRule="auto"/>
        <w:rPr>
          <w:color w:val="auto"/>
          <w:highlight w:val="none"/>
        </w:rPr>
      </w:pPr>
    </w:p>
    <w:p w14:paraId="19A5F50E">
      <w:pPr>
        <w:spacing w:before="68" w:line="215" w:lineRule="auto"/>
        <w:ind w:left="413"/>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（一）若采用现金或支票，投标人应填写以下表格信息并提</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供汇款凭证的扫描件。</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14:paraId="1EC72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14:paraId="09A9ABF3">
            <w:pPr>
              <w:pStyle w:val="11"/>
              <w:spacing w:before="34" w:line="209" w:lineRule="auto"/>
              <w:ind w:left="3471"/>
              <w:rPr>
                <w:color w:val="auto"/>
                <w:highlight w:val="none"/>
              </w:rPr>
            </w:pPr>
            <w:r>
              <w:rPr>
                <w:color w:val="auto"/>
                <w:spacing w:val="-1"/>
                <w:highlight w:val="none"/>
                <w14:textOutline w14:w="3831" w14:cap="flat" w14:cmpd="sng">
                  <w14:solidFill>
                    <w14:srgbClr w14:val="000000"/>
                  </w14:solidFill>
                  <w14:prstDash w14:val="solid"/>
                  <w14:miter w14:val="0"/>
                </w14:textOutline>
              </w:rPr>
              <w:t>现金汇款信息</w:t>
            </w:r>
          </w:p>
        </w:tc>
      </w:tr>
      <w:tr w14:paraId="6B42B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14:paraId="5EAAD538">
            <w:pPr>
              <w:pStyle w:val="11"/>
              <w:spacing w:before="30" w:line="209" w:lineRule="auto"/>
              <w:ind w:left="298"/>
              <w:rPr>
                <w:color w:val="auto"/>
                <w:highlight w:val="none"/>
              </w:rPr>
            </w:pPr>
            <w:r>
              <w:rPr>
                <w:color w:val="auto"/>
                <w:spacing w:val="-3"/>
                <w:highlight w:val="none"/>
              </w:rPr>
              <w:t>收款账户</w:t>
            </w:r>
          </w:p>
        </w:tc>
        <w:tc>
          <w:tcPr>
            <w:tcW w:w="3033" w:type="dxa"/>
            <w:vAlign w:val="top"/>
          </w:tcPr>
          <w:p w14:paraId="7E08699F">
            <w:pPr>
              <w:rPr>
                <w:rFonts w:ascii="Arial"/>
                <w:color w:val="auto"/>
                <w:sz w:val="21"/>
                <w:highlight w:val="none"/>
              </w:rPr>
            </w:pPr>
          </w:p>
        </w:tc>
        <w:tc>
          <w:tcPr>
            <w:tcW w:w="1104" w:type="dxa"/>
            <w:vAlign w:val="top"/>
          </w:tcPr>
          <w:p w14:paraId="45C43E4D">
            <w:pPr>
              <w:pStyle w:val="11"/>
              <w:spacing w:before="30" w:line="209" w:lineRule="auto"/>
              <w:ind w:left="140"/>
              <w:rPr>
                <w:color w:val="auto"/>
                <w:highlight w:val="none"/>
              </w:rPr>
            </w:pPr>
            <w:r>
              <w:rPr>
                <w:color w:val="auto"/>
                <w:spacing w:val="-1"/>
                <w:highlight w:val="none"/>
              </w:rPr>
              <w:t>汇款账户</w:t>
            </w:r>
          </w:p>
        </w:tc>
        <w:tc>
          <w:tcPr>
            <w:tcW w:w="2644" w:type="dxa"/>
            <w:vAlign w:val="top"/>
          </w:tcPr>
          <w:p w14:paraId="516359B5">
            <w:pPr>
              <w:rPr>
                <w:rFonts w:ascii="Arial"/>
                <w:color w:val="auto"/>
                <w:sz w:val="21"/>
                <w:highlight w:val="none"/>
              </w:rPr>
            </w:pPr>
          </w:p>
        </w:tc>
      </w:tr>
      <w:tr w14:paraId="2FE77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14:paraId="27FDA657">
            <w:pPr>
              <w:pStyle w:val="11"/>
              <w:spacing w:before="26" w:line="208" w:lineRule="auto"/>
              <w:ind w:left="298"/>
              <w:rPr>
                <w:color w:val="auto"/>
                <w:highlight w:val="none"/>
              </w:rPr>
            </w:pPr>
            <w:r>
              <w:rPr>
                <w:color w:val="auto"/>
                <w:spacing w:val="-3"/>
                <w:highlight w:val="none"/>
              </w:rPr>
              <w:t>收款账号</w:t>
            </w:r>
          </w:p>
        </w:tc>
        <w:tc>
          <w:tcPr>
            <w:tcW w:w="3033" w:type="dxa"/>
            <w:vAlign w:val="top"/>
          </w:tcPr>
          <w:p w14:paraId="42E36F02">
            <w:pPr>
              <w:rPr>
                <w:rFonts w:ascii="Arial"/>
                <w:color w:val="auto"/>
                <w:sz w:val="21"/>
                <w:highlight w:val="none"/>
              </w:rPr>
            </w:pPr>
          </w:p>
        </w:tc>
        <w:tc>
          <w:tcPr>
            <w:tcW w:w="1104" w:type="dxa"/>
            <w:vAlign w:val="top"/>
          </w:tcPr>
          <w:p w14:paraId="5F2BC4B3">
            <w:pPr>
              <w:pStyle w:val="11"/>
              <w:spacing w:before="26" w:line="208" w:lineRule="auto"/>
              <w:ind w:left="140"/>
              <w:rPr>
                <w:color w:val="auto"/>
                <w:highlight w:val="none"/>
              </w:rPr>
            </w:pPr>
            <w:r>
              <w:rPr>
                <w:color w:val="auto"/>
                <w:spacing w:val="-1"/>
                <w:highlight w:val="none"/>
              </w:rPr>
              <w:t>汇款账号</w:t>
            </w:r>
          </w:p>
        </w:tc>
        <w:tc>
          <w:tcPr>
            <w:tcW w:w="2644" w:type="dxa"/>
            <w:vAlign w:val="top"/>
          </w:tcPr>
          <w:p w14:paraId="47A636E3">
            <w:pPr>
              <w:rPr>
                <w:rFonts w:ascii="Arial"/>
                <w:color w:val="auto"/>
                <w:sz w:val="21"/>
                <w:highlight w:val="none"/>
              </w:rPr>
            </w:pPr>
          </w:p>
        </w:tc>
      </w:tr>
      <w:tr w14:paraId="45170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14:paraId="6AB6C7A1">
            <w:pPr>
              <w:pStyle w:val="11"/>
              <w:spacing w:before="31" w:line="207" w:lineRule="auto"/>
              <w:ind w:left="291"/>
              <w:rPr>
                <w:color w:val="auto"/>
                <w:highlight w:val="none"/>
              </w:rPr>
            </w:pPr>
            <w:r>
              <w:rPr>
                <w:color w:val="auto"/>
                <w:spacing w:val="-1"/>
                <w:highlight w:val="none"/>
              </w:rPr>
              <w:t>汇款金额</w:t>
            </w:r>
          </w:p>
        </w:tc>
        <w:tc>
          <w:tcPr>
            <w:tcW w:w="3033" w:type="dxa"/>
            <w:vAlign w:val="top"/>
          </w:tcPr>
          <w:p w14:paraId="48F72224">
            <w:pPr>
              <w:rPr>
                <w:rFonts w:ascii="Arial"/>
                <w:color w:val="auto"/>
                <w:sz w:val="21"/>
                <w:highlight w:val="none"/>
              </w:rPr>
            </w:pPr>
          </w:p>
        </w:tc>
        <w:tc>
          <w:tcPr>
            <w:tcW w:w="1104" w:type="dxa"/>
            <w:vAlign w:val="top"/>
          </w:tcPr>
          <w:p w14:paraId="5EF4F912">
            <w:pPr>
              <w:pStyle w:val="11"/>
              <w:spacing w:before="31" w:line="207" w:lineRule="auto"/>
              <w:ind w:left="140"/>
              <w:rPr>
                <w:color w:val="auto"/>
                <w:highlight w:val="none"/>
              </w:rPr>
            </w:pPr>
            <w:r>
              <w:rPr>
                <w:color w:val="auto"/>
                <w:spacing w:val="-1"/>
                <w:highlight w:val="none"/>
              </w:rPr>
              <w:t>汇款时间</w:t>
            </w:r>
          </w:p>
        </w:tc>
        <w:tc>
          <w:tcPr>
            <w:tcW w:w="2644" w:type="dxa"/>
            <w:vAlign w:val="top"/>
          </w:tcPr>
          <w:p w14:paraId="0B12F6D2">
            <w:pPr>
              <w:rPr>
                <w:rFonts w:ascii="Arial"/>
                <w:color w:val="auto"/>
                <w:sz w:val="21"/>
                <w:highlight w:val="none"/>
              </w:rPr>
            </w:pPr>
          </w:p>
        </w:tc>
      </w:tr>
      <w:tr w14:paraId="28A5E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14:paraId="07C0EC44">
            <w:pPr>
              <w:spacing w:line="332" w:lineRule="auto"/>
              <w:rPr>
                <w:rFonts w:ascii="Arial"/>
                <w:color w:val="auto"/>
                <w:sz w:val="21"/>
                <w:highlight w:val="none"/>
              </w:rPr>
            </w:pPr>
          </w:p>
          <w:p w14:paraId="3DD59D49">
            <w:pPr>
              <w:spacing w:line="333" w:lineRule="auto"/>
              <w:rPr>
                <w:rFonts w:ascii="Arial"/>
                <w:color w:val="auto"/>
                <w:sz w:val="21"/>
                <w:highlight w:val="none"/>
              </w:rPr>
            </w:pPr>
          </w:p>
          <w:p w14:paraId="7243B768">
            <w:pPr>
              <w:pStyle w:val="11"/>
              <w:spacing w:before="69" w:line="220" w:lineRule="auto"/>
              <w:ind w:left="518"/>
              <w:rPr>
                <w:color w:val="auto"/>
                <w:highlight w:val="none"/>
              </w:rPr>
            </w:pPr>
            <w:r>
              <w:rPr>
                <w:color w:val="auto"/>
                <w:spacing w:val="-6"/>
                <w:highlight w:val="none"/>
              </w:rPr>
              <w:t>附件</w:t>
            </w:r>
          </w:p>
        </w:tc>
        <w:tc>
          <w:tcPr>
            <w:tcW w:w="6781" w:type="dxa"/>
            <w:gridSpan w:val="3"/>
            <w:vAlign w:val="top"/>
          </w:tcPr>
          <w:p w14:paraId="4A71F4BA">
            <w:pPr>
              <w:pStyle w:val="11"/>
              <w:spacing w:before="32" w:line="207" w:lineRule="auto"/>
              <w:ind w:left="115"/>
              <w:rPr>
                <w:color w:val="auto"/>
                <w:highlight w:val="none"/>
              </w:rPr>
            </w:pPr>
            <w:r>
              <w:rPr>
                <w:color w:val="auto"/>
                <w:spacing w:val="-1"/>
                <w:highlight w:val="none"/>
              </w:rPr>
              <w:t>汇款凭证扫描件</w:t>
            </w:r>
          </w:p>
        </w:tc>
      </w:tr>
      <w:tr w14:paraId="3B4BC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00DBD9CF">
            <w:pPr>
              <w:rPr>
                <w:rFonts w:ascii="Arial"/>
                <w:color w:val="auto"/>
                <w:sz w:val="21"/>
                <w:highlight w:val="none"/>
              </w:rPr>
            </w:pPr>
          </w:p>
        </w:tc>
        <w:tc>
          <w:tcPr>
            <w:tcW w:w="6781" w:type="dxa"/>
            <w:gridSpan w:val="3"/>
            <w:vAlign w:val="top"/>
          </w:tcPr>
          <w:p w14:paraId="68778844">
            <w:pPr>
              <w:rPr>
                <w:rFonts w:ascii="Arial"/>
                <w:color w:val="auto"/>
                <w:sz w:val="21"/>
                <w:highlight w:val="none"/>
              </w:rPr>
            </w:pPr>
          </w:p>
        </w:tc>
      </w:tr>
      <w:tr w14:paraId="54B98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7EFF3F3E">
            <w:pPr>
              <w:rPr>
                <w:rFonts w:ascii="Arial"/>
                <w:color w:val="auto"/>
                <w:sz w:val="21"/>
                <w:highlight w:val="none"/>
              </w:rPr>
            </w:pPr>
          </w:p>
        </w:tc>
        <w:tc>
          <w:tcPr>
            <w:tcW w:w="6781" w:type="dxa"/>
            <w:gridSpan w:val="3"/>
            <w:vAlign w:val="top"/>
          </w:tcPr>
          <w:p w14:paraId="7D85F3C8">
            <w:pPr>
              <w:pStyle w:val="11"/>
              <w:spacing w:before="33" w:line="206" w:lineRule="auto"/>
              <w:ind w:left="115"/>
              <w:rPr>
                <w:color w:val="auto"/>
                <w:highlight w:val="none"/>
              </w:rPr>
            </w:pPr>
            <w:r>
              <w:rPr>
                <w:color w:val="auto"/>
                <w:highlight w:val="none"/>
              </w:rPr>
              <w:t>基本户开户许可证（基本存款账户信息）扫描件</w:t>
            </w:r>
          </w:p>
        </w:tc>
      </w:tr>
      <w:tr w14:paraId="0365D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6F55DBDB">
            <w:pPr>
              <w:rPr>
                <w:rFonts w:ascii="Arial"/>
                <w:color w:val="auto"/>
                <w:sz w:val="21"/>
                <w:highlight w:val="none"/>
              </w:rPr>
            </w:pPr>
          </w:p>
        </w:tc>
        <w:tc>
          <w:tcPr>
            <w:tcW w:w="6781" w:type="dxa"/>
            <w:gridSpan w:val="3"/>
            <w:vAlign w:val="top"/>
          </w:tcPr>
          <w:p w14:paraId="3518CBEC">
            <w:pPr>
              <w:rPr>
                <w:rFonts w:ascii="Arial"/>
                <w:color w:val="auto"/>
                <w:sz w:val="21"/>
                <w:highlight w:val="none"/>
              </w:rPr>
            </w:pPr>
          </w:p>
        </w:tc>
      </w:tr>
      <w:tr w14:paraId="7F484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14:paraId="17DB4BEF">
            <w:pPr>
              <w:rPr>
                <w:rFonts w:ascii="Arial"/>
                <w:color w:val="auto"/>
                <w:sz w:val="21"/>
                <w:highlight w:val="none"/>
              </w:rPr>
            </w:pPr>
          </w:p>
        </w:tc>
        <w:tc>
          <w:tcPr>
            <w:tcW w:w="6781" w:type="dxa"/>
            <w:gridSpan w:val="3"/>
            <w:vAlign w:val="top"/>
          </w:tcPr>
          <w:p w14:paraId="054DC8CF">
            <w:pPr>
              <w:pStyle w:val="11"/>
              <w:spacing w:before="28" w:line="206" w:lineRule="auto"/>
              <w:ind w:left="115"/>
              <w:rPr>
                <w:color w:val="auto"/>
                <w:highlight w:val="none"/>
              </w:rPr>
            </w:pPr>
            <w:r>
              <w:rPr>
                <w:color w:val="auto"/>
                <w:spacing w:val="-1"/>
                <w:highlight w:val="none"/>
              </w:rPr>
              <w:t>其他材料</w:t>
            </w:r>
          </w:p>
        </w:tc>
      </w:tr>
      <w:tr w14:paraId="55B33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14:paraId="15EF6CFE">
            <w:pPr>
              <w:rPr>
                <w:rFonts w:ascii="Arial"/>
                <w:color w:val="auto"/>
                <w:sz w:val="21"/>
                <w:highlight w:val="none"/>
              </w:rPr>
            </w:pPr>
          </w:p>
        </w:tc>
        <w:tc>
          <w:tcPr>
            <w:tcW w:w="6781" w:type="dxa"/>
            <w:gridSpan w:val="3"/>
            <w:vAlign w:val="top"/>
          </w:tcPr>
          <w:p w14:paraId="63521083">
            <w:pPr>
              <w:rPr>
                <w:rFonts w:ascii="Arial"/>
                <w:color w:val="auto"/>
                <w:sz w:val="21"/>
                <w:highlight w:val="none"/>
              </w:rPr>
            </w:pPr>
          </w:p>
        </w:tc>
      </w:tr>
    </w:tbl>
    <w:p w14:paraId="6079A1AE">
      <w:pPr>
        <w:pStyle w:val="3"/>
        <w:spacing w:line="473" w:lineRule="auto"/>
        <w:rPr>
          <w:color w:val="auto"/>
          <w:highlight w:val="none"/>
        </w:rPr>
      </w:pPr>
    </w:p>
    <w:p w14:paraId="22E2A342">
      <w:pPr>
        <w:spacing w:before="68" w:line="352" w:lineRule="auto"/>
        <w:ind w:left="18" w:right="10" w:firstLine="395"/>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（二）</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若采用辽宁省工程建设项目电子保函保险基础服务平台</w:t>
      </w:r>
      <w:r>
        <w:rPr>
          <w:rFonts w:ascii="宋体" w:hAnsi="宋体" w:eastAsia="宋体" w:cs="宋体"/>
          <w:color w:val="auto"/>
          <w:spacing w:val="-3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（包含辽宁省建设工程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领域电子保函保险基础公共服务平台及跨地区、跨行业自由服务试</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点的金融平台或金融机</w:t>
      </w:r>
    </w:p>
    <w:p w14:paraId="00B3F192">
      <w:pPr>
        <w:spacing w:line="214"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构）</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电子保函，投标人应填写以下表格信息。</w:t>
      </w:r>
    </w:p>
    <w:tbl>
      <w:tblPr>
        <w:tblStyle w:val="10"/>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14:paraId="40E22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14:paraId="52D8A123">
            <w:pPr>
              <w:pStyle w:val="11"/>
              <w:spacing w:before="57" w:line="221" w:lineRule="auto"/>
              <w:ind w:left="1424"/>
              <w:rPr>
                <w:color w:val="auto"/>
                <w:highlight w:val="none"/>
              </w:rPr>
            </w:pPr>
            <w:r>
              <w:rPr>
                <w:color w:val="auto"/>
                <w:highlight w:val="none"/>
                <w14:textOutline w14:w="3831" w14:cap="flat" w14:cmpd="sng">
                  <w14:solidFill>
                    <w14:srgbClr w14:val="000000"/>
                  </w14:solidFill>
                  <w14:prstDash w14:val="solid"/>
                  <w14:miter w14:val="0"/>
                </w14:textOutline>
              </w:rPr>
              <w:t>辽宁省工程建设项目电子保函保险基础服务平台保函信息</w:t>
            </w:r>
          </w:p>
        </w:tc>
      </w:tr>
      <w:tr w14:paraId="4A230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14:paraId="5EEFE561">
            <w:pPr>
              <w:pStyle w:val="11"/>
              <w:spacing w:before="63" w:line="221" w:lineRule="auto"/>
              <w:ind w:left="359"/>
              <w:rPr>
                <w:color w:val="auto"/>
                <w:highlight w:val="none"/>
              </w:rPr>
            </w:pPr>
            <w:r>
              <w:rPr>
                <w:color w:val="auto"/>
                <w:spacing w:val="-1"/>
                <w:highlight w:val="none"/>
              </w:rPr>
              <w:t>保函编号</w:t>
            </w:r>
          </w:p>
        </w:tc>
        <w:tc>
          <w:tcPr>
            <w:tcW w:w="6560" w:type="dxa"/>
            <w:vAlign w:val="top"/>
          </w:tcPr>
          <w:p w14:paraId="3A380EE1">
            <w:pPr>
              <w:rPr>
                <w:rFonts w:ascii="Arial"/>
                <w:color w:val="auto"/>
                <w:sz w:val="21"/>
                <w:highlight w:val="none"/>
              </w:rPr>
            </w:pPr>
          </w:p>
        </w:tc>
      </w:tr>
      <w:tr w14:paraId="38849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14:paraId="29F4BB25">
            <w:pPr>
              <w:pStyle w:val="11"/>
              <w:spacing w:before="200" w:line="220" w:lineRule="auto"/>
              <w:ind w:left="586"/>
              <w:rPr>
                <w:color w:val="auto"/>
                <w:highlight w:val="none"/>
              </w:rPr>
            </w:pPr>
            <w:r>
              <w:rPr>
                <w:color w:val="auto"/>
                <w:spacing w:val="-6"/>
                <w:highlight w:val="none"/>
              </w:rPr>
              <w:t>附件</w:t>
            </w:r>
          </w:p>
        </w:tc>
        <w:tc>
          <w:tcPr>
            <w:tcW w:w="6560" w:type="dxa"/>
            <w:vAlign w:val="top"/>
          </w:tcPr>
          <w:p w14:paraId="60D55037">
            <w:pPr>
              <w:pStyle w:val="11"/>
              <w:spacing w:before="61" w:line="221" w:lineRule="auto"/>
              <w:ind w:left="140"/>
              <w:rPr>
                <w:color w:val="auto"/>
                <w:highlight w:val="none"/>
              </w:rPr>
            </w:pPr>
            <w:r>
              <w:rPr>
                <w:color w:val="auto"/>
                <w:spacing w:val="-5"/>
                <w:highlight w:val="none"/>
              </w:rPr>
              <w:t>电子保函扫描件</w:t>
            </w:r>
          </w:p>
        </w:tc>
      </w:tr>
      <w:tr w14:paraId="219BA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14:paraId="18BBDDE2">
            <w:pPr>
              <w:rPr>
                <w:rFonts w:ascii="Arial"/>
                <w:color w:val="auto"/>
                <w:sz w:val="21"/>
                <w:highlight w:val="none"/>
              </w:rPr>
            </w:pPr>
          </w:p>
        </w:tc>
        <w:tc>
          <w:tcPr>
            <w:tcW w:w="6560" w:type="dxa"/>
            <w:vAlign w:val="top"/>
          </w:tcPr>
          <w:p w14:paraId="40C9CA25">
            <w:pPr>
              <w:rPr>
                <w:rFonts w:ascii="Arial"/>
                <w:color w:val="auto"/>
                <w:sz w:val="21"/>
                <w:highlight w:val="none"/>
              </w:rPr>
            </w:pPr>
          </w:p>
        </w:tc>
      </w:tr>
    </w:tbl>
    <w:p w14:paraId="0D6D99DB">
      <w:pPr>
        <w:pStyle w:val="3"/>
        <w:spacing w:line="243" w:lineRule="auto"/>
        <w:rPr>
          <w:color w:val="auto"/>
          <w:highlight w:val="none"/>
        </w:rPr>
      </w:pPr>
    </w:p>
    <w:p w14:paraId="16F26F28">
      <w:pPr>
        <w:pStyle w:val="3"/>
        <w:spacing w:line="243" w:lineRule="auto"/>
        <w:rPr>
          <w:color w:val="auto"/>
          <w:highlight w:val="none"/>
        </w:rPr>
      </w:pPr>
    </w:p>
    <w:p w14:paraId="4164AC6A">
      <w:pPr>
        <w:spacing w:before="68" w:line="220"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（三）</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若采用纸质保函或其他平台电子保函，投标人应填写以下表格信息，并提供相</w:t>
      </w:r>
    </w:p>
    <w:p w14:paraId="61624187">
      <w:pPr>
        <w:spacing w:before="149" w:line="214"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关材料扫描件信息。</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14:paraId="5E10A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14:paraId="13343CE4">
            <w:pPr>
              <w:pStyle w:val="11"/>
              <w:spacing w:before="35" w:line="209" w:lineRule="auto"/>
              <w:ind w:left="625"/>
              <w:rPr>
                <w:color w:val="auto"/>
                <w:highlight w:val="none"/>
              </w:rPr>
            </w:pPr>
            <w:r>
              <w:rPr>
                <w:color w:val="auto"/>
                <w:spacing w:val="1"/>
                <w:highlight w:val="none"/>
                <w14:textOutline w14:w="3831" w14:cap="flat" w14:cmpd="sng">
                  <w14:solidFill>
                    <w14:srgbClr w14:val="000000"/>
                  </w14:solidFill>
                  <w14:prstDash w14:val="solid"/>
                  <w14:miter w14:val="0"/>
                </w14:textOutline>
              </w:rPr>
              <w:t>非辽宁省工程建设项目电子保函保险基础服</w:t>
            </w:r>
            <w:r>
              <w:rPr>
                <w:color w:val="auto"/>
                <w:highlight w:val="none"/>
                <w14:textOutline w14:w="3831" w14:cap="flat" w14:cmpd="sng">
                  <w14:solidFill>
                    <w14:srgbClr w14:val="000000"/>
                  </w14:solidFill>
                  <w14:prstDash w14:val="solid"/>
                  <w14:miter w14:val="0"/>
                </w14:textOutline>
              </w:rPr>
              <w:t>务平台电子保函或纸质保函信息</w:t>
            </w:r>
          </w:p>
        </w:tc>
      </w:tr>
      <w:tr w14:paraId="0DFD7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14:paraId="48287577">
            <w:pPr>
              <w:pStyle w:val="11"/>
              <w:spacing w:before="29" w:line="225" w:lineRule="auto"/>
              <w:ind w:left="612" w:right="181" w:hanging="421"/>
              <w:rPr>
                <w:color w:val="auto"/>
                <w:highlight w:val="none"/>
              </w:rPr>
            </w:pPr>
            <w:r>
              <w:rPr>
                <w:color w:val="auto"/>
                <w:spacing w:val="-1"/>
                <w:highlight w:val="none"/>
              </w:rPr>
              <w:t>保函承保单</w:t>
            </w:r>
            <w:r>
              <w:rPr>
                <w:color w:val="auto"/>
                <w:highlight w:val="none"/>
              </w:rPr>
              <w:t xml:space="preserve"> 位</w:t>
            </w:r>
          </w:p>
        </w:tc>
        <w:tc>
          <w:tcPr>
            <w:tcW w:w="3028" w:type="dxa"/>
            <w:vAlign w:val="top"/>
          </w:tcPr>
          <w:p w14:paraId="5A769FC1">
            <w:pPr>
              <w:rPr>
                <w:rFonts w:ascii="Arial"/>
                <w:color w:val="auto"/>
                <w:sz w:val="21"/>
                <w:highlight w:val="none"/>
              </w:rPr>
            </w:pPr>
          </w:p>
        </w:tc>
        <w:tc>
          <w:tcPr>
            <w:tcW w:w="1526" w:type="dxa"/>
            <w:vAlign w:val="top"/>
          </w:tcPr>
          <w:p w14:paraId="54CBECF5">
            <w:pPr>
              <w:pStyle w:val="11"/>
              <w:spacing w:before="163" w:line="221" w:lineRule="auto"/>
              <w:ind w:left="352"/>
              <w:rPr>
                <w:color w:val="auto"/>
                <w:highlight w:val="none"/>
              </w:rPr>
            </w:pPr>
            <w:r>
              <w:rPr>
                <w:color w:val="auto"/>
                <w:spacing w:val="-1"/>
                <w:highlight w:val="none"/>
              </w:rPr>
              <w:t>保函额度</w:t>
            </w:r>
          </w:p>
        </w:tc>
        <w:tc>
          <w:tcPr>
            <w:tcW w:w="2217" w:type="dxa"/>
            <w:vAlign w:val="top"/>
          </w:tcPr>
          <w:p w14:paraId="69B9FCB9">
            <w:pPr>
              <w:rPr>
                <w:rFonts w:ascii="Arial"/>
                <w:color w:val="auto"/>
                <w:sz w:val="21"/>
                <w:highlight w:val="none"/>
              </w:rPr>
            </w:pPr>
          </w:p>
        </w:tc>
      </w:tr>
      <w:tr w14:paraId="6DF4A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14:paraId="69AD954F">
            <w:pPr>
              <w:pStyle w:val="11"/>
              <w:spacing w:before="30" w:line="222" w:lineRule="auto"/>
              <w:ind w:left="611" w:right="181" w:hanging="423"/>
              <w:rPr>
                <w:color w:val="auto"/>
                <w:highlight w:val="none"/>
              </w:rPr>
            </w:pPr>
            <w:r>
              <w:rPr>
                <w:color w:val="auto"/>
                <w:spacing w:val="-1"/>
                <w:highlight w:val="none"/>
              </w:rPr>
              <w:t>缴费账户名</w:t>
            </w:r>
            <w:r>
              <w:rPr>
                <w:color w:val="auto"/>
                <w:spacing w:val="3"/>
                <w:highlight w:val="none"/>
              </w:rPr>
              <w:t xml:space="preserve"> </w:t>
            </w:r>
            <w:r>
              <w:rPr>
                <w:color w:val="auto"/>
                <w:highlight w:val="none"/>
              </w:rPr>
              <w:t>称</w:t>
            </w:r>
          </w:p>
        </w:tc>
        <w:tc>
          <w:tcPr>
            <w:tcW w:w="3028" w:type="dxa"/>
            <w:vAlign w:val="top"/>
          </w:tcPr>
          <w:p w14:paraId="19B76C93">
            <w:pPr>
              <w:rPr>
                <w:rFonts w:ascii="Arial"/>
                <w:color w:val="auto"/>
                <w:sz w:val="21"/>
                <w:highlight w:val="none"/>
              </w:rPr>
            </w:pPr>
          </w:p>
        </w:tc>
        <w:tc>
          <w:tcPr>
            <w:tcW w:w="1526" w:type="dxa"/>
            <w:vAlign w:val="top"/>
          </w:tcPr>
          <w:p w14:paraId="373861B5">
            <w:pPr>
              <w:pStyle w:val="11"/>
              <w:spacing w:before="164" w:line="221" w:lineRule="auto"/>
              <w:ind w:left="141"/>
              <w:rPr>
                <w:color w:val="auto"/>
                <w:highlight w:val="none"/>
              </w:rPr>
            </w:pPr>
            <w:r>
              <w:rPr>
                <w:color w:val="auto"/>
                <w:spacing w:val="-1"/>
                <w:highlight w:val="none"/>
              </w:rPr>
              <w:t>保函办理时间</w:t>
            </w:r>
          </w:p>
        </w:tc>
        <w:tc>
          <w:tcPr>
            <w:tcW w:w="2217" w:type="dxa"/>
            <w:vAlign w:val="top"/>
          </w:tcPr>
          <w:p w14:paraId="11C39687">
            <w:pPr>
              <w:rPr>
                <w:rFonts w:ascii="Arial"/>
                <w:color w:val="auto"/>
                <w:sz w:val="21"/>
                <w:highlight w:val="none"/>
              </w:rPr>
            </w:pPr>
          </w:p>
        </w:tc>
      </w:tr>
      <w:tr w14:paraId="3E4DC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14:paraId="3E0D1FF8">
            <w:pPr>
              <w:pStyle w:val="11"/>
              <w:spacing w:before="31" w:line="208" w:lineRule="auto"/>
              <w:ind w:left="294"/>
              <w:rPr>
                <w:color w:val="auto"/>
                <w:highlight w:val="none"/>
              </w:rPr>
            </w:pPr>
            <w:r>
              <w:rPr>
                <w:color w:val="auto"/>
                <w:spacing w:val="-1"/>
                <w:highlight w:val="none"/>
              </w:rPr>
              <w:t>缴费账号</w:t>
            </w:r>
          </w:p>
        </w:tc>
        <w:tc>
          <w:tcPr>
            <w:tcW w:w="3028" w:type="dxa"/>
            <w:vAlign w:val="top"/>
          </w:tcPr>
          <w:p w14:paraId="62557869">
            <w:pPr>
              <w:rPr>
                <w:rFonts w:ascii="Arial"/>
                <w:color w:val="auto"/>
                <w:sz w:val="21"/>
                <w:highlight w:val="none"/>
              </w:rPr>
            </w:pPr>
          </w:p>
        </w:tc>
        <w:tc>
          <w:tcPr>
            <w:tcW w:w="1526" w:type="dxa"/>
            <w:vAlign w:val="top"/>
          </w:tcPr>
          <w:p w14:paraId="7B6E53B9">
            <w:pPr>
              <w:pStyle w:val="11"/>
              <w:spacing w:before="31" w:line="208" w:lineRule="auto"/>
              <w:ind w:left="246"/>
              <w:rPr>
                <w:color w:val="auto"/>
                <w:highlight w:val="none"/>
              </w:rPr>
            </w:pPr>
            <w:r>
              <w:rPr>
                <w:color w:val="auto"/>
                <w:spacing w:val="-1"/>
                <w:highlight w:val="none"/>
              </w:rPr>
              <w:t>保函有效期</w:t>
            </w:r>
          </w:p>
        </w:tc>
        <w:tc>
          <w:tcPr>
            <w:tcW w:w="2217" w:type="dxa"/>
            <w:vAlign w:val="top"/>
          </w:tcPr>
          <w:p w14:paraId="5571EA41">
            <w:pPr>
              <w:rPr>
                <w:rFonts w:ascii="Arial"/>
                <w:color w:val="auto"/>
                <w:sz w:val="21"/>
                <w:highlight w:val="none"/>
              </w:rPr>
            </w:pPr>
          </w:p>
        </w:tc>
      </w:tr>
      <w:tr w14:paraId="5F79B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14:paraId="58783379">
            <w:pPr>
              <w:pStyle w:val="11"/>
              <w:spacing w:before="32" w:line="224" w:lineRule="auto"/>
              <w:ind w:left="417" w:right="181" w:hanging="226"/>
              <w:rPr>
                <w:color w:val="auto"/>
                <w:highlight w:val="none"/>
              </w:rPr>
            </w:pPr>
            <w:r>
              <w:rPr>
                <w:color w:val="auto"/>
                <w:spacing w:val="-1"/>
                <w:highlight w:val="none"/>
              </w:rPr>
              <w:t>保函验真平</w:t>
            </w:r>
            <w:r>
              <w:rPr>
                <w:color w:val="auto"/>
                <w:highlight w:val="none"/>
              </w:rPr>
              <w:t xml:space="preserve"> </w:t>
            </w:r>
            <w:r>
              <w:rPr>
                <w:color w:val="auto"/>
                <w:spacing w:val="-5"/>
                <w:highlight w:val="none"/>
              </w:rPr>
              <w:t>台网址</w:t>
            </w:r>
          </w:p>
        </w:tc>
        <w:tc>
          <w:tcPr>
            <w:tcW w:w="6771" w:type="dxa"/>
            <w:gridSpan w:val="3"/>
            <w:vAlign w:val="top"/>
          </w:tcPr>
          <w:p w14:paraId="1FBF9917">
            <w:pPr>
              <w:rPr>
                <w:rFonts w:ascii="Arial"/>
                <w:color w:val="auto"/>
                <w:sz w:val="21"/>
                <w:highlight w:val="none"/>
              </w:rPr>
            </w:pPr>
          </w:p>
        </w:tc>
      </w:tr>
      <w:tr w14:paraId="29B59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14:paraId="2FECC446">
            <w:pPr>
              <w:spacing w:line="314" w:lineRule="auto"/>
              <w:rPr>
                <w:rFonts w:ascii="Arial"/>
                <w:color w:val="auto"/>
                <w:sz w:val="21"/>
                <w:highlight w:val="none"/>
              </w:rPr>
            </w:pPr>
          </w:p>
          <w:p w14:paraId="55D8DE05">
            <w:pPr>
              <w:spacing w:line="314" w:lineRule="auto"/>
              <w:rPr>
                <w:rFonts w:ascii="Arial"/>
                <w:color w:val="auto"/>
                <w:sz w:val="21"/>
                <w:highlight w:val="none"/>
              </w:rPr>
            </w:pPr>
          </w:p>
          <w:p w14:paraId="3B3A62B8">
            <w:pPr>
              <w:spacing w:line="314" w:lineRule="auto"/>
              <w:rPr>
                <w:rFonts w:ascii="Arial"/>
                <w:color w:val="auto"/>
                <w:sz w:val="21"/>
                <w:highlight w:val="none"/>
              </w:rPr>
            </w:pPr>
          </w:p>
          <w:p w14:paraId="302B5245">
            <w:pPr>
              <w:pStyle w:val="11"/>
              <w:spacing w:before="68" w:line="220" w:lineRule="auto"/>
              <w:ind w:left="523"/>
              <w:rPr>
                <w:color w:val="auto"/>
                <w:highlight w:val="none"/>
              </w:rPr>
            </w:pPr>
            <w:r>
              <w:rPr>
                <w:color w:val="auto"/>
                <w:spacing w:val="-6"/>
                <w:highlight w:val="none"/>
              </w:rPr>
              <w:t>附件</w:t>
            </w:r>
          </w:p>
        </w:tc>
        <w:tc>
          <w:tcPr>
            <w:tcW w:w="6771" w:type="dxa"/>
            <w:gridSpan w:val="3"/>
            <w:vAlign w:val="top"/>
          </w:tcPr>
          <w:p w14:paraId="295F51CB">
            <w:pPr>
              <w:pStyle w:val="11"/>
              <w:spacing w:before="27" w:line="207" w:lineRule="auto"/>
              <w:ind w:left="115"/>
              <w:rPr>
                <w:color w:val="auto"/>
                <w:highlight w:val="none"/>
              </w:rPr>
            </w:pPr>
            <w:r>
              <w:rPr>
                <w:color w:val="auto"/>
                <w:spacing w:val="-1"/>
                <w:highlight w:val="none"/>
              </w:rPr>
              <w:t>保函扫描件</w:t>
            </w:r>
          </w:p>
        </w:tc>
      </w:tr>
      <w:tr w14:paraId="6C14B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53F8965">
            <w:pPr>
              <w:rPr>
                <w:rFonts w:ascii="Arial"/>
                <w:color w:val="auto"/>
                <w:sz w:val="21"/>
                <w:highlight w:val="none"/>
              </w:rPr>
            </w:pPr>
          </w:p>
        </w:tc>
        <w:tc>
          <w:tcPr>
            <w:tcW w:w="6771" w:type="dxa"/>
            <w:gridSpan w:val="3"/>
            <w:vAlign w:val="top"/>
          </w:tcPr>
          <w:p w14:paraId="1D1B804A">
            <w:pPr>
              <w:rPr>
                <w:rFonts w:ascii="Arial"/>
                <w:color w:val="auto"/>
                <w:sz w:val="21"/>
                <w:highlight w:val="none"/>
              </w:rPr>
            </w:pPr>
          </w:p>
        </w:tc>
      </w:tr>
      <w:tr w14:paraId="64A35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2EC6BA1A">
            <w:pPr>
              <w:rPr>
                <w:rFonts w:ascii="Arial"/>
                <w:color w:val="auto"/>
                <w:sz w:val="21"/>
                <w:highlight w:val="none"/>
              </w:rPr>
            </w:pPr>
          </w:p>
        </w:tc>
        <w:tc>
          <w:tcPr>
            <w:tcW w:w="6771" w:type="dxa"/>
            <w:gridSpan w:val="3"/>
            <w:vAlign w:val="top"/>
          </w:tcPr>
          <w:p w14:paraId="38DFE5E8">
            <w:pPr>
              <w:pStyle w:val="11"/>
              <w:spacing w:before="32" w:line="207" w:lineRule="auto"/>
              <w:ind w:left="112"/>
              <w:rPr>
                <w:color w:val="auto"/>
                <w:highlight w:val="none"/>
              </w:rPr>
            </w:pPr>
            <w:r>
              <w:rPr>
                <w:color w:val="auto"/>
                <w:spacing w:val="-1"/>
                <w:highlight w:val="none"/>
              </w:rPr>
              <w:t>缴费凭证扫描件</w:t>
            </w:r>
          </w:p>
        </w:tc>
      </w:tr>
      <w:tr w14:paraId="5399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68790B43">
            <w:pPr>
              <w:rPr>
                <w:rFonts w:ascii="Arial"/>
                <w:color w:val="auto"/>
                <w:sz w:val="21"/>
                <w:highlight w:val="none"/>
              </w:rPr>
            </w:pPr>
          </w:p>
        </w:tc>
        <w:tc>
          <w:tcPr>
            <w:tcW w:w="6771" w:type="dxa"/>
            <w:gridSpan w:val="3"/>
            <w:vAlign w:val="top"/>
          </w:tcPr>
          <w:p w14:paraId="72E37A6F">
            <w:pPr>
              <w:rPr>
                <w:rFonts w:ascii="Arial"/>
                <w:color w:val="auto"/>
                <w:sz w:val="21"/>
                <w:highlight w:val="none"/>
              </w:rPr>
            </w:pPr>
          </w:p>
        </w:tc>
      </w:tr>
      <w:tr w14:paraId="59F0C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4E54439">
            <w:pPr>
              <w:rPr>
                <w:rFonts w:ascii="Arial"/>
                <w:color w:val="auto"/>
                <w:sz w:val="21"/>
                <w:highlight w:val="none"/>
              </w:rPr>
            </w:pPr>
          </w:p>
        </w:tc>
        <w:tc>
          <w:tcPr>
            <w:tcW w:w="6771" w:type="dxa"/>
            <w:gridSpan w:val="3"/>
            <w:vAlign w:val="top"/>
          </w:tcPr>
          <w:p w14:paraId="0145F753">
            <w:pPr>
              <w:pStyle w:val="11"/>
              <w:spacing w:before="33" w:line="206" w:lineRule="auto"/>
              <w:ind w:left="114"/>
              <w:rPr>
                <w:color w:val="auto"/>
                <w:highlight w:val="none"/>
              </w:rPr>
            </w:pPr>
            <w:r>
              <w:rPr>
                <w:color w:val="auto"/>
                <w:spacing w:val="-4"/>
                <w:highlight w:val="none"/>
              </w:rPr>
              <w:t>基本户开户许可证扫（基本存款账户信息）</w:t>
            </w:r>
            <w:r>
              <w:rPr>
                <w:color w:val="auto"/>
                <w:spacing w:val="-20"/>
                <w:highlight w:val="none"/>
              </w:rPr>
              <w:t xml:space="preserve"> </w:t>
            </w:r>
            <w:r>
              <w:rPr>
                <w:color w:val="auto"/>
                <w:spacing w:val="-4"/>
                <w:highlight w:val="none"/>
              </w:rPr>
              <w:t>描件</w:t>
            </w:r>
          </w:p>
        </w:tc>
      </w:tr>
      <w:tr w14:paraId="0DE1A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7BEB2CB">
            <w:pPr>
              <w:rPr>
                <w:rFonts w:ascii="Arial"/>
                <w:color w:val="auto"/>
                <w:sz w:val="21"/>
                <w:highlight w:val="none"/>
              </w:rPr>
            </w:pPr>
          </w:p>
        </w:tc>
        <w:tc>
          <w:tcPr>
            <w:tcW w:w="6771" w:type="dxa"/>
            <w:gridSpan w:val="3"/>
            <w:vAlign w:val="top"/>
          </w:tcPr>
          <w:p w14:paraId="334E835B">
            <w:pPr>
              <w:rPr>
                <w:rFonts w:ascii="Arial"/>
                <w:color w:val="auto"/>
                <w:sz w:val="21"/>
                <w:highlight w:val="none"/>
              </w:rPr>
            </w:pPr>
          </w:p>
        </w:tc>
      </w:tr>
      <w:tr w14:paraId="6E485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14:paraId="34A08B7E">
            <w:pPr>
              <w:rPr>
                <w:rFonts w:ascii="Arial"/>
                <w:color w:val="auto"/>
                <w:sz w:val="21"/>
                <w:highlight w:val="none"/>
              </w:rPr>
            </w:pPr>
          </w:p>
        </w:tc>
        <w:tc>
          <w:tcPr>
            <w:tcW w:w="6771" w:type="dxa"/>
            <w:gridSpan w:val="3"/>
            <w:vAlign w:val="top"/>
          </w:tcPr>
          <w:p w14:paraId="56EC353D">
            <w:pPr>
              <w:pStyle w:val="11"/>
              <w:spacing w:before="29" w:line="205" w:lineRule="auto"/>
              <w:ind w:left="115"/>
              <w:rPr>
                <w:color w:val="auto"/>
                <w:highlight w:val="none"/>
              </w:rPr>
            </w:pPr>
            <w:r>
              <w:rPr>
                <w:color w:val="auto"/>
                <w:spacing w:val="-1"/>
                <w:highlight w:val="none"/>
              </w:rPr>
              <w:t>其他材料</w:t>
            </w:r>
          </w:p>
        </w:tc>
      </w:tr>
      <w:tr w14:paraId="3712B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14:paraId="7297B219">
            <w:pPr>
              <w:rPr>
                <w:rFonts w:ascii="Arial"/>
                <w:color w:val="auto"/>
                <w:sz w:val="21"/>
                <w:highlight w:val="none"/>
              </w:rPr>
            </w:pPr>
          </w:p>
        </w:tc>
        <w:tc>
          <w:tcPr>
            <w:tcW w:w="6771" w:type="dxa"/>
            <w:gridSpan w:val="3"/>
            <w:vAlign w:val="top"/>
          </w:tcPr>
          <w:p w14:paraId="356298FE">
            <w:pPr>
              <w:rPr>
                <w:rFonts w:ascii="Arial"/>
                <w:color w:val="auto"/>
                <w:sz w:val="21"/>
                <w:highlight w:val="none"/>
              </w:rPr>
            </w:pPr>
          </w:p>
        </w:tc>
      </w:tr>
    </w:tbl>
    <w:p w14:paraId="1A1947F5">
      <w:pPr>
        <w:pStyle w:val="3"/>
        <w:rPr>
          <w:color w:val="auto"/>
          <w:highlight w:val="none"/>
        </w:rPr>
      </w:pPr>
    </w:p>
    <w:p w14:paraId="240C5E10">
      <w:pPr>
        <w:rPr>
          <w:color w:val="auto"/>
          <w:highlight w:val="none"/>
        </w:rPr>
        <w:sectPr>
          <w:footerReference r:id="rId219" w:type="default"/>
          <w:pgSz w:w="11905" w:h="16839"/>
          <w:pgMar w:top="400" w:right="1785" w:bottom="1004" w:left="1785" w:header="0" w:footer="828" w:gutter="0"/>
          <w:pgNumType w:fmt="decimal"/>
          <w:cols w:space="720" w:num="1"/>
        </w:sectPr>
      </w:pPr>
    </w:p>
    <w:p w14:paraId="3F870B98">
      <w:pPr>
        <w:pStyle w:val="3"/>
        <w:spacing w:line="255" w:lineRule="auto"/>
        <w:rPr>
          <w:color w:val="auto"/>
          <w:highlight w:val="none"/>
        </w:rPr>
      </w:pPr>
    </w:p>
    <w:p w14:paraId="71406B93">
      <w:pPr>
        <w:pStyle w:val="3"/>
        <w:spacing w:line="256" w:lineRule="auto"/>
        <w:rPr>
          <w:color w:val="auto"/>
          <w:highlight w:val="none"/>
        </w:rPr>
      </w:pPr>
    </w:p>
    <w:p w14:paraId="6445DF9A">
      <w:pPr>
        <w:pStyle w:val="3"/>
        <w:spacing w:line="256" w:lineRule="auto"/>
        <w:rPr>
          <w:color w:val="auto"/>
          <w:highlight w:val="none"/>
        </w:rPr>
      </w:pPr>
    </w:p>
    <w:p w14:paraId="005D0774">
      <w:pPr>
        <w:pStyle w:val="3"/>
        <w:spacing w:line="256" w:lineRule="auto"/>
        <w:rPr>
          <w:color w:val="auto"/>
          <w:highlight w:val="none"/>
        </w:rPr>
      </w:pPr>
    </w:p>
    <w:p w14:paraId="739B49C5">
      <w:pPr>
        <w:spacing w:before="88" w:line="225" w:lineRule="auto"/>
        <w:ind w:left="3072"/>
        <w:rPr>
          <w:rFonts w:ascii="黑体" w:hAnsi="黑体" w:eastAsia="黑体" w:cs="黑体"/>
          <w:color w:val="auto"/>
          <w:sz w:val="27"/>
          <w:szCs w:val="27"/>
          <w:highlight w:val="none"/>
        </w:rPr>
      </w:pPr>
      <w:bookmarkStart w:id="1332" w:name="bookmark305"/>
      <w:bookmarkEnd w:id="1332"/>
      <w:r>
        <w:rPr>
          <w:rFonts w:ascii="黑体" w:hAnsi="黑体" w:eastAsia="黑体" w:cs="黑体"/>
          <w:color w:val="auto"/>
          <w:spacing w:val="6"/>
          <w:sz w:val="27"/>
          <w:szCs w:val="27"/>
          <w:highlight w:val="none"/>
        </w:rPr>
        <w:t>四、联合体协议书</w:t>
      </w:r>
    </w:p>
    <w:p w14:paraId="6CDF8217">
      <w:pPr>
        <w:spacing w:before="128" w:line="221" w:lineRule="auto"/>
        <w:ind w:left="376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14:paraId="7A8D5DEC">
      <w:pPr>
        <w:pStyle w:val="3"/>
        <w:spacing w:line="465" w:lineRule="auto"/>
        <w:rPr>
          <w:color w:val="auto"/>
          <w:highlight w:val="none"/>
        </w:rPr>
      </w:pPr>
    </w:p>
    <w:p w14:paraId="7C06AD7F">
      <w:pPr>
        <w:spacing w:before="68" w:line="35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牵头人名称：</w:t>
      </w:r>
      <w:r>
        <w:rPr>
          <w:rFonts w:ascii="宋体" w:hAnsi="宋体" w:eastAsia="宋体" w:cs="宋体"/>
          <w:color w:val="auto"/>
          <w:sz w:val="21"/>
          <w:szCs w:val="21"/>
          <w:highlight w:val="none"/>
          <w:u w:val="single" w:color="auto"/>
        </w:rPr>
        <w:t xml:space="preserve">                                                  </w:t>
      </w:r>
    </w:p>
    <w:p w14:paraId="287A81DC">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z w:val="21"/>
          <w:szCs w:val="21"/>
          <w:highlight w:val="none"/>
          <w:u w:val="single" w:color="auto"/>
        </w:rPr>
        <w:t xml:space="preserve">                                                  </w:t>
      </w:r>
    </w:p>
    <w:p w14:paraId="10584676">
      <w:pPr>
        <w:spacing w:before="143" w:line="221" w:lineRule="auto"/>
        <w:ind w:left="19"/>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法定住所：</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p w14:paraId="7C41C57E">
      <w:pPr>
        <w:pStyle w:val="3"/>
        <w:spacing w:line="464" w:lineRule="auto"/>
        <w:rPr>
          <w:color w:val="auto"/>
          <w:highlight w:val="none"/>
        </w:rPr>
      </w:pPr>
    </w:p>
    <w:p w14:paraId="6E0D029F">
      <w:pPr>
        <w:spacing w:before="69" w:line="346"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成员二名称：</w:t>
      </w:r>
      <w:r>
        <w:rPr>
          <w:rFonts w:ascii="宋体" w:hAnsi="宋体" w:eastAsia="宋体" w:cs="宋体"/>
          <w:color w:val="auto"/>
          <w:sz w:val="21"/>
          <w:szCs w:val="21"/>
          <w:highlight w:val="none"/>
          <w:u w:val="single" w:color="auto"/>
        </w:rPr>
        <w:t xml:space="preserve">                                                  </w:t>
      </w:r>
    </w:p>
    <w:p w14:paraId="2027AE2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z w:val="21"/>
          <w:szCs w:val="21"/>
          <w:highlight w:val="none"/>
          <w:u w:val="single" w:color="auto"/>
        </w:rPr>
        <w:t xml:space="preserve">                                                  </w:t>
      </w:r>
    </w:p>
    <w:p w14:paraId="32CBA147">
      <w:pPr>
        <w:spacing w:before="143" w:line="221" w:lineRule="auto"/>
        <w:ind w:left="19"/>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法定住所：</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p w14:paraId="289D8BEA">
      <w:pPr>
        <w:spacing w:before="141" w:line="333" w:lineRule="exact"/>
        <w:ind w:left="555"/>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199FD9E7">
      <w:pPr>
        <w:spacing w:before="62" w:line="346" w:lineRule="auto"/>
        <w:ind w:left="18" w:right="12" w:firstLine="42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鉴于上述各成员单位经过友好协商，自愿组成</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27"/>
          <w:sz w:val="21"/>
          <w:szCs w:val="21"/>
          <w:highlight w:val="none"/>
        </w:rPr>
        <w:t xml:space="preserve"> </w:t>
      </w:r>
      <w:r>
        <w:rPr>
          <w:rFonts w:ascii="宋体" w:hAnsi="宋体" w:eastAsia="宋体" w:cs="宋体"/>
          <w:color w:val="auto"/>
          <w:spacing w:val="-7"/>
          <w:sz w:val="21"/>
          <w:szCs w:val="21"/>
          <w:highlight w:val="none"/>
        </w:rPr>
        <w:t>（联合</w:t>
      </w:r>
      <w:r>
        <w:rPr>
          <w:rFonts w:ascii="宋体" w:hAnsi="宋体" w:eastAsia="宋体" w:cs="宋体"/>
          <w:color w:val="auto"/>
          <w:spacing w:val="-8"/>
          <w:sz w:val="21"/>
          <w:szCs w:val="21"/>
          <w:highlight w:val="none"/>
        </w:rPr>
        <w:t>体名称）</w:t>
      </w:r>
      <w:r>
        <w:rPr>
          <w:rFonts w:ascii="宋体" w:hAnsi="宋体" w:eastAsia="宋体" w:cs="宋体"/>
          <w:color w:val="auto"/>
          <w:spacing w:val="18"/>
          <w:sz w:val="21"/>
          <w:szCs w:val="21"/>
          <w:highlight w:val="none"/>
        </w:rPr>
        <w:t xml:space="preserve"> </w:t>
      </w:r>
      <w:r>
        <w:rPr>
          <w:rFonts w:ascii="宋体" w:hAnsi="宋体" w:eastAsia="宋体" w:cs="宋体"/>
          <w:color w:val="auto"/>
          <w:spacing w:val="-8"/>
          <w:sz w:val="21"/>
          <w:szCs w:val="21"/>
          <w:highlight w:val="none"/>
        </w:rPr>
        <w:t>联合体， 共同参</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加</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13"/>
          <w:sz w:val="21"/>
          <w:szCs w:val="21"/>
          <w:highlight w:val="none"/>
        </w:rPr>
        <w:t xml:space="preserve"> （招标人名称</w:t>
      </w:r>
      <w:r>
        <w:rPr>
          <w:rFonts w:ascii="宋体" w:hAnsi="宋体" w:eastAsia="宋体" w:cs="宋体"/>
          <w:color w:val="auto"/>
          <w:spacing w:val="-11"/>
          <w:sz w:val="21"/>
          <w:szCs w:val="21"/>
          <w:highlight w:val="none"/>
        </w:rPr>
        <w:t>）（</w:t>
      </w:r>
      <w:r>
        <w:rPr>
          <w:rFonts w:ascii="宋体" w:hAnsi="宋体" w:eastAsia="宋体" w:cs="宋体"/>
          <w:color w:val="auto"/>
          <w:spacing w:val="-13"/>
          <w:sz w:val="21"/>
          <w:szCs w:val="21"/>
          <w:highlight w:val="none"/>
        </w:rPr>
        <w:t>以下简称招标人</w:t>
      </w:r>
      <w:r>
        <w:rPr>
          <w:rFonts w:ascii="宋体" w:hAnsi="宋体" w:eastAsia="宋体" w:cs="宋体"/>
          <w:color w:val="auto"/>
          <w:spacing w:val="-11"/>
          <w:sz w:val="21"/>
          <w:szCs w:val="21"/>
          <w:highlight w:val="none"/>
        </w:rPr>
        <w:t>）</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0"/>
          <w:sz w:val="21"/>
          <w:szCs w:val="21"/>
          <w:highlight w:val="none"/>
        </w:rPr>
        <w:t xml:space="preserve"> </w:t>
      </w:r>
      <w:r>
        <w:rPr>
          <w:rFonts w:ascii="宋体" w:hAnsi="宋体" w:eastAsia="宋体" w:cs="宋体"/>
          <w:color w:val="auto"/>
          <w:spacing w:val="-11"/>
          <w:sz w:val="21"/>
          <w:szCs w:val="21"/>
          <w:highlight w:val="none"/>
        </w:rPr>
        <w:t>（</w:t>
      </w:r>
      <w:r>
        <w:rPr>
          <w:rFonts w:ascii="宋体" w:hAnsi="宋体" w:eastAsia="宋体" w:cs="宋体"/>
          <w:color w:val="auto"/>
          <w:spacing w:val="-13"/>
          <w:sz w:val="21"/>
          <w:szCs w:val="21"/>
          <w:highlight w:val="none"/>
        </w:rPr>
        <w:t>标段名称）</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（以下简称本工程）</w:t>
      </w:r>
      <w:r>
        <w:rPr>
          <w:rFonts w:ascii="宋体" w:hAnsi="宋体" w:eastAsia="宋体" w:cs="宋体"/>
          <w:color w:val="auto"/>
          <w:spacing w:val="36"/>
          <w:sz w:val="21"/>
          <w:szCs w:val="21"/>
          <w:highlight w:val="none"/>
        </w:rPr>
        <w:t xml:space="preserve"> </w:t>
      </w:r>
      <w:r>
        <w:rPr>
          <w:rFonts w:ascii="宋体" w:hAnsi="宋体" w:eastAsia="宋体" w:cs="宋体"/>
          <w:color w:val="auto"/>
          <w:spacing w:val="-6"/>
          <w:sz w:val="21"/>
          <w:szCs w:val="21"/>
          <w:highlight w:val="none"/>
        </w:rPr>
        <w:t>的施工投标并争取赢得本工程施工承包合同（以下简称合同）。现就联</w:t>
      </w:r>
    </w:p>
    <w:p w14:paraId="07C786A3">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合体投标事宜订立如下协议：</w:t>
      </w:r>
    </w:p>
    <w:p w14:paraId="7AB997CB">
      <w:pPr>
        <w:spacing w:before="142" w:line="220" w:lineRule="auto"/>
        <w:ind w:left="456"/>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1</w:t>
      </w:r>
      <w:r>
        <w:rPr>
          <w:rFonts w:ascii="宋体" w:hAnsi="宋体" w:eastAsia="宋体" w:cs="宋体"/>
          <w:color w:val="auto"/>
          <w:spacing w:val="-6"/>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10"/>
          <w:sz w:val="21"/>
          <w:szCs w:val="21"/>
          <w:highlight w:val="none"/>
        </w:rPr>
        <w:t>某成员单位名称）为</w:t>
      </w:r>
      <w:r>
        <w:rPr>
          <w:rFonts w:ascii="宋体" w:hAnsi="宋体" w:eastAsia="宋体" w:cs="宋体"/>
          <w:color w:val="auto"/>
          <w:spacing w:val="-93"/>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0"/>
          <w:sz w:val="21"/>
          <w:szCs w:val="21"/>
          <w:highlight w:val="none"/>
        </w:rPr>
        <w:t xml:space="preserve"> （联合体名称）牵头人。</w:t>
      </w:r>
    </w:p>
    <w:p w14:paraId="46F8C2A2">
      <w:pPr>
        <w:spacing w:before="149" w:line="346" w:lineRule="auto"/>
        <w:ind w:left="18" w:right="8"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2．在本工程投标阶段，联合体牵头人合法代表联合体各成员负责本工程投标文件编制</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rPr>
        <w:t>活动， 代表联合体提交和接收相关的资料、信息及指示，并处理与投标和中标有关的一切</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事务； 联合体中标后， 联合体牵头人负责合同订立</w:t>
      </w:r>
      <w:r>
        <w:rPr>
          <w:rFonts w:ascii="宋体" w:hAnsi="宋体" w:eastAsia="宋体" w:cs="宋体"/>
          <w:color w:val="auto"/>
          <w:spacing w:val="-3"/>
          <w:sz w:val="21"/>
          <w:szCs w:val="21"/>
          <w:highlight w:val="none"/>
        </w:rPr>
        <w:t>和合同实施阶段的主办、组织和协调工</w:t>
      </w:r>
    </w:p>
    <w:p w14:paraId="2AFF4B25">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作。</w:t>
      </w:r>
    </w:p>
    <w:p w14:paraId="43F2A8AB">
      <w:pPr>
        <w:spacing w:before="142" w:line="346" w:lineRule="auto"/>
        <w:ind w:left="19" w:right="8"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3．联合体将严格按照招标文件的各项要求，递交投标文件，履行投标义务和中标后的</w:t>
      </w:r>
      <w:r>
        <w:rPr>
          <w:rFonts w:ascii="宋体" w:hAnsi="宋体" w:eastAsia="宋体" w:cs="宋体"/>
          <w:color w:val="auto"/>
          <w:spacing w:val="2"/>
          <w:sz w:val="21"/>
          <w:szCs w:val="21"/>
          <w:highlight w:val="none"/>
        </w:rPr>
        <w:t xml:space="preserve"> </w:t>
      </w:r>
      <w:r>
        <w:rPr>
          <w:rFonts w:ascii="宋体" w:hAnsi="宋体" w:eastAsia="宋体" w:cs="宋体"/>
          <w:color w:val="auto"/>
          <w:spacing w:val="-5"/>
          <w:sz w:val="21"/>
          <w:szCs w:val="21"/>
          <w:highlight w:val="none"/>
        </w:rPr>
        <w:t>合同， 共同承担合同规定的一切义务和责任， 联合体各成员单位按照内部职责的部分， 承</w:t>
      </w:r>
    </w:p>
    <w:p w14:paraId="539EB1D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担各自所负的责任和风险，并向招标人承担连带责任。</w:t>
      </w:r>
    </w:p>
    <w:p w14:paraId="3F70A18B">
      <w:pPr>
        <w:spacing w:before="142" w:line="221" w:lineRule="auto"/>
        <w:ind w:left="44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4．联合体各成员单位内部的职责分工如下：</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0247CE79">
      <w:pPr>
        <w:pStyle w:val="3"/>
        <w:spacing w:line="251" w:lineRule="auto"/>
        <w:rPr>
          <w:color w:val="auto"/>
          <w:highlight w:val="none"/>
        </w:rPr>
      </w:pPr>
    </w:p>
    <w:p w14:paraId="4D10B139">
      <w:pPr>
        <w:tabs>
          <w:tab w:val="left" w:pos="7784"/>
        </w:tabs>
        <w:spacing w:before="26" w:line="159" w:lineRule="auto"/>
        <w:ind w:left="1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14:paraId="4DADC179">
      <w:pPr>
        <w:spacing w:before="190" w:line="346" w:lineRule="auto"/>
        <w:ind w:left="442" w:right="54" w:firstLine="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5．投标工作和联合体在中标后工程实施过程中的有关费用按各自承担的</w:t>
      </w:r>
      <w:r>
        <w:rPr>
          <w:rFonts w:ascii="宋体" w:hAnsi="宋体" w:eastAsia="宋体" w:cs="宋体"/>
          <w:color w:val="auto"/>
          <w:spacing w:val="-2"/>
          <w:sz w:val="21"/>
          <w:szCs w:val="21"/>
          <w:highlight w:val="none"/>
        </w:rPr>
        <w:t>工作量分摊。</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6．联合体中标后，本联合体协议是合同的附件，对联合体各成员单位有合同约</w:t>
      </w:r>
      <w:r>
        <w:rPr>
          <w:rFonts w:ascii="宋体" w:hAnsi="宋体" w:eastAsia="宋体" w:cs="宋体"/>
          <w:color w:val="auto"/>
          <w:spacing w:val="-2"/>
          <w:sz w:val="21"/>
          <w:szCs w:val="21"/>
          <w:highlight w:val="none"/>
        </w:rPr>
        <w:t>束力。</w:t>
      </w:r>
    </w:p>
    <w:p w14:paraId="3E327D20">
      <w:pPr>
        <w:spacing w:before="1" w:line="219" w:lineRule="auto"/>
        <w:ind w:left="446"/>
        <w:rPr>
          <w:rFonts w:ascii="宋体" w:hAnsi="宋体" w:eastAsia="宋体" w:cs="宋体"/>
          <w:color w:val="auto"/>
          <w:sz w:val="21"/>
          <w:szCs w:val="21"/>
          <w:highlight w:val="none"/>
        </w:rPr>
      </w:pPr>
      <w:r>
        <w:rPr>
          <w:rFonts w:ascii="宋体" w:hAnsi="宋体" w:eastAsia="宋体" w:cs="宋体"/>
          <w:color w:val="auto"/>
          <w:sz w:val="21"/>
          <w:szCs w:val="21"/>
          <w:highlight w:val="none"/>
        </w:rPr>
        <w:t>7．本协议书自签署之日起生效，联合体未中标或者中标合</w:t>
      </w:r>
      <w:r>
        <w:rPr>
          <w:rFonts w:ascii="宋体" w:hAnsi="宋体" w:eastAsia="宋体" w:cs="宋体"/>
          <w:color w:val="auto"/>
          <w:spacing w:val="-1"/>
          <w:sz w:val="21"/>
          <w:szCs w:val="21"/>
          <w:highlight w:val="none"/>
        </w:rPr>
        <w:t>同履行完毕后自动失效。</w:t>
      </w:r>
    </w:p>
    <w:p w14:paraId="6D402017">
      <w:pPr>
        <w:spacing w:before="14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8．本协议书一式</w:t>
      </w:r>
      <w:r>
        <w:rPr>
          <w:rFonts w:ascii="宋体" w:hAnsi="宋体" w:eastAsia="宋体" w:cs="宋体"/>
          <w:color w:val="auto"/>
          <w:spacing w:val="-105"/>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1"/>
          <w:sz w:val="21"/>
          <w:szCs w:val="21"/>
          <w:highlight w:val="none"/>
        </w:rPr>
        <w:t>份，联合体成员和招标人</w:t>
      </w:r>
      <w:r>
        <w:rPr>
          <w:rFonts w:ascii="宋体" w:hAnsi="宋体" w:eastAsia="宋体" w:cs="宋体"/>
          <w:color w:val="auto"/>
          <w:spacing w:val="-2"/>
          <w:sz w:val="21"/>
          <w:szCs w:val="21"/>
          <w:highlight w:val="none"/>
        </w:rPr>
        <w:t>各执一份。</w:t>
      </w:r>
    </w:p>
    <w:p w14:paraId="1F0A4C3D">
      <w:pPr>
        <w:pStyle w:val="3"/>
        <w:spacing w:line="466" w:lineRule="auto"/>
        <w:rPr>
          <w:color w:val="auto"/>
          <w:highlight w:val="none"/>
        </w:rPr>
      </w:pPr>
    </w:p>
    <w:p w14:paraId="73797E23">
      <w:pPr>
        <w:spacing w:before="68" w:line="346" w:lineRule="auto"/>
        <w:ind w:left="180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牵头人名称</w:t>
      </w:r>
      <w:r>
        <w:rPr>
          <w:rFonts w:ascii="宋体" w:hAnsi="宋体" w:eastAsia="宋体" w:cs="宋体"/>
          <w:color w:val="auto"/>
          <w:spacing w:val="-13"/>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1"/>
          <w:sz w:val="21"/>
          <w:szCs w:val="21"/>
          <w:highlight w:val="none"/>
        </w:rPr>
        <w:t>盖单位章）</w:t>
      </w:r>
    </w:p>
    <w:p w14:paraId="16ABB3D8">
      <w:pPr>
        <w:spacing w:before="1" w:line="219" w:lineRule="auto"/>
        <w:ind w:left="1805"/>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6EB801DA">
      <w:pPr>
        <w:pStyle w:val="3"/>
        <w:spacing w:line="466" w:lineRule="auto"/>
        <w:rPr>
          <w:color w:val="auto"/>
          <w:highlight w:val="none"/>
        </w:rPr>
      </w:pPr>
    </w:p>
    <w:p w14:paraId="0FD46C5D">
      <w:pPr>
        <w:spacing w:before="69" w:line="346" w:lineRule="auto"/>
        <w:ind w:left="180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成员二名称</w:t>
      </w:r>
      <w:r>
        <w:rPr>
          <w:rFonts w:ascii="宋体" w:hAnsi="宋体" w:eastAsia="宋体" w:cs="宋体"/>
          <w:color w:val="auto"/>
          <w:spacing w:val="-13"/>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1"/>
          <w:sz w:val="21"/>
          <w:szCs w:val="21"/>
          <w:highlight w:val="none"/>
        </w:rPr>
        <w:t>盖单位章）</w:t>
      </w:r>
    </w:p>
    <w:p w14:paraId="34D35249">
      <w:pPr>
        <w:spacing w:before="1" w:line="219" w:lineRule="auto"/>
        <w:ind w:left="1805"/>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0007B4AB">
      <w:pPr>
        <w:spacing w:line="219" w:lineRule="auto"/>
        <w:rPr>
          <w:rFonts w:ascii="宋体" w:hAnsi="宋体" w:eastAsia="宋体" w:cs="宋体"/>
          <w:color w:val="auto"/>
          <w:sz w:val="21"/>
          <w:szCs w:val="21"/>
          <w:highlight w:val="none"/>
        </w:rPr>
        <w:sectPr>
          <w:footerReference r:id="rId220" w:type="default"/>
          <w:pgSz w:w="11905" w:h="16839"/>
          <w:pgMar w:top="400" w:right="1785" w:bottom="1004" w:left="1785" w:header="0" w:footer="828" w:gutter="0"/>
          <w:pgNumType w:fmt="decimal"/>
          <w:cols w:space="720" w:num="1"/>
        </w:sectPr>
      </w:pPr>
    </w:p>
    <w:p w14:paraId="041A403E">
      <w:pPr>
        <w:pStyle w:val="3"/>
        <w:spacing w:line="275" w:lineRule="auto"/>
        <w:rPr>
          <w:color w:val="auto"/>
          <w:highlight w:val="none"/>
        </w:rPr>
      </w:pPr>
    </w:p>
    <w:p w14:paraId="547B2A1A">
      <w:pPr>
        <w:pStyle w:val="3"/>
        <w:spacing w:line="275" w:lineRule="auto"/>
        <w:rPr>
          <w:color w:val="auto"/>
          <w:highlight w:val="none"/>
        </w:rPr>
      </w:pPr>
    </w:p>
    <w:p w14:paraId="10F59810">
      <w:pPr>
        <w:pStyle w:val="3"/>
        <w:spacing w:line="275" w:lineRule="auto"/>
        <w:rPr>
          <w:color w:val="auto"/>
          <w:highlight w:val="none"/>
        </w:rPr>
      </w:pPr>
    </w:p>
    <w:p w14:paraId="28DF6884">
      <w:pPr>
        <w:pStyle w:val="3"/>
        <w:spacing w:line="275" w:lineRule="auto"/>
        <w:rPr>
          <w:color w:val="auto"/>
          <w:highlight w:val="none"/>
        </w:rPr>
      </w:pPr>
    </w:p>
    <w:p w14:paraId="05EC740C">
      <w:pPr>
        <w:spacing w:before="68" w:line="333" w:lineRule="exact"/>
        <w:ind w:left="2134"/>
        <w:rPr>
          <w:rFonts w:ascii="宋体" w:hAnsi="宋体" w:eastAsia="宋体" w:cs="宋体"/>
          <w:color w:val="auto"/>
          <w:sz w:val="21"/>
          <w:szCs w:val="21"/>
          <w:highlight w:val="none"/>
        </w:rPr>
      </w:pPr>
      <w:bookmarkStart w:id="1333" w:name="bookmark306"/>
      <w:bookmarkEnd w:id="1333"/>
      <w:r>
        <w:rPr>
          <w:rFonts w:ascii="宋体" w:hAnsi="宋体" w:eastAsia="宋体" w:cs="宋体"/>
          <w:color w:val="auto"/>
          <w:spacing w:val="-5"/>
          <w:position w:val="2"/>
          <w:sz w:val="21"/>
          <w:szCs w:val="21"/>
          <w:highlight w:val="none"/>
        </w:rPr>
        <w:t>……</w:t>
      </w:r>
    </w:p>
    <w:p w14:paraId="3C7CBB5C">
      <w:pPr>
        <w:tabs>
          <w:tab w:val="left" w:pos="4863"/>
        </w:tabs>
        <w:spacing w:before="61" w:line="221" w:lineRule="auto"/>
        <w:ind w:left="402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1F3AE91F">
      <w:pPr>
        <w:pStyle w:val="3"/>
        <w:spacing w:line="251" w:lineRule="auto"/>
        <w:rPr>
          <w:color w:val="auto"/>
          <w:highlight w:val="none"/>
        </w:rPr>
      </w:pPr>
    </w:p>
    <w:p w14:paraId="2C0C0A9D">
      <w:pPr>
        <w:pStyle w:val="3"/>
        <w:spacing w:line="251" w:lineRule="auto"/>
        <w:rPr>
          <w:color w:val="auto"/>
          <w:highlight w:val="none"/>
        </w:rPr>
      </w:pPr>
    </w:p>
    <w:p w14:paraId="14CB96E0">
      <w:pPr>
        <w:pStyle w:val="3"/>
        <w:spacing w:line="251" w:lineRule="auto"/>
        <w:rPr>
          <w:color w:val="auto"/>
          <w:highlight w:val="none"/>
        </w:rPr>
      </w:pPr>
    </w:p>
    <w:p w14:paraId="5286875F">
      <w:pPr>
        <w:pStyle w:val="3"/>
        <w:spacing w:line="251" w:lineRule="auto"/>
        <w:rPr>
          <w:color w:val="auto"/>
          <w:highlight w:val="none"/>
        </w:rPr>
      </w:pPr>
    </w:p>
    <w:p w14:paraId="515A34B5">
      <w:pPr>
        <w:pStyle w:val="3"/>
        <w:spacing w:line="251" w:lineRule="auto"/>
        <w:rPr>
          <w:color w:val="auto"/>
          <w:highlight w:val="none"/>
        </w:rPr>
      </w:pPr>
    </w:p>
    <w:p w14:paraId="19130BF1">
      <w:pPr>
        <w:pStyle w:val="3"/>
        <w:spacing w:line="251" w:lineRule="auto"/>
        <w:rPr>
          <w:color w:val="auto"/>
          <w:highlight w:val="none"/>
        </w:rPr>
      </w:pPr>
    </w:p>
    <w:p w14:paraId="24741741">
      <w:pPr>
        <w:pStyle w:val="3"/>
        <w:spacing w:line="251" w:lineRule="auto"/>
        <w:rPr>
          <w:color w:val="auto"/>
          <w:highlight w:val="none"/>
        </w:rPr>
      </w:pPr>
    </w:p>
    <w:p w14:paraId="108B3331">
      <w:pPr>
        <w:pStyle w:val="3"/>
        <w:spacing w:line="251" w:lineRule="auto"/>
        <w:rPr>
          <w:color w:val="auto"/>
          <w:highlight w:val="none"/>
        </w:rPr>
      </w:pPr>
    </w:p>
    <w:p w14:paraId="37D26235">
      <w:pPr>
        <w:pStyle w:val="3"/>
        <w:spacing w:line="251" w:lineRule="auto"/>
        <w:rPr>
          <w:color w:val="auto"/>
          <w:highlight w:val="none"/>
        </w:rPr>
      </w:pPr>
    </w:p>
    <w:p w14:paraId="485285B9">
      <w:pPr>
        <w:pStyle w:val="3"/>
        <w:spacing w:line="252" w:lineRule="auto"/>
        <w:rPr>
          <w:color w:val="auto"/>
          <w:highlight w:val="none"/>
        </w:rPr>
      </w:pPr>
    </w:p>
    <w:p w14:paraId="1794F434">
      <w:pPr>
        <w:pStyle w:val="3"/>
        <w:spacing w:line="252" w:lineRule="auto"/>
        <w:rPr>
          <w:color w:val="auto"/>
          <w:highlight w:val="none"/>
        </w:rPr>
      </w:pPr>
    </w:p>
    <w:p w14:paraId="0523C5F8">
      <w:pPr>
        <w:pStyle w:val="3"/>
        <w:spacing w:line="252" w:lineRule="auto"/>
        <w:rPr>
          <w:color w:val="auto"/>
          <w:highlight w:val="none"/>
        </w:rPr>
      </w:pPr>
    </w:p>
    <w:p w14:paraId="4D7D6AE2">
      <w:pPr>
        <w:pStyle w:val="3"/>
        <w:spacing w:line="252" w:lineRule="auto"/>
        <w:rPr>
          <w:color w:val="auto"/>
          <w:highlight w:val="none"/>
        </w:rPr>
      </w:pPr>
    </w:p>
    <w:p w14:paraId="24AF51B9">
      <w:pPr>
        <w:pStyle w:val="3"/>
        <w:spacing w:line="252" w:lineRule="auto"/>
        <w:rPr>
          <w:color w:val="auto"/>
          <w:highlight w:val="none"/>
        </w:rPr>
      </w:pPr>
    </w:p>
    <w:p w14:paraId="79D91537">
      <w:pPr>
        <w:pStyle w:val="3"/>
        <w:spacing w:line="252" w:lineRule="auto"/>
        <w:rPr>
          <w:color w:val="auto"/>
          <w:highlight w:val="none"/>
        </w:rPr>
      </w:pPr>
    </w:p>
    <w:p w14:paraId="66E67F33">
      <w:pPr>
        <w:pStyle w:val="3"/>
        <w:spacing w:line="252" w:lineRule="auto"/>
        <w:rPr>
          <w:color w:val="auto"/>
          <w:highlight w:val="none"/>
        </w:rPr>
      </w:pPr>
    </w:p>
    <w:p w14:paraId="55A71C3C">
      <w:pPr>
        <w:pStyle w:val="3"/>
        <w:spacing w:line="252" w:lineRule="auto"/>
        <w:rPr>
          <w:color w:val="auto"/>
          <w:highlight w:val="none"/>
        </w:rPr>
      </w:pPr>
    </w:p>
    <w:p w14:paraId="41C538E1">
      <w:pPr>
        <w:pStyle w:val="3"/>
        <w:spacing w:line="252" w:lineRule="auto"/>
        <w:rPr>
          <w:color w:val="auto"/>
          <w:highlight w:val="none"/>
        </w:rPr>
      </w:pPr>
    </w:p>
    <w:p w14:paraId="7BDA3DD0">
      <w:pPr>
        <w:pStyle w:val="3"/>
        <w:spacing w:line="252" w:lineRule="auto"/>
        <w:rPr>
          <w:color w:val="auto"/>
          <w:highlight w:val="none"/>
        </w:rPr>
      </w:pPr>
    </w:p>
    <w:p w14:paraId="77685A50">
      <w:pPr>
        <w:spacing w:before="68"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1.本协议书由委托代理人签字的，应附法定代表人签字的授权委托书。</w:t>
      </w:r>
    </w:p>
    <w:p w14:paraId="7BCE055E">
      <w:pPr>
        <w:spacing w:before="143" w:line="399" w:lineRule="exact"/>
        <w:ind w:right="9"/>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2.投标人未采用联合体投标的，投标文件中不需联合体协议书， 也无须盖单位章和</w:t>
      </w:r>
    </w:p>
    <w:p w14:paraId="205DF343">
      <w:pPr>
        <w:spacing w:line="220" w:lineRule="auto"/>
        <w:ind w:left="85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签字。</w:t>
      </w:r>
    </w:p>
    <w:p w14:paraId="4A40938B">
      <w:pPr>
        <w:spacing w:line="220" w:lineRule="auto"/>
        <w:rPr>
          <w:rFonts w:ascii="宋体" w:hAnsi="宋体" w:eastAsia="宋体" w:cs="宋体"/>
          <w:color w:val="auto"/>
          <w:sz w:val="21"/>
          <w:szCs w:val="21"/>
          <w:highlight w:val="none"/>
        </w:rPr>
        <w:sectPr>
          <w:footerReference r:id="rId221" w:type="default"/>
          <w:pgSz w:w="11905" w:h="16839"/>
          <w:pgMar w:top="400" w:right="1785" w:bottom="1004" w:left="1785" w:header="0" w:footer="828" w:gutter="0"/>
          <w:pgNumType w:fmt="decimal"/>
          <w:cols w:space="720" w:num="1"/>
        </w:sectPr>
      </w:pPr>
    </w:p>
    <w:p w14:paraId="48170E29">
      <w:pPr>
        <w:pStyle w:val="3"/>
        <w:spacing w:line="256" w:lineRule="auto"/>
        <w:rPr>
          <w:color w:val="auto"/>
          <w:highlight w:val="none"/>
        </w:rPr>
      </w:pPr>
    </w:p>
    <w:p w14:paraId="6D33DB53">
      <w:pPr>
        <w:pStyle w:val="3"/>
        <w:spacing w:line="256" w:lineRule="auto"/>
        <w:rPr>
          <w:color w:val="auto"/>
          <w:highlight w:val="none"/>
        </w:rPr>
      </w:pPr>
    </w:p>
    <w:p w14:paraId="1EE7ED3C">
      <w:pPr>
        <w:pStyle w:val="3"/>
        <w:spacing w:line="256" w:lineRule="auto"/>
        <w:rPr>
          <w:color w:val="auto"/>
          <w:highlight w:val="none"/>
        </w:rPr>
      </w:pPr>
    </w:p>
    <w:p w14:paraId="11582678">
      <w:pPr>
        <w:pStyle w:val="3"/>
        <w:spacing w:line="256" w:lineRule="auto"/>
        <w:rPr>
          <w:color w:val="auto"/>
          <w:highlight w:val="none"/>
        </w:rPr>
      </w:pPr>
    </w:p>
    <w:p w14:paraId="66A326F0">
      <w:pPr>
        <w:spacing w:before="88" w:line="225" w:lineRule="auto"/>
        <w:ind w:left="3063"/>
        <w:rPr>
          <w:rFonts w:ascii="黑体" w:hAnsi="黑体" w:eastAsia="黑体" w:cs="黑体"/>
          <w:color w:val="auto"/>
          <w:sz w:val="27"/>
          <w:szCs w:val="27"/>
          <w:highlight w:val="none"/>
        </w:rPr>
      </w:pPr>
      <w:bookmarkStart w:id="1334" w:name="bookmark307"/>
      <w:bookmarkEnd w:id="1334"/>
      <w:bookmarkStart w:id="1335" w:name="bookmark308"/>
      <w:bookmarkEnd w:id="1335"/>
      <w:r>
        <w:rPr>
          <w:rFonts w:ascii="黑体" w:hAnsi="黑体" w:eastAsia="黑体" w:cs="黑体"/>
          <w:color w:val="auto"/>
          <w:spacing w:val="7"/>
          <w:sz w:val="27"/>
          <w:szCs w:val="27"/>
          <w:highlight w:val="none"/>
        </w:rPr>
        <w:t>五、拟分包计划表</w:t>
      </w:r>
    </w:p>
    <w:p w14:paraId="5D44ABE5">
      <w:pPr>
        <w:spacing w:before="165" w:line="221" w:lineRule="auto"/>
        <w:ind w:left="354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14:paraId="0A465609">
      <w:pPr>
        <w:spacing w:before="216"/>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14:paraId="08326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14:paraId="0CA4BDBE">
            <w:pPr>
              <w:pStyle w:val="11"/>
              <w:spacing w:before="172" w:line="211" w:lineRule="auto"/>
              <w:ind w:left="216"/>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703" w:type="dxa"/>
            <w:vMerge w:val="restart"/>
            <w:tcBorders>
              <w:bottom w:val="nil"/>
            </w:tcBorders>
            <w:vAlign w:val="top"/>
          </w:tcPr>
          <w:p w14:paraId="1019B586">
            <w:pPr>
              <w:pStyle w:val="11"/>
              <w:spacing w:before="216" w:line="231" w:lineRule="auto"/>
              <w:ind w:left="117" w:right="114" w:firstLine="106"/>
              <w:rPr>
                <w:color w:val="auto"/>
                <w:highlight w:val="none"/>
              </w:rPr>
            </w:pPr>
            <w:r>
              <w:rPr>
                <w:color w:val="auto"/>
                <w:spacing w:val="-1"/>
                <w:highlight w:val="none"/>
              </w:rPr>
              <w:t>拟分包项目名</w:t>
            </w:r>
            <w:r>
              <w:rPr>
                <w:color w:val="auto"/>
                <w:highlight w:val="none"/>
              </w:rPr>
              <w:t xml:space="preserve">  </w:t>
            </w:r>
            <w:r>
              <w:rPr>
                <w:color w:val="auto"/>
                <w:spacing w:val="-1"/>
                <w:highlight w:val="none"/>
              </w:rPr>
              <w:t>称、范围及理由</w:t>
            </w:r>
          </w:p>
        </w:tc>
        <w:tc>
          <w:tcPr>
            <w:tcW w:w="5072" w:type="dxa"/>
            <w:gridSpan w:val="5"/>
            <w:vAlign w:val="top"/>
          </w:tcPr>
          <w:p w14:paraId="5AEC87E2">
            <w:pPr>
              <w:pStyle w:val="11"/>
              <w:spacing w:before="120" w:line="220" w:lineRule="auto"/>
              <w:ind w:left="2016"/>
              <w:rPr>
                <w:color w:val="auto"/>
                <w:highlight w:val="none"/>
              </w:rPr>
            </w:pPr>
            <w:r>
              <w:rPr>
                <w:color w:val="auto"/>
                <w:spacing w:val="-1"/>
                <w:highlight w:val="none"/>
              </w:rPr>
              <w:t>拟选分包人</w:t>
            </w:r>
          </w:p>
        </w:tc>
        <w:tc>
          <w:tcPr>
            <w:tcW w:w="969" w:type="dxa"/>
            <w:vMerge w:val="restart"/>
            <w:tcBorders>
              <w:bottom w:val="nil"/>
            </w:tcBorders>
            <w:vAlign w:val="top"/>
          </w:tcPr>
          <w:p w14:paraId="03267634">
            <w:pPr>
              <w:spacing w:line="285" w:lineRule="auto"/>
              <w:rPr>
                <w:rFonts w:ascii="Arial"/>
                <w:color w:val="auto"/>
                <w:sz w:val="21"/>
                <w:highlight w:val="none"/>
              </w:rPr>
            </w:pPr>
          </w:p>
          <w:p w14:paraId="345CE6CC">
            <w:pPr>
              <w:pStyle w:val="11"/>
              <w:spacing w:before="69" w:line="222" w:lineRule="auto"/>
              <w:ind w:left="284"/>
              <w:rPr>
                <w:color w:val="auto"/>
                <w:highlight w:val="none"/>
              </w:rPr>
            </w:pPr>
            <w:r>
              <w:rPr>
                <w:color w:val="auto"/>
                <w:spacing w:val="-3"/>
                <w:highlight w:val="none"/>
              </w:rPr>
              <w:t>备注</w:t>
            </w:r>
          </w:p>
        </w:tc>
      </w:tr>
      <w:tr w14:paraId="2B394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14:paraId="23B4025F">
            <w:pPr>
              <w:rPr>
                <w:rFonts w:ascii="Arial"/>
                <w:color w:val="auto"/>
                <w:sz w:val="21"/>
                <w:highlight w:val="none"/>
              </w:rPr>
            </w:pPr>
          </w:p>
        </w:tc>
        <w:tc>
          <w:tcPr>
            <w:tcW w:w="1703" w:type="dxa"/>
            <w:vMerge w:val="continue"/>
            <w:tcBorders>
              <w:top w:val="nil"/>
            </w:tcBorders>
            <w:vAlign w:val="top"/>
          </w:tcPr>
          <w:p w14:paraId="5D5A8D3C">
            <w:pPr>
              <w:rPr>
                <w:rFonts w:ascii="Arial"/>
                <w:color w:val="auto"/>
                <w:sz w:val="21"/>
                <w:highlight w:val="none"/>
              </w:rPr>
            </w:pPr>
          </w:p>
        </w:tc>
        <w:tc>
          <w:tcPr>
            <w:tcW w:w="1747" w:type="dxa"/>
            <w:gridSpan w:val="2"/>
            <w:vAlign w:val="top"/>
          </w:tcPr>
          <w:p w14:paraId="00C93911">
            <w:pPr>
              <w:pStyle w:val="11"/>
              <w:spacing w:before="121" w:line="220" w:lineRule="auto"/>
              <w:ind w:left="143"/>
              <w:rPr>
                <w:color w:val="auto"/>
                <w:highlight w:val="none"/>
              </w:rPr>
            </w:pPr>
            <w:r>
              <w:rPr>
                <w:color w:val="auto"/>
                <w:spacing w:val="-1"/>
                <w:highlight w:val="none"/>
              </w:rPr>
              <w:t>拟选分包人名称</w:t>
            </w:r>
          </w:p>
        </w:tc>
        <w:tc>
          <w:tcPr>
            <w:tcW w:w="1099" w:type="dxa"/>
            <w:vAlign w:val="top"/>
          </w:tcPr>
          <w:p w14:paraId="7B65C9D3">
            <w:pPr>
              <w:pStyle w:val="11"/>
              <w:spacing w:before="121" w:line="222" w:lineRule="auto"/>
              <w:ind w:left="135"/>
              <w:rPr>
                <w:color w:val="auto"/>
                <w:highlight w:val="none"/>
              </w:rPr>
            </w:pPr>
            <w:r>
              <w:rPr>
                <w:color w:val="auto"/>
                <w:spacing w:val="-1"/>
                <w:highlight w:val="none"/>
              </w:rPr>
              <w:t>注册地点</w:t>
            </w:r>
          </w:p>
        </w:tc>
        <w:tc>
          <w:tcPr>
            <w:tcW w:w="1060" w:type="dxa"/>
            <w:vAlign w:val="top"/>
          </w:tcPr>
          <w:p w14:paraId="68DC0CC7">
            <w:pPr>
              <w:pStyle w:val="11"/>
              <w:spacing w:before="121" w:line="221" w:lineRule="auto"/>
              <w:ind w:left="124"/>
              <w:rPr>
                <w:color w:val="auto"/>
                <w:highlight w:val="none"/>
              </w:rPr>
            </w:pPr>
            <w:r>
              <w:rPr>
                <w:color w:val="auto"/>
                <w:spacing w:val="-2"/>
                <w:highlight w:val="none"/>
              </w:rPr>
              <w:t>企业资质</w:t>
            </w:r>
          </w:p>
        </w:tc>
        <w:tc>
          <w:tcPr>
            <w:tcW w:w="1166" w:type="dxa"/>
            <w:vAlign w:val="top"/>
          </w:tcPr>
          <w:p w14:paraId="6ED9F9A7">
            <w:pPr>
              <w:pStyle w:val="11"/>
              <w:spacing w:before="121" w:line="221" w:lineRule="auto"/>
              <w:ind w:left="171"/>
              <w:rPr>
                <w:color w:val="auto"/>
                <w:highlight w:val="none"/>
              </w:rPr>
            </w:pPr>
            <w:r>
              <w:rPr>
                <w:color w:val="auto"/>
                <w:spacing w:val="-1"/>
                <w:highlight w:val="none"/>
              </w:rPr>
              <w:t>有关业绩</w:t>
            </w:r>
          </w:p>
        </w:tc>
        <w:tc>
          <w:tcPr>
            <w:tcW w:w="969" w:type="dxa"/>
            <w:vMerge w:val="continue"/>
            <w:tcBorders>
              <w:top w:val="nil"/>
            </w:tcBorders>
            <w:vAlign w:val="top"/>
          </w:tcPr>
          <w:p w14:paraId="12F06A1C">
            <w:pPr>
              <w:rPr>
                <w:rFonts w:ascii="Arial"/>
                <w:color w:val="auto"/>
                <w:sz w:val="21"/>
                <w:highlight w:val="none"/>
              </w:rPr>
            </w:pPr>
          </w:p>
        </w:tc>
      </w:tr>
      <w:tr w14:paraId="3C74A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1AC5F826">
            <w:pPr>
              <w:rPr>
                <w:rFonts w:ascii="Arial"/>
                <w:color w:val="auto"/>
                <w:sz w:val="21"/>
                <w:highlight w:val="none"/>
              </w:rPr>
            </w:pPr>
          </w:p>
        </w:tc>
        <w:tc>
          <w:tcPr>
            <w:tcW w:w="1703" w:type="dxa"/>
            <w:vMerge w:val="restart"/>
            <w:tcBorders>
              <w:bottom w:val="nil"/>
            </w:tcBorders>
            <w:vAlign w:val="top"/>
          </w:tcPr>
          <w:p w14:paraId="1D3FD9CE">
            <w:pPr>
              <w:rPr>
                <w:rFonts w:ascii="Arial"/>
                <w:color w:val="auto"/>
                <w:sz w:val="21"/>
                <w:highlight w:val="none"/>
              </w:rPr>
            </w:pPr>
          </w:p>
        </w:tc>
        <w:tc>
          <w:tcPr>
            <w:tcW w:w="826" w:type="dxa"/>
            <w:vAlign w:val="top"/>
          </w:tcPr>
          <w:p w14:paraId="5035A8A2">
            <w:pPr>
              <w:spacing w:before="156"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39013BF0">
            <w:pPr>
              <w:rPr>
                <w:rFonts w:ascii="Arial"/>
                <w:color w:val="auto"/>
                <w:sz w:val="21"/>
                <w:highlight w:val="none"/>
              </w:rPr>
            </w:pPr>
          </w:p>
        </w:tc>
        <w:tc>
          <w:tcPr>
            <w:tcW w:w="1099" w:type="dxa"/>
            <w:vAlign w:val="top"/>
          </w:tcPr>
          <w:p w14:paraId="56205C65">
            <w:pPr>
              <w:rPr>
                <w:rFonts w:ascii="Arial"/>
                <w:color w:val="auto"/>
                <w:sz w:val="21"/>
                <w:highlight w:val="none"/>
              </w:rPr>
            </w:pPr>
          </w:p>
        </w:tc>
        <w:tc>
          <w:tcPr>
            <w:tcW w:w="1060" w:type="dxa"/>
            <w:vAlign w:val="top"/>
          </w:tcPr>
          <w:p w14:paraId="3343294B">
            <w:pPr>
              <w:rPr>
                <w:rFonts w:ascii="Arial"/>
                <w:color w:val="auto"/>
                <w:sz w:val="21"/>
                <w:highlight w:val="none"/>
              </w:rPr>
            </w:pPr>
          </w:p>
        </w:tc>
        <w:tc>
          <w:tcPr>
            <w:tcW w:w="1166" w:type="dxa"/>
            <w:vAlign w:val="top"/>
          </w:tcPr>
          <w:p w14:paraId="6649F0C7">
            <w:pPr>
              <w:rPr>
                <w:rFonts w:ascii="Arial"/>
                <w:color w:val="auto"/>
                <w:sz w:val="21"/>
                <w:highlight w:val="none"/>
              </w:rPr>
            </w:pPr>
          </w:p>
        </w:tc>
        <w:tc>
          <w:tcPr>
            <w:tcW w:w="969" w:type="dxa"/>
            <w:vAlign w:val="top"/>
          </w:tcPr>
          <w:p w14:paraId="0345B61F">
            <w:pPr>
              <w:rPr>
                <w:rFonts w:ascii="Arial"/>
                <w:color w:val="auto"/>
                <w:sz w:val="21"/>
                <w:highlight w:val="none"/>
              </w:rPr>
            </w:pPr>
          </w:p>
        </w:tc>
      </w:tr>
      <w:tr w14:paraId="66BB5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71E43D21">
            <w:pPr>
              <w:rPr>
                <w:rFonts w:ascii="Arial"/>
                <w:color w:val="auto"/>
                <w:sz w:val="21"/>
                <w:highlight w:val="none"/>
              </w:rPr>
            </w:pPr>
          </w:p>
        </w:tc>
        <w:tc>
          <w:tcPr>
            <w:tcW w:w="1703" w:type="dxa"/>
            <w:vMerge w:val="continue"/>
            <w:tcBorders>
              <w:top w:val="nil"/>
              <w:bottom w:val="nil"/>
            </w:tcBorders>
            <w:vAlign w:val="top"/>
          </w:tcPr>
          <w:p w14:paraId="681D75DB">
            <w:pPr>
              <w:rPr>
                <w:rFonts w:ascii="Arial"/>
                <w:color w:val="auto"/>
                <w:sz w:val="21"/>
                <w:highlight w:val="none"/>
              </w:rPr>
            </w:pPr>
          </w:p>
        </w:tc>
        <w:tc>
          <w:tcPr>
            <w:tcW w:w="826" w:type="dxa"/>
            <w:vAlign w:val="top"/>
          </w:tcPr>
          <w:p w14:paraId="02C9EE64">
            <w:pPr>
              <w:spacing w:before="151"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7CF1C752">
            <w:pPr>
              <w:rPr>
                <w:rFonts w:ascii="Arial"/>
                <w:color w:val="auto"/>
                <w:sz w:val="21"/>
                <w:highlight w:val="none"/>
              </w:rPr>
            </w:pPr>
          </w:p>
        </w:tc>
        <w:tc>
          <w:tcPr>
            <w:tcW w:w="1099" w:type="dxa"/>
            <w:vAlign w:val="top"/>
          </w:tcPr>
          <w:p w14:paraId="1FA091A7">
            <w:pPr>
              <w:rPr>
                <w:rFonts w:ascii="Arial"/>
                <w:color w:val="auto"/>
                <w:sz w:val="21"/>
                <w:highlight w:val="none"/>
              </w:rPr>
            </w:pPr>
          </w:p>
        </w:tc>
        <w:tc>
          <w:tcPr>
            <w:tcW w:w="1060" w:type="dxa"/>
            <w:vAlign w:val="top"/>
          </w:tcPr>
          <w:p w14:paraId="74884E34">
            <w:pPr>
              <w:rPr>
                <w:rFonts w:ascii="Arial"/>
                <w:color w:val="auto"/>
                <w:sz w:val="21"/>
                <w:highlight w:val="none"/>
              </w:rPr>
            </w:pPr>
          </w:p>
        </w:tc>
        <w:tc>
          <w:tcPr>
            <w:tcW w:w="1166" w:type="dxa"/>
            <w:vAlign w:val="top"/>
          </w:tcPr>
          <w:p w14:paraId="55CB4F56">
            <w:pPr>
              <w:rPr>
                <w:rFonts w:ascii="Arial"/>
                <w:color w:val="auto"/>
                <w:sz w:val="21"/>
                <w:highlight w:val="none"/>
              </w:rPr>
            </w:pPr>
          </w:p>
        </w:tc>
        <w:tc>
          <w:tcPr>
            <w:tcW w:w="969" w:type="dxa"/>
            <w:vAlign w:val="top"/>
          </w:tcPr>
          <w:p w14:paraId="262D6F10">
            <w:pPr>
              <w:rPr>
                <w:rFonts w:ascii="Arial"/>
                <w:color w:val="auto"/>
                <w:sz w:val="21"/>
                <w:highlight w:val="none"/>
              </w:rPr>
            </w:pPr>
          </w:p>
        </w:tc>
      </w:tr>
      <w:tr w14:paraId="57585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3BF2E27C">
            <w:pPr>
              <w:rPr>
                <w:rFonts w:ascii="Arial"/>
                <w:color w:val="auto"/>
                <w:sz w:val="21"/>
                <w:highlight w:val="none"/>
              </w:rPr>
            </w:pPr>
          </w:p>
        </w:tc>
        <w:tc>
          <w:tcPr>
            <w:tcW w:w="1703" w:type="dxa"/>
            <w:vMerge w:val="continue"/>
            <w:tcBorders>
              <w:top w:val="nil"/>
            </w:tcBorders>
            <w:vAlign w:val="top"/>
          </w:tcPr>
          <w:p w14:paraId="525D2D75">
            <w:pPr>
              <w:rPr>
                <w:rFonts w:ascii="Arial"/>
                <w:color w:val="auto"/>
                <w:sz w:val="21"/>
                <w:highlight w:val="none"/>
              </w:rPr>
            </w:pPr>
          </w:p>
        </w:tc>
        <w:tc>
          <w:tcPr>
            <w:tcW w:w="826" w:type="dxa"/>
            <w:vAlign w:val="top"/>
          </w:tcPr>
          <w:p w14:paraId="4BFEA7DC">
            <w:pPr>
              <w:spacing w:before="155"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41419F29">
            <w:pPr>
              <w:rPr>
                <w:rFonts w:ascii="Arial"/>
                <w:color w:val="auto"/>
                <w:sz w:val="21"/>
                <w:highlight w:val="none"/>
              </w:rPr>
            </w:pPr>
          </w:p>
        </w:tc>
        <w:tc>
          <w:tcPr>
            <w:tcW w:w="1099" w:type="dxa"/>
            <w:vAlign w:val="top"/>
          </w:tcPr>
          <w:p w14:paraId="7F47108E">
            <w:pPr>
              <w:rPr>
                <w:rFonts w:ascii="Arial"/>
                <w:color w:val="auto"/>
                <w:sz w:val="21"/>
                <w:highlight w:val="none"/>
              </w:rPr>
            </w:pPr>
          </w:p>
        </w:tc>
        <w:tc>
          <w:tcPr>
            <w:tcW w:w="1060" w:type="dxa"/>
            <w:vAlign w:val="top"/>
          </w:tcPr>
          <w:p w14:paraId="2D951D6B">
            <w:pPr>
              <w:rPr>
                <w:rFonts w:ascii="Arial"/>
                <w:color w:val="auto"/>
                <w:sz w:val="21"/>
                <w:highlight w:val="none"/>
              </w:rPr>
            </w:pPr>
          </w:p>
        </w:tc>
        <w:tc>
          <w:tcPr>
            <w:tcW w:w="1166" w:type="dxa"/>
            <w:vAlign w:val="top"/>
          </w:tcPr>
          <w:p w14:paraId="1B5901B0">
            <w:pPr>
              <w:rPr>
                <w:rFonts w:ascii="Arial"/>
                <w:color w:val="auto"/>
                <w:sz w:val="21"/>
                <w:highlight w:val="none"/>
              </w:rPr>
            </w:pPr>
          </w:p>
        </w:tc>
        <w:tc>
          <w:tcPr>
            <w:tcW w:w="969" w:type="dxa"/>
            <w:vAlign w:val="top"/>
          </w:tcPr>
          <w:p w14:paraId="6555C0BC">
            <w:pPr>
              <w:rPr>
                <w:rFonts w:ascii="Arial"/>
                <w:color w:val="auto"/>
                <w:sz w:val="21"/>
                <w:highlight w:val="none"/>
              </w:rPr>
            </w:pPr>
          </w:p>
        </w:tc>
      </w:tr>
      <w:tr w14:paraId="00672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31F5E4AA">
            <w:pPr>
              <w:rPr>
                <w:rFonts w:ascii="Arial"/>
                <w:color w:val="auto"/>
                <w:sz w:val="21"/>
                <w:highlight w:val="none"/>
              </w:rPr>
            </w:pPr>
          </w:p>
        </w:tc>
        <w:tc>
          <w:tcPr>
            <w:tcW w:w="1703" w:type="dxa"/>
            <w:vMerge w:val="restart"/>
            <w:tcBorders>
              <w:bottom w:val="nil"/>
            </w:tcBorders>
            <w:vAlign w:val="top"/>
          </w:tcPr>
          <w:p w14:paraId="1AA289E6">
            <w:pPr>
              <w:rPr>
                <w:rFonts w:ascii="Arial"/>
                <w:color w:val="auto"/>
                <w:sz w:val="21"/>
                <w:highlight w:val="none"/>
              </w:rPr>
            </w:pPr>
          </w:p>
        </w:tc>
        <w:tc>
          <w:tcPr>
            <w:tcW w:w="826" w:type="dxa"/>
            <w:vAlign w:val="top"/>
          </w:tcPr>
          <w:p w14:paraId="433AB3B0">
            <w:pPr>
              <w:spacing w:before="157"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7BE0CEA0">
            <w:pPr>
              <w:rPr>
                <w:rFonts w:ascii="Arial"/>
                <w:color w:val="auto"/>
                <w:sz w:val="21"/>
                <w:highlight w:val="none"/>
              </w:rPr>
            </w:pPr>
          </w:p>
        </w:tc>
        <w:tc>
          <w:tcPr>
            <w:tcW w:w="1099" w:type="dxa"/>
            <w:vAlign w:val="top"/>
          </w:tcPr>
          <w:p w14:paraId="15E31FD4">
            <w:pPr>
              <w:rPr>
                <w:rFonts w:ascii="Arial"/>
                <w:color w:val="auto"/>
                <w:sz w:val="21"/>
                <w:highlight w:val="none"/>
              </w:rPr>
            </w:pPr>
          </w:p>
        </w:tc>
        <w:tc>
          <w:tcPr>
            <w:tcW w:w="1060" w:type="dxa"/>
            <w:vAlign w:val="top"/>
          </w:tcPr>
          <w:p w14:paraId="584DDD4A">
            <w:pPr>
              <w:rPr>
                <w:rFonts w:ascii="Arial"/>
                <w:color w:val="auto"/>
                <w:sz w:val="21"/>
                <w:highlight w:val="none"/>
              </w:rPr>
            </w:pPr>
          </w:p>
        </w:tc>
        <w:tc>
          <w:tcPr>
            <w:tcW w:w="1166" w:type="dxa"/>
            <w:vAlign w:val="top"/>
          </w:tcPr>
          <w:p w14:paraId="4173ECA6">
            <w:pPr>
              <w:rPr>
                <w:rFonts w:ascii="Arial"/>
                <w:color w:val="auto"/>
                <w:sz w:val="21"/>
                <w:highlight w:val="none"/>
              </w:rPr>
            </w:pPr>
          </w:p>
        </w:tc>
        <w:tc>
          <w:tcPr>
            <w:tcW w:w="969" w:type="dxa"/>
            <w:vAlign w:val="top"/>
          </w:tcPr>
          <w:p w14:paraId="724B4C6D">
            <w:pPr>
              <w:rPr>
                <w:rFonts w:ascii="Arial"/>
                <w:color w:val="auto"/>
                <w:sz w:val="21"/>
                <w:highlight w:val="none"/>
              </w:rPr>
            </w:pPr>
          </w:p>
        </w:tc>
      </w:tr>
      <w:tr w14:paraId="0974B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4526DB6">
            <w:pPr>
              <w:rPr>
                <w:rFonts w:ascii="Arial"/>
                <w:color w:val="auto"/>
                <w:sz w:val="21"/>
                <w:highlight w:val="none"/>
              </w:rPr>
            </w:pPr>
          </w:p>
        </w:tc>
        <w:tc>
          <w:tcPr>
            <w:tcW w:w="1703" w:type="dxa"/>
            <w:vMerge w:val="continue"/>
            <w:tcBorders>
              <w:top w:val="nil"/>
              <w:bottom w:val="nil"/>
            </w:tcBorders>
            <w:vAlign w:val="top"/>
          </w:tcPr>
          <w:p w14:paraId="40FD7024">
            <w:pPr>
              <w:rPr>
                <w:rFonts w:ascii="Arial"/>
                <w:color w:val="auto"/>
                <w:sz w:val="21"/>
                <w:highlight w:val="none"/>
              </w:rPr>
            </w:pPr>
          </w:p>
        </w:tc>
        <w:tc>
          <w:tcPr>
            <w:tcW w:w="826" w:type="dxa"/>
            <w:vAlign w:val="top"/>
          </w:tcPr>
          <w:p w14:paraId="68A0C40C">
            <w:pPr>
              <w:spacing w:before="152"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40E7C137">
            <w:pPr>
              <w:rPr>
                <w:rFonts w:ascii="Arial"/>
                <w:color w:val="auto"/>
                <w:sz w:val="21"/>
                <w:highlight w:val="none"/>
              </w:rPr>
            </w:pPr>
          </w:p>
        </w:tc>
        <w:tc>
          <w:tcPr>
            <w:tcW w:w="1099" w:type="dxa"/>
            <w:vAlign w:val="top"/>
          </w:tcPr>
          <w:p w14:paraId="45E7094C">
            <w:pPr>
              <w:rPr>
                <w:rFonts w:ascii="Arial"/>
                <w:color w:val="auto"/>
                <w:sz w:val="21"/>
                <w:highlight w:val="none"/>
              </w:rPr>
            </w:pPr>
          </w:p>
        </w:tc>
        <w:tc>
          <w:tcPr>
            <w:tcW w:w="1060" w:type="dxa"/>
            <w:vAlign w:val="top"/>
          </w:tcPr>
          <w:p w14:paraId="71CB3232">
            <w:pPr>
              <w:rPr>
                <w:rFonts w:ascii="Arial"/>
                <w:color w:val="auto"/>
                <w:sz w:val="21"/>
                <w:highlight w:val="none"/>
              </w:rPr>
            </w:pPr>
          </w:p>
        </w:tc>
        <w:tc>
          <w:tcPr>
            <w:tcW w:w="1166" w:type="dxa"/>
            <w:vAlign w:val="top"/>
          </w:tcPr>
          <w:p w14:paraId="74A4E0B9">
            <w:pPr>
              <w:rPr>
                <w:rFonts w:ascii="Arial"/>
                <w:color w:val="auto"/>
                <w:sz w:val="21"/>
                <w:highlight w:val="none"/>
              </w:rPr>
            </w:pPr>
          </w:p>
        </w:tc>
        <w:tc>
          <w:tcPr>
            <w:tcW w:w="969" w:type="dxa"/>
            <w:vAlign w:val="top"/>
          </w:tcPr>
          <w:p w14:paraId="5CF9DE2F">
            <w:pPr>
              <w:rPr>
                <w:rFonts w:ascii="Arial"/>
                <w:color w:val="auto"/>
                <w:sz w:val="21"/>
                <w:highlight w:val="none"/>
              </w:rPr>
            </w:pPr>
          </w:p>
        </w:tc>
      </w:tr>
      <w:tr w14:paraId="61902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continue"/>
            <w:tcBorders>
              <w:top w:val="nil"/>
            </w:tcBorders>
            <w:vAlign w:val="top"/>
          </w:tcPr>
          <w:p w14:paraId="111195F3">
            <w:pPr>
              <w:rPr>
                <w:rFonts w:ascii="Arial"/>
                <w:color w:val="auto"/>
                <w:sz w:val="21"/>
                <w:highlight w:val="none"/>
              </w:rPr>
            </w:pPr>
          </w:p>
        </w:tc>
        <w:tc>
          <w:tcPr>
            <w:tcW w:w="1703" w:type="dxa"/>
            <w:vMerge w:val="continue"/>
            <w:tcBorders>
              <w:top w:val="nil"/>
            </w:tcBorders>
            <w:vAlign w:val="top"/>
          </w:tcPr>
          <w:p w14:paraId="6951D8F3">
            <w:pPr>
              <w:rPr>
                <w:rFonts w:ascii="Arial"/>
                <w:color w:val="auto"/>
                <w:sz w:val="21"/>
                <w:highlight w:val="none"/>
              </w:rPr>
            </w:pPr>
          </w:p>
        </w:tc>
        <w:tc>
          <w:tcPr>
            <w:tcW w:w="826" w:type="dxa"/>
            <w:vAlign w:val="top"/>
          </w:tcPr>
          <w:p w14:paraId="20EB88D5">
            <w:pPr>
              <w:spacing w:before="157"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4BCAAA7A">
            <w:pPr>
              <w:rPr>
                <w:rFonts w:ascii="Arial"/>
                <w:color w:val="auto"/>
                <w:sz w:val="21"/>
                <w:highlight w:val="none"/>
              </w:rPr>
            </w:pPr>
          </w:p>
        </w:tc>
        <w:tc>
          <w:tcPr>
            <w:tcW w:w="1099" w:type="dxa"/>
            <w:vAlign w:val="top"/>
          </w:tcPr>
          <w:p w14:paraId="1B96A33D">
            <w:pPr>
              <w:rPr>
                <w:rFonts w:ascii="Arial"/>
                <w:color w:val="auto"/>
                <w:sz w:val="21"/>
                <w:highlight w:val="none"/>
              </w:rPr>
            </w:pPr>
          </w:p>
        </w:tc>
        <w:tc>
          <w:tcPr>
            <w:tcW w:w="1060" w:type="dxa"/>
            <w:vAlign w:val="top"/>
          </w:tcPr>
          <w:p w14:paraId="321465F9">
            <w:pPr>
              <w:rPr>
                <w:rFonts w:ascii="Arial"/>
                <w:color w:val="auto"/>
                <w:sz w:val="21"/>
                <w:highlight w:val="none"/>
              </w:rPr>
            </w:pPr>
          </w:p>
        </w:tc>
        <w:tc>
          <w:tcPr>
            <w:tcW w:w="1166" w:type="dxa"/>
            <w:vAlign w:val="top"/>
          </w:tcPr>
          <w:p w14:paraId="33B7DFCB">
            <w:pPr>
              <w:rPr>
                <w:rFonts w:ascii="Arial"/>
                <w:color w:val="auto"/>
                <w:sz w:val="21"/>
                <w:highlight w:val="none"/>
              </w:rPr>
            </w:pPr>
          </w:p>
        </w:tc>
        <w:tc>
          <w:tcPr>
            <w:tcW w:w="969" w:type="dxa"/>
            <w:vAlign w:val="top"/>
          </w:tcPr>
          <w:p w14:paraId="3CB05A9C">
            <w:pPr>
              <w:rPr>
                <w:rFonts w:ascii="Arial"/>
                <w:color w:val="auto"/>
                <w:sz w:val="21"/>
                <w:highlight w:val="none"/>
              </w:rPr>
            </w:pPr>
          </w:p>
        </w:tc>
      </w:tr>
      <w:tr w14:paraId="6D01A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1591BF8B">
            <w:pPr>
              <w:rPr>
                <w:rFonts w:ascii="Arial"/>
                <w:color w:val="auto"/>
                <w:sz w:val="21"/>
                <w:highlight w:val="none"/>
              </w:rPr>
            </w:pPr>
          </w:p>
        </w:tc>
        <w:tc>
          <w:tcPr>
            <w:tcW w:w="1703" w:type="dxa"/>
            <w:vMerge w:val="restart"/>
            <w:tcBorders>
              <w:bottom w:val="nil"/>
            </w:tcBorders>
            <w:vAlign w:val="top"/>
          </w:tcPr>
          <w:p w14:paraId="5060C2A3">
            <w:pPr>
              <w:rPr>
                <w:rFonts w:ascii="Arial"/>
                <w:color w:val="auto"/>
                <w:sz w:val="21"/>
                <w:highlight w:val="none"/>
              </w:rPr>
            </w:pPr>
          </w:p>
        </w:tc>
        <w:tc>
          <w:tcPr>
            <w:tcW w:w="826" w:type="dxa"/>
            <w:vAlign w:val="top"/>
          </w:tcPr>
          <w:p w14:paraId="68689281">
            <w:pPr>
              <w:spacing w:before="158"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5048287E">
            <w:pPr>
              <w:rPr>
                <w:rFonts w:ascii="Arial"/>
                <w:color w:val="auto"/>
                <w:sz w:val="21"/>
                <w:highlight w:val="none"/>
              </w:rPr>
            </w:pPr>
          </w:p>
        </w:tc>
        <w:tc>
          <w:tcPr>
            <w:tcW w:w="1099" w:type="dxa"/>
            <w:vAlign w:val="top"/>
          </w:tcPr>
          <w:p w14:paraId="425003FF">
            <w:pPr>
              <w:rPr>
                <w:rFonts w:ascii="Arial"/>
                <w:color w:val="auto"/>
                <w:sz w:val="21"/>
                <w:highlight w:val="none"/>
              </w:rPr>
            </w:pPr>
          </w:p>
        </w:tc>
        <w:tc>
          <w:tcPr>
            <w:tcW w:w="1060" w:type="dxa"/>
            <w:vAlign w:val="top"/>
          </w:tcPr>
          <w:p w14:paraId="10252A0F">
            <w:pPr>
              <w:rPr>
                <w:rFonts w:ascii="Arial"/>
                <w:color w:val="auto"/>
                <w:sz w:val="21"/>
                <w:highlight w:val="none"/>
              </w:rPr>
            </w:pPr>
          </w:p>
        </w:tc>
        <w:tc>
          <w:tcPr>
            <w:tcW w:w="1166" w:type="dxa"/>
            <w:vAlign w:val="top"/>
          </w:tcPr>
          <w:p w14:paraId="5BE0DF7C">
            <w:pPr>
              <w:rPr>
                <w:rFonts w:ascii="Arial"/>
                <w:color w:val="auto"/>
                <w:sz w:val="21"/>
                <w:highlight w:val="none"/>
              </w:rPr>
            </w:pPr>
          </w:p>
        </w:tc>
        <w:tc>
          <w:tcPr>
            <w:tcW w:w="969" w:type="dxa"/>
            <w:vAlign w:val="top"/>
          </w:tcPr>
          <w:p w14:paraId="7434B814">
            <w:pPr>
              <w:rPr>
                <w:rFonts w:ascii="Arial"/>
                <w:color w:val="auto"/>
                <w:sz w:val="21"/>
                <w:highlight w:val="none"/>
              </w:rPr>
            </w:pPr>
          </w:p>
        </w:tc>
      </w:tr>
      <w:tr w14:paraId="084E4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67" w:type="dxa"/>
            <w:vMerge w:val="continue"/>
            <w:tcBorders>
              <w:top w:val="nil"/>
              <w:bottom w:val="nil"/>
            </w:tcBorders>
            <w:vAlign w:val="top"/>
          </w:tcPr>
          <w:p w14:paraId="663A0342">
            <w:pPr>
              <w:rPr>
                <w:rFonts w:ascii="Arial"/>
                <w:color w:val="auto"/>
                <w:sz w:val="21"/>
                <w:highlight w:val="none"/>
              </w:rPr>
            </w:pPr>
          </w:p>
        </w:tc>
        <w:tc>
          <w:tcPr>
            <w:tcW w:w="1703" w:type="dxa"/>
            <w:vMerge w:val="continue"/>
            <w:tcBorders>
              <w:top w:val="nil"/>
              <w:bottom w:val="nil"/>
            </w:tcBorders>
            <w:vAlign w:val="top"/>
          </w:tcPr>
          <w:p w14:paraId="2D95FFD2">
            <w:pPr>
              <w:rPr>
                <w:rFonts w:ascii="Arial"/>
                <w:color w:val="auto"/>
                <w:sz w:val="21"/>
                <w:highlight w:val="none"/>
              </w:rPr>
            </w:pPr>
          </w:p>
        </w:tc>
        <w:tc>
          <w:tcPr>
            <w:tcW w:w="826" w:type="dxa"/>
            <w:vAlign w:val="top"/>
          </w:tcPr>
          <w:p w14:paraId="29404A57">
            <w:pPr>
              <w:spacing w:before="152"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6599D5D3">
            <w:pPr>
              <w:rPr>
                <w:rFonts w:ascii="Arial"/>
                <w:color w:val="auto"/>
                <w:sz w:val="21"/>
                <w:highlight w:val="none"/>
              </w:rPr>
            </w:pPr>
          </w:p>
        </w:tc>
        <w:tc>
          <w:tcPr>
            <w:tcW w:w="1099" w:type="dxa"/>
            <w:vAlign w:val="top"/>
          </w:tcPr>
          <w:p w14:paraId="2D405F56">
            <w:pPr>
              <w:rPr>
                <w:rFonts w:ascii="Arial"/>
                <w:color w:val="auto"/>
                <w:sz w:val="21"/>
                <w:highlight w:val="none"/>
              </w:rPr>
            </w:pPr>
          </w:p>
        </w:tc>
        <w:tc>
          <w:tcPr>
            <w:tcW w:w="1060" w:type="dxa"/>
            <w:vAlign w:val="top"/>
          </w:tcPr>
          <w:p w14:paraId="288C522D">
            <w:pPr>
              <w:rPr>
                <w:rFonts w:ascii="Arial"/>
                <w:color w:val="auto"/>
                <w:sz w:val="21"/>
                <w:highlight w:val="none"/>
              </w:rPr>
            </w:pPr>
          </w:p>
        </w:tc>
        <w:tc>
          <w:tcPr>
            <w:tcW w:w="1166" w:type="dxa"/>
            <w:vAlign w:val="top"/>
          </w:tcPr>
          <w:p w14:paraId="65339533">
            <w:pPr>
              <w:rPr>
                <w:rFonts w:ascii="Arial"/>
                <w:color w:val="auto"/>
                <w:sz w:val="21"/>
                <w:highlight w:val="none"/>
              </w:rPr>
            </w:pPr>
          </w:p>
        </w:tc>
        <w:tc>
          <w:tcPr>
            <w:tcW w:w="969" w:type="dxa"/>
            <w:vAlign w:val="top"/>
          </w:tcPr>
          <w:p w14:paraId="1DD44C14">
            <w:pPr>
              <w:rPr>
                <w:rFonts w:ascii="Arial"/>
                <w:color w:val="auto"/>
                <w:sz w:val="21"/>
                <w:highlight w:val="none"/>
              </w:rPr>
            </w:pPr>
          </w:p>
        </w:tc>
      </w:tr>
      <w:tr w14:paraId="455BB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0CAAAC26">
            <w:pPr>
              <w:rPr>
                <w:rFonts w:ascii="Arial"/>
                <w:color w:val="auto"/>
                <w:sz w:val="21"/>
                <w:highlight w:val="none"/>
              </w:rPr>
            </w:pPr>
          </w:p>
        </w:tc>
        <w:tc>
          <w:tcPr>
            <w:tcW w:w="1703" w:type="dxa"/>
            <w:vMerge w:val="continue"/>
            <w:tcBorders>
              <w:top w:val="nil"/>
            </w:tcBorders>
            <w:vAlign w:val="top"/>
          </w:tcPr>
          <w:p w14:paraId="380F4941">
            <w:pPr>
              <w:rPr>
                <w:rFonts w:ascii="Arial"/>
                <w:color w:val="auto"/>
                <w:sz w:val="21"/>
                <w:highlight w:val="none"/>
              </w:rPr>
            </w:pPr>
          </w:p>
        </w:tc>
        <w:tc>
          <w:tcPr>
            <w:tcW w:w="826" w:type="dxa"/>
            <w:vAlign w:val="top"/>
          </w:tcPr>
          <w:p w14:paraId="63FA4FB0">
            <w:pPr>
              <w:spacing w:before="158"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2577A5A7">
            <w:pPr>
              <w:rPr>
                <w:rFonts w:ascii="Arial"/>
                <w:color w:val="auto"/>
                <w:sz w:val="21"/>
                <w:highlight w:val="none"/>
              </w:rPr>
            </w:pPr>
          </w:p>
        </w:tc>
        <w:tc>
          <w:tcPr>
            <w:tcW w:w="1099" w:type="dxa"/>
            <w:vAlign w:val="top"/>
          </w:tcPr>
          <w:p w14:paraId="6E28373A">
            <w:pPr>
              <w:rPr>
                <w:rFonts w:ascii="Arial"/>
                <w:color w:val="auto"/>
                <w:sz w:val="21"/>
                <w:highlight w:val="none"/>
              </w:rPr>
            </w:pPr>
          </w:p>
        </w:tc>
        <w:tc>
          <w:tcPr>
            <w:tcW w:w="1060" w:type="dxa"/>
            <w:vAlign w:val="top"/>
          </w:tcPr>
          <w:p w14:paraId="63BA8720">
            <w:pPr>
              <w:rPr>
                <w:rFonts w:ascii="Arial"/>
                <w:color w:val="auto"/>
                <w:sz w:val="21"/>
                <w:highlight w:val="none"/>
              </w:rPr>
            </w:pPr>
          </w:p>
        </w:tc>
        <w:tc>
          <w:tcPr>
            <w:tcW w:w="1166" w:type="dxa"/>
            <w:vAlign w:val="top"/>
          </w:tcPr>
          <w:p w14:paraId="49D83EBF">
            <w:pPr>
              <w:rPr>
                <w:rFonts w:ascii="Arial"/>
                <w:color w:val="auto"/>
                <w:sz w:val="21"/>
                <w:highlight w:val="none"/>
              </w:rPr>
            </w:pPr>
          </w:p>
        </w:tc>
        <w:tc>
          <w:tcPr>
            <w:tcW w:w="969" w:type="dxa"/>
            <w:vAlign w:val="top"/>
          </w:tcPr>
          <w:p w14:paraId="30BE9620">
            <w:pPr>
              <w:rPr>
                <w:rFonts w:ascii="Arial"/>
                <w:color w:val="auto"/>
                <w:sz w:val="21"/>
                <w:highlight w:val="none"/>
              </w:rPr>
            </w:pPr>
          </w:p>
        </w:tc>
      </w:tr>
      <w:tr w14:paraId="4210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14:paraId="64AEB566">
            <w:pPr>
              <w:rPr>
                <w:rFonts w:ascii="Arial"/>
                <w:color w:val="auto"/>
                <w:sz w:val="21"/>
                <w:highlight w:val="none"/>
              </w:rPr>
            </w:pPr>
          </w:p>
        </w:tc>
        <w:tc>
          <w:tcPr>
            <w:tcW w:w="1703" w:type="dxa"/>
            <w:vMerge w:val="restart"/>
            <w:tcBorders>
              <w:bottom w:val="nil"/>
            </w:tcBorders>
            <w:vAlign w:val="top"/>
          </w:tcPr>
          <w:p w14:paraId="52BF65B3">
            <w:pPr>
              <w:rPr>
                <w:rFonts w:ascii="Arial"/>
                <w:color w:val="auto"/>
                <w:sz w:val="21"/>
                <w:highlight w:val="none"/>
              </w:rPr>
            </w:pPr>
          </w:p>
        </w:tc>
        <w:tc>
          <w:tcPr>
            <w:tcW w:w="826" w:type="dxa"/>
            <w:vAlign w:val="top"/>
          </w:tcPr>
          <w:p w14:paraId="2EDB5E87">
            <w:pPr>
              <w:spacing w:before="160"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1A4E586E">
            <w:pPr>
              <w:rPr>
                <w:rFonts w:ascii="Arial"/>
                <w:color w:val="auto"/>
                <w:sz w:val="21"/>
                <w:highlight w:val="none"/>
              </w:rPr>
            </w:pPr>
          </w:p>
        </w:tc>
        <w:tc>
          <w:tcPr>
            <w:tcW w:w="1099" w:type="dxa"/>
            <w:vAlign w:val="top"/>
          </w:tcPr>
          <w:p w14:paraId="7B6262EA">
            <w:pPr>
              <w:rPr>
                <w:rFonts w:ascii="Arial"/>
                <w:color w:val="auto"/>
                <w:sz w:val="21"/>
                <w:highlight w:val="none"/>
              </w:rPr>
            </w:pPr>
          </w:p>
        </w:tc>
        <w:tc>
          <w:tcPr>
            <w:tcW w:w="1060" w:type="dxa"/>
            <w:vAlign w:val="top"/>
          </w:tcPr>
          <w:p w14:paraId="61474C91">
            <w:pPr>
              <w:rPr>
                <w:rFonts w:ascii="Arial"/>
                <w:color w:val="auto"/>
                <w:sz w:val="21"/>
                <w:highlight w:val="none"/>
              </w:rPr>
            </w:pPr>
          </w:p>
        </w:tc>
        <w:tc>
          <w:tcPr>
            <w:tcW w:w="1166" w:type="dxa"/>
            <w:vAlign w:val="top"/>
          </w:tcPr>
          <w:p w14:paraId="4FB80DCE">
            <w:pPr>
              <w:rPr>
                <w:rFonts w:ascii="Arial"/>
                <w:color w:val="auto"/>
                <w:sz w:val="21"/>
                <w:highlight w:val="none"/>
              </w:rPr>
            </w:pPr>
          </w:p>
        </w:tc>
        <w:tc>
          <w:tcPr>
            <w:tcW w:w="969" w:type="dxa"/>
            <w:vAlign w:val="top"/>
          </w:tcPr>
          <w:p w14:paraId="67A8548C">
            <w:pPr>
              <w:rPr>
                <w:rFonts w:ascii="Arial"/>
                <w:color w:val="auto"/>
                <w:sz w:val="21"/>
                <w:highlight w:val="none"/>
              </w:rPr>
            </w:pPr>
          </w:p>
        </w:tc>
      </w:tr>
      <w:tr w14:paraId="1DC56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E8050FC">
            <w:pPr>
              <w:rPr>
                <w:rFonts w:ascii="Arial"/>
                <w:color w:val="auto"/>
                <w:sz w:val="21"/>
                <w:highlight w:val="none"/>
              </w:rPr>
            </w:pPr>
          </w:p>
        </w:tc>
        <w:tc>
          <w:tcPr>
            <w:tcW w:w="1703" w:type="dxa"/>
            <w:vMerge w:val="continue"/>
            <w:tcBorders>
              <w:top w:val="nil"/>
              <w:bottom w:val="nil"/>
            </w:tcBorders>
            <w:vAlign w:val="top"/>
          </w:tcPr>
          <w:p w14:paraId="4C8EEAB5">
            <w:pPr>
              <w:rPr>
                <w:rFonts w:ascii="Arial"/>
                <w:color w:val="auto"/>
                <w:sz w:val="21"/>
                <w:highlight w:val="none"/>
              </w:rPr>
            </w:pPr>
          </w:p>
        </w:tc>
        <w:tc>
          <w:tcPr>
            <w:tcW w:w="826" w:type="dxa"/>
            <w:vAlign w:val="top"/>
          </w:tcPr>
          <w:p w14:paraId="5F3C0890">
            <w:pPr>
              <w:spacing w:before="154"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06DB5DF1">
            <w:pPr>
              <w:rPr>
                <w:rFonts w:ascii="Arial"/>
                <w:color w:val="auto"/>
                <w:sz w:val="21"/>
                <w:highlight w:val="none"/>
              </w:rPr>
            </w:pPr>
          </w:p>
        </w:tc>
        <w:tc>
          <w:tcPr>
            <w:tcW w:w="1099" w:type="dxa"/>
            <w:vAlign w:val="top"/>
          </w:tcPr>
          <w:p w14:paraId="13F28562">
            <w:pPr>
              <w:rPr>
                <w:rFonts w:ascii="Arial"/>
                <w:color w:val="auto"/>
                <w:sz w:val="21"/>
                <w:highlight w:val="none"/>
              </w:rPr>
            </w:pPr>
          </w:p>
        </w:tc>
        <w:tc>
          <w:tcPr>
            <w:tcW w:w="1060" w:type="dxa"/>
            <w:vAlign w:val="top"/>
          </w:tcPr>
          <w:p w14:paraId="327F641C">
            <w:pPr>
              <w:rPr>
                <w:rFonts w:ascii="Arial"/>
                <w:color w:val="auto"/>
                <w:sz w:val="21"/>
                <w:highlight w:val="none"/>
              </w:rPr>
            </w:pPr>
          </w:p>
        </w:tc>
        <w:tc>
          <w:tcPr>
            <w:tcW w:w="1166" w:type="dxa"/>
            <w:vAlign w:val="top"/>
          </w:tcPr>
          <w:p w14:paraId="66E5EF00">
            <w:pPr>
              <w:rPr>
                <w:rFonts w:ascii="Arial"/>
                <w:color w:val="auto"/>
                <w:sz w:val="21"/>
                <w:highlight w:val="none"/>
              </w:rPr>
            </w:pPr>
          </w:p>
        </w:tc>
        <w:tc>
          <w:tcPr>
            <w:tcW w:w="969" w:type="dxa"/>
            <w:vAlign w:val="top"/>
          </w:tcPr>
          <w:p w14:paraId="45F70D8C">
            <w:pPr>
              <w:rPr>
                <w:rFonts w:ascii="Arial"/>
                <w:color w:val="auto"/>
                <w:sz w:val="21"/>
                <w:highlight w:val="none"/>
              </w:rPr>
            </w:pPr>
          </w:p>
        </w:tc>
      </w:tr>
      <w:tr w14:paraId="1F908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14:paraId="75154E02">
            <w:pPr>
              <w:rPr>
                <w:rFonts w:ascii="Arial"/>
                <w:color w:val="auto"/>
                <w:sz w:val="21"/>
                <w:highlight w:val="none"/>
              </w:rPr>
            </w:pPr>
          </w:p>
        </w:tc>
        <w:tc>
          <w:tcPr>
            <w:tcW w:w="1703" w:type="dxa"/>
            <w:vMerge w:val="continue"/>
            <w:tcBorders>
              <w:top w:val="nil"/>
            </w:tcBorders>
            <w:vAlign w:val="top"/>
          </w:tcPr>
          <w:p w14:paraId="2E58ECD1">
            <w:pPr>
              <w:rPr>
                <w:rFonts w:ascii="Arial"/>
                <w:color w:val="auto"/>
                <w:sz w:val="21"/>
                <w:highlight w:val="none"/>
              </w:rPr>
            </w:pPr>
          </w:p>
        </w:tc>
        <w:tc>
          <w:tcPr>
            <w:tcW w:w="826" w:type="dxa"/>
            <w:vAlign w:val="top"/>
          </w:tcPr>
          <w:p w14:paraId="7A0D289B">
            <w:pPr>
              <w:spacing w:before="158"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71696AB2">
            <w:pPr>
              <w:rPr>
                <w:rFonts w:ascii="Arial"/>
                <w:color w:val="auto"/>
                <w:sz w:val="21"/>
                <w:highlight w:val="none"/>
              </w:rPr>
            </w:pPr>
          </w:p>
        </w:tc>
        <w:tc>
          <w:tcPr>
            <w:tcW w:w="1099" w:type="dxa"/>
            <w:vAlign w:val="top"/>
          </w:tcPr>
          <w:p w14:paraId="4B973F5F">
            <w:pPr>
              <w:rPr>
                <w:rFonts w:ascii="Arial"/>
                <w:color w:val="auto"/>
                <w:sz w:val="21"/>
                <w:highlight w:val="none"/>
              </w:rPr>
            </w:pPr>
          </w:p>
        </w:tc>
        <w:tc>
          <w:tcPr>
            <w:tcW w:w="1060" w:type="dxa"/>
            <w:vAlign w:val="top"/>
          </w:tcPr>
          <w:p w14:paraId="4E0A1552">
            <w:pPr>
              <w:rPr>
                <w:rFonts w:ascii="Arial"/>
                <w:color w:val="auto"/>
                <w:sz w:val="21"/>
                <w:highlight w:val="none"/>
              </w:rPr>
            </w:pPr>
          </w:p>
        </w:tc>
        <w:tc>
          <w:tcPr>
            <w:tcW w:w="1166" w:type="dxa"/>
            <w:vAlign w:val="top"/>
          </w:tcPr>
          <w:p w14:paraId="3E54D2D5">
            <w:pPr>
              <w:rPr>
                <w:rFonts w:ascii="Arial"/>
                <w:color w:val="auto"/>
                <w:sz w:val="21"/>
                <w:highlight w:val="none"/>
              </w:rPr>
            </w:pPr>
          </w:p>
        </w:tc>
        <w:tc>
          <w:tcPr>
            <w:tcW w:w="969" w:type="dxa"/>
            <w:vAlign w:val="top"/>
          </w:tcPr>
          <w:p w14:paraId="152EC5F4">
            <w:pPr>
              <w:rPr>
                <w:rFonts w:ascii="Arial"/>
                <w:color w:val="auto"/>
                <w:sz w:val="21"/>
                <w:highlight w:val="none"/>
              </w:rPr>
            </w:pPr>
          </w:p>
        </w:tc>
      </w:tr>
    </w:tbl>
    <w:p w14:paraId="3B4586AF">
      <w:pPr>
        <w:pStyle w:val="3"/>
        <w:spacing w:line="244" w:lineRule="auto"/>
        <w:rPr>
          <w:color w:val="auto"/>
          <w:highlight w:val="none"/>
        </w:rPr>
      </w:pPr>
    </w:p>
    <w:p w14:paraId="1C1365F9">
      <w:pPr>
        <w:pStyle w:val="3"/>
        <w:spacing w:line="244" w:lineRule="auto"/>
        <w:rPr>
          <w:color w:val="auto"/>
          <w:highlight w:val="none"/>
        </w:rPr>
      </w:pPr>
    </w:p>
    <w:p w14:paraId="6EF64CB6">
      <w:pPr>
        <w:pStyle w:val="3"/>
        <w:spacing w:line="244" w:lineRule="auto"/>
        <w:rPr>
          <w:color w:val="auto"/>
          <w:highlight w:val="none"/>
        </w:rPr>
      </w:pPr>
    </w:p>
    <w:p w14:paraId="128B9C17">
      <w:pPr>
        <w:pStyle w:val="3"/>
        <w:spacing w:line="245" w:lineRule="auto"/>
        <w:rPr>
          <w:color w:val="auto"/>
          <w:highlight w:val="none"/>
        </w:rPr>
      </w:pPr>
    </w:p>
    <w:p w14:paraId="18F57A4D">
      <w:pPr>
        <w:spacing w:before="69" w:line="221" w:lineRule="auto"/>
        <w:ind w:left="4587"/>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15"/>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74"/>
          <w:sz w:val="21"/>
          <w:szCs w:val="21"/>
          <w:highlight w:val="none"/>
        </w:rPr>
        <w:t xml:space="preserve"> </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25"/>
          <w:sz w:val="21"/>
          <w:szCs w:val="21"/>
          <w:highlight w:val="none"/>
        </w:rPr>
        <w:t>日</w:t>
      </w:r>
    </w:p>
    <w:p w14:paraId="64C41191">
      <w:pPr>
        <w:pStyle w:val="3"/>
        <w:spacing w:line="277" w:lineRule="auto"/>
        <w:rPr>
          <w:color w:val="auto"/>
          <w:highlight w:val="none"/>
        </w:rPr>
      </w:pPr>
    </w:p>
    <w:p w14:paraId="16FE7FBA">
      <w:pPr>
        <w:pStyle w:val="3"/>
        <w:spacing w:line="278" w:lineRule="auto"/>
        <w:rPr>
          <w:color w:val="auto"/>
          <w:highlight w:val="none"/>
        </w:rPr>
      </w:pPr>
    </w:p>
    <w:p w14:paraId="7B43336D">
      <w:pPr>
        <w:spacing w:before="69" w:line="442" w:lineRule="exact"/>
        <w:ind w:left="20"/>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备注： 本表所列分包仅限于承包人自行施工范围内的非主体、非关键工程。没有可不</w:t>
      </w:r>
    </w:p>
    <w:p w14:paraId="4A7E375F">
      <w:pPr>
        <w:spacing w:line="221" w:lineRule="auto"/>
        <w:ind w:left="64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填写。</w:t>
      </w:r>
    </w:p>
    <w:p w14:paraId="2DC8B35F">
      <w:pPr>
        <w:spacing w:line="221" w:lineRule="auto"/>
        <w:rPr>
          <w:rFonts w:ascii="宋体" w:hAnsi="宋体" w:eastAsia="宋体" w:cs="宋体"/>
          <w:color w:val="auto"/>
          <w:sz w:val="21"/>
          <w:szCs w:val="21"/>
          <w:highlight w:val="none"/>
        </w:rPr>
        <w:sectPr>
          <w:footerReference r:id="rId222" w:type="default"/>
          <w:pgSz w:w="11905" w:h="16839"/>
          <w:pgMar w:top="400" w:right="1785" w:bottom="1004" w:left="1785" w:header="0" w:footer="828" w:gutter="0"/>
          <w:pgNumType w:fmt="decimal"/>
          <w:cols w:space="720" w:num="1"/>
        </w:sectPr>
      </w:pPr>
    </w:p>
    <w:p w14:paraId="7B6B4263">
      <w:pPr>
        <w:pStyle w:val="3"/>
        <w:spacing w:line="246" w:lineRule="auto"/>
        <w:rPr>
          <w:color w:val="auto"/>
          <w:highlight w:val="none"/>
        </w:rPr>
      </w:pPr>
    </w:p>
    <w:p w14:paraId="212960FF">
      <w:pPr>
        <w:pStyle w:val="3"/>
        <w:spacing w:line="246" w:lineRule="auto"/>
        <w:rPr>
          <w:color w:val="auto"/>
          <w:highlight w:val="none"/>
        </w:rPr>
      </w:pPr>
    </w:p>
    <w:p w14:paraId="4FCBDB0A">
      <w:pPr>
        <w:pStyle w:val="3"/>
        <w:spacing w:line="246" w:lineRule="auto"/>
        <w:rPr>
          <w:color w:val="auto"/>
          <w:highlight w:val="none"/>
        </w:rPr>
      </w:pPr>
    </w:p>
    <w:p w14:paraId="68572A55">
      <w:pPr>
        <w:pStyle w:val="3"/>
        <w:spacing w:line="246" w:lineRule="auto"/>
        <w:rPr>
          <w:color w:val="auto"/>
          <w:highlight w:val="none"/>
        </w:rPr>
      </w:pPr>
    </w:p>
    <w:p w14:paraId="4F1EC39B">
      <w:pPr>
        <w:pStyle w:val="3"/>
        <w:spacing w:line="246" w:lineRule="auto"/>
        <w:rPr>
          <w:color w:val="auto"/>
          <w:highlight w:val="none"/>
        </w:rPr>
      </w:pPr>
    </w:p>
    <w:p w14:paraId="4ED80E63">
      <w:pPr>
        <w:pStyle w:val="3"/>
        <w:spacing w:line="247" w:lineRule="auto"/>
        <w:rPr>
          <w:color w:val="auto"/>
          <w:highlight w:val="none"/>
        </w:rPr>
      </w:pPr>
    </w:p>
    <w:p w14:paraId="7C08B0E5">
      <w:pPr>
        <w:spacing w:before="87" w:line="225" w:lineRule="auto"/>
        <w:ind w:left="6117"/>
        <w:rPr>
          <w:rFonts w:ascii="黑体" w:hAnsi="黑体" w:eastAsia="黑体" w:cs="黑体"/>
          <w:color w:val="auto"/>
          <w:sz w:val="27"/>
          <w:szCs w:val="27"/>
          <w:highlight w:val="none"/>
        </w:rPr>
      </w:pPr>
      <w:bookmarkStart w:id="1336" w:name="bookmark309"/>
      <w:bookmarkEnd w:id="1336"/>
      <w:r>
        <w:rPr>
          <w:rFonts w:ascii="黑体" w:hAnsi="黑体" w:eastAsia="黑体" w:cs="黑体"/>
          <w:color w:val="auto"/>
          <w:spacing w:val="7"/>
          <w:sz w:val="27"/>
          <w:szCs w:val="27"/>
          <w:highlight w:val="none"/>
        </w:rPr>
        <w:t>六、项目管理机构</w:t>
      </w:r>
    </w:p>
    <w:p w14:paraId="38534BB4">
      <w:pPr>
        <w:pStyle w:val="3"/>
        <w:spacing w:line="349" w:lineRule="auto"/>
        <w:rPr>
          <w:color w:val="auto"/>
          <w:highlight w:val="none"/>
        </w:rPr>
      </w:pPr>
    </w:p>
    <w:p w14:paraId="58FA9857">
      <w:pPr>
        <w:spacing w:before="87" w:line="220" w:lineRule="auto"/>
        <w:ind w:left="5290"/>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（一）项目管理机构主要人员表</w:t>
      </w:r>
    </w:p>
    <w:tbl>
      <w:tblPr>
        <w:tblStyle w:val="10"/>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14:paraId="73A10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14:paraId="26EC0FF6">
            <w:pPr>
              <w:pStyle w:val="11"/>
              <w:spacing w:before="81" w:line="211" w:lineRule="auto"/>
              <w:ind w:left="245"/>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272" w:type="dxa"/>
            <w:vMerge w:val="restart"/>
            <w:tcBorders>
              <w:bottom w:val="nil"/>
            </w:tcBorders>
            <w:vAlign w:val="top"/>
          </w:tcPr>
          <w:p w14:paraId="73464ED5">
            <w:pPr>
              <w:pStyle w:val="11"/>
              <w:spacing w:before="244" w:line="231" w:lineRule="auto"/>
              <w:ind w:left="225" w:right="225" w:firstLine="227"/>
              <w:rPr>
                <w:color w:val="auto"/>
                <w:highlight w:val="none"/>
              </w:rPr>
            </w:pPr>
            <w:r>
              <w:rPr>
                <w:color w:val="auto"/>
                <w:spacing w:val="-15"/>
                <w:highlight w:val="none"/>
              </w:rPr>
              <w:t>岗位</w:t>
            </w:r>
            <w:r>
              <w:rPr>
                <w:color w:val="auto"/>
                <w:highlight w:val="none"/>
              </w:rPr>
              <w:t xml:space="preserve">   </w:t>
            </w:r>
            <w:r>
              <w:rPr>
                <w:color w:val="auto"/>
                <w:spacing w:val="-7"/>
                <w:highlight w:val="none"/>
              </w:rPr>
              <w:t>（职务）</w:t>
            </w:r>
          </w:p>
        </w:tc>
        <w:tc>
          <w:tcPr>
            <w:tcW w:w="825" w:type="dxa"/>
            <w:vMerge w:val="restart"/>
            <w:tcBorders>
              <w:bottom w:val="nil"/>
            </w:tcBorders>
            <w:vAlign w:val="top"/>
          </w:tcPr>
          <w:p w14:paraId="1EA1F979">
            <w:pPr>
              <w:spacing w:line="309" w:lineRule="auto"/>
              <w:rPr>
                <w:rFonts w:ascii="Arial"/>
                <w:color w:val="auto"/>
                <w:sz w:val="21"/>
                <w:highlight w:val="none"/>
              </w:rPr>
            </w:pPr>
          </w:p>
          <w:p w14:paraId="2A0CC1FF">
            <w:pPr>
              <w:pStyle w:val="11"/>
              <w:spacing w:before="68" w:line="221" w:lineRule="auto"/>
              <w:ind w:left="205"/>
              <w:rPr>
                <w:color w:val="auto"/>
                <w:highlight w:val="none"/>
              </w:rPr>
            </w:pPr>
            <w:r>
              <w:rPr>
                <w:color w:val="auto"/>
                <w:spacing w:val="-2"/>
                <w:highlight w:val="none"/>
              </w:rPr>
              <w:t>姓名</w:t>
            </w:r>
          </w:p>
        </w:tc>
        <w:tc>
          <w:tcPr>
            <w:tcW w:w="533" w:type="dxa"/>
            <w:vMerge w:val="restart"/>
            <w:tcBorders>
              <w:bottom w:val="nil"/>
            </w:tcBorders>
            <w:vAlign w:val="top"/>
          </w:tcPr>
          <w:p w14:paraId="68C07816">
            <w:pPr>
              <w:spacing w:line="310" w:lineRule="auto"/>
              <w:rPr>
                <w:rFonts w:ascii="Arial"/>
                <w:color w:val="auto"/>
                <w:sz w:val="21"/>
                <w:highlight w:val="none"/>
              </w:rPr>
            </w:pPr>
          </w:p>
          <w:p w14:paraId="14C342AB">
            <w:pPr>
              <w:pStyle w:val="11"/>
              <w:spacing w:before="68" w:line="221" w:lineRule="auto"/>
              <w:ind w:left="64"/>
              <w:rPr>
                <w:color w:val="auto"/>
                <w:highlight w:val="none"/>
              </w:rPr>
            </w:pPr>
            <w:r>
              <w:rPr>
                <w:color w:val="auto"/>
                <w:spacing w:val="-3"/>
                <w:highlight w:val="none"/>
              </w:rPr>
              <w:t>性别</w:t>
            </w:r>
          </w:p>
        </w:tc>
        <w:tc>
          <w:tcPr>
            <w:tcW w:w="749" w:type="dxa"/>
            <w:vMerge w:val="restart"/>
            <w:tcBorders>
              <w:bottom w:val="nil"/>
            </w:tcBorders>
            <w:vAlign w:val="top"/>
          </w:tcPr>
          <w:p w14:paraId="507E2A6E">
            <w:pPr>
              <w:spacing w:line="309" w:lineRule="auto"/>
              <w:rPr>
                <w:rFonts w:ascii="Arial"/>
                <w:color w:val="auto"/>
                <w:sz w:val="21"/>
                <w:highlight w:val="none"/>
              </w:rPr>
            </w:pPr>
          </w:p>
          <w:p w14:paraId="2C6FB368">
            <w:pPr>
              <w:pStyle w:val="11"/>
              <w:spacing w:before="68" w:line="221" w:lineRule="auto"/>
              <w:ind w:left="163"/>
              <w:rPr>
                <w:color w:val="auto"/>
                <w:highlight w:val="none"/>
              </w:rPr>
            </w:pPr>
            <w:r>
              <w:rPr>
                <w:color w:val="auto"/>
                <w:spacing w:val="-2"/>
                <w:highlight w:val="none"/>
              </w:rPr>
              <w:t>年龄</w:t>
            </w:r>
          </w:p>
        </w:tc>
        <w:tc>
          <w:tcPr>
            <w:tcW w:w="753" w:type="dxa"/>
            <w:vMerge w:val="restart"/>
            <w:tcBorders>
              <w:bottom w:val="nil"/>
            </w:tcBorders>
            <w:vAlign w:val="top"/>
          </w:tcPr>
          <w:p w14:paraId="7EAC8EA3">
            <w:pPr>
              <w:spacing w:line="309" w:lineRule="auto"/>
              <w:rPr>
                <w:rFonts w:ascii="Arial"/>
                <w:color w:val="auto"/>
                <w:sz w:val="21"/>
                <w:highlight w:val="none"/>
              </w:rPr>
            </w:pPr>
          </w:p>
          <w:p w14:paraId="2FE094B0">
            <w:pPr>
              <w:pStyle w:val="11"/>
              <w:spacing w:before="69" w:line="222" w:lineRule="auto"/>
              <w:ind w:left="171"/>
              <w:rPr>
                <w:color w:val="auto"/>
                <w:highlight w:val="none"/>
              </w:rPr>
            </w:pPr>
            <w:r>
              <w:rPr>
                <w:color w:val="auto"/>
                <w:spacing w:val="-3"/>
                <w:highlight w:val="none"/>
              </w:rPr>
              <w:t>学历</w:t>
            </w:r>
          </w:p>
        </w:tc>
        <w:tc>
          <w:tcPr>
            <w:tcW w:w="965" w:type="dxa"/>
            <w:vMerge w:val="restart"/>
            <w:tcBorders>
              <w:bottom w:val="nil"/>
            </w:tcBorders>
            <w:vAlign w:val="top"/>
          </w:tcPr>
          <w:p w14:paraId="21B1F6C1">
            <w:pPr>
              <w:spacing w:line="310" w:lineRule="auto"/>
              <w:rPr>
                <w:rFonts w:ascii="Arial"/>
                <w:color w:val="auto"/>
                <w:sz w:val="21"/>
                <w:highlight w:val="none"/>
              </w:rPr>
            </w:pPr>
          </w:p>
          <w:p w14:paraId="6B238EF2">
            <w:pPr>
              <w:pStyle w:val="11"/>
              <w:spacing w:before="68" w:line="221" w:lineRule="auto"/>
              <w:ind w:left="62"/>
              <w:rPr>
                <w:color w:val="auto"/>
                <w:highlight w:val="none"/>
              </w:rPr>
            </w:pPr>
            <w:r>
              <w:rPr>
                <w:color w:val="auto"/>
                <w:spacing w:val="-1"/>
                <w:highlight w:val="none"/>
              </w:rPr>
              <w:t>所学专业</w:t>
            </w:r>
          </w:p>
        </w:tc>
        <w:tc>
          <w:tcPr>
            <w:tcW w:w="1032" w:type="dxa"/>
            <w:vMerge w:val="restart"/>
            <w:tcBorders>
              <w:bottom w:val="nil"/>
            </w:tcBorders>
            <w:vAlign w:val="top"/>
          </w:tcPr>
          <w:p w14:paraId="51EDD6B5">
            <w:pPr>
              <w:pStyle w:val="11"/>
              <w:spacing w:before="244" w:line="231" w:lineRule="auto"/>
              <w:ind w:left="308" w:right="93" w:hanging="211"/>
              <w:rPr>
                <w:color w:val="auto"/>
                <w:highlight w:val="none"/>
              </w:rPr>
            </w:pPr>
            <w:r>
              <w:rPr>
                <w:color w:val="auto"/>
                <w:spacing w:val="-2"/>
                <w:highlight w:val="none"/>
              </w:rPr>
              <w:t>专业工作</w:t>
            </w:r>
            <w:r>
              <w:rPr>
                <w:color w:val="auto"/>
                <w:spacing w:val="2"/>
                <w:highlight w:val="none"/>
              </w:rPr>
              <w:t xml:space="preserve"> </w:t>
            </w:r>
            <w:r>
              <w:rPr>
                <w:color w:val="auto"/>
                <w:spacing w:val="-2"/>
                <w:highlight w:val="none"/>
              </w:rPr>
              <w:t>年限</w:t>
            </w:r>
          </w:p>
        </w:tc>
        <w:tc>
          <w:tcPr>
            <w:tcW w:w="2563" w:type="dxa"/>
            <w:gridSpan w:val="3"/>
            <w:vAlign w:val="top"/>
          </w:tcPr>
          <w:p w14:paraId="508D23FD">
            <w:pPr>
              <w:pStyle w:val="11"/>
              <w:spacing w:before="105" w:line="221" w:lineRule="auto"/>
              <w:ind w:left="659"/>
              <w:rPr>
                <w:color w:val="auto"/>
                <w:highlight w:val="none"/>
              </w:rPr>
            </w:pPr>
            <w:r>
              <w:rPr>
                <w:color w:val="auto"/>
                <w:spacing w:val="-1"/>
                <w:highlight w:val="none"/>
              </w:rPr>
              <w:t>专业技术职称</w:t>
            </w:r>
          </w:p>
        </w:tc>
        <w:tc>
          <w:tcPr>
            <w:tcW w:w="3297" w:type="dxa"/>
            <w:gridSpan w:val="4"/>
            <w:vAlign w:val="top"/>
          </w:tcPr>
          <w:p w14:paraId="31AB8120">
            <w:pPr>
              <w:pStyle w:val="11"/>
              <w:spacing w:before="158" w:line="221" w:lineRule="auto"/>
              <w:ind w:left="707"/>
              <w:rPr>
                <w:color w:val="auto"/>
                <w:highlight w:val="none"/>
              </w:rPr>
            </w:pPr>
            <w:r>
              <w:rPr>
                <w:color w:val="auto"/>
                <w:spacing w:val="-1"/>
                <w:highlight w:val="none"/>
              </w:rPr>
              <w:t>执业或职业资格证明</w:t>
            </w:r>
          </w:p>
        </w:tc>
        <w:tc>
          <w:tcPr>
            <w:tcW w:w="1128" w:type="dxa"/>
            <w:vMerge w:val="restart"/>
            <w:tcBorders>
              <w:bottom w:val="nil"/>
            </w:tcBorders>
            <w:vAlign w:val="top"/>
          </w:tcPr>
          <w:p w14:paraId="48D06EA6">
            <w:pPr>
              <w:spacing w:line="366" w:lineRule="auto"/>
              <w:rPr>
                <w:rFonts w:ascii="Arial"/>
                <w:color w:val="auto"/>
                <w:sz w:val="21"/>
                <w:highlight w:val="none"/>
              </w:rPr>
            </w:pPr>
          </w:p>
          <w:p w14:paraId="41588B38">
            <w:pPr>
              <w:pStyle w:val="11"/>
              <w:spacing w:before="69" w:line="220" w:lineRule="auto"/>
              <w:ind w:left="153"/>
              <w:rPr>
                <w:color w:val="auto"/>
                <w:highlight w:val="none"/>
              </w:rPr>
            </w:pPr>
            <w:r>
              <w:rPr>
                <w:color w:val="auto"/>
                <w:spacing w:val="-1"/>
                <w:highlight w:val="none"/>
              </w:rPr>
              <w:t>社会保险</w:t>
            </w:r>
          </w:p>
        </w:tc>
        <w:tc>
          <w:tcPr>
            <w:tcW w:w="946" w:type="dxa"/>
            <w:vMerge w:val="restart"/>
            <w:tcBorders>
              <w:bottom w:val="nil"/>
            </w:tcBorders>
            <w:vAlign w:val="top"/>
          </w:tcPr>
          <w:p w14:paraId="43EE597A">
            <w:pPr>
              <w:pStyle w:val="11"/>
              <w:spacing w:before="226" w:line="422" w:lineRule="exact"/>
              <w:ind w:left="161"/>
              <w:rPr>
                <w:color w:val="auto"/>
                <w:highlight w:val="none"/>
              </w:rPr>
            </w:pPr>
            <w:r>
              <w:rPr>
                <w:color w:val="auto"/>
                <w:spacing w:val="-2"/>
                <w:position w:val="16"/>
                <w:highlight w:val="none"/>
              </w:rPr>
              <w:t>执业或</w:t>
            </w:r>
          </w:p>
          <w:p w14:paraId="70F7327F">
            <w:pPr>
              <w:pStyle w:val="11"/>
              <w:spacing w:line="221" w:lineRule="auto"/>
              <w:ind w:left="57"/>
              <w:rPr>
                <w:color w:val="auto"/>
                <w:highlight w:val="none"/>
              </w:rPr>
            </w:pPr>
            <w:r>
              <w:rPr>
                <w:color w:val="auto"/>
                <w:spacing w:val="-1"/>
                <w:highlight w:val="none"/>
              </w:rPr>
              <w:t>职业单位</w:t>
            </w:r>
          </w:p>
        </w:tc>
      </w:tr>
      <w:tr w14:paraId="10E49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14:paraId="399E27E3">
            <w:pPr>
              <w:rPr>
                <w:rFonts w:ascii="Arial"/>
                <w:color w:val="auto"/>
                <w:sz w:val="21"/>
                <w:highlight w:val="none"/>
              </w:rPr>
            </w:pPr>
          </w:p>
        </w:tc>
        <w:tc>
          <w:tcPr>
            <w:tcW w:w="1272" w:type="dxa"/>
            <w:vMerge w:val="continue"/>
            <w:tcBorders>
              <w:top w:val="nil"/>
            </w:tcBorders>
            <w:vAlign w:val="top"/>
          </w:tcPr>
          <w:p w14:paraId="1B6992FC">
            <w:pPr>
              <w:rPr>
                <w:rFonts w:ascii="Arial"/>
                <w:color w:val="auto"/>
                <w:sz w:val="21"/>
                <w:highlight w:val="none"/>
              </w:rPr>
            </w:pPr>
          </w:p>
        </w:tc>
        <w:tc>
          <w:tcPr>
            <w:tcW w:w="825" w:type="dxa"/>
            <w:vMerge w:val="continue"/>
            <w:tcBorders>
              <w:top w:val="nil"/>
            </w:tcBorders>
            <w:vAlign w:val="top"/>
          </w:tcPr>
          <w:p w14:paraId="23A56747">
            <w:pPr>
              <w:rPr>
                <w:rFonts w:ascii="Arial"/>
                <w:color w:val="auto"/>
                <w:sz w:val="21"/>
                <w:highlight w:val="none"/>
              </w:rPr>
            </w:pPr>
          </w:p>
        </w:tc>
        <w:tc>
          <w:tcPr>
            <w:tcW w:w="533" w:type="dxa"/>
            <w:vMerge w:val="continue"/>
            <w:tcBorders>
              <w:top w:val="nil"/>
            </w:tcBorders>
            <w:vAlign w:val="top"/>
          </w:tcPr>
          <w:p w14:paraId="13583A47">
            <w:pPr>
              <w:rPr>
                <w:rFonts w:ascii="Arial"/>
                <w:color w:val="auto"/>
                <w:sz w:val="21"/>
                <w:highlight w:val="none"/>
              </w:rPr>
            </w:pPr>
          </w:p>
        </w:tc>
        <w:tc>
          <w:tcPr>
            <w:tcW w:w="749" w:type="dxa"/>
            <w:vMerge w:val="continue"/>
            <w:tcBorders>
              <w:top w:val="nil"/>
            </w:tcBorders>
            <w:vAlign w:val="top"/>
          </w:tcPr>
          <w:p w14:paraId="057DCBF1">
            <w:pPr>
              <w:rPr>
                <w:rFonts w:ascii="Arial"/>
                <w:color w:val="auto"/>
                <w:sz w:val="21"/>
                <w:highlight w:val="none"/>
              </w:rPr>
            </w:pPr>
          </w:p>
        </w:tc>
        <w:tc>
          <w:tcPr>
            <w:tcW w:w="753" w:type="dxa"/>
            <w:vMerge w:val="continue"/>
            <w:tcBorders>
              <w:top w:val="nil"/>
            </w:tcBorders>
            <w:vAlign w:val="top"/>
          </w:tcPr>
          <w:p w14:paraId="405C5849">
            <w:pPr>
              <w:rPr>
                <w:rFonts w:ascii="Arial"/>
                <w:color w:val="auto"/>
                <w:sz w:val="21"/>
                <w:highlight w:val="none"/>
              </w:rPr>
            </w:pPr>
          </w:p>
        </w:tc>
        <w:tc>
          <w:tcPr>
            <w:tcW w:w="965" w:type="dxa"/>
            <w:vMerge w:val="continue"/>
            <w:tcBorders>
              <w:top w:val="nil"/>
            </w:tcBorders>
            <w:vAlign w:val="top"/>
          </w:tcPr>
          <w:p w14:paraId="5C65FEC8">
            <w:pPr>
              <w:rPr>
                <w:rFonts w:ascii="Arial"/>
                <w:color w:val="auto"/>
                <w:sz w:val="21"/>
                <w:highlight w:val="none"/>
              </w:rPr>
            </w:pPr>
          </w:p>
        </w:tc>
        <w:tc>
          <w:tcPr>
            <w:tcW w:w="1032" w:type="dxa"/>
            <w:vMerge w:val="continue"/>
            <w:tcBorders>
              <w:top w:val="nil"/>
            </w:tcBorders>
            <w:vAlign w:val="top"/>
          </w:tcPr>
          <w:p w14:paraId="1D99E768">
            <w:pPr>
              <w:rPr>
                <w:rFonts w:ascii="Arial"/>
                <w:color w:val="auto"/>
                <w:sz w:val="21"/>
                <w:highlight w:val="none"/>
              </w:rPr>
            </w:pPr>
          </w:p>
        </w:tc>
        <w:tc>
          <w:tcPr>
            <w:tcW w:w="855" w:type="dxa"/>
            <w:vAlign w:val="top"/>
          </w:tcPr>
          <w:p w14:paraId="5531148E">
            <w:pPr>
              <w:pStyle w:val="11"/>
              <w:spacing w:before="164" w:line="221" w:lineRule="auto"/>
              <w:ind w:left="224"/>
              <w:rPr>
                <w:color w:val="auto"/>
                <w:highlight w:val="none"/>
              </w:rPr>
            </w:pPr>
            <w:r>
              <w:rPr>
                <w:color w:val="auto"/>
                <w:spacing w:val="-3"/>
                <w:highlight w:val="none"/>
              </w:rPr>
              <w:t>级别</w:t>
            </w:r>
          </w:p>
        </w:tc>
        <w:tc>
          <w:tcPr>
            <w:tcW w:w="854" w:type="dxa"/>
            <w:vAlign w:val="top"/>
          </w:tcPr>
          <w:p w14:paraId="7E3E5332">
            <w:pPr>
              <w:pStyle w:val="11"/>
              <w:spacing w:before="164" w:line="221" w:lineRule="auto"/>
              <w:ind w:right="1"/>
              <w:jc w:val="right"/>
              <w:rPr>
                <w:color w:val="auto"/>
                <w:highlight w:val="none"/>
              </w:rPr>
            </w:pPr>
            <w:r>
              <w:rPr>
                <w:color w:val="auto"/>
                <w:spacing w:val="-1"/>
                <w:highlight w:val="none"/>
              </w:rPr>
              <w:t>职称专业</w:t>
            </w:r>
          </w:p>
        </w:tc>
        <w:tc>
          <w:tcPr>
            <w:tcW w:w="854" w:type="dxa"/>
            <w:vAlign w:val="top"/>
          </w:tcPr>
          <w:p w14:paraId="179E5B8B">
            <w:pPr>
              <w:pStyle w:val="11"/>
              <w:spacing w:before="29" w:line="225" w:lineRule="auto"/>
              <w:ind w:left="221" w:right="1" w:hanging="210"/>
              <w:rPr>
                <w:color w:val="auto"/>
                <w:highlight w:val="none"/>
              </w:rPr>
            </w:pPr>
            <w:r>
              <w:rPr>
                <w:color w:val="auto"/>
                <w:spacing w:val="-2"/>
                <w:highlight w:val="none"/>
              </w:rPr>
              <w:t>职称专业</w:t>
            </w:r>
            <w:r>
              <w:rPr>
                <w:color w:val="auto"/>
                <w:spacing w:val="2"/>
                <w:highlight w:val="none"/>
              </w:rPr>
              <w:t xml:space="preserve"> </w:t>
            </w:r>
            <w:r>
              <w:rPr>
                <w:color w:val="auto"/>
                <w:spacing w:val="-2"/>
                <w:highlight w:val="none"/>
              </w:rPr>
              <w:t>类别</w:t>
            </w:r>
          </w:p>
        </w:tc>
        <w:tc>
          <w:tcPr>
            <w:tcW w:w="849" w:type="dxa"/>
            <w:vAlign w:val="top"/>
          </w:tcPr>
          <w:p w14:paraId="0B791037">
            <w:pPr>
              <w:pStyle w:val="11"/>
              <w:spacing w:before="163" w:line="220" w:lineRule="auto"/>
              <w:jc w:val="right"/>
              <w:rPr>
                <w:color w:val="auto"/>
                <w:highlight w:val="none"/>
              </w:rPr>
            </w:pPr>
            <w:r>
              <w:rPr>
                <w:color w:val="auto"/>
                <w:spacing w:val="-2"/>
                <w:highlight w:val="none"/>
              </w:rPr>
              <w:t>证书名称</w:t>
            </w:r>
          </w:p>
        </w:tc>
        <w:tc>
          <w:tcPr>
            <w:tcW w:w="850" w:type="dxa"/>
            <w:vAlign w:val="top"/>
          </w:tcPr>
          <w:p w14:paraId="42A22CF0">
            <w:pPr>
              <w:pStyle w:val="11"/>
              <w:spacing w:before="164" w:line="221" w:lineRule="auto"/>
              <w:ind w:left="226"/>
              <w:rPr>
                <w:color w:val="auto"/>
                <w:highlight w:val="none"/>
              </w:rPr>
            </w:pPr>
            <w:r>
              <w:rPr>
                <w:color w:val="auto"/>
                <w:spacing w:val="-3"/>
                <w:highlight w:val="none"/>
              </w:rPr>
              <w:t>级别</w:t>
            </w:r>
          </w:p>
        </w:tc>
        <w:tc>
          <w:tcPr>
            <w:tcW w:w="854" w:type="dxa"/>
            <w:vAlign w:val="top"/>
          </w:tcPr>
          <w:p w14:paraId="571CF72B">
            <w:pPr>
              <w:pStyle w:val="11"/>
              <w:spacing w:before="163" w:line="222" w:lineRule="auto"/>
              <w:ind w:left="223"/>
              <w:rPr>
                <w:color w:val="auto"/>
                <w:highlight w:val="none"/>
              </w:rPr>
            </w:pPr>
            <w:r>
              <w:rPr>
                <w:color w:val="auto"/>
                <w:spacing w:val="-2"/>
                <w:highlight w:val="none"/>
              </w:rPr>
              <w:t>证号</w:t>
            </w:r>
          </w:p>
        </w:tc>
        <w:tc>
          <w:tcPr>
            <w:tcW w:w="744" w:type="dxa"/>
            <w:vAlign w:val="top"/>
          </w:tcPr>
          <w:p w14:paraId="5354ED16">
            <w:pPr>
              <w:pStyle w:val="11"/>
              <w:spacing w:before="164" w:line="221" w:lineRule="auto"/>
              <w:ind w:left="167"/>
              <w:rPr>
                <w:color w:val="auto"/>
                <w:highlight w:val="none"/>
              </w:rPr>
            </w:pPr>
            <w:r>
              <w:rPr>
                <w:color w:val="auto"/>
                <w:spacing w:val="-2"/>
                <w:highlight w:val="none"/>
              </w:rPr>
              <w:t>专业</w:t>
            </w:r>
          </w:p>
        </w:tc>
        <w:tc>
          <w:tcPr>
            <w:tcW w:w="1128" w:type="dxa"/>
            <w:vMerge w:val="continue"/>
            <w:tcBorders>
              <w:top w:val="nil"/>
            </w:tcBorders>
            <w:vAlign w:val="top"/>
          </w:tcPr>
          <w:p w14:paraId="3204D913">
            <w:pPr>
              <w:rPr>
                <w:rFonts w:ascii="Arial"/>
                <w:color w:val="auto"/>
                <w:sz w:val="21"/>
                <w:highlight w:val="none"/>
              </w:rPr>
            </w:pPr>
          </w:p>
        </w:tc>
        <w:tc>
          <w:tcPr>
            <w:tcW w:w="946" w:type="dxa"/>
            <w:vMerge w:val="continue"/>
            <w:tcBorders>
              <w:top w:val="nil"/>
            </w:tcBorders>
            <w:vAlign w:val="top"/>
          </w:tcPr>
          <w:p w14:paraId="1B7FB449">
            <w:pPr>
              <w:rPr>
                <w:rFonts w:ascii="Arial"/>
                <w:color w:val="auto"/>
                <w:sz w:val="21"/>
                <w:highlight w:val="none"/>
              </w:rPr>
            </w:pPr>
          </w:p>
        </w:tc>
      </w:tr>
      <w:tr w14:paraId="13D6B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2F51BDEE">
            <w:pPr>
              <w:spacing w:before="154" w:line="189" w:lineRule="auto"/>
              <w:ind w:left="15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272" w:type="dxa"/>
            <w:vAlign w:val="top"/>
          </w:tcPr>
          <w:p w14:paraId="42282351">
            <w:pPr>
              <w:rPr>
                <w:rFonts w:ascii="Arial"/>
                <w:color w:val="auto"/>
                <w:sz w:val="21"/>
                <w:highlight w:val="none"/>
              </w:rPr>
            </w:pPr>
          </w:p>
        </w:tc>
        <w:tc>
          <w:tcPr>
            <w:tcW w:w="825" w:type="dxa"/>
            <w:vAlign w:val="top"/>
          </w:tcPr>
          <w:p w14:paraId="552D5547">
            <w:pPr>
              <w:rPr>
                <w:rFonts w:ascii="Arial"/>
                <w:color w:val="auto"/>
                <w:sz w:val="21"/>
                <w:highlight w:val="none"/>
              </w:rPr>
            </w:pPr>
          </w:p>
        </w:tc>
        <w:tc>
          <w:tcPr>
            <w:tcW w:w="533" w:type="dxa"/>
            <w:vAlign w:val="top"/>
          </w:tcPr>
          <w:p w14:paraId="56BF81F1">
            <w:pPr>
              <w:rPr>
                <w:rFonts w:ascii="Arial"/>
                <w:color w:val="auto"/>
                <w:sz w:val="21"/>
                <w:highlight w:val="none"/>
              </w:rPr>
            </w:pPr>
          </w:p>
        </w:tc>
        <w:tc>
          <w:tcPr>
            <w:tcW w:w="749" w:type="dxa"/>
            <w:vAlign w:val="top"/>
          </w:tcPr>
          <w:p w14:paraId="2E48EA74">
            <w:pPr>
              <w:rPr>
                <w:rFonts w:ascii="Arial"/>
                <w:color w:val="auto"/>
                <w:sz w:val="21"/>
                <w:highlight w:val="none"/>
              </w:rPr>
            </w:pPr>
          </w:p>
        </w:tc>
        <w:tc>
          <w:tcPr>
            <w:tcW w:w="753" w:type="dxa"/>
            <w:vAlign w:val="top"/>
          </w:tcPr>
          <w:p w14:paraId="7726288F">
            <w:pPr>
              <w:rPr>
                <w:rFonts w:ascii="Arial"/>
                <w:color w:val="auto"/>
                <w:sz w:val="21"/>
                <w:highlight w:val="none"/>
              </w:rPr>
            </w:pPr>
          </w:p>
        </w:tc>
        <w:tc>
          <w:tcPr>
            <w:tcW w:w="965" w:type="dxa"/>
            <w:vAlign w:val="top"/>
          </w:tcPr>
          <w:p w14:paraId="00EA6C8A">
            <w:pPr>
              <w:rPr>
                <w:rFonts w:ascii="Arial"/>
                <w:color w:val="auto"/>
                <w:sz w:val="21"/>
                <w:highlight w:val="none"/>
              </w:rPr>
            </w:pPr>
          </w:p>
        </w:tc>
        <w:tc>
          <w:tcPr>
            <w:tcW w:w="1032" w:type="dxa"/>
            <w:vAlign w:val="top"/>
          </w:tcPr>
          <w:p w14:paraId="1BBA9A5B">
            <w:pPr>
              <w:rPr>
                <w:rFonts w:ascii="Arial"/>
                <w:color w:val="auto"/>
                <w:sz w:val="21"/>
                <w:highlight w:val="none"/>
              </w:rPr>
            </w:pPr>
          </w:p>
        </w:tc>
        <w:tc>
          <w:tcPr>
            <w:tcW w:w="855" w:type="dxa"/>
            <w:vAlign w:val="top"/>
          </w:tcPr>
          <w:p w14:paraId="4CED09B9">
            <w:pPr>
              <w:rPr>
                <w:rFonts w:ascii="Arial"/>
                <w:color w:val="auto"/>
                <w:sz w:val="21"/>
                <w:highlight w:val="none"/>
              </w:rPr>
            </w:pPr>
          </w:p>
        </w:tc>
        <w:tc>
          <w:tcPr>
            <w:tcW w:w="854" w:type="dxa"/>
            <w:vAlign w:val="top"/>
          </w:tcPr>
          <w:p w14:paraId="032251E2">
            <w:pPr>
              <w:rPr>
                <w:rFonts w:ascii="Arial"/>
                <w:color w:val="auto"/>
                <w:sz w:val="21"/>
                <w:highlight w:val="none"/>
              </w:rPr>
            </w:pPr>
          </w:p>
        </w:tc>
        <w:tc>
          <w:tcPr>
            <w:tcW w:w="854" w:type="dxa"/>
            <w:vAlign w:val="top"/>
          </w:tcPr>
          <w:p w14:paraId="171135B4">
            <w:pPr>
              <w:rPr>
                <w:rFonts w:ascii="Arial"/>
                <w:color w:val="auto"/>
                <w:sz w:val="21"/>
                <w:highlight w:val="none"/>
              </w:rPr>
            </w:pPr>
          </w:p>
        </w:tc>
        <w:tc>
          <w:tcPr>
            <w:tcW w:w="849" w:type="dxa"/>
            <w:vAlign w:val="top"/>
          </w:tcPr>
          <w:p w14:paraId="687653B6">
            <w:pPr>
              <w:rPr>
                <w:rFonts w:ascii="Arial"/>
                <w:color w:val="auto"/>
                <w:sz w:val="21"/>
                <w:highlight w:val="none"/>
              </w:rPr>
            </w:pPr>
          </w:p>
        </w:tc>
        <w:tc>
          <w:tcPr>
            <w:tcW w:w="850" w:type="dxa"/>
            <w:vAlign w:val="top"/>
          </w:tcPr>
          <w:p w14:paraId="34FF0F7D">
            <w:pPr>
              <w:rPr>
                <w:rFonts w:ascii="Arial"/>
                <w:color w:val="auto"/>
                <w:sz w:val="21"/>
                <w:highlight w:val="none"/>
              </w:rPr>
            </w:pPr>
          </w:p>
        </w:tc>
        <w:tc>
          <w:tcPr>
            <w:tcW w:w="854" w:type="dxa"/>
            <w:vAlign w:val="top"/>
          </w:tcPr>
          <w:p w14:paraId="24F66DDA">
            <w:pPr>
              <w:rPr>
                <w:rFonts w:ascii="Arial"/>
                <w:color w:val="auto"/>
                <w:sz w:val="21"/>
                <w:highlight w:val="none"/>
              </w:rPr>
            </w:pPr>
          </w:p>
        </w:tc>
        <w:tc>
          <w:tcPr>
            <w:tcW w:w="744" w:type="dxa"/>
            <w:vAlign w:val="top"/>
          </w:tcPr>
          <w:p w14:paraId="14161211">
            <w:pPr>
              <w:rPr>
                <w:rFonts w:ascii="Arial"/>
                <w:color w:val="auto"/>
                <w:sz w:val="21"/>
                <w:highlight w:val="none"/>
              </w:rPr>
            </w:pPr>
          </w:p>
        </w:tc>
        <w:tc>
          <w:tcPr>
            <w:tcW w:w="1128" w:type="dxa"/>
            <w:vAlign w:val="top"/>
          </w:tcPr>
          <w:p w14:paraId="089BCE3E">
            <w:pPr>
              <w:rPr>
                <w:rFonts w:ascii="Arial"/>
                <w:color w:val="auto"/>
                <w:sz w:val="21"/>
                <w:highlight w:val="none"/>
              </w:rPr>
            </w:pPr>
          </w:p>
        </w:tc>
        <w:tc>
          <w:tcPr>
            <w:tcW w:w="946" w:type="dxa"/>
            <w:vAlign w:val="top"/>
          </w:tcPr>
          <w:p w14:paraId="645E054A">
            <w:pPr>
              <w:rPr>
                <w:rFonts w:ascii="Arial"/>
                <w:color w:val="auto"/>
                <w:sz w:val="21"/>
                <w:highlight w:val="none"/>
              </w:rPr>
            </w:pPr>
          </w:p>
        </w:tc>
      </w:tr>
      <w:tr w14:paraId="19D95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512BC89E">
            <w:pPr>
              <w:spacing w:before="154" w:line="189" w:lineRule="auto"/>
              <w:ind w:left="13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272" w:type="dxa"/>
            <w:vAlign w:val="top"/>
          </w:tcPr>
          <w:p w14:paraId="43F64496">
            <w:pPr>
              <w:rPr>
                <w:rFonts w:ascii="Arial"/>
                <w:color w:val="auto"/>
                <w:sz w:val="21"/>
                <w:highlight w:val="none"/>
              </w:rPr>
            </w:pPr>
          </w:p>
        </w:tc>
        <w:tc>
          <w:tcPr>
            <w:tcW w:w="825" w:type="dxa"/>
            <w:vAlign w:val="top"/>
          </w:tcPr>
          <w:p w14:paraId="7D3B486A">
            <w:pPr>
              <w:rPr>
                <w:rFonts w:ascii="Arial"/>
                <w:color w:val="auto"/>
                <w:sz w:val="21"/>
                <w:highlight w:val="none"/>
              </w:rPr>
            </w:pPr>
          </w:p>
        </w:tc>
        <w:tc>
          <w:tcPr>
            <w:tcW w:w="533" w:type="dxa"/>
            <w:vAlign w:val="top"/>
          </w:tcPr>
          <w:p w14:paraId="61B64158">
            <w:pPr>
              <w:rPr>
                <w:rFonts w:ascii="Arial"/>
                <w:color w:val="auto"/>
                <w:sz w:val="21"/>
                <w:highlight w:val="none"/>
              </w:rPr>
            </w:pPr>
          </w:p>
        </w:tc>
        <w:tc>
          <w:tcPr>
            <w:tcW w:w="749" w:type="dxa"/>
            <w:vAlign w:val="top"/>
          </w:tcPr>
          <w:p w14:paraId="283A7844">
            <w:pPr>
              <w:rPr>
                <w:rFonts w:ascii="Arial"/>
                <w:color w:val="auto"/>
                <w:sz w:val="21"/>
                <w:highlight w:val="none"/>
              </w:rPr>
            </w:pPr>
          </w:p>
        </w:tc>
        <w:tc>
          <w:tcPr>
            <w:tcW w:w="753" w:type="dxa"/>
            <w:vAlign w:val="top"/>
          </w:tcPr>
          <w:p w14:paraId="2C173CAC">
            <w:pPr>
              <w:rPr>
                <w:rFonts w:ascii="Arial"/>
                <w:color w:val="auto"/>
                <w:sz w:val="21"/>
                <w:highlight w:val="none"/>
              </w:rPr>
            </w:pPr>
          </w:p>
        </w:tc>
        <w:tc>
          <w:tcPr>
            <w:tcW w:w="965" w:type="dxa"/>
            <w:vAlign w:val="top"/>
          </w:tcPr>
          <w:p w14:paraId="1D4A509A">
            <w:pPr>
              <w:rPr>
                <w:rFonts w:ascii="Arial"/>
                <w:color w:val="auto"/>
                <w:sz w:val="21"/>
                <w:highlight w:val="none"/>
              </w:rPr>
            </w:pPr>
          </w:p>
        </w:tc>
        <w:tc>
          <w:tcPr>
            <w:tcW w:w="1032" w:type="dxa"/>
            <w:vAlign w:val="top"/>
          </w:tcPr>
          <w:p w14:paraId="52E2D78E">
            <w:pPr>
              <w:rPr>
                <w:rFonts w:ascii="Arial"/>
                <w:color w:val="auto"/>
                <w:sz w:val="21"/>
                <w:highlight w:val="none"/>
              </w:rPr>
            </w:pPr>
          </w:p>
        </w:tc>
        <w:tc>
          <w:tcPr>
            <w:tcW w:w="855" w:type="dxa"/>
            <w:vAlign w:val="top"/>
          </w:tcPr>
          <w:p w14:paraId="66AC6662">
            <w:pPr>
              <w:rPr>
                <w:rFonts w:ascii="Arial"/>
                <w:color w:val="auto"/>
                <w:sz w:val="21"/>
                <w:highlight w:val="none"/>
              </w:rPr>
            </w:pPr>
          </w:p>
        </w:tc>
        <w:tc>
          <w:tcPr>
            <w:tcW w:w="854" w:type="dxa"/>
            <w:vAlign w:val="top"/>
          </w:tcPr>
          <w:p w14:paraId="4389BB4D">
            <w:pPr>
              <w:rPr>
                <w:rFonts w:ascii="Arial"/>
                <w:color w:val="auto"/>
                <w:sz w:val="21"/>
                <w:highlight w:val="none"/>
              </w:rPr>
            </w:pPr>
          </w:p>
        </w:tc>
        <w:tc>
          <w:tcPr>
            <w:tcW w:w="854" w:type="dxa"/>
            <w:vAlign w:val="top"/>
          </w:tcPr>
          <w:p w14:paraId="31F3E91A">
            <w:pPr>
              <w:rPr>
                <w:rFonts w:ascii="Arial"/>
                <w:color w:val="auto"/>
                <w:sz w:val="21"/>
                <w:highlight w:val="none"/>
              </w:rPr>
            </w:pPr>
          </w:p>
        </w:tc>
        <w:tc>
          <w:tcPr>
            <w:tcW w:w="849" w:type="dxa"/>
            <w:vAlign w:val="top"/>
          </w:tcPr>
          <w:p w14:paraId="3E7D73CA">
            <w:pPr>
              <w:rPr>
                <w:rFonts w:ascii="Arial"/>
                <w:color w:val="auto"/>
                <w:sz w:val="21"/>
                <w:highlight w:val="none"/>
              </w:rPr>
            </w:pPr>
          </w:p>
        </w:tc>
        <w:tc>
          <w:tcPr>
            <w:tcW w:w="850" w:type="dxa"/>
            <w:vAlign w:val="top"/>
          </w:tcPr>
          <w:p w14:paraId="7852AC35">
            <w:pPr>
              <w:rPr>
                <w:rFonts w:ascii="Arial"/>
                <w:color w:val="auto"/>
                <w:sz w:val="21"/>
                <w:highlight w:val="none"/>
              </w:rPr>
            </w:pPr>
          </w:p>
        </w:tc>
        <w:tc>
          <w:tcPr>
            <w:tcW w:w="854" w:type="dxa"/>
            <w:vAlign w:val="top"/>
          </w:tcPr>
          <w:p w14:paraId="1BCF8905">
            <w:pPr>
              <w:rPr>
                <w:rFonts w:ascii="Arial"/>
                <w:color w:val="auto"/>
                <w:sz w:val="21"/>
                <w:highlight w:val="none"/>
              </w:rPr>
            </w:pPr>
          </w:p>
        </w:tc>
        <w:tc>
          <w:tcPr>
            <w:tcW w:w="744" w:type="dxa"/>
            <w:vAlign w:val="top"/>
          </w:tcPr>
          <w:p w14:paraId="681C600C">
            <w:pPr>
              <w:rPr>
                <w:rFonts w:ascii="Arial"/>
                <w:color w:val="auto"/>
                <w:sz w:val="21"/>
                <w:highlight w:val="none"/>
              </w:rPr>
            </w:pPr>
          </w:p>
        </w:tc>
        <w:tc>
          <w:tcPr>
            <w:tcW w:w="1128" w:type="dxa"/>
            <w:vAlign w:val="top"/>
          </w:tcPr>
          <w:p w14:paraId="596B676C">
            <w:pPr>
              <w:rPr>
                <w:rFonts w:ascii="Arial"/>
                <w:color w:val="auto"/>
                <w:sz w:val="21"/>
                <w:highlight w:val="none"/>
              </w:rPr>
            </w:pPr>
          </w:p>
        </w:tc>
        <w:tc>
          <w:tcPr>
            <w:tcW w:w="946" w:type="dxa"/>
            <w:vAlign w:val="top"/>
          </w:tcPr>
          <w:p w14:paraId="15EF590A">
            <w:pPr>
              <w:rPr>
                <w:rFonts w:ascii="Arial"/>
                <w:color w:val="auto"/>
                <w:sz w:val="21"/>
                <w:highlight w:val="none"/>
              </w:rPr>
            </w:pPr>
          </w:p>
        </w:tc>
      </w:tr>
      <w:tr w14:paraId="3AE2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379864B3">
            <w:pPr>
              <w:spacing w:before="154" w:line="189"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272" w:type="dxa"/>
            <w:vAlign w:val="top"/>
          </w:tcPr>
          <w:p w14:paraId="109C161E">
            <w:pPr>
              <w:rPr>
                <w:rFonts w:ascii="Arial"/>
                <w:color w:val="auto"/>
                <w:sz w:val="21"/>
                <w:highlight w:val="none"/>
              </w:rPr>
            </w:pPr>
          </w:p>
        </w:tc>
        <w:tc>
          <w:tcPr>
            <w:tcW w:w="825" w:type="dxa"/>
            <w:vAlign w:val="top"/>
          </w:tcPr>
          <w:p w14:paraId="354ECFE8">
            <w:pPr>
              <w:rPr>
                <w:rFonts w:ascii="Arial"/>
                <w:color w:val="auto"/>
                <w:sz w:val="21"/>
                <w:highlight w:val="none"/>
              </w:rPr>
            </w:pPr>
          </w:p>
        </w:tc>
        <w:tc>
          <w:tcPr>
            <w:tcW w:w="533" w:type="dxa"/>
            <w:vAlign w:val="top"/>
          </w:tcPr>
          <w:p w14:paraId="32D602EC">
            <w:pPr>
              <w:rPr>
                <w:rFonts w:ascii="Arial"/>
                <w:color w:val="auto"/>
                <w:sz w:val="21"/>
                <w:highlight w:val="none"/>
              </w:rPr>
            </w:pPr>
          </w:p>
        </w:tc>
        <w:tc>
          <w:tcPr>
            <w:tcW w:w="749" w:type="dxa"/>
            <w:vAlign w:val="top"/>
          </w:tcPr>
          <w:p w14:paraId="4A0F9082">
            <w:pPr>
              <w:rPr>
                <w:rFonts w:ascii="Arial"/>
                <w:color w:val="auto"/>
                <w:sz w:val="21"/>
                <w:highlight w:val="none"/>
              </w:rPr>
            </w:pPr>
          </w:p>
        </w:tc>
        <w:tc>
          <w:tcPr>
            <w:tcW w:w="753" w:type="dxa"/>
            <w:vAlign w:val="top"/>
          </w:tcPr>
          <w:p w14:paraId="3DC204C3">
            <w:pPr>
              <w:rPr>
                <w:rFonts w:ascii="Arial"/>
                <w:color w:val="auto"/>
                <w:sz w:val="21"/>
                <w:highlight w:val="none"/>
              </w:rPr>
            </w:pPr>
          </w:p>
        </w:tc>
        <w:tc>
          <w:tcPr>
            <w:tcW w:w="965" w:type="dxa"/>
            <w:vAlign w:val="top"/>
          </w:tcPr>
          <w:p w14:paraId="4721FCEC">
            <w:pPr>
              <w:rPr>
                <w:rFonts w:ascii="Arial"/>
                <w:color w:val="auto"/>
                <w:sz w:val="21"/>
                <w:highlight w:val="none"/>
              </w:rPr>
            </w:pPr>
          </w:p>
        </w:tc>
        <w:tc>
          <w:tcPr>
            <w:tcW w:w="1032" w:type="dxa"/>
            <w:vAlign w:val="top"/>
          </w:tcPr>
          <w:p w14:paraId="2B019806">
            <w:pPr>
              <w:rPr>
                <w:rFonts w:ascii="Arial"/>
                <w:color w:val="auto"/>
                <w:sz w:val="21"/>
                <w:highlight w:val="none"/>
              </w:rPr>
            </w:pPr>
          </w:p>
        </w:tc>
        <w:tc>
          <w:tcPr>
            <w:tcW w:w="855" w:type="dxa"/>
            <w:vAlign w:val="top"/>
          </w:tcPr>
          <w:p w14:paraId="53AC684B">
            <w:pPr>
              <w:rPr>
                <w:rFonts w:ascii="Arial"/>
                <w:color w:val="auto"/>
                <w:sz w:val="21"/>
                <w:highlight w:val="none"/>
              </w:rPr>
            </w:pPr>
          </w:p>
        </w:tc>
        <w:tc>
          <w:tcPr>
            <w:tcW w:w="854" w:type="dxa"/>
            <w:vAlign w:val="top"/>
          </w:tcPr>
          <w:p w14:paraId="63BB2820">
            <w:pPr>
              <w:rPr>
                <w:rFonts w:ascii="Arial"/>
                <w:color w:val="auto"/>
                <w:sz w:val="21"/>
                <w:highlight w:val="none"/>
              </w:rPr>
            </w:pPr>
          </w:p>
        </w:tc>
        <w:tc>
          <w:tcPr>
            <w:tcW w:w="854" w:type="dxa"/>
            <w:vAlign w:val="top"/>
          </w:tcPr>
          <w:p w14:paraId="690582A9">
            <w:pPr>
              <w:rPr>
                <w:rFonts w:ascii="Arial"/>
                <w:color w:val="auto"/>
                <w:sz w:val="21"/>
                <w:highlight w:val="none"/>
              </w:rPr>
            </w:pPr>
          </w:p>
        </w:tc>
        <w:tc>
          <w:tcPr>
            <w:tcW w:w="849" w:type="dxa"/>
            <w:vAlign w:val="top"/>
          </w:tcPr>
          <w:p w14:paraId="265C6D4A">
            <w:pPr>
              <w:rPr>
                <w:rFonts w:ascii="Arial"/>
                <w:color w:val="auto"/>
                <w:sz w:val="21"/>
                <w:highlight w:val="none"/>
              </w:rPr>
            </w:pPr>
          </w:p>
        </w:tc>
        <w:tc>
          <w:tcPr>
            <w:tcW w:w="850" w:type="dxa"/>
            <w:vAlign w:val="top"/>
          </w:tcPr>
          <w:p w14:paraId="1D364FA7">
            <w:pPr>
              <w:rPr>
                <w:rFonts w:ascii="Arial"/>
                <w:color w:val="auto"/>
                <w:sz w:val="21"/>
                <w:highlight w:val="none"/>
              </w:rPr>
            </w:pPr>
          </w:p>
        </w:tc>
        <w:tc>
          <w:tcPr>
            <w:tcW w:w="854" w:type="dxa"/>
            <w:vAlign w:val="top"/>
          </w:tcPr>
          <w:p w14:paraId="5D0D98D5">
            <w:pPr>
              <w:rPr>
                <w:rFonts w:ascii="Arial"/>
                <w:color w:val="auto"/>
                <w:sz w:val="21"/>
                <w:highlight w:val="none"/>
              </w:rPr>
            </w:pPr>
          </w:p>
        </w:tc>
        <w:tc>
          <w:tcPr>
            <w:tcW w:w="744" w:type="dxa"/>
            <w:vAlign w:val="top"/>
          </w:tcPr>
          <w:p w14:paraId="0B867704">
            <w:pPr>
              <w:rPr>
                <w:rFonts w:ascii="Arial"/>
                <w:color w:val="auto"/>
                <w:sz w:val="21"/>
                <w:highlight w:val="none"/>
              </w:rPr>
            </w:pPr>
          </w:p>
        </w:tc>
        <w:tc>
          <w:tcPr>
            <w:tcW w:w="1128" w:type="dxa"/>
            <w:vAlign w:val="top"/>
          </w:tcPr>
          <w:p w14:paraId="2B9BFB4C">
            <w:pPr>
              <w:rPr>
                <w:rFonts w:ascii="Arial"/>
                <w:color w:val="auto"/>
                <w:sz w:val="21"/>
                <w:highlight w:val="none"/>
              </w:rPr>
            </w:pPr>
          </w:p>
        </w:tc>
        <w:tc>
          <w:tcPr>
            <w:tcW w:w="946" w:type="dxa"/>
            <w:vAlign w:val="top"/>
          </w:tcPr>
          <w:p w14:paraId="5A4428C4">
            <w:pPr>
              <w:rPr>
                <w:rFonts w:ascii="Arial"/>
                <w:color w:val="auto"/>
                <w:sz w:val="21"/>
                <w:highlight w:val="none"/>
              </w:rPr>
            </w:pPr>
          </w:p>
        </w:tc>
      </w:tr>
      <w:tr w14:paraId="09F93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11542EA9">
            <w:pPr>
              <w:spacing w:before="159" w:line="189" w:lineRule="auto"/>
              <w:ind w:left="13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4</w:t>
            </w:r>
          </w:p>
        </w:tc>
        <w:tc>
          <w:tcPr>
            <w:tcW w:w="1272" w:type="dxa"/>
            <w:vAlign w:val="top"/>
          </w:tcPr>
          <w:p w14:paraId="4990888F">
            <w:pPr>
              <w:rPr>
                <w:rFonts w:ascii="Arial"/>
                <w:color w:val="auto"/>
                <w:sz w:val="21"/>
                <w:highlight w:val="none"/>
              </w:rPr>
            </w:pPr>
          </w:p>
        </w:tc>
        <w:tc>
          <w:tcPr>
            <w:tcW w:w="825" w:type="dxa"/>
            <w:vAlign w:val="top"/>
          </w:tcPr>
          <w:p w14:paraId="70960ABD">
            <w:pPr>
              <w:rPr>
                <w:rFonts w:ascii="Arial"/>
                <w:color w:val="auto"/>
                <w:sz w:val="21"/>
                <w:highlight w:val="none"/>
              </w:rPr>
            </w:pPr>
          </w:p>
        </w:tc>
        <w:tc>
          <w:tcPr>
            <w:tcW w:w="533" w:type="dxa"/>
            <w:vAlign w:val="top"/>
          </w:tcPr>
          <w:p w14:paraId="7FCA7E3A">
            <w:pPr>
              <w:rPr>
                <w:rFonts w:ascii="Arial"/>
                <w:color w:val="auto"/>
                <w:sz w:val="21"/>
                <w:highlight w:val="none"/>
              </w:rPr>
            </w:pPr>
          </w:p>
        </w:tc>
        <w:tc>
          <w:tcPr>
            <w:tcW w:w="749" w:type="dxa"/>
            <w:vAlign w:val="top"/>
          </w:tcPr>
          <w:p w14:paraId="4AA5E37E">
            <w:pPr>
              <w:rPr>
                <w:rFonts w:ascii="Arial"/>
                <w:color w:val="auto"/>
                <w:sz w:val="21"/>
                <w:highlight w:val="none"/>
              </w:rPr>
            </w:pPr>
          </w:p>
        </w:tc>
        <w:tc>
          <w:tcPr>
            <w:tcW w:w="753" w:type="dxa"/>
            <w:vAlign w:val="top"/>
          </w:tcPr>
          <w:p w14:paraId="55ACCBFD">
            <w:pPr>
              <w:rPr>
                <w:rFonts w:ascii="Arial"/>
                <w:color w:val="auto"/>
                <w:sz w:val="21"/>
                <w:highlight w:val="none"/>
              </w:rPr>
            </w:pPr>
          </w:p>
        </w:tc>
        <w:tc>
          <w:tcPr>
            <w:tcW w:w="965" w:type="dxa"/>
            <w:vAlign w:val="top"/>
          </w:tcPr>
          <w:p w14:paraId="64A1237F">
            <w:pPr>
              <w:rPr>
                <w:rFonts w:ascii="Arial"/>
                <w:color w:val="auto"/>
                <w:sz w:val="21"/>
                <w:highlight w:val="none"/>
              </w:rPr>
            </w:pPr>
          </w:p>
        </w:tc>
        <w:tc>
          <w:tcPr>
            <w:tcW w:w="1032" w:type="dxa"/>
            <w:vAlign w:val="top"/>
          </w:tcPr>
          <w:p w14:paraId="6CAE9789">
            <w:pPr>
              <w:rPr>
                <w:rFonts w:ascii="Arial"/>
                <w:color w:val="auto"/>
                <w:sz w:val="21"/>
                <w:highlight w:val="none"/>
              </w:rPr>
            </w:pPr>
          </w:p>
        </w:tc>
        <w:tc>
          <w:tcPr>
            <w:tcW w:w="855" w:type="dxa"/>
            <w:vAlign w:val="top"/>
          </w:tcPr>
          <w:p w14:paraId="0B4E0845">
            <w:pPr>
              <w:rPr>
                <w:rFonts w:ascii="Arial"/>
                <w:color w:val="auto"/>
                <w:sz w:val="21"/>
                <w:highlight w:val="none"/>
              </w:rPr>
            </w:pPr>
          </w:p>
        </w:tc>
        <w:tc>
          <w:tcPr>
            <w:tcW w:w="854" w:type="dxa"/>
            <w:vAlign w:val="top"/>
          </w:tcPr>
          <w:p w14:paraId="252F1E54">
            <w:pPr>
              <w:rPr>
                <w:rFonts w:ascii="Arial"/>
                <w:color w:val="auto"/>
                <w:sz w:val="21"/>
                <w:highlight w:val="none"/>
              </w:rPr>
            </w:pPr>
          </w:p>
        </w:tc>
        <w:tc>
          <w:tcPr>
            <w:tcW w:w="854" w:type="dxa"/>
            <w:vAlign w:val="top"/>
          </w:tcPr>
          <w:p w14:paraId="12AC617A">
            <w:pPr>
              <w:rPr>
                <w:rFonts w:ascii="Arial"/>
                <w:color w:val="auto"/>
                <w:sz w:val="21"/>
                <w:highlight w:val="none"/>
              </w:rPr>
            </w:pPr>
          </w:p>
        </w:tc>
        <w:tc>
          <w:tcPr>
            <w:tcW w:w="849" w:type="dxa"/>
            <w:vAlign w:val="top"/>
          </w:tcPr>
          <w:p w14:paraId="4954CB17">
            <w:pPr>
              <w:rPr>
                <w:rFonts w:ascii="Arial"/>
                <w:color w:val="auto"/>
                <w:sz w:val="21"/>
                <w:highlight w:val="none"/>
              </w:rPr>
            </w:pPr>
          </w:p>
        </w:tc>
        <w:tc>
          <w:tcPr>
            <w:tcW w:w="850" w:type="dxa"/>
            <w:vAlign w:val="top"/>
          </w:tcPr>
          <w:p w14:paraId="58927B33">
            <w:pPr>
              <w:rPr>
                <w:rFonts w:ascii="Arial"/>
                <w:color w:val="auto"/>
                <w:sz w:val="21"/>
                <w:highlight w:val="none"/>
              </w:rPr>
            </w:pPr>
          </w:p>
        </w:tc>
        <w:tc>
          <w:tcPr>
            <w:tcW w:w="854" w:type="dxa"/>
            <w:vAlign w:val="top"/>
          </w:tcPr>
          <w:p w14:paraId="6CBB2B6F">
            <w:pPr>
              <w:rPr>
                <w:rFonts w:ascii="Arial"/>
                <w:color w:val="auto"/>
                <w:sz w:val="21"/>
                <w:highlight w:val="none"/>
              </w:rPr>
            </w:pPr>
          </w:p>
        </w:tc>
        <w:tc>
          <w:tcPr>
            <w:tcW w:w="744" w:type="dxa"/>
            <w:vAlign w:val="top"/>
          </w:tcPr>
          <w:p w14:paraId="15045A11">
            <w:pPr>
              <w:rPr>
                <w:rFonts w:ascii="Arial"/>
                <w:color w:val="auto"/>
                <w:sz w:val="21"/>
                <w:highlight w:val="none"/>
              </w:rPr>
            </w:pPr>
          </w:p>
        </w:tc>
        <w:tc>
          <w:tcPr>
            <w:tcW w:w="1128" w:type="dxa"/>
            <w:vAlign w:val="top"/>
          </w:tcPr>
          <w:p w14:paraId="65EAF933">
            <w:pPr>
              <w:rPr>
                <w:rFonts w:ascii="Arial"/>
                <w:color w:val="auto"/>
                <w:sz w:val="21"/>
                <w:highlight w:val="none"/>
              </w:rPr>
            </w:pPr>
          </w:p>
        </w:tc>
        <w:tc>
          <w:tcPr>
            <w:tcW w:w="946" w:type="dxa"/>
            <w:vAlign w:val="top"/>
          </w:tcPr>
          <w:p w14:paraId="07DC0FC8">
            <w:pPr>
              <w:rPr>
                <w:rFonts w:ascii="Arial"/>
                <w:color w:val="auto"/>
                <w:sz w:val="21"/>
                <w:highlight w:val="none"/>
              </w:rPr>
            </w:pPr>
          </w:p>
        </w:tc>
      </w:tr>
      <w:tr w14:paraId="4BFFA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379" w:type="dxa"/>
            <w:vAlign w:val="top"/>
          </w:tcPr>
          <w:p w14:paraId="7DD6A447">
            <w:pPr>
              <w:spacing w:before="157" w:line="186" w:lineRule="auto"/>
              <w:ind w:left="14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272" w:type="dxa"/>
            <w:vAlign w:val="top"/>
          </w:tcPr>
          <w:p w14:paraId="5DD74CD3">
            <w:pPr>
              <w:rPr>
                <w:rFonts w:ascii="Arial"/>
                <w:color w:val="auto"/>
                <w:sz w:val="21"/>
                <w:highlight w:val="none"/>
              </w:rPr>
            </w:pPr>
          </w:p>
        </w:tc>
        <w:tc>
          <w:tcPr>
            <w:tcW w:w="825" w:type="dxa"/>
            <w:vAlign w:val="top"/>
          </w:tcPr>
          <w:p w14:paraId="50852413">
            <w:pPr>
              <w:rPr>
                <w:rFonts w:ascii="Arial"/>
                <w:color w:val="auto"/>
                <w:sz w:val="21"/>
                <w:highlight w:val="none"/>
              </w:rPr>
            </w:pPr>
          </w:p>
        </w:tc>
        <w:tc>
          <w:tcPr>
            <w:tcW w:w="533" w:type="dxa"/>
            <w:vAlign w:val="top"/>
          </w:tcPr>
          <w:p w14:paraId="13A6DD0B">
            <w:pPr>
              <w:rPr>
                <w:rFonts w:ascii="Arial"/>
                <w:color w:val="auto"/>
                <w:sz w:val="21"/>
                <w:highlight w:val="none"/>
              </w:rPr>
            </w:pPr>
          </w:p>
        </w:tc>
        <w:tc>
          <w:tcPr>
            <w:tcW w:w="749" w:type="dxa"/>
            <w:vAlign w:val="top"/>
          </w:tcPr>
          <w:p w14:paraId="0B2FAAF9">
            <w:pPr>
              <w:rPr>
                <w:rFonts w:ascii="Arial"/>
                <w:color w:val="auto"/>
                <w:sz w:val="21"/>
                <w:highlight w:val="none"/>
              </w:rPr>
            </w:pPr>
          </w:p>
        </w:tc>
        <w:tc>
          <w:tcPr>
            <w:tcW w:w="753" w:type="dxa"/>
            <w:vAlign w:val="top"/>
          </w:tcPr>
          <w:p w14:paraId="32AABB09">
            <w:pPr>
              <w:rPr>
                <w:rFonts w:ascii="Arial"/>
                <w:color w:val="auto"/>
                <w:sz w:val="21"/>
                <w:highlight w:val="none"/>
              </w:rPr>
            </w:pPr>
          </w:p>
        </w:tc>
        <w:tc>
          <w:tcPr>
            <w:tcW w:w="965" w:type="dxa"/>
            <w:vAlign w:val="top"/>
          </w:tcPr>
          <w:p w14:paraId="6E0DCCDE">
            <w:pPr>
              <w:rPr>
                <w:rFonts w:ascii="Arial"/>
                <w:color w:val="auto"/>
                <w:sz w:val="21"/>
                <w:highlight w:val="none"/>
              </w:rPr>
            </w:pPr>
          </w:p>
        </w:tc>
        <w:tc>
          <w:tcPr>
            <w:tcW w:w="1032" w:type="dxa"/>
            <w:vAlign w:val="top"/>
          </w:tcPr>
          <w:p w14:paraId="0B3CD951">
            <w:pPr>
              <w:rPr>
                <w:rFonts w:ascii="Arial"/>
                <w:color w:val="auto"/>
                <w:sz w:val="21"/>
                <w:highlight w:val="none"/>
              </w:rPr>
            </w:pPr>
          </w:p>
        </w:tc>
        <w:tc>
          <w:tcPr>
            <w:tcW w:w="855" w:type="dxa"/>
            <w:vAlign w:val="top"/>
          </w:tcPr>
          <w:p w14:paraId="1F3EA5BE">
            <w:pPr>
              <w:rPr>
                <w:rFonts w:ascii="Arial"/>
                <w:color w:val="auto"/>
                <w:sz w:val="21"/>
                <w:highlight w:val="none"/>
              </w:rPr>
            </w:pPr>
          </w:p>
        </w:tc>
        <w:tc>
          <w:tcPr>
            <w:tcW w:w="854" w:type="dxa"/>
            <w:vAlign w:val="top"/>
          </w:tcPr>
          <w:p w14:paraId="35DC68D0">
            <w:pPr>
              <w:rPr>
                <w:rFonts w:ascii="Arial"/>
                <w:color w:val="auto"/>
                <w:sz w:val="21"/>
                <w:highlight w:val="none"/>
              </w:rPr>
            </w:pPr>
          </w:p>
        </w:tc>
        <w:tc>
          <w:tcPr>
            <w:tcW w:w="854" w:type="dxa"/>
            <w:vAlign w:val="top"/>
          </w:tcPr>
          <w:p w14:paraId="4BC6E87B">
            <w:pPr>
              <w:rPr>
                <w:rFonts w:ascii="Arial"/>
                <w:color w:val="auto"/>
                <w:sz w:val="21"/>
                <w:highlight w:val="none"/>
              </w:rPr>
            </w:pPr>
          </w:p>
        </w:tc>
        <w:tc>
          <w:tcPr>
            <w:tcW w:w="849" w:type="dxa"/>
            <w:vAlign w:val="top"/>
          </w:tcPr>
          <w:p w14:paraId="55CF6982">
            <w:pPr>
              <w:rPr>
                <w:rFonts w:ascii="Arial"/>
                <w:color w:val="auto"/>
                <w:sz w:val="21"/>
                <w:highlight w:val="none"/>
              </w:rPr>
            </w:pPr>
          </w:p>
        </w:tc>
        <w:tc>
          <w:tcPr>
            <w:tcW w:w="850" w:type="dxa"/>
            <w:vAlign w:val="top"/>
          </w:tcPr>
          <w:p w14:paraId="17F78232">
            <w:pPr>
              <w:rPr>
                <w:rFonts w:ascii="Arial"/>
                <w:color w:val="auto"/>
                <w:sz w:val="21"/>
                <w:highlight w:val="none"/>
              </w:rPr>
            </w:pPr>
          </w:p>
        </w:tc>
        <w:tc>
          <w:tcPr>
            <w:tcW w:w="854" w:type="dxa"/>
            <w:vAlign w:val="top"/>
          </w:tcPr>
          <w:p w14:paraId="18209591">
            <w:pPr>
              <w:rPr>
                <w:rFonts w:ascii="Arial"/>
                <w:color w:val="auto"/>
                <w:sz w:val="21"/>
                <w:highlight w:val="none"/>
              </w:rPr>
            </w:pPr>
          </w:p>
        </w:tc>
        <w:tc>
          <w:tcPr>
            <w:tcW w:w="744" w:type="dxa"/>
            <w:vAlign w:val="top"/>
          </w:tcPr>
          <w:p w14:paraId="7BF9DC1E">
            <w:pPr>
              <w:rPr>
                <w:rFonts w:ascii="Arial"/>
                <w:color w:val="auto"/>
                <w:sz w:val="21"/>
                <w:highlight w:val="none"/>
              </w:rPr>
            </w:pPr>
          </w:p>
        </w:tc>
        <w:tc>
          <w:tcPr>
            <w:tcW w:w="1128" w:type="dxa"/>
            <w:vAlign w:val="top"/>
          </w:tcPr>
          <w:p w14:paraId="44948129">
            <w:pPr>
              <w:rPr>
                <w:rFonts w:ascii="Arial"/>
                <w:color w:val="auto"/>
                <w:sz w:val="21"/>
                <w:highlight w:val="none"/>
              </w:rPr>
            </w:pPr>
          </w:p>
        </w:tc>
        <w:tc>
          <w:tcPr>
            <w:tcW w:w="946" w:type="dxa"/>
            <w:vAlign w:val="top"/>
          </w:tcPr>
          <w:p w14:paraId="3276239A">
            <w:pPr>
              <w:rPr>
                <w:rFonts w:ascii="Arial"/>
                <w:color w:val="auto"/>
                <w:sz w:val="21"/>
                <w:highlight w:val="none"/>
              </w:rPr>
            </w:pPr>
          </w:p>
        </w:tc>
      </w:tr>
      <w:tr w14:paraId="35E60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7E53278A">
            <w:pPr>
              <w:spacing w:before="154" w:line="189" w:lineRule="auto"/>
              <w:ind w:left="14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1272" w:type="dxa"/>
            <w:vAlign w:val="top"/>
          </w:tcPr>
          <w:p w14:paraId="6945F973">
            <w:pPr>
              <w:rPr>
                <w:rFonts w:ascii="Arial"/>
                <w:color w:val="auto"/>
                <w:sz w:val="21"/>
                <w:highlight w:val="none"/>
              </w:rPr>
            </w:pPr>
          </w:p>
        </w:tc>
        <w:tc>
          <w:tcPr>
            <w:tcW w:w="825" w:type="dxa"/>
            <w:vAlign w:val="top"/>
          </w:tcPr>
          <w:p w14:paraId="33B0BF3C">
            <w:pPr>
              <w:rPr>
                <w:rFonts w:ascii="Arial"/>
                <w:color w:val="auto"/>
                <w:sz w:val="21"/>
                <w:highlight w:val="none"/>
              </w:rPr>
            </w:pPr>
          </w:p>
        </w:tc>
        <w:tc>
          <w:tcPr>
            <w:tcW w:w="533" w:type="dxa"/>
            <w:vAlign w:val="top"/>
          </w:tcPr>
          <w:p w14:paraId="6769EB23">
            <w:pPr>
              <w:rPr>
                <w:rFonts w:ascii="Arial"/>
                <w:color w:val="auto"/>
                <w:sz w:val="21"/>
                <w:highlight w:val="none"/>
              </w:rPr>
            </w:pPr>
          </w:p>
        </w:tc>
        <w:tc>
          <w:tcPr>
            <w:tcW w:w="749" w:type="dxa"/>
            <w:vAlign w:val="top"/>
          </w:tcPr>
          <w:p w14:paraId="10BA2A2A">
            <w:pPr>
              <w:rPr>
                <w:rFonts w:ascii="Arial"/>
                <w:color w:val="auto"/>
                <w:sz w:val="21"/>
                <w:highlight w:val="none"/>
              </w:rPr>
            </w:pPr>
          </w:p>
        </w:tc>
        <w:tc>
          <w:tcPr>
            <w:tcW w:w="753" w:type="dxa"/>
            <w:vAlign w:val="top"/>
          </w:tcPr>
          <w:p w14:paraId="4DDD53A7">
            <w:pPr>
              <w:rPr>
                <w:rFonts w:ascii="Arial"/>
                <w:color w:val="auto"/>
                <w:sz w:val="21"/>
                <w:highlight w:val="none"/>
              </w:rPr>
            </w:pPr>
          </w:p>
        </w:tc>
        <w:tc>
          <w:tcPr>
            <w:tcW w:w="965" w:type="dxa"/>
            <w:vAlign w:val="top"/>
          </w:tcPr>
          <w:p w14:paraId="01285E23">
            <w:pPr>
              <w:rPr>
                <w:rFonts w:ascii="Arial"/>
                <w:color w:val="auto"/>
                <w:sz w:val="21"/>
                <w:highlight w:val="none"/>
              </w:rPr>
            </w:pPr>
          </w:p>
        </w:tc>
        <w:tc>
          <w:tcPr>
            <w:tcW w:w="1032" w:type="dxa"/>
            <w:vAlign w:val="top"/>
          </w:tcPr>
          <w:p w14:paraId="79A065E1">
            <w:pPr>
              <w:rPr>
                <w:rFonts w:ascii="Arial"/>
                <w:color w:val="auto"/>
                <w:sz w:val="21"/>
                <w:highlight w:val="none"/>
              </w:rPr>
            </w:pPr>
          </w:p>
        </w:tc>
        <w:tc>
          <w:tcPr>
            <w:tcW w:w="855" w:type="dxa"/>
            <w:vAlign w:val="top"/>
          </w:tcPr>
          <w:p w14:paraId="17BE8BC2">
            <w:pPr>
              <w:rPr>
                <w:rFonts w:ascii="Arial"/>
                <w:color w:val="auto"/>
                <w:sz w:val="21"/>
                <w:highlight w:val="none"/>
              </w:rPr>
            </w:pPr>
          </w:p>
        </w:tc>
        <w:tc>
          <w:tcPr>
            <w:tcW w:w="854" w:type="dxa"/>
            <w:vAlign w:val="top"/>
          </w:tcPr>
          <w:p w14:paraId="2100F60F">
            <w:pPr>
              <w:rPr>
                <w:rFonts w:ascii="Arial"/>
                <w:color w:val="auto"/>
                <w:sz w:val="21"/>
                <w:highlight w:val="none"/>
              </w:rPr>
            </w:pPr>
          </w:p>
        </w:tc>
        <w:tc>
          <w:tcPr>
            <w:tcW w:w="854" w:type="dxa"/>
            <w:vAlign w:val="top"/>
          </w:tcPr>
          <w:p w14:paraId="644E3BF8">
            <w:pPr>
              <w:rPr>
                <w:rFonts w:ascii="Arial"/>
                <w:color w:val="auto"/>
                <w:sz w:val="21"/>
                <w:highlight w:val="none"/>
              </w:rPr>
            </w:pPr>
          </w:p>
        </w:tc>
        <w:tc>
          <w:tcPr>
            <w:tcW w:w="849" w:type="dxa"/>
            <w:vAlign w:val="top"/>
          </w:tcPr>
          <w:p w14:paraId="586B46B0">
            <w:pPr>
              <w:rPr>
                <w:rFonts w:ascii="Arial"/>
                <w:color w:val="auto"/>
                <w:sz w:val="21"/>
                <w:highlight w:val="none"/>
              </w:rPr>
            </w:pPr>
          </w:p>
        </w:tc>
        <w:tc>
          <w:tcPr>
            <w:tcW w:w="850" w:type="dxa"/>
            <w:vAlign w:val="top"/>
          </w:tcPr>
          <w:p w14:paraId="36C7169C">
            <w:pPr>
              <w:rPr>
                <w:rFonts w:ascii="Arial"/>
                <w:color w:val="auto"/>
                <w:sz w:val="21"/>
                <w:highlight w:val="none"/>
              </w:rPr>
            </w:pPr>
          </w:p>
        </w:tc>
        <w:tc>
          <w:tcPr>
            <w:tcW w:w="854" w:type="dxa"/>
            <w:vAlign w:val="top"/>
          </w:tcPr>
          <w:p w14:paraId="44EBBCA8">
            <w:pPr>
              <w:rPr>
                <w:rFonts w:ascii="Arial"/>
                <w:color w:val="auto"/>
                <w:sz w:val="21"/>
                <w:highlight w:val="none"/>
              </w:rPr>
            </w:pPr>
          </w:p>
        </w:tc>
        <w:tc>
          <w:tcPr>
            <w:tcW w:w="744" w:type="dxa"/>
            <w:vAlign w:val="top"/>
          </w:tcPr>
          <w:p w14:paraId="7F1D3C83">
            <w:pPr>
              <w:rPr>
                <w:rFonts w:ascii="Arial"/>
                <w:color w:val="auto"/>
                <w:sz w:val="21"/>
                <w:highlight w:val="none"/>
              </w:rPr>
            </w:pPr>
          </w:p>
        </w:tc>
        <w:tc>
          <w:tcPr>
            <w:tcW w:w="1128" w:type="dxa"/>
            <w:vAlign w:val="top"/>
          </w:tcPr>
          <w:p w14:paraId="3011F85A">
            <w:pPr>
              <w:rPr>
                <w:rFonts w:ascii="Arial"/>
                <w:color w:val="auto"/>
                <w:sz w:val="21"/>
                <w:highlight w:val="none"/>
              </w:rPr>
            </w:pPr>
          </w:p>
        </w:tc>
        <w:tc>
          <w:tcPr>
            <w:tcW w:w="946" w:type="dxa"/>
            <w:vAlign w:val="top"/>
          </w:tcPr>
          <w:p w14:paraId="1FE8BA71">
            <w:pPr>
              <w:rPr>
                <w:rFonts w:ascii="Arial"/>
                <w:color w:val="auto"/>
                <w:sz w:val="21"/>
                <w:highlight w:val="none"/>
              </w:rPr>
            </w:pPr>
          </w:p>
        </w:tc>
      </w:tr>
      <w:tr w14:paraId="5BFF0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14:paraId="01E18647">
            <w:pPr>
              <w:spacing w:before="158" w:line="186"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1272" w:type="dxa"/>
            <w:vAlign w:val="top"/>
          </w:tcPr>
          <w:p w14:paraId="7D080B58">
            <w:pPr>
              <w:rPr>
                <w:rFonts w:ascii="Arial"/>
                <w:color w:val="auto"/>
                <w:sz w:val="21"/>
                <w:highlight w:val="none"/>
              </w:rPr>
            </w:pPr>
          </w:p>
        </w:tc>
        <w:tc>
          <w:tcPr>
            <w:tcW w:w="825" w:type="dxa"/>
            <w:vAlign w:val="top"/>
          </w:tcPr>
          <w:p w14:paraId="0A840C5F">
            <w:pPr>
              <w:rPr>
                <w:rFonts w:ascii="Arial"/>
                <w:color w:val="auto"/>
                <w:sz w:val="21"/>
                <w:highlight w:val="none"/>
              </w:rPr>
            </w:pPr>
          </w:p>
        </w:tc>
        <w:tc>
          <w:tcPr>
            <w:tcW w:w="533" w:type="dxa"/>
            <w:vAlign w:val="top"/>
          </w:tcPr>
          <w:p w14:paraId="6B1FD23B">
            <w:pPr>
              <w:rPr>
                <w:rFonts w:ascii="Arial"/>
                <w:color w:val="auto"/>
                <w:sz w:val="21"/>
                <w:highlight w:val="none"/>
              </w:rPr>
            </w:pPr>
          </w:p>
        </w:tc>
        <w:tc>
          <w:tcPr>
            <w:tcW w:w="749" w:type="dxa"/>
            <w:vAlign w:val="top"/>
          </w:tcPr>
          <w:p w14:paraId="20EA672C">
            <w:pPr>
              <w:rPr>
                <w:rFonts w:ascii="Arial"/>
                <w:color w:val="auto"/>
                <w:sz w:val="21"/>
                <w:highlight w:val="none"/>
              </w:rPr>
            </w:pPr>
          </w:p>
        </w:tc>
        <w:tc>
          <w:tcPr>
            <w:tcW w:w="753" w:type="dxa"/>
            <w:vAlign w:val="top"/>
          </w:tcPr>
          <w:p w14:paraId="1B3BD0F6">
            <w:pPr>
              <w:rPr>
                <w:rFonts w:ascii="Arial"/>
                <w:color w:val="auto"/>
                <w:sz w:val="21"/>
                <w:highlight w:val="none"/>
              </w:rPr>
            </w:pPr>
          </w:p>
        </w:tc>
        <w:tc>
          <w:tcPr>
            <w:tcW w:w="965" w:type="dxa"/>
            <w:vAlign w:val="top"/>
          </w:tcPr>
          <w:p w14:paraId="309C0A5A">
            <w:pPr>
              <w:rPr>
                <w:rFonts w:ascii="Arial"/>
                <w:color w:val="auto"/>
                <w:sz w:val="21"/>
                <w:highlight w:val="none"/>
              </w:rPr>
            </w:pPr>
          </w:p>
        </w:tc>
        <w:tc>
          <w:tcPr>
            <w:tcW w:w="1032" w:type="dxa"/>
            <w:vAlign w:val="top"/>
          </w:tcPr>
          <w:p w14:paraId="660EC71F">
            <w:pPr>
              <w:rPr>
                <w:rFonts w:ascii="Arial"/>
                <w:color w:val="auto"/>
                <w:sz w:val="21"/>
                <w:highlight w:val="none"/>
              </w:rPr>
            </w:pPr>
          </w:p>
        </w:tc>
        <w:tc>
          <w:tcPr>
            <w:tcW w:w="855" w:type="dxa"/>
            <w:vAlign w:val="top"/>
          </w:tcPr>
          <w:p w14:paraId="5606CE68">
            <w:pPr>
              <w:rPr>
                <w:rFonts w:ascii="Arial"/>
                <w:color w:val="auto"/>
                <w:sz w:val="21"/>
                <w:highlight w:val="none"/>
              </w:rPr>
            </w:pPr>
          </w:p>
        </w:tc>
        <w:tc>
          <w:tcPr>
            <w:tcW w:w="854" w:type="dxa"/>
            <w:vAlign w:val="top"/>
          </w:tcPr>
          <w:p w14:paraId="48D13453">
            <w:pPr>
              <w:rPr>
                <w:rFonts w:ascii="Arial"/>
                <w:color w:val="auto"/>
                <w:sz w:val="21"/>
                <w:highlight w:val="none"/>
              </w:rPr>
            </w:pPr>
          </w:p>
        </w:tc>
        <w:tc>
          <w:tcPr>
            <w:tcW w:w="854" w:type="dxa"/>
            <w:vAlign w:val="top"/>
          </w:tcPr>
          <w:p w14:paraId="6176245E">
            <w:pPr>
              <w:rPr>
                <w:rFonts w:ascii="Arial"/>
                <w:color w:val="auto"/>
                <w:sz w:val="21"/>
                <w:highlight w:val="none"/>
              </w:rPr>
            </w:pPr>
          </w:p>
        </w:tc>
        <w:tc>
          <w:tcPr>
            <w:tcW w:w="849" w:type="dxa"/>
            <w:vAlign w:val="top"/>
          </w:tcPr>
          <w:p w14:paraId="09FA2A28">
            <w:pPr>
              <w:rPr>
                <w:rFonts w:ascii="Arial"/>
                <w:color w:val="auto"/>
                <w:sz w:val="21"/>
                <w:highlight w:val="none"/>
              </w:rPr>
            </w:pPr>
          </w:p>
        </w:tc>
        <w:tc>
          <w:tcPr>
            <w:tcW w:w="850" w:type="dxa"/>
            <w:vAlign w:val="top"/>
          </w:tcPr>
          <w:p w14:paraId="207BBBEB">
            <w:pPr>
              <w:rPr>
                <w:rFonts w:ascii="Arial"/>
                <w:color w:val="auto"/>
                <w:sz w:val="21"/>
                <w:highlight w:val="none"/>
              </w:rPr>
            </w:pPr>
          </w:p>
        </w:tc>
        <w:tc>
          <w:tcPr>
            <w:tcW w:w="854" w:type="dxa"/>
            <w:vAlign w:val="top"/>
          </w:tcPr>
          <w:p w14:paraId="66596012">
            <w:pPr>
              <w:rPr>
                <w:rFonts w:ascii="Arial"/>
                <w:color w:val="auto"/>
                <w:sz w:val="21"/>
                <w:highlight w:val="none"/>
              </w:rPr>
            </w:pPr>
          </w:p>
        </w:tc>
        <w:tc>
          <w:tcPr>
            <w:tcW w:w="744" w:type="dxa"/>
            <w:vAlign w:val="top"/>
          </w:tcPr>
          <w:p w14:paraId="7B3EA15C">
            <w:pPr>
              <w:rPr>
                <w:rFonts w:ascii="Arial"/>
                <w:color w:val="auto"/>
                <w:sz w:val="21"/>
                <w:highlight w:val="none"/>
              </w:rPr>
            </w:pPr>
          </w:p>
        </w:tc>
        <w:tc>
          <w:tcPr>
            <w:tcW w:w="1128" w:type="dxa"/>
            <w:vAlign w:val="top"/>
          </w:tcPr>
          <w:p w14:paraId="56F5A302">
            <w:pPr>
              <w:rPr>
                <w:rFonts w:ascii="Arial"/>
                <w:color w:val="auto"/>
                <w:sz w:val="21"/>
                <w:highlight w:val="none"/>
              </w:rPr>
            </w:pPr>
          </w:p>
        </w:tc>
        <w:tc>
          <w:tcPr>
            <w:tcW w:w="946" w:type="dxa"/>
            <w:vAlign w:val="top"/>
          </w:tcPr>
          <w:p w14:paraId="7D62B8BC">
            <w:pPr>
              <w:rPr>
                <w:rFonts w:ascii="Arial"/>
                <w:color w:val="auto"/>
                <w:sz w:val="21"/>
                <w:highlight w:val="none"/>
              </w:rPr>
            </w:pPr>
          </w:p>
        </w:tc>
      </w:tr>
      <w:tr w14:paraId="02865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5BC5688B">
            <w:pPr>
              <w:spacing w:before="156" w:line="189" w:lineRule="auto"/>
              <w:ind w:left="1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w:t>
            </w:r>
          </w:p>
        </w:tc>
        <w:tc>
          <w:tcPr>
            <w:tcW w:w="1272" w:type="dxa"/>
            <w:vAlign w:val="top"/>
          </w:tcPr>
          <w:p w14:paraId="5FC63E61">
            <w:pPr>
              <w:rPr>
                <w:rFonts w:ascii="Arial"/>
                <w:color w:val="auto"/>
                <w:sz w:val="21"/>
                <w:highlight w:val="none"/>
              </w:rPr>
            </w:pPr>
          </w:p>
        </w:tc>
        <w:tc>
          <w:tcPr>
            <w:tcW w:w="825" w:type="dxa"/>
            <w:vAlign w:val="top"/>
          </w:tcPr>
          <w:p w14:paraId="699A6034">
            <w:pPr>
              <w:rPr>
                <w:rFonts w:ascii="Arial"/>
                <w:color w:val="auto"/>
                <w:sz w:val="21"/>
                <w:highlight w:val="none"/>
              </w:rPr>
            </w:pPr>
          </w:p>
        </w:tc>
        <w:tc>
          <w:tcPr>
            <w:tcW w:w="533" w:type="dxa"/>
            <w:vAlign w:val="top"/>
          </w:tcPr>
          <w:p w14:paraId="68F29F8E">
            <w:pPr>
              <w:rPr>
                <w:rFonts w:ascii="Arial"/>
                <w:color w:val="auto"/>
                <w:sz w:val="21"/>
                <w:highlight w:val="none"/>
              </w:rPr>
            </w:pPr>
          </w:p>
        </w:tc>
        <w:tc>
          <w:tcPr>
            <w:tcW w:w="749" w:type="dxa"/>
            <w:vAlign w:val="top"/>
          </w:tcPr>
          <w:p w14:paraId="76BC82C4">
            <w:pPr>
              <w:rPr>
                <w:rFonts w:ascii="Arial"/>
                <w:color w:val="auto"/>
                <w:sz w:val="21"/>
                <w:highlight w:val="none"/>
              </w:rPr>
            </w:pPr>
          </w:p>
        </w:tc>
        <w:tc>
          <w:tcPr>
            <w:tcW w:w="753" w:type="dxa"/>
            <w:vAlign w:val="top"/>
          </w:tcPr>
          <w:p w14:paraId="30D1EB55">
            <w:pPr>
              <w:rPr>
                <w:rFonts w:ascii="Arial"/>
                <w:color w:val="auto"/>
                <w:sz w:val="21"/>
                <w:highlight w:val="none"/>
              </w:rPr>
            </w:pPr>
          </w:p>
        </w:tc>
        <w:tc>
          <w:tcPr>
            <w:tcW w:w="965" w:type="dxa"/>
            <w:vAlign w:val="top"/>
          </w:tcPr>
          <w:p w14:paraId="74F3FBDA">
            <w:pPr>
              <w:rPr>
                <w:rFonts w:ascii="Arial"/>
                <w:color w:val="auto"/>
                <w:sz w:val="21"/>
                <w:highlight w:val="none"/>
              </w:rPr>
            </w:pPr>
          </w:p>
        </w:tc>
        <w:tc>
          <w:tcPr>
            <w:tcW w:w="1032" w:type="dxa"/>
            <w:vAlign w:val="top"/>
          </w:tcPr>
          <w:p w14:paraId="09506C33">
            <w:pPr>
              <w:rPr>
                <w:rFonts w:ascii="Arial"/>
                <w:color w:val="auto"/>
                <w:sz w:val="21"/>
                <w:highlight w:val="none"/>
              </w:rPr>
            </w:pPr>
          </w:p>
        </w:tc>
        <w:tc>
          <w:tcPr>
            <w:tcW w:w="855" w:type="dxa"/>
            <w:vAlign w:val="top"/>
          </w:tcPr>
          <w:p w14:paraId="337A8AED">
            <w:pPr>
              <w:rPr>
                <w:rFonts w:ascii="Arial"/>
                <w:color w:val="auto"/>
                <w:sz w:val="21"/>
                <w:highlight w:val="none"/>
              </w:rPr>
            </w:pPr>
          </w:p>
        </w:tc>
        <w:tc>
          <w:tcPr>
            <w:tcW w:w="854" w:type="dxa"/>
            <w:vAlign w:val="top"/>
          </w:tcPr>
          <w:p w14:paraId="07E1A707">
            <w:pPr>
              <w:rPr>
                <w:rFonts w:ascii="Arial"/>
                <w:color w:val="auto"/>
                <w:sz w:val="21"/>
                <w:highlight w:val="none"/>
              </w:rPr>
            </w:pPr>
          </w:p>
        </w:tc>
        <w:tc>
          <w:tcPr>
            <w:tcW w:w="854" w:type="dxa"/>
            <w:vAlign w:val="top"/>
          </w:tcPr>
          <w:p w14:paraId="674B3FB5">
            <w:pPr>
              <w:rPr>
                <w:rFonts w:ascii="Arial"/>
                <w:color w:val="auto"/>
                <w:sz w:val="21"/>
                <w:highlight w:val="none"/>
              </w:rPr>
            </w:pPr>
          </w:p>
        </w:tc>
        <w:tc>
          <w:tcPr>
            <w:tcW w:w="849" w:type="dxa"/>
            <w:vAlign w:val="top"/>
          </w:tcPr>
          <w:p w14:paraId="328F50F2">
            <w:pPr>
              <w:rPr>
                <w:rFonts w:ascii="Arial"/>
                <w:color w:val="auto"/>
                <w:sz w:val="21"/>
                <w:highlight w:val="none"/>
              </w:rPr>
            </w:pPr>
          </w:p>
        </w:tc>
        <w:tc>
          <w:tcPr>
            <w:tcW w:w="850" w:type="dxa"/>
            <w:vAlign w:val="top"/>
          </w:tcPr>
          <w:p w14:paraId="20BCD902">
            <w:pPr>
              <w:rPr>
                <w:rFonts w:ascii="Arial"/>
                <w:color w:val="auto"/>
                <w:sz w:val="21"/>
                <w:highlight w:val="none"/>
              </w:rPr>
            </w:pPr>
          </w:p>
        </w:tc>
        <w:tc>
          <w:tcPr>
            <w:tcW w:w="854" w:type="dxa"/>
            <w:vAlign w:val="top"/>
          </w:tcPr>
          <w:p w14:paraId="401C0CBA">
            <w:pPr>
              <w:rPr>
                <w:rFonts w:ascii="Arial"/>
                <w:color w:val="auto"/>
                <w:sz w:val="21"/>
                <w:highlight w:val="none"/>
              </w:rPr>
            </w:pPr>
          </w:p>
        </w:tc>
        <w:tc>
          <w:tcPr>
            <w:tcW w:w="744" w:type="dxa"/>
            <w:vAlign w:val="top"/>
          </w:tcPr>
          <w:p w14:paraId="0B5358C9">
            <w:pPr>
              <w:rPr>
                <w:rFonts w:ascii="Arial"/>
                <w:color w:val="auto"/>
                <w:sz w:val="21"/>
                <w:highlight w:val="none"/>
              </w:rPr>
            </w:pPr>
          </w:p>
        </w:tc>
        <w:tc>
          <w:tcPr>
            <w:tcW w:w="1128" w:type="dxa"/>
            <w:vAlign w:val="top"/>
          </w:tcPr>
          <w:p w14:paraId="58857F38">
            <w:pPr>
              <w:rPr>
                <w:rFonts w:ascii="Arial"/>
                <w:color w:val="auto"/>
                <w:sz w:val="21"/>
                <w:highlight w:val="none"/>
              </w:rPr>
            </w:pPr>
          </w:p>
        </w:tc>
        <w:tc>
          <w:tcPr>
            <w:tcW w:w="946" w:type="dxa"/>
            <w:vAlign w:val="top"/>
          </w:tcPr>
          <w:p w14:paraId="75BF5A7E">
            <w:pPr>
              <w:rPr>
                <w:rFonts w:ascii="Arial"/>
                <w:color w:val="auto"/>
                <w:sz w:val="21"/>
                <w:highlight w:val="none"/>
              </w:rPr>
            </w:pPr>
          </w:p>
        </w:tc>
      </w:tr>
      <w:tr w14:paraId="0E056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379" w:type="dxa"/>
            <w:vAlign w:val="top"/>
          </w:tcPr>
          <w:p w14:paraId="602CABF1">
            <w:pPr>
              <w:spacing w:before="161" w:line="189"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9</w:t>
            </w:r>
          </w:p>
        </w:tc>
        <w:tc>
          <w:tcPr>
            <w:tcW w:w="1272" w:type="dxa"/>
            <w:vAlign w:val="top"/>
          </w:tcPr>
          <w:p w14:paraId="357E001F">
            <w:pPr>
              <w:rPr>
                <w:rFonts w:ascii="Arial"/>
                <w:color w:val="auto"/>
                <w:sz w:val="21"/>
                <w:highlight w:val="none"/>
              </w:rPr>
            </w:pPr>
          </w:p>
        </w:tc>
        <w:tc>
          <w:tcPr>
            <w:tcW w:w="825" w:type="dxa"/>
            <w:vAlign w:val="top"/>
          </w:tcPr>
          <w:p w14:paraId="1E579BA5">
            <w:pPr>
              <w:rPr>
                <w:rFonts w:ascii="Arial"/>
                <w:color w:val="auto"/>
                <w:sz w:val="21"/>
                <w:highlight w:val="none"/>
              </w:rPr>
            </w:pPr>
          </w:p>
        </w:tc>
        <w:tc>
          <w:tcPr>
            <w:tcW w:w="533" w:type="dxa"/>
            <w:vAlign w:val="top"/>
          </w:tcPr>
          <w:p w14:paraId="38558841">
            <w:pPr>
              <w:rPr>
                <w:rFonts w:ascii="Arial"/>
                <w:color w:val="auto"/>
                <w:sz w:val="21"/>
                <w:highlight w:val="none"/>
              </w:rPr>
            </w:pPr>
          </w:p>
        </w:tc>
        <w:tc>
          <w:tcPr>
            <w:tcW w:w="749" w:type="dxa"/>
            <w:vAlign w:val="top"/>
          </w:tcPr>
          <w:p w14:paraId="6024424B">
            <w:pPr>
              <w:rPr>
                <w:rFonts w:ascii="Arial"/>
                <w:color w:val="auto"/>
                <w:sz w:val="21"/>
                <w:highlight w:val="none"/>
              </w:rPr>
            </w:pPr>
          </w:p>
        </w:tc>
        <w:tc>
          <w:tcPr>
            <w:tcW w:w="753" w:type="dxa"/>
            <w:vAlign w:val="top"/>
          </w:tcPr>
          <w:p w14:paraId="6BD56C4B">
            <w:pPr>
              <w:rPr>
                <w:rFonts w:ascii="Arial"/>
                <w:color w:val="auto"/>
                <w:sz w:val="21"/>
                <w:highlight w:val="none"/>
              </w:rPr>
            </w:pPr>
          </w:p>
        </w:tc>
        <w:tc>
          <w:tcPr>
            <w:tcW w:w="965" w:type="dxa"/>
            <w:vAlign w:val="top"/>
          </w:tcPr>
          <w:p w14:paraId="175871BF">
            <w:pPr>
              <w:rPr>
                <w:rFonts w:ascii="Arial"/>
                <w:color w:val="auto"/>
                <w:sz w:val="21"/>
                <w:highlight w:val="none"/>
              </w:rPr>
            </w:pPr>
          </w:p>
        </w:tc>
        <w:tc>
          <w:tcPr>
            <w:tcW w:w="1032" w:type="dxa"/>
            <w:vAlign w:val="top"/>
          </w:tcPr>
          <w:p w14:paraId="1E852466">
            <w:pPr>
              <w:rPr>
                <w:rFonts w:ascii="Arial"/>
                <w:color w:val="auto"/>
                <w:sz w:val="21"/>
                <w:highlight w:val="none"/>
              </w:rPr>
            </w:pPr>
          </w:p>
        </w:tc>
        <w:tc>
          <w:tcPr>
            <w:tcW w:w="855" w:type="dxa"/>
            <w:vAlign w:val="top"/>
          </w:tcPr>
          <w:p w14:paraId="5F863496">
            <w:pPr>
              <w:rPr>
                <w:rFonts w:ascii="Arial"/>
                <w:color w:val="auto"/>
                <w:sz w:val="21"/>
                <w:highlight w:val="none"/>
              </w:rPr>
            </w:pPr>
          </w:p>
        </w:tc>
        <w:tc>
          <w:tcPr>
            <w:tcW w:w="854" w:type="dxa"/>
            <w:vAlign w:val="top"/>
          </w:tcPr>
          <w:p w14:paraId="1318B9D5">
            <w:pPr>
              <w:rPr>
                <w:rFonts w:ascii="Arial"/>
                <w:color w:val="auto"/>
                <w:sz w:val="21"/>
                <w:highlight w:val="none"/>
              </w:rPr>
            </w:pPr>
          </w:p>
        </w:tc>
        <w:tc>
          <w:tcPr>
            <w:tcW w:w="854" w:type="dxa"/>
            <w:vAlign w:val="top"/>
          </w:tcPr>
          <w:p w14:paraId="463036CA">
            <w:pPr>
              <w:rPr>
                <w:rFonts w:ascii="Arial"/>
                <w:color w:val="auto"/>
                <w:sz w:val="21"/>
                <w:highlight w:val="none"/>
              </w:rPr>
            </w:pPr>
          </w:p>
        </w:tc>
        <w:tc>
          <w:tcPr>
            <w:tcW w:w="849" w:type="dxa"/>
            <w:vAlign w:val="top"/>
          </w:tcPr>
          <w:p w14:paraId="6340BE29">
            <w:pPr>
              <w:rPr>
                <w:rFonts w:ascii="Arial"/>
                <w:color w:val="auto"/>
                <w:sz w:val="21"/>
                <w:highlight w:val="none"/>
              </w:rPr>
            </w:pPr>
          </w:p>
        </w:tc>
        <w:tc>
          <w:tcPr>
            <w:tcW w:w="850" w:type="dxa"/>
            <w:vAlign w:val="top"/>
          </w:tcPr>
          <w:p w14:paraId="3D45CF5D">
            <w:pPr>
              <w:rPr>
                <w:rFonts w:ascii="Arial"/>
                <w:color w:val="auto"/>
                <w:sz w:val="21"/>
                <w:highlight w:val="none"/>
              </w:rPr>
            </w:pPr>
          </w:p>
        </w:tc>
        <w:tc>
          <w:tcPr>
            <w:tcW w:w="854" w:type="dxa"/>
            <w:vAlign w:val="top"/>
          </w:tcPr>
          <w:p w14:paraId="781A79E0">
            <w:pPr>
              <w:rPr>
                <w:rFonts w:ascii="Arial"/>
                <w:color w:val="auto"/>
                <w:sz w:val="21"/>
                <w:highlight w:val="none"/>
              </w:rPr>
            </w:pPr>
          </w:p>
        </w:tc>
        <w:tc>
          <w:tcPr>
            <w:tcW w:w="744" w:type="dxa"/>
            <w:vAlign w:val="top"/>
          </w:tcPr>
          <w:p w14:paraId="249FEA17">
            <w:pPr>
              <w:rPr>
                <w:rFonts w:ascii="Arial"/>
                <w:color w:val="auto"/>
                <w:sz w:val="21"/>
                <w:highlight w:val="none"/>
              </w:rPr>
            </w:pPr>
          </w:p>
        </w:tc>
        <w:tc>
          <w:tcPr>
            <w:tcW w:w="1128" w:type="dxa"/>
            <w:vAlign w:val="top"/>
          </w:tcPr>
          <w:p w14:paraId="007226FB">
            <w:pPr>
              <w:rPr>
                <w:rFonts w:ascii="Arial"/>
                <w:color w:val="auto"/>
                <w:sz w:val="21"/>
                <w:highlight w:val="none"/>
              </w:rPr>
            </w:pPr>
          </w:p>
        </w:tc>
        <w:tc>
          <w:tcPr>
            <w:tcW w:w="946" w:type="dxa"/>
            <w:vAlign w:val="top"/>
          </w:tcPr>
          <w:p w14:paraId="29D9BE73">
            <w:pPr>
              <w:rPr>
                <w:rFonts w:ascii="Arial"/>
                <w:color w:val="auto"/>
                <w:sz w:val="21"/>
                <w:highlight w:val="none"/>
              </w:rPr>
            </w:pPr>
          </w:p>
        </w:tc>
      </w:tr>
      <w:tr w14:paraId="084D6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14:paraId="43486ECC">
            <w:pPr>
              <w:pStyle w:val="11"/>
              <w:spacing w:before="120" w:line="325" w:lineRule="exact"/>
              <w:ind w:left="102"/>
              <w:rPr>
                <w:color w:val="auto"/>
                <w:highlight w:val="none"/>
              </w:rPr>
            </w:pPr>
            <w:r>
              <w:rPr>
                <w:color w:val="auto"/>
                <w:position w:val="2"/>
                <w:highlight w:val="none"/>
              </w:rPr>
              <w:t>…</w:t>
            </w:r>
          </w:p>
        </w:tc>
        <w:tc>
          <w:tcPr>
            <w:tcW w:w="1272" w:type="dxa"/>
            <w:vAlign w:val="top"/>
          </w:tcPr>
          <w:p w14:paraId="28135119">
            <w:pPr>
              <w:rPr>
                <w:rFonts w:ascii="Arial"/>
                <w:color w:val="auto"/>
                <w:sz w:val="21"/>
                <w:highlight w:val="none"/>
              </w:rPr>
            </w:pPr>
          </w:p>
        </w:tc>
        <w:tc>
          <w:tcPr>
            <w:tcW w:w="825" w:type="dxa"/>
            <w:vAlign w:val="top"/>
          </w:tcPr>
          <w:p w14:paraId="16F2D4C8">
            <w:pPr>
              <w:rPr>
                <w:rFonts w:ascii="Arial"/>
                <w:color w:val="auto"/>
                <w:sz w:val="21"/>
                <w:highlight w:val="none"/>
              </w:rPr>
            </w:pPr>
          </w:p>
        </w:tc>
        <w:tc>
          <w:tcPr>
            <w:tcW w:w="533" w:type="dxa"/>
            <w:vAlign w:val="top"/>
          </w:tcPr>
          <w:p w14:paraId="45C2B185">
            <w:pPr>
              <w:rPr>
                <w:rFonts w:ascii="Arial"/>
                <w:color w:val="auto"/>
                <w:sz w:val="21"/>
                <w:highlight w:val="none"/>
              </w:rPr>
            </w:pPr>
          </w:p>
        </w:tc>
        <w:tc>
          <w:tcPr>
            <w:tcW w:w="749" w:type="dxa"/>
            <w:vAlign w:val="top"/>
          </w:tcPr>
          <w:p w14:paraId="6E268505">
            <w:pPr>
              <w:rPr>
                <w:rFonts w:ascii="Arial"/>
                <w:color w:val="auto"/>
                <w:sz w:val="21"/>
                <w:highlight w:val="none"/>
              </w:rPr>
            </w:pPr>
          </w:p>
        </w:tc>
        <w:tc>
          <w:tcPr>
            <w:tcW w:w="753" w:type="dxa"/>
            <w:vAlign w:val="top"/>
          </w:tcPr>
          <w:p w14:paraId="5B572A53">
            <w:pPr>
              <w:rPr>
                <w:rFonts w:ascii="Arial"/>
                <w:color w:val="auto"/>
                <w:sz w:val="21"/>
                <w:highlight w:val="none"/>
              </w:rPr>
            </w:pPr>
          </w:p>
        </w:tc>
        <w:tc>
          <w:tcPr>
            <w:tcW w:w="965" w:type="dxa"/>
            <w:vAlign w:val="top"/>
          </w:tcPr>
          <w:p w14:paraId="1F0E507E">
            <w:pPr>
              <w:rPr>
                <w:rFonts w:ascii="Arial"/>
                <w:color w:val="auto"/>
                <w:sz w:val="21"/>
                <w:highlight w:val="none"/>
              </w:rPr>
            </w:pPr>
          </w:p>
        </w:tc>
        <w:tc>
          <w:tcPr>
            <w:tcW w:w="1032" w:type="dxa"/>
            <w:vAlign w:val="top"/>
          </w:tcPr>
          <w:p w14:paraId="73AF42E6">
            <w:pPr>
              <w:rPr>
                <w:rFonts w:ascii="Arial"/>
                <w:color w:val="auto"/>
                <w:sz w:val="21"/>
                <w:highlight w:val="none"/>
              </w:rPr>
            </w:pPr>
          </w:p>
        </w:tc>
        <w:tc>
          <w:tcPr>
            <w:tcW w:w="855" w:type="dxa"/>
            <w:vAlign w:val="top"/>
          </w:tcPr>
          <w:p w14:paraId="3573431E">
            <w:pPr>
              <w:rPr>
                <w:rFonts w:ascii="Arial"/>
                <w:color w:val="auto"/>
                <w:sz w:val="21"/>
                <w:highlight w:val="none"/>
              </w:rPr>
            </w:pPr>
          </w:p>
        </w:tc>
        <w:tc>
          <w:tcPr>
            <w:tcW w:w="854" w:type="dxa"/>
            <w:vAlign w:val="top"/>
          </w:tcPr>
          <w:p w14:paraId="263410F6">
            <w:pPr>
              <w:rPr>
                <w:rFonts w:ascii="Arial"/>
                <w:color w:val="auto"/>
                <w:sz w:val="21"/>
                <w:highlight w:val="none"/>
              </w:rPr>
            </w:pPr>
          </w:p>
        </w:tc>
        <w:tc>
          <w:tcPr>
            <w:tcW w:w="854" w:type="dxa"/>
            <w:vAlign w:val="top"/>
          </w:tcPr>
          <w:p w14:paraId="3369DEED">
            <w:pPr>
              <w:rPr>
                <w:rFonts w:ascii="Arial"/>
                <w:color w:val="auto"/>
                <w:sz w:val="21"/>
                <w:highlight w:val="none"/>
              </w:rPr>
            </w:pPr>
          </w:p>
        </w:tc>
        <w:tc>
          <w:tcPr>
            <w:tcW w:w="849" w:type="dxa"/>
            <w:vAlign w:val="top"/>
          </w:tcPr>
          <w:p w14:paraId="43B152E0">
            <w:pPr>
              <w:rPr>
                <w:rFonts w:ascii="Arial"/>
                <w:color w:val="auto"/>
                <w:sz w:val="21"/>
                <w:highlight w:val="none"/>
              </w:rPr>
            </w:pPr>
          </w:p>
        </w:tc>
        <w:tc>
          <w:tcPr>
            <w:tcW w:w="850" w:type="dxa"/>
            <w:vAlign w:val="top"/>
          </w:tcPr>
          <w:p w14:paraId="19BE1EB3">
            <w:pPr>
              <w:rPr>
                <w:rFonts w:ascii="Arial"/>
                <w:color w:val="auto"/>
                <w:sz w:val="21"/>
                <w:highlight w:val="none"/>
              </w:rPr>
            </w:pPr>
          </w:p>
        </w:tc>
        <w:tc>
          <w:tcPr>
            <w:tcW w:w="854" w:type="dxa"/>
            <w:vAlign w:val="top"/>
          </w:tcPr>
          <w:p w14:paraId="263C2EDF">
            <w:pPr>
              <w:rPr>
                <w:rFonts w:ascii="Arial"/>
                <w:color w:val="auto"/>
                <w:sz w:val="21"/>
                <w:highlight w:val="none"/>
              </w:rPr>
            </w:pPr>
          </w:p>
        </w:tc>
        <w:tc>
          <w:tcPr>
            <w:tcW w:w="744" w:type="dxa"/>
            <w:vAlign w:val="top"/>
          </w:tcPr>
          <w:p w14:paraId="038DAF02">
            <w:pPr>
              <w:rPr>
                <w:rFonts w:ascii="Arial"/>
                <w:color w:val="auto"/>
                <w:sz w:val="21"/>
                <w:highlight w:val="none"/>
              </w:rPr>
            </w:pPr>
          </w:p>
        </w:tc>
        <w:tc>
          <w:tcPr>
            <w:tcW w:w="1128" w:type="dxa"/>
            <w:vAlign w:val="top"/>
          </w:tcPr>
          <w:p w14:paraId="4CA44AB1">
            <w:pPr>
              <w:rPr>
                <w:rFonts w:ascii="Arial"/>
                <w:color w:val="auto"/>
                <w:sz w:val="21"/>
                <w:highlight w:val="none"/>
              </w:rPr>
            </w:pPr>
          </w:p>
        </w:tc>
        <w:tc>
          <w:tcPr>
            <w:tcW w:w="946" w:type="dxa"/>
            <w:vAlign w:val="top"/>
          </w:tcPr>
          <w:p w14:paraId="508F90F4">
            <w:pPr>
              <w:rPr>
                <w:rFonts w:ascii="Arial"/>
                <w:color w:val="auto"/>
                <w:sz w:val="21"/>
                <w:highlight w:val="none"/>
              </w:rPr>
            </w:pPr>
          </w:p>
        </w:tc>
      </w:tr>
    </w:tbl>
    <w:p w14:paraId="4ADFE1BA">
      <w:pPr>
        <w:spacing w:before="154" w:line="399" w:lineRule="exact"/>
        <w:ind w:left="25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备注：1.执业、职业单位是指拟投入的项目管理机构人员目前是否在投标人处注</w:t>
      </w:r>
      <w:r>
        <w:rPr>
          <w:rFonts w:ascii="宋体" w:hAnsi="宋体" w:eastAsia="宋体" w:cs="宋体"/>
          <w:color w:val="auto"/>
          <w:spacing w:val="-1"/>
          <w:position w:val="14"/>
          <w:sz w:val="21"/>
          <w:szCs w:val="21"/>
          <w:highlight w:val="none"/>
        </w:rPr>
        <w:t>册执业或岗位登记。</w:t>
      </w:r>
    </w:p>
    <w:p w14:paraId="03E1DBCA">
      <w:pPr>
        <w:spacing w:before="1" w:line="219" w:lineRule="auto"/>
        <w:ind w:left="879"/>
        <w:rPr>
          <w:rFonts w:ascii="宋体" w:hAnsi="宋体" w:eastAsia="宋体" w:cs="宋体"/>
          <w:color w:val="auto"/>
          <w:sz w:val="21"/>
          <w:szCs w:val="21"/>
          <w:highlight w:val="none"/>
        </w:rPr>
      </w:pPr>
      <w:r>
        <w:rPr>
          <w:rFonts w:ascii="宋体" w:hAnsi="宋体" w:eastAsia="宋体" w:cs="宋体"/>
          <w:color w:val="auto"/>
          <w:sz w:val="21"/>
          <w:szCs w:val="21"/>
          <w:highlight w:val="none"/>
        </w:rPr>
        <w:t>2.附项目管理机构主要人员社会保险证明。社会保险证明中缴费单位应</w:t>
      </w:r>
      <w:r>
        <w:rPr>
          <w:rFonts w:ascii="宋体" w:hAnsi="宋体" w:eastAsia="宋体" w:cs="宋体"/>
          <w:color w:val="auto"/>
          <w:spacing w:val="-1"/>
          <w:sz w:val="21"/>
          <w:szCs w:val="21"/>
          <w:highlight w:val="none"/>
        </w:rPr>
        <w:t>与投标单位一致。</w:t>
      </w:r>
    </w:p>
    <w:p w14:paraId="7EE8B1D9">
      <w:pPr>
        <w:spacing w:line="219" w:lineRule="auto"/>
        <w:rPr>
          <w:rFonts w:ascii="宋体" w:hAnsi="宋体" w:eastAsia="宋体" w:cs="宋体"/>
          <w:color w:val="auto"/>
          <w:sz w:val="21"/>
          <w:szCs w:val="21"/>
          <w:highlight w:val="none"/>
        </w:rPr>
        <w:sectPr>
          <w:footerReference r:id="rId223" w:type="default"/>
          <w:pgSz w:w="16839" w:h="11905"/>
          <w:pgMar w:top="400" w:right="1190" w:bottom="999" w:left="1200" w:header="0" w:footer="823" w:gutter="0"/>
          <w:pgNumType w:fmt="decimal"/>
          <w:cols w:space="720" w:num="1"/>
        </w:sectPr>
      </w:pPr>
    </w:p>
    <w:p w14:paraId="26BB0DDF">
      <w:pPr>
        <w:pStyle w:val="3"/>
        <w:spacing w:line="257" w:lineRule="auto"/>
        <w:rPr>
          <w:color w:val="auto"/>
          <w:highlight w:val="none"/>
        </w:rPr>
      </w:pPr>
    </w:p>
    <w:p w14:paraId="5939CD49">
      <w:pPr>
        <w:pStyle w:val="3"/>
        <w:spacing w:line="257" w:lineRule="auto"/>
        <w:rPr>
          <w:color w:val="auto"/>
          <w:highlight w:val="none"/>
        </w:rPr>
      </w:pPr>
    </w:p>
    <w:p w14:paraId="75289ABB">
      <w:pPr>
        <w:pStyle w:val="3"/>
        <w:spacing w:line="257" w:lineRule="auto"/>
        <w:rPr>
          <w:color w:val="auto"/>
          <w:highlight w:val="none"/>
        </w:rPr>
      </w:pPr>
    </w:p>
    <w:p w14:paraId="1A8E4E1D">
      <w:pPr>
        <w:pStyle w:val="3"/>
        <w:spacing w:line="257" w:lineRule="auto"/>
        <w:rPr>
          <w:color w:val="auto"/>
          <w:highlight w:val="none"/>
        </w:rPr>
      </w:pPr>
    </w:p>
    <w:p w14:paraId="263BDFBC">
      <w:pPr>
        <w:spacing w:before="87" w:line="225" w:lineRule="auto"/>
        <w:ind w:left="2800"/>
        <w:rPr>
          <w:rFonts w:ascii="黑体" w:hAnsi="黑体" w:eastAsia="黑体" w:cs="黑体"/>
          <w:color w:val="auto"/>
          <w:sz w:val="27"/>
          <w:szCs w:val="27"/>
          <w:highlight w:val="none"/>
        </w:rPr>
      </w:pPr>
      <w:bookmarkStart w:id="1337" w:name="bookmark310"/>
      <w:bookmarkEnd w:id="1337"/>
      <w:bookmarkStart w:id="1338" w:name="bookmark311"/>
      <w:bookmarkEnd w:id="1338"/>
      <w:r>
        <w:rPr>
          <w:rFonts w:ascii="黑体" w:hAnsi="黑体" w:eastAsia="黑体" w:cs="黑体"/>
          <w:color w:val="auto"/>
          <w:spacing w:val="4"/>
          <w:sz w:val="27"/>
          <w:szCs w:val="27"/>
          <w:highlight w:val="none"/>
        </w:rPr>
        <w:t>（二）项目经理简历表</w:t>
      </w:r>
    </w:p>
    <w:p w14:paraId="5AAC2E4C">
      <w:pPr>
        <w:spacing w:before="168"/>
        <w:rPr>
          <w:color w:val="auto"/>
          <w:highlight w:val="none"/>
        </w:rPr>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14:paraId="4F432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3674FA0">
            <w:pPr>
              <w:pStyle w:val="11"/>
              <w:spacing w:before="125" w:line="221" w:lineRule="auto"/>
              <w:ind w:left="243"/>
              <w:rPr>
                <w:color w:val="auto"/>
                <w:highlight w:val="none"/>
              </w:rPr>
            </w:pPr>
            <w:r>
              <w:rPr>
                <w:color w:val="auto"/>
                <w:spacing w:val="-4"/>
                <w:highlight w:val="none"/>
              </w:rPr>
              <w:t>姓</w:t>
            </w:r>
            <w:r>
              <w:rPr>
                <w:color w:val="auto"/>
                <w:spacing w:val="5"/>
                <w:highlight w:val="none"/>
              </w:rPr>
              <w:t xml:space="preserve">  </w:t>
            </w:r>
            <w:r>
              <w:rPr>
                <w:color w:val="auto"/>
                <w:spacing w:val="-4"/>
                <w:highlight w:val="none"/>
              </w:rPr>
              <w:t>名</w:t>
            </w:r>
          </w:p>
        </w:tc>
        <w:tc>
          <w:tcPr>
            <w:tcW w:w="878" w:type="dxa"/>
            <w:vAlign w:val="top"/>
          </w:tcPr>
          <w:p w14:paraId="2B787E99">
            <w:pPr>
              <w:rPr>
                <w:rFonts w:ascii="Arial"/>
                <w:color w:val="auto"/>
                <w:sz w:val="21"/>
                <w:highlight w:val="none"/>
              </w:rPr>
            </w:pPr>
          </w:p>
        </w:tc>
        <w:tc>
          <w:tcPr>
            <w:tcW w:w="1066" w:type="dxa"/>
            <w:vAlign w:val="top"/>
          </w:tcPr>
          <w:p w14:paraId="6D50DCF3">
            <w:pPr>
              <w:pStyle w:val="11"/>
              <w:spacing w:before="125" w:line="221" w:lineRule="auto"/>
              <w:ind w:left="226"/>
              <w:rPr>
                <w:color w:val="auto"/>
                <w:highlight w:val="none"/>
              </w:rPr>
            </w:pPr>
            <w:r>
              <w:rPr>
                <w:color w:val="auto"/>
                <w:spacing w:val="-4"/>
                <w:highlight w:val="none"/>
              </w:rPr>
              <w:t>年</w:t>
            </w:r>
            <w:r>
              <w:rPr>
                <w:color w:val="auto"/>
                <w:spacing w:val="4"/>
                <w:highlight w:val="none"/>
              </w:rPr>
              <w:t xml:space="preserve">  </w:t>
            </w:r>
            <w:r>
              <w:rPr>
                <w:color w:val="auto"/>
                <w:spacing w:val="-4"/>
                <w:highlight w:val="none"/>
              </w:rPr>
              <w:t>龄</w:t>
            </w:r>
          </w:p>
        </w:tc>
        <w:tc>
          <w:tcPr>
            <w:tcW w:w="1190" w:type="dxa"/>
            <w:vAlign w:val="top"/>
          </w:tcPr>
          <w:p w14:paraId="55818EF1">
            <w:pPr>
              <w:rPr>
                <w:rFonts w:ascii="Arial"/>
                <w:color w:val="auto"/>
                <w:sz w:val="21"/>
                <w:highlight w:val="none"/>
              </w:rPr>
            </w:pPr>
          </w:p>
        </w:tc>
        <w:tc>
          <w:tcPr>
            <w:tcW w:w="1963" w:type="dxa"/>
            <w:vAlign w:val="top"/>
          </w:tcPr>
          <w:p w14:paraId="524BD4AE">
            <w:pPr>
              <w:pStyle w:val="11"/>
              <w:spacing w:before="125" w:line="222" w:lineRule="auto"/>
              <w:ind w:left="783"/>
              <w:rPr>
                <w:color w:val="auto"/>
                <w:highlight w:val="none"/>
              </w:rPr>
            </w:pPr>
            <w:r>
              <w:rPr>
                <w:color w:val="auto"/>
                <w:spacing w:val="-3"/>
                <w:highlight w:val="none"/>
              </w:rPr>
              <w:t>学历</w:t>
            </w:r>
          </w:p>
        </w:tc>
        <w:tc>
          <w:tcPr>
            <w:tcW w:w="1996" w:type="dxa"/>
            <w:vAlign w:val="top"/>
          </w:tcPr>
          <w:p w14:paraId="0232A04B">
            <w:pPr>
              <w:rPr>
                <w:rFonts w:ascii="Arial"/>
                <w:color w:val="auto"/>
                <w:sz w:val="21"/>
                <w:highlight w:val="none"/>
              </w:rPr>
            </w:pPr>
          </w:p>
        </w:tc>
      </w:tr>
      <w:tr w14:paraId="754F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08" w:type="dxa"/>
            <w:vAlign w:val="top"/>
          </w:tcPr>
          <w:p w14:paraId="13F9A54F">
            <w:pPr>
              <w:pStyle w:val="11"/>
              <w:spacing w:before="120" w:line="223" w:lineRule="auto"/>
              <w:ind w:left="244"/>
              <w:rPr>
                <w:color w:val="auto"/>
                <w:highlight w:val="none"/>
              </w:rPr>
            </w:pPr>
            <w:r>
              <w:rPr>
                <w:color w:val="auto"/>
                <w:spacing w:val="-4"/>
                <w:highlight w:val="none"/>
              </w:rPr>
              <w:t>职</w:t>
            </w:r>
            <w:r>
              <w:rPr>
                <w:color w:val="auto"/>
                <w:spacing w:val="4"/>
                <w:highlight w:val="none"/>
              </w:rPr>
              <w:t xml:space="preserve">  </w:t>
            </w:r>
            <w:r>
              <w:rPr>
                <w:color w:val="auto"/>
                <w:spacing w:val="-4"/>
                <w:highlight w:val="none"/>
              </w:rPr>
              <w:t>称</w:t>
            </w:r>
          </w:p>
        </w:tc>
        <w:tc>
          <w:tcPr>
            <w:tcW w:w="878" w:type="dxa"/>
            <w:vAlign w:val="top"/>
          </w:tcPr>
          <w:p w14:paraId="5D2D6946">
            <w:pPr>
              <w:rPr>
                <w:rFonts w:ascii="Arial"/>
                <w:color w:val="auto"/>
                <w:sz w:val="21"/>
                <w:highlight w:val="none"/>
              </w:rPr>
            </w:pPr>
          </w:p>
        </w:tc>
        <w:tc>
          <w:tcPr>
            <w:tcW w:w="1066" w:type="dxa"/>
            <w:vAlign w:val="top"/>
          </w:tcPr>
          <w:p w14:paraId="41860986">
            <w:pPr>
              <w:pStyle w:val="11"/>
              <w:spacing w:before="120" w:line="221" w:lineRule="auto"/>
              <w:ind w:left="226"/>
              <w:rPr>
                <w:color w:val="auto"/>
                <w:highlight w:val="none"/>
              </w:rPr>
            </w:pPr>
            <w:r>
              <w:rPr>
                <w:color w:val="auto"/>
                <w:spacing w:val="-4"/>
                <w:highlight w:val="none"/>
              </w:rPr>
              <w:t>职</w:t>
            </w:r>
            <w:r>
              <w:rPr>
                <w:color w:val="auto"/>
                <w:spacing w:val="5"/>
                <w:highlight w:val="none"/>
              </w:rPr>
              <w:t xml:space="preserve">  </w:t>
            </w:r>
            <w:r>
              <w:rPr>
                <w:color w:val="auto"/>
                <w:spacing w:val="-4"/>
                <w:highlight w:val="none"/>
              </w:rPr>
              <w:t>务</w:t>
            </w:r>
          </w:p>
        </w:tc>
        <w:tc>
          <w:tcPr>
            <w:tcW w:w="1190" w:type="dxa"/>
            <w:vAlign w:val="top"/>
          </w:tcPr>
          <w:p w14:paraId="70C05111">
            <w:pPr>
              <w:rPr>
                <w:rFonts w:ascii="Arial"/>
                <w:color w:val="auto"/>
                <w:sz w:val="21"/>
                <w:highlight w:val="none"/>
              </w:rPr>
            </w:pPr>
          </w:p>
        </w:tc>
        <w:tc>
          <w:tcPr>
            <w:tcW w:w="1963" w:type="dxa"/>
            <w:vAlign w:val="top"/>
          </w:tcPr>
          <w:p w14:paraId="2C1788A0">
            <w:pPr>
              <w:pStyle w:val="11"/>
              <w:spacing w:before="120" w:line="220" w:lineRule="auto"/>
              <w:ind w:left="250"/>
              <w:rPr>
                <w:color w:val="auto"/>
                <w:highlight w:val="none"/>
              </w:rPr>
            </w:pPr>
            <w:r>
              <w:rPr>
                <w:color w:val="auto"/>
                <w:spacing w:val="-1"/>
                <w:highlight w:val="none"/>
              </w:rPr>
              <w:t>拟在本工程任职</w:t>
            </w:r>
          </w:p>
        </w:tc>
        <w:tc>
          <w:tcPr>
            <w:tcW w:w="1996" w:type="dxa"/>
            <w:vAlign w:val="top"/>
          </w:tcPr>
          <w:p w14:paraId="19ADADF1">
            <w:pPr>
              <w:pStyle w:val="11"/>
              <w:spacing w:before="121" w:line="221" w:lineRule="auto"/>
              <w:ind w:left="586"/>
              <w:rPr>
                <w:color w:val="auto"/>
                <w:highlight w:val="none"/>
              </w:rPr>
            </w:pPr>
            <w:r>
              <w:rPr>
                <w:color w:val="auto"/>
                <w:spacing w:val="-2"/>
                <w:highlight w:val="none"/>
              </w:rPr>
              <w:t>项目经理</w:t>
            </w:r>
          </w:p>
        </w:tc>
      </w:tr>
      <w:tr w14:paraId="6520F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52" w:type="dxa"/>
            <w:gridSpan w:val="3"/>
            <w:vAlign w:val="top"/>
          </w:tcPr>
          <w:p w14:paraId="74DE8DF2">
            <w:pPr>
              <w:pStyle w:val="11"/>
              <w:spacing w:before="121" w:line="221" w:lineRule="auto"/>
              <w:ind w:left="372"/>
              <w:rPr>
                <w:color w:val="auto"/>
                <w:highlight w:val="none"/>
              </w:rPr>
            </w:pPr>
            <w:r>
              <w:rPr>
                <w:color w:val="auto"/>
                <w:spacing w:val="-1"/>
                <w:highlight w:val="none"/>
              </w:rPr>
              <w:t>注册建造师执业资格等级</w:t>
            </w:r>
          </w:p>
        </w:tc>
        <w:tc>
          <w:tcPr>
            <w:tcW w:w="1190" w:type="dxa"/>
            <w:vAlign w:val="top"/>
          </w:tcPr>
          <w:p w14:paraId="1F54D7EF">
            <w:pPr>
              <w:pStyle w:val="11"/>
              <w:spacing w:before="121" w:line="223" w:lineRule="auto"/>
              <w:ind w:left="820"/>
              <w:rPr>
                <w:color w:val="auto"/>
                <w:highlight w:val="none"/>
              </w:rPr>
            </w:pPr>
            <w:r>
              <w:rPr>
                <w:color w:val="auto"/>
                <w:highlight w:val="none"/>
              </w:rPr>
              <w:t>级</w:t>
            </w:r>
          </w:p>
        </w:tc>
        <w:tc>
          <w:tcPr>
            <w:tcW w:w="1963" w:type="dxa"/>
            <w:vAlign w:val="top"/>
          </w:tcPr>
          <w:p w14:paraId="5D87CDBB">
            <w:pPr>
              <w:pStyle w:val="11"/>
              <w:spacing w:before="121" w:line="221" w:lineRule="auto"/>
              <w:ind w:left="464"/>
              <w:rPr>
                <w:color w:val="auto"/>
                <w:highlight w:val="none"/>
              </w:rPr>
            </w:pPr>
            <w:r>
              <w:rPr>
                <w:color w:val="auto"/>
                <w:spacing w:val="-1"/>
                <w:highlight w:val="none"/>
              </w:rPr>
              <w:t>建造师专业</w:t>
            </w:r>
          </w:p>
        </w:tc>
        <w:tc>
          <w:tcPr>
            <w:tcW w:w="1996" w:type="dxa"/>
            <w:vAlign w:val="top"/>
          </w:tcPr>
          <w:p w14:paraId="60EFC32C">
            <w:pPr>
              <w:rPr>
                <w:rFonts w:ascii="Arial"/>
                <w:color w:val="auto"/>
                <w:sz w:val="21"/>
                <w:highlight w:val="none"/>
              </w:rPr>
            </w:pPr>
          </w:p>
        </w:tc>
      </w:tr>
      <w:tr w14:paraId="2C66A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52" w:type="dxa"/>
            <w:gridSpan w:val="3"/>
            <w:vAlign w:val="top"/>
          </w:tcPr>
          <w:p w14:paraId="0B6C16AA">
            <w:pPr>
              <w:pStyle w:val="11"/>
              <w:spacing w:before="122" w:line="220" w:lineRule="auto"/>
              <w:ind w:left="482"/>
              <w:rPr>
                <w:color w:val="auto"/>
                <w:highlight w:val="none"/>
              </w:rPr>
            </w:pPr>
            <w:r>
              <w:rPr>
                <w:color w:val="auto"/>
                <w:spacing w:val="-1"/>
                <w:highlight w:val="none"/>
              </w:rPr>
              <w:t>安全生产考核合格证书</w:t>
            </w:r>
          </w:p>
        </w:tc>
        <w:tc>
          <w:tcPr>
            <w:tcW w:w="5149" w:type="dxa"/>
            <w:gridSpan w:val="3"/>
            <w:vAlign w:val="top"/>
          </w:tcPr>
          <w:p w14:paraId="328206F4">
            <w:pPr>
              <w:rPr>
                <w:rFonts w:ascii="Arial"/>
                <w:color w:val="auto"/>
                <w:sz w:val="21"/>
                <w:highlight w:val="none"/>
              </w:rPr>
            </w:pPr>
          </w:p>
        </w:tc>
      </w:tr>
      <w:tr w14:paraId="348CF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130E55D">
            <w:pPr>
              <w:pStyle w:val="11"/>
              <w:spacing w:before="121" w:line="221" w:lineRule="auto"/>
              <w:ind w:left="141"/>
              <w:rPr>
                <w:color w:val="auto"/>
                <w:highlight w:val="none"/>
              </w:rPr>
            </w:pPr>
            <w:r>
              <w:rPr>
                <w:color w:val="auto"/>
                <w:spacing w:val="-2"/>
                <w:highlight w:val="none"/>
              </w:rPr>
              <w:t>毕业学校</w:t>
            </w:r>
          </w:p>
        </w:tc>
        <w:tc>
          <w:tcPr>
            <w:tcW w:w="7093" w:type="dxa"/>
            <w:gridSpan w:val="5"/>
            <w:vAlign w:val="top"/>
          </w:tcPr>
          <w:p w14:paraId="7808621A">
            <w:pPr>
              <w:pStyle w:val="11"/>
              <w:spacing w:before="121" w:line="221" w:lineRule="auto"/>
              <w:ind w:left="955"/>
              <w:rPr>
                <w:color w:val="auto"/>
                <w:highlight w:val="none"/>
              </w:rPr>
            </w:pPr>
            <w:r>
              <w:rPr>
                <w:color w:val="auto"/>
                <w:spacing w:val="-1"/>
                <w:highlight w:val="none"/>
              </w:rPr>
              <w:t>年毕业于                  学校</w:t>
            </w:r>
            <w:r>
              <w:rPr>
                <w:color w:val="auto"/>
                <w:spacing w:val="2"/>
                <w:highlight w:val="none"/>
              </w:rPr>
              <w:t xml:space="preserve">            </w:t>
            </w:r>
            <w:r>
              <w:rPr>
                <w:color w:val="auto"/>
                <w:spacing w:val="-1"/>
                <w:highlight w:val="none"/>
              </w:rPr>
              <w:t>专业</w:t>
            </w:r>
          </w:p>
        </w:tc>
      </w:tr>
      <w:tr w14:paraId="3E82B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14:paraId="5CE2412F">
            <w:pPr>
              <w:pStyle w:val="11"/>
              <w:spacing w:before="122" w:line="221" w:lineRule="auto"/>
              <w:ind w:left="3476"/>
              <w:rPr>
                <w:color w:val="auto"/>
                <w:highlight w:val="none"/>
              </w:rPr>
            </w:pPr>
            <w:r>
              <w:rPr>
                <w:color w:val="auto"/>
                <w:spacing w:val="-1"/>
                <w:highlight w:val="none"/>
              </w:rPr>
              <w:t>主要工作经历</w:t>
            </w:r>
          </w:p>
        </w:tc>
      </w:tr>
      <w:tr w14:paraId="02E89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14:paraId="07EB0E7B">
            <w:pPr>
              <w:pStyle w:val="11"/>
              <w:spacing w:before="122" w:line="223" w:lineRule="auto"/>
              <w:ind w:left="253"/>
              <w:rPr>
                <w:color w:val="auto"/>
                <w:highlight w:val="none"/>
              </w:rPr>
            </w:pPr>
            <w:r>
              <w:rPr>
                <w:color w:val="auto"/>
                <w:spacing w:val="-9"/>
                <w:highlight w:val="none"/>
              </w:rPr>
              <w:t>时</w:t>
            </w:r>
            <w:r>
              <w:rPr>
                <w:color w:val="auto"/>
                <w:spacing w:val="12"/>
                <w:highlight w:val="none"/>
              </w:rPr>
              <w:t xml:space="preserve">  </w:t>
            </w:r>
            <w:r>
              <w:rPr>
                <w:color w:val="auto"/>
                <w:spacing w:val="-9"/>
                <w:highlight w:val="none"/>
              </w:rPr>
              <w:t>间</w:t>
            </w:r>
          </w:p>
        </w:tc>
        <w:tc>
          <w:tcPr>
            <w:tcW w:w="3134" w:type="dxa"/>
            <w:gridSpan w:val="3"/>
            <w:vAlign w:val="top"/>
          </w:tcPr>
          <w:p w14:paraId="3EE57E87">
            <w:pPr>
              <w:pStyle w:val="11"/>
              <w:spacing w:before="122" w:line="221" w:lineRule="auto"/>
              <w:ind w:left="524"/>
              <w:rPr>
                <w:color w:val="auto"/>
                <w:highlight w:val="none"/>
              </w:rPr>
            </w:pPr>
            <w:r>
              <w:rPr>
                <w:color w:val="auto"/>
                <w:spacing w:val="-1"/>
                <w:highlight w:val="none"/>
              </w:rPr>
              <w:t>参加过的类似项目名称</w:t>
            </w:r>
          </w:p>
        </w:tc>
        <w:tc>
          <w:tcPr>
            <w:tcW w:w="1963" w:type="dxa"/>
            <w:vAlign w:val="top"/>
          </w:tcPr>
          <w:p w14:paraId="0056415A">
            <w:pPr>
              <w:pStyle w:val="11"/>
              <w:spacing w:before="122" w:line="221" w:lineRule="auto"/>
              <w:ind w:left="358"/>
              <w:rPr>
                <w:color w:val="auto"/>
                <w:highlight w:val="none"/>
              </w:rPr>
            </w:pPr>
            <w:r>
              <w:rPr>
                <w:color w:val="auto"/>
                <w:spacing w:val="-1"/>
                <w:highlight w:val="none"/>
              </w:rPr>
              <w:t>工程概况说明</w:t>
            </w:r>
          </w:p>
        </w:tc>
        <w:tc>
          <w:tcPr>
            <w:tcW w:w="1996" w:type="dxa"/>
            <w:vAlign w:val="top"/>
          </w:tcPr>
          <w:p w14:paraId="231625EA">
            <w:pPr>
              <w:pStyle w:val="11"/>
              <w:spacing w:before="122" w:line="221" w:lineRule="auto"/>
              <w:ind w:left="168"/>
              <w:rPr>
                <w:color w:val="auto"/>
                <w:highlight w:val="none"/>
              </w:rPr>
            </w:pPr>
            <w:r>
              <w:rPr>
                <w:color w:val="auto"/>
                <w:spacing w:val="-1"/>
                <w:highlight w:val="none"/>
              </w:rPr>
              <w:t>发包人及联系电话</w:t>
            </w:r>
          </w:p>
        </w:tc>
      </w:tr>
      <w:tr w14:paraId="10504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E00C97B">
            <w:pPr>
              <w:rPr>
                <w:rFonts w:ascii="Arial"/>
                <w:color w:val="auto"/>
                <w:sz w:val="21"/>
                <w:highlight w:val="none"/>
              </w:rPr>
            </w:pPr>
          </w:p>
        </w:tc>
        <w:tc>
          <w:tcPr>
            <w:tcW w:w="3134" w:type="dxa"/>
            <w:gridSpan w:val="3"/>
            <w:vAlign w:val="top"/>
          </w:tcPr>
          <w:p w14:paraId="40439E54">
            <w:pPr>
              <w:rPr>
                <w:rFonts w:ascii="Arial"/>
                <w:color w:val="auto"/>
                <w:sz w:val="21"/>
                <w:highlight w:val="none"/>
              </w:rPr>
            </w:pPr>
          </w:p>
        </w:tc>
        <w:tc>
          <w:tcPr>
            <w:tcW w:w="1963" w:type="dxa"/>
            <w:vAlign w:val="top"/>
          </w:tcPr>
          <w:p w14:paraId="247420B2">
            <w:pPr>
              <w:rPr>
                <w:rFonts w:ascii="Arial"/>
                <w:color w:val="auto"/>
                <w:sz w:val="21"/>
                <w:highlight w:val="none"/>
              </w:rPr>
            </w:pPr>
          </w:p>
        </w:tc>
        <w:tc>
          <w:tcPr>
            <w:tcW w:w="1996" w:type="dxa"/>
            <w:vAlign w:val="top"/>
          </w:tcPr>
          <w:p w14:paraId="0FF97E48">
            <w:pPr>
              <w:rPr>
                <w:rFonts w:ascii="Arial"/>
                <w:color w:val="auto"/>
                <w:sz w:val="21"/>
                <w:highlight w:val="none"/>
              </w:rPr>
            </w:pPr>
          </w:p>
        </w:tc>
      </w:tr>
      <w:tr w14:paraId="0381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D790F33">
            <w:pPr>
              <w:rPr>
                <w:rFonts w:ascii="Arial"/>
                <w:color w:val="auto"/>
                <w:sz w:val="21"/>
                <w:highlight w:val="none"/>
              </w:rPr>
            </w:pPr>
          </w:p>
        </w:tc>
        <w:tc>
          <w:tcPr>
            <w:tcW w:w="3134" w:type="dxa"/>
            <w:gridSpan w:val="3"/>
            <w:vAlign w:val="top"/>
          </w:tcPr>
          <w:p w14:paraId="5ACEC281">
            <w:pPr>
              <w:rPr>
                <w:rFonts w:ascii="Arial"/>
                <w:color w:val="auto"/>
                <w:sz w:val="21"/>
                <w:highlight w:val="none"/>
              </w:rPr>
            </w:pPr>
          </w:p>
        </w:tc>
        <w:tc>
          <w:tcPr>
            <w:tcW w:w="1963" w:type="dxa"/>
            <w:vAlign w:val="top"/>
          </w:tcPr>
          <w:p w14:paraId="4056FE74">
            <w:pPr>
              <w:rPr>
                <w:rFonts w:ascii="Arial"/>
                <w:color w:val="auto"/>
                <w:sz w:val="21"/>
                <w:highlight w:val="none"/>
              </w:rPr>
            </w:pPr>
          </w:p>
        </w:tc>
        <w:tc>
          <w:tcPr>
            <w:tcW w:w="1996" w:type="dxa"/>
            <w:vAlign w:val="top"/>
          </w:tcPr>
          <w:p w14:paraId="27CA833A">
            <w:pPr>
              <w:rPr>
                <w:rFonts w:ascii="Arial"/>
                <w:color w:val="auto"/>
                <w:sz w:val="21"/>
                <w:highlight w:val="none"/>
              </w:rPr>
            </w:pPr>
          </w:p>
        </w:tc>
      </w:tr>
      <w:tr w14:paraId="7E4A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56AEF3D8">
            <w:pPr>
              <w:rPr>
                <w:rFonts w:ascii="Arial"/>
                <w:color w:val="auto"/>
                <w:sz w:val="21"/>
                <w:highlight w:val="none"/>
              </w:rPr>
            </w:pPr>
          </w:p>
        </w:tc>
        <w:tc>
          <w:tcPr>
            <w:tcW w:w="3134" w:type="dxa"/>
            <w:gridSpan w:val="3"/>
            <w:vAlign w:val="top"/>
          </w:tcPr>
          <w:p w14:paraId="6E9F43C7">
            <w:pPr>
              <w:rPr>
                <w:rFonts w:ascii="Arial"/>
                <w:color w:val="auto"/>
                <w:sz w:val="21"/>
                <w:highlight w:val="none"/>
              </w:rPr>
            </w:pPr>
          </w:p>
        </w:tc>
        <w:tc>
          <w:tcPr>
            <w:tcW w:w="1963" w:type="dxa"/>
            <w:vAlign w:val="top"/>
          </w:tcPr>
          <w:p w14:paraId="51FE9FD3">
            <w:pPr>
              <w:rPr>
                <w:rFonts w:ascii="Arial"/>
                <w:color w:val="auto"/>
                <w:sz w:val="21"/>
                <w:highlight w:val="none"/>
              </w:rPr>
            </w:pPr>
          </w:p>
        </w:tc>
        <w:tc>
          <w:tcPr>
            <w:tcW w:w="1996" w:type="dxa"/>
            <w:vAlign w:val="top"/>
          </w:tcPr>
          <w:p w14:paraId="09CCE6CF">
            <w:pPr>
              <w:rPr>
                <w:rFonts w:ascii="Arial"/>
                <w:color w:val="auto"/>
                <w:sz w:val="21"/>
                <w:highlight w:val="none"/>
              </w:rPr>
            </w:pPr>
          </w:p>
        </w:tc>
      </w:tr>
      <w:tr w14:paraId="04D7F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A2F1F55">
            <w:pPr>
              <w:rPr>
                <w:rFonts w:ascii="Arial"/>
                <w:color w:val="auto"/>
                <w:sz w:val="21"/>
                <w:highlight w:val="none"/>
              </w:rPr>
            </w:pPr>
          </w:p>
        </w:tc>
        <w:tc>
          <w:tcPr>
            <w:tcW w:w="3134" w:type="dxa"/>
            <w:gridSpan w:val="3"/>
            <w:vAlign w:val="top"/>
          </w:tcPr>
          <w:p w14:paraId="222D3B0A">
            <w:pPr>
              <w:rPr>
                <w:rFonts w:ascii="Arial"/>
                <w:color w:val="auto"/>
                <w:sz w:val="21"/>
                <w:highlight w:val="none"/>
              </w:rPr>
            </w:pPr>
          </w:p>
        </w:tc>
        <w:tc>
          <w:tcPr>
            <w:tcW w:w="1963" w:type="dxa"/>
            <w:vAlign w:val="top"/>
          </w:tcPr>
          <w:p w14:paraId="2C253A86">
            <w:pPr>
              <w:rPr>
                <w:rFonts w:ascii="Arial"/>
                <w:color w:val="auto"/>
                <w:sz w:val="21"/>
                <w:highlight w:val="none"/>
              </w:rPr>
            </w:pPr>
          </w:p>
        </w:tc>
        <w:tc>
          <w:tcPr>
            <w:tcW w:w="1996" w:type="dxa"/>
            <w:vAlign w:val="top"/>
          </w:tcPr>
          <w:p w14:paraId="1586F470">
            <w:pPr>
              <w:rPr>
                <w:rFonts w:ascii="Arial"/>
                <w:color w:val="auto"/>
                <w:sz w:val="21"/>
                <w:highlight w:val="none"/>
              </w:rPr>
            </w:pPr>
          </w:p>
        </w:tc>
      </w:tr>
      <w:tr w14:paraId="6DFFB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52C8CD60">
            <w:pPr>
              <w:rPr>
                <w:rFonts w:ascii="Arial"/>
                <w:color w:val="auto"/>
                <w:sz w:val="21"/>
                <w:highlight w:val="none"/>
              </w:rPr>
            </w:pPr>
          </w:p>
        </w:tc>
        <w:tc>
          <w:tcPr>
            <w:tcW w:w="3134" w:type="dxa"/>
            <w:gridSpan w:val="3"/>
            <w:vAlign w:val="top"/>
          </w:tcPr>
          <w:p w14:paraId="74416799">
            <w:pPr>
              <w:rPr>
                <w:rFonts w:ascii="Arial"/>
                <w:color w:val="auto"/>
                <w:sz w:val="21"/>
                <w:highlight w:val="none"/>
              </w:rPr>
            </w:pPr>
          </w:p>
        </w:tc>
        <w:tc>
          <w:tcPr>
            <w:tcW w:w="1963" w:type="dxa"/>
            <w:vAlign w:val="top"/>
          </w:tcPr>
          <w:p w14:paraId="5DD7CC78">
            <w:pPr>
              <w:rPr>
                <w:rFonts w:ascii="Arial"/>
                <w:color w:val="auto"/>
                <w:sz w:val="21"/>
                <w:highlight w:val="none"/>
              </w:rPr>
            </w:pPr>
          </w:p>
        </w:tc>
        <w:tc>
          <w:tcPr>
            <w:tcW w:w="1996" w:type="dxa"/>
            <w:vAlign w:val="top"/>
          </w:tcPr>
          <w:p w14:paraId="1F10689D">
            <w:pPr>
              <w:rPr>
                <w:rFonts w:ascii="Arial"/>
                <w:color w:val="auto"/>
                <w:sz w:val="21"/>
                <w:highlight w:val="none"/>
              </w:rPr>
            </w:pPr>
          </w:p>
        </w:tc>
      </w:tr>
      <w:tr w14:paraId="76142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ED70514">
            <w:pPr>
              <w:rPr>
                <w:rFonts w:ascii="Arial"/>
                <w:color w:val="auto"/>
                <w:sz w:val="21"/>
                <w:highlight w:val="none"/>
              </w:rPr>
            </w:pPr>
          </w:p>
        </w:tc>
        <w:tc>
          <w:tcPr>
            <w:tcW w:w="3134" w:type="dxa"/>
            <w:gridSpan w:val="3"/>
            <w:vAlign w:val="top"/>
          </w:tcPr>
          <w:p w14:paraId="765A48C6">
            <w:pPr>
              <w:rPr>
                <w:rFonts w:ascii="Arial"/>
                <w:color w:val="auto"/>
                <w:sz w:val="21"/>
                <w:highlight w:val="none"/>
              </w:rPr>
            </w:pPr>
          </w:p>
        </w:tc>
        <w:tc>
          <w:tcPr>
            <w:tcW w:w="1963" w:type="dxa"/>
            <w:vAlign w:val="top"/>
          </w:tcPr>
          <w:p w14:paraId="1138BB91">
            <w:pPr>
              <w:rPr>
                <w:rFonts w:ascii="Arial"/>
                <w:color w:val="auto"/>
                <w:sz w:val="21"/>
                <w:highlight w:val="none"/>
              </w:rPr>
            </w:pPr>
          </w:p>
        </w:tc>
        <w:tc>
          <w:tcPr>
            <w:tcW w:w="1996" w:type="dxa"/>
            <w:vAlign w:val="top"/>
          </w:tcPr>
          <w:p w14:paraId="35B85C98">
            <w:pPr>
              <w:rPr>
                <w:rFonts w:ascii="Arial"/>
                <w:color w:val="auto"/>
                <w:sz w:val="21"/>
                <w:highlight w:val="none"/>
              </w:rPr>
            </w:pPr>
          </w:p>
        </w:tc>
      </w:tr>
      <w:tr w14:paraId="7A4F3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01B047E">
            <w:pPr>
              <w:rPr>
                <w:rFonts w:ascii="Arial"/>
                <w:color w:val="auto"/>
                <w:sz w:val="21"/>
                <w:highlight w:val="none"/>
              </w:rPr>
            </w:pPr>
          </w:p>
        </w:tc>
        <w:tc>
          <w:tcPr>
            <w:tcW w:w="3134" w:type="dxa"/>
            <w:gridSpan w:val="3"/>
            <w:vAlign w:val="top"/>
          </w:tcPr>
          <w:p w14:paraId="784C57A1">
            <w:pPr>
              <w:rPr>
                <w:rFonts w:ascii="Arial"/>
                <w:color w:val="auto"/>
                <w:sz w:val="21"/>
                <w:highlight w:val="none"/>
              </w:rPr>
            </w:pPr>
          </w:p>
        </w:tc>
        <w:tc>
          <w:tcPr>
            <w:tcW w:w="1963" w:type="dxa"/>
            <w:vAlign w:val="top"/>
          </w:tcPr>
          <w:p w14:paraId="33C3BF9D">
            <w:pPr>
              <w:rPr>
                <w:rFonts w:ascii="Arial"/>
                <w:color w:val="auto"/>
                <w:sz w:val="21"/>
                <w:highlight w:val="none"/>
              </w:rPr>
            </w:pPr>
          </w:p>
        </w:tc>
        <w:tc>
          <w:tcPr>
            <w:tcW w:w="1996" w:type="dxa"/>
            <w:vAlign w:val="top"/>
          </w:tcPr>
          <w:p w14:paraId="4D14EA62">
            <w:pPr>
              <w:rPr>
                <w:rFonts w:ascii="Arial"/>
                <w:color w:val="auto"/>
                <w:sz w:val="21"/>
                <w:highlight w:val="none"/>
              </w:rPr>
            </w:pPr>
          </w:p>
        </w:tc>
      </w:tr>
      <w:tr w14:paraId="508A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2BDD2C1">
            <w:pPr>
              <w:rPr>
                <w:rFonts w:ascii="Arial"/>
                <w:color w:val="auto"/>
                <w:sz w:val="21"/>
                <w:highlight w:val="none"/>
              </w:rPr>
            </w:pPr>
          </w:p>
        </w:tc>
        <w:tc>
          <w:tcPr>
            <w:tcW w:w="3134" w:type="dxa"/>
            <w:gridSpan w:val="3"/>
            <w:vAlign w:val="top"/>
          </w:tcPr>
          <w:p w14:paraId="2E4B7EFC">
            <w:pPr>
              <w:rPr>
                <w:rFonts w:ascii="Arial"/>
                <w:color w:val="auto"/>
                <w:sz w:val="21"/>
                <w:highlight w:val="none"/>
              </w:rPr>
            </w:pPr>
          </w:p>
        </w:tc>
        <w:tc>
          <w:tcPr>
            <w:tcW w:w="1963" w:type="dxa"/>
            <w:vAlign w:val="top"/>
          </w:tcPr>
          <w:p w14:paraId="61AC3D57">
            <w:pPr>
              <w:rPr>
                <w:rFonts w:ascii="Arial"/>
                <w:color w:val="auto"/>
                <w:sz w:val="21"/>
                <w:highlight w:val="none"/>
              </w:rPr>
            </w:pPr>
          </w:p>
        </w:tc>
        <w:tc>
          <w:tcPr>
            <w:tcW w:w="1996" w:type="dxa"/>
            <w:vAlign w:val="top"/>
          </w:tcPr>
          <w:p w14:paraId="2756EE11">
            <w:pPr>
              <w:rPr>
                <w:rFonts w:ascii="Arial"/>
                <w:color w:val="auto"/>
                <w:sz w:val="21"/>
                <w:highlight w:val="none"/>
              </w:rPr>
            </w:pPr>
          </w:p>
        </w:tc>
      </w:tr>
      <w:tr w14:paraId="0FBE7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14:paraId="31BF6A2F">
            <w:pPr>
              <w:rPr>
                <w:rFonts w:ascii="Arial"/>
                <w:color w:val="auto"/>
                <w:sz w:val="21"/>
                <w:highlight w:val="none"/>
              </w:rPr>
            </w:pPr>
          </w:p>
        </w:tc>
        <w:tc>
          <w:tcPr>
            <w:tcW w:w="3134" w:type="dxa"/>
            <w:gridSpan w:val="3"/>
            <w:vAlign w:val="top"/>
          </w:tcPr>
          <w:p w14:paraId="0542CF7E">
            <w:pPr>
              <w:rPr>
                <w:rFonts w:ascii="Arial"/>
                <w:color w:val="auto"/>
                <w:sz w:val="21"/>
                <w:highlight w:val="none"/>
              </w:rPr>
            </w:pPr>
          </w:p>
        </w:tc>
        <w:tc>
          <w:tcPr>
            <w:tcW w:w="1963" w:type="dxa"/>
            <w:vAlign w:val="top"/>
          </w:tcPr>
          <w:p w14:paraId="375D69EB">
            <w:pPr>
              <w:rPr>
                <w:rFonts w:ascii="Arial"/>
                <w:color w:val="auto"/>
                <w:sz w:val="21"/>
                <w:highlight w:val="none"/>
              </w:rPr>
            </w:pPr>
          </w:p>
        </w:tc>
        <w:tc>
          <w:tcPr>
            <w:tcW w:w="1996" w:type="dxa"/>
            <w:vAlign w:val="top"/>
          </w:tcPr>
          <w:p w14:paraId="5AE85CB6">
            <w:pPr>
              <w:rPr>
                <w:rFonts w:ascii="Arial"/>
                <w:color w:val="auto"/>
                <w:sz w:val="21"/>
                <w:highlight w:val="none"/>
              </w:rPr>
            </w:pPr>
          </w:p>
        </w:tc>
      </w:tr>
    </w:tbl>
    <w:p w14:paraId="7CA8FAA6">
      <w:pPr>
        <w:spacing w:before="78" w:line="253" w:lineRule="auto"/>
        <w:ind w:left="963" w:right="29" w:hanging="9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1.项目经理应附建造师注册证书、安全生产考核合格证书（</w:t>
      </w:r>
      <w:r>
        <w:rPr>
          <w:rFonts w:ascii="Times New Roman" w:hAnsi="Times New Roman" w:eastAsia="Times New Roman" w:cs="Times New Roman"/>
          <w:color w:val="auto"/>
          <w:spacing w:val="-4"/>
          <w:sz w:val="21"/>
          <w:szCs w:val="21"/>
          <w:highlight w:val="none"/>
        </w:rPr>
        <w:t>B</w:t>
      </w:r>
      <w:r>
        <w:rPr>
          <w:rFonts w:ascii="宋体" w:hAnsi="宋体" w:eastAsia="宋体" w:cs="宋体"/>
          <w:color w:val="auto"/>
          <w:spacing w:val="-4"/>
          <w:sz w:val="21"/>
          <w:szCs w:val="21"/>
          <w:highlight w:val="none"/>
        </w:rPr>
        <w:t>证）、职称证书、学历</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证书等材料。</w:t>
      </w:r>
    </w:p>
    <w:p w14:paraId="775559D0">
      <w:pPr>
        <w:spacing w:before="71" w:line="220" w:lineRule="auto"/>
        <w:ind w:left="650"/>
        <w:rPr>
          <w:rFonts w:ascii="宋体" w:hAnsi="宋体" w:eastAsia="宋体" w:cs="宋体"/>
          <w:color w:val="auto"/>
          <w:sz w:val="21"/>
          <w:szCs w:val="21"/>
          <w:highlight w:val="none"/>
        </w:rPr>
      </w:pPr>
      <w:r>
        <w:rPr>
          <w:rFonts w:ascii="宋体" w:hAnsi="宋体" w:eastAsia="宋体" w:cs="宋体"/>
          <w:color w:val="auto"/>
          <w:sz w:val="21"/>
          <w:szCs w:val="21"/>
          <w:highlight w:val="none"/>
        </w:rPr>
        <w:t>2.类似项目限于以项目经理身份参与的项目。须</w:t>
      </w:r>
      <w:r>
        <w:rPr>
          <w:rFonts w:ascii="宋体" w:hAnsi="宋体" w:eastAsia="宋体" w:cs="宋体"/>
          <w:color w:val="auto"/>
          <w:spacing w:val="-1"/>
          <w:sz w:val="21"/>
          <w:szCs w:val="21"/>
          <w:highlight w:val="none"/>
        </w:rPr>
        <w:t>附业绩证明材料。</w:t>
      </w:r>
    </w:p>
    <w:p w14:paraId="67A755F8">
      <w:pPr>
        <w:spacing w:line="220" w:lineRule="auto"/>
        <w:rPr>
          <w:rFonts w:ascii="宋体" w:hAnsi="宋体" w:eastAsia="宋体" w:cs="宋体"/>
          <w:color w:val="auto"/>
          <w:sz w:val="21"/>
          <w:szCs w:val="21"/>
          <w:highlight w:val="none"/>
        </w:rPr>
        <w:sectPr>
          <w:footerReference r:id="rId224" w:type="default"/>
          <w:pgSz w:w="11905" w:h="16839"/>
          <w:pgMar w:top="400" w:right="1785" w:bottom="1004" w:left="1785" w:header="0" w:footer="828" w:gutter="0"/>
          <w:pgNumType w:fmt="decimal"/>
          <w:cols w:space="720" w:num="1"/>
        </w:sectPr>
      </w:pPr>
    </w:p>
    <w:p w14:paraId="292440A2">
      <w:pPr>
        <w:pStyle w:val="3"/>
        <w:spacing w:line="260" w:lineRule="auto"/>
        <w:rPr>
          <w:color w:val="auto"/>
          <w:highlight w:val="none"/>
        </w:rPr>
      </w:pPr>
    </w:p>
    <w:p w14:paraId="242254BA">
      <w:pPr>
        <w:pStyle w:val="3"/>
        <w:spacing w:line="260" w:lineRule="auto"/>
        <w:rPr>
          <w:color w:val="auto"/>
          <w:highlight w:val="none"/>
        </w:rPr>
      </w:pPr>
    </w:p>
    <w:p w14:paraId="1F0BA53D">
      <w:pPr>
        <w:pStyle w:val="3"/>
        <w:spacing w:line="260" w:lineRule="auto"/>
        <w:rPr>
          <w:color w:val="auto"/>
          <w:highlight w:val="none"/>
        </w:rPr>
      </w:pPr>
    </w:p>
    <w:p w14:paraId="07CBECA1">
      <w:pPr>
        <w:pStyle w:val="3"/>
        <w:spacing w:line="260" w:lineRule="auto"/>
        <w:rPr>
          <w:color w:val="auto"/>
          <w:highlight w:val="none"/>
        </w:rPr>
      </w:pPr>
    </w:p>
    <w:p w14:paraId="2576F853">
      <w:pPr>
        <w:pStyle w:val="3"/>
        <w:spacing w:line="261" w:lineRule="auto"/>
        <w:rPr>
          <w:color w:val="auto"/>
          <w:highlight w:val="none"/>
        </w:rPr>
      </w:pPr>
    </w:p>
    <w:p w14:paraId="6B4F4412">
      <w:pPr>
        <w:spacing w:before="87" w:line="225" w:lineRule="auto"/>
        <w:ind w:left="3361"/>
        <w:rPr>
          <w:rFonts w:ascii="黑体" w:hAnsi="黑体" w:eastAsia="黑体" w:cs="黑体"/>
          <w:color w:val="auto"/>
          <w:sz w:val="27"/>
          <w:szCs w:val="27"/>
          <w:highlight w:val="none"/>
        </w:rPr>
      </w:pPr>
      <w:bookmarkStart w:id="1339" w:name="bookmark312"/>
      <w:bookmarkEnd w:id="1339"/>
      <w:r>
        <w:rPr>
          <w:rFonts w:ascii="黑体" w:hAnsi="黑体" w:eastAsia="黑体" w:cs="黑体"/>
          <w:color w:val="auto"/>
          <w:spacing w:val="-1"/>
          <w:sz w:val="27"/>
          <w:szCs w:val="27"/>
          <w:highlight w:val="none"/>
        </w:rPr>
        <w:t>（三）承诺书</w:t>
      </w:r>
    </w:p>
    <w:p w14:paraId="4BBBBE1D">
      <w:pPr>
        <w:tabs>
          <w:tab w:val="left" w:pos="2218"/>
        </w:tabs>
        <w:spacing w:before="290"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5B2FCBEC">
      <w:pPr>
        <w:spacing w:before="162" w:line="388" w:lineRule="auto"/>
        <w:ind w:left="35" w:right="1" w:firstLine="40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我方在此声明，我方拟派往</w:t>
      </w:r>
      <w:r>
        <w:rPr>
          <w:rFonts w:ascii="宋体" w:hAnsi="宋体" w:eastAsia="宋体" w:cs="宋体"/>
          <w:color w:val="auto"/>
          <w:spacing w:val="-103"/>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（标段名称</w:t>
      </w:r>
      <w:r>
        <w:rPr>
          <w:rFonts w:ascii="宋体" w:hAnsi="宋体" w:eastAsia="宋体" w:cs="宋体"/>
          <w:color w:val="auto"/>
          <w:spacing w:val="-8"/>
          <w:sz w:val="21"/>
          <w:szCs w:val="21"/>
          <w:highlight w:val="none"/>
        </w:rPr>
        <w:t>）（</w:t>
      </w:r>
      <w:r>
        <w:rPr>
          <w:rFonts w:ascii="宋体" w:hAnsi="宋体" w:eastAsia="宋体" w:cs="宋体"/>
          <w:color w:val="auto"/>
          <w:spacing w:val="-4"/>
          <w:sz w:val="21"/>
          <w:szCs w:val="21"/>
          <w:highlight w:val="none"/>
        </w:rPr>
        <w:t>以下简称“本工程”）</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的项目经理</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
          <w:sz w:val="21"/>
          <w:szCs w:val="21"/>
          <w:highlight w:val="none"/>
        </w:rPr>
        <w:t xml:space="preserve">  （项目经理姓名） 现阶段（投标截止时间之前）没有担任</w:t>
      </w:r>
      <w:r>
        <w:rPr>
          <w:rFonts w:ascii="宋体" w:hAnsi="宋体" w:eastAsia="宋体" w:cs="宋体"/>
          <w:color w:val="auto"/>
          <w:spacing w:val="-7"/>
          <w:sz w:val="21"/>
          <w:szCs w:val="21"/>
          <w:highlight w:val="none"/>
        </w:rPr>
        <w:t>其他在</w:t>
      </w:r>
    </w:p>
    <w:p w14:paraId="719FCC1A">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施建设工程项目的项目经理。</w:t>
      </w:r>
    </w:p>
    <w:p w14:paraId="292E9C78">
      <w:pPr>
        <w:spacing w:before="185" w:line="388" w:lineRule="auto"/>
        <w:ind w:left="17" w:right="7"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根据《注册建造师执业管理办法（试行）》第九条规定“注册建造师不得同时担任两个</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及以上建设工程施工项目负责人”，第十条规定“注册建造</w:t>
      </w:r>
      <w:r>
        <w:rPr>
          <w:rFonts w:ascii="宋体" w:hAnsi="宋体" w:eastAsia="宋体" w:cs="宋体"/>
          <w:color w:val="auto"/>
          <w:spacing w:val="-3"/>
          <w:sz w:val="21"/>
          <w:szCs w:val="21"/>
          <w:highlight w:val="none"/>
        </w:rPr>
        <w:t>师担任施工项目负责人期间原则</w:t>
      </w:r>
    </w:p>
    <w:p w14:paraId="77C45BDE">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上不得更换”。我方拟派项目经理的能够参加本工程的投标是基于以下理</w:t>
      </w:r>
      <w:r>
        <w:rPr>
          <w:rFonts w:ascii="宋体" w:hAnsi="宋体" w:eastAsia="宋体" w:cs="宋体"/>
          <w:color w:val="auto"/>
          <w:spacing w:val="-5"/>
          <w:sz w:val="21"/>
          <w:szCs w:val="21"/>
          <w:highlight w:val="none"/>
        </w:rPr>
        <w:t>由：</w:t>
      </w:r>
    </w:p>
    <w:p w14:paraId="74A23C24">
      <w:pPr>
        <w:spacing w:before="187" w:line="220" w:lineRule="auto"/>
        <w:ind w:left="56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拟派项目经理无在建工程。</w:t>
      </w:r>
    </w:p>
    <w:p w14:paraId="463DFB5B">
      <w:pPr>
        <w:spacing w:before="191" w:line="220" w:lineRule="auto"/>
        <w:ind w:right="22"/>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拟派项目经理存在《注册建造师执业管理办法</w:t>
      </w:r>
      <w:r>
        <w:rPr>
          <w:rFonts w:ascii="宋体" w:hAnsi="宋体" w:eastAsia="宋体" w:cs="宋体"/>
          <w:color w:val="auto"/>
          <w:spacing w:val="-4"/>
          <w:sz w:val="21"/>
          <w:szCs w:val="21"/>
          <w:highlight w:val="none"/>
        </w:rPr>
        <w:t>（试行）》第九条规定的下列情形：</w:t>
      </w:r>
    </w:p>
    <w:p w14:paraId="7C1D563B">
      <w:pPr>
        <w:spacing w:before="192"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□同一工程相邻分段发包或分期施工的</w:t>
      </w:r>
      <w:r>
        <w:rPr>
          <w:rFonts w:ascii="宋体" w:hAnsi="宋体" w:eastAsia="宋体" w:cs="宋体"/>
          <w:color w:val="auto"/>
          <w:spacing w:val="-51"/>
          <w:sz w:val="21"/>
          <w:szCs w:val="21"/>
          <w:highlight w:val="none"/>
        </w:rPr>
        <w:t xml:space="preserve"> </w:t>
      </w:r>
      <w:r>
        <w:rPr>
          <w:rFonts w:ascii="宋体" w:hAnsi="宋体" w:eastAsia="宋体" w:cs="宋体"/>
          <w:color w:val="auto"/>
          <w:spacing w:val="-2"/>
          <w:sz w:val="21"/>
          <w:szCs w:val="21"/>
          <w:highlight w:val="none"/>
        </w:rPr>
        <w:t>;</w:t>
      </w:r>
    </w:p>
    <w:p w14:paraId="7282604F">
      <w:pPr>
        <w:spacing w:before="185"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□合同约定的工程验收合格的；</w:t>
      </w:r>
    </w:p>
    <w:p w14:paraId="4AD1671E">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□因非承包方原因致使工程项目停工超过</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120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天（含</w:t>
      </w:r>
      <w:r>
        <w:rPr>
          <w:rFonts w:ascii="宋体" w:hAnsi="宋体" w:eastAsia="宋体" w:cs="宋体"/>
          <w:color w:val="auto"/>
          <w:spacing w:val="-51"/>
          <w:sz w:val="21"/>
          <w:szCs w:val="21"/>
          <w:highlight w:val="none"/>
        </w:rPr>
        <w:t>），</w:t>
      </w:r>
      <w:r>
        <w:rPr>
          <w:rFonts w:ascii="宋体" w:hAnsi="宋体" w:eastAsia="宋体" w:cs="宋体"/>
          <w:color w:val="auto"/>
          <w:spacing w:val="-2"/>
          <w:sz w:val="21"/>
          <w:szCs w:val="21"/>
          <w:highlight w:val="none"/>
        </w:rPr>
        <w:t>经建设单位同意的。</w:t>
      </w:r>
    </w:p>
    <w:p w14:paraId="4EA9A9C3">
      <w:pPr>
        <w:spacing w:before="191" w:line="220" w:lineRule="auto"/>
        <w:ind w:right="28"/>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宋体" w:hAnsi="宋体" w:eastAsia="宋体" w:cs="宋体"/>
          <w:color w:val="auto"/>
          <w:spacing w:val="75"/>
          <w:sz w:val="21"/>
          <w:szCs w:val="21"/>
          <w:highlight w:val="none"/>
        </w:rPr>
        <w:t xml:space="preserve"> </w:t>
      </w:r>
      <w:r>
        <w:rPr>
          <w:rFonts w:ascii="宋体" w:hAnsi="宋体" w:eastAsia="宋体" w:cs="宋体"/>
          <w:color w:val="auto"/>
          <w:sz w:val="21"/>
          <w:szCs w:val="21"/>
          <w:highlight w:val="none"/>
        </w:rPr>
        <w:t>拟派项目经理担任其他施工项目负责人期间因下列原因进行了更换，并办理书面</w:t>
      </w:r>
    </w:p>
    <w:p w14:paraId="548BD215">
      <w:pPr>
        <w:spacing w:before="187" w:line="221" w:lineRule="auto"/>
        <w:ind w:left="2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交接手续：</w:t>
      </w:r>
    </w:p>
    <w:p w14:paraId="3A27A868">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□发包方与注册建造师受聘企业已解除承包合同的；</w:t>
      </w:r>
    </w:p>
    <w:p w14:paraId="505FD237">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□发包方同意更换项目负责人的；</w:t>
      </w:r>
    </w:p>
    <w:p w14:paraId="3A770622">
      <w:pPr>
        <w:spacing w:before="185"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□因不可抗力等特殊情况必须更换项目负责人的。</w:t>
      </w:r>
    </w:p>
    <w:p w14:paraId="1AC44A0C">
      <w:pPr>
        <w:spacing w:before="191" w:line="239" w:lineRule="auto"/>
        <w:ind w:left="563"/>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宋体" w:hAnsi="宋体" w:eastAsia="宋体" w:cs="宋体"/>
          <w:color w:val="auto"/>
          <w:spacing w:val="-52"/>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15"/>
          <w:sz w:val="21"/>
          <w:szCs w:val="21"/>
          <w:highlight w:val="none"/>
        </w:rPr>
        <w:t>。</w:t>
      </w:r>
    </w:p>
    <w:p w14:paraId="05F4771F">
      <w:pPr>
        <w:spacing w:before="170" w:line="437" w:lineRule="exact"/>
        <w:ind w:left="442"/>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我方保证上述信息的真实性和准确性， 并承担相应的法律责任。</w:t>
      </w:r>
    </w:p>
    <w:p w14:paraId="56131F6E">
      <w:pPr>
        <w:spacing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特此承诺</w:t>
      </w:r>
    </w:p>
    <w:p w14:paraId="35743EFA">
      <w:pPr>
        <w:pStyle w:val="3"/>
        <w:spacing w:line="417" w:lineRule="auto"/>
        <w:rPr>
          <w:color w:val="auto"/>
          <w:highlight w:val="none"/>
        </w:rPr>
      </w:pPr>
    </w:p>
    <w:p w14:paraId="1022C669">
      <w:pPr>
        <w:spacing w:before="69" w:line="359" w:lineRule="auto"/>
        <w:ind w:right="7"/>
        <w:jc w:val="right"/>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投标人</w:t>
      </w:r>
      <w:r>
        <w:rPr>
          <w:rFonts w:ascii="宋体" w:hAnsi="宋体" w:eastAsia="宋体" w:cs="宋体"/>
          <w:color w:val="auto"/>
          <w:spacing w:val="3"/>
          <w:sz w:val="21"/>
          <w:szCs w:val="21"/>
          <w:highlight w:val="none"/>
        </w:rPr>
        <w:t>：</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4"/>
          <w:sz w:val="21"/>
          <w:szCs w:val="21"/>
          <w:highlight w:val="none"/>
        </w:rPr>
        <w:t>盖单位章）</w:t>
      </w:r>
    </w:p>
    <w:p w14:paraId="763D190F">
      <w:pPr>
        <w:spacing w:before="1" w:line="219" w:lineRule="auto"/>
        <w:ind w:right="11"/>
        <w:jc w:val="right"/>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4A7F388A">
      <w:pPr>
        <w:tabs>
          <w:tab w:val="left" w:pos="6017"/>
        </w:tabs>
        <w:spacing w:before="158" w:line="221" w:lineRule="auto"/>
        <w:ind w:left="496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56D9770E">
      <w:pPr>
        <w:spacing w:line="221" w:lineRule="auto"/>
        <w:rPr>
          <w:rFonts w:ascii="宋体" w:hAnsi="宋体" w:eastAsia="宋体" w:cs="宋体"/>
          <w:color w:val="auto"/>
          <w:sz w:val="21"/>
          <w:szCs w:val="21"/>
          <w:highlight w:val="none"/>
        </w:rPr>
        <w:sectPr>
          <w:footerReference r:id="rId225" w:type="default"/>
          <w:pgSz w:w="11905" w:h="16839"/>
          <w:pgMar w:top="400" w:right="1785" w:bottom="1004" w:left="1785" w:header="0" w:footer="828" w:gutter="0"/>
          <w:pgNumType w:fmt="decimal"/>
          <w:cols w:space="720" w:num="1"/>
        </w:sectPr>
      </w:pPr>
    </w:p>
    <w:p w14:paraId="1862B8DA">
      <w:pPr>
        <w:pStyle w:val="3"/>
        <w:spacing w:line="257" w:lineRule="auto"/>
        <w:rPr>
          <w:color w:val="auto"/>
          <w:highlight w:val="none"/>
        </w:rPr>
      </w:pPr>
    </w:p>
    <w:p w14:paraId="5F18184D">
      <w:pPr>
        <w:pStyle w:val="3"/>
        <w:spacing w:line="257" w:lineRule="auto"/>
        <w:rPr>
          <w:color w:val="auto"/>
          <w:highlight w:val="none"/>
        </w:rPr>
      </w:pPr>
    </w:p>
    <w:p w14:paraId="2A13E1AA">
      <w:pPr>
        <w:pStyle w:val="3"/>
        <w:spacing w:line="257" w:lineRule="auto"/>
        <w:rPr>
          <w:color w:val="auto"/>
          <w:highlight w:val="none"/>
        </w:rPr>
      </w:pPr>
    </w:p>
    <w:p w14:paraId="51B89552">
      <w:pPr>
        <w:pStyle w:val="3"/>
        <w:spacing w:line="257" w:lineRule="auto"/>
        <w:rPr>
          <w:color w:val="auto"/>
          <w:highlight w:val="none"/>
        </w:rPr>
      </w:pPr>
    </w:p>
    <w:p w14:paraId="70C0BF90">
      <w:pPr>
        <w:spacing w:before="88" w:line="224" w:lineRule="auto"/>
        <w:ind w:left="1959"/>
        <w:rPr>
          <w:rFonts w:ascii="黑体" w:hAnsi="黑体" w:eastAsia="黑体" w:cs="黑体"/>
          <w:color w:val="auto"/>
          <w:sz w:val="27"/>
          <w:szCs w:val="27"/>
          <w:highlight w:val="none"/>
        </w:rPr>
      </w:pPr>
      <w:bookmarkStart w:id="1340" w:name="bookmark314"/>
      <w:bookmarkEnd w:id="1340"/>
      <w:bookmarkStart w:id="1341" w:name="bookmark313"/>
      <w:bookmarkEnd w:id="1341"/>
      <w:r>
        <w:rPr>
          <w:rFonts w:ascii="黑体" w:hAnsi="黑体" w:eastAsia="黑体" w:cs="黑体"/>
          <w:color w:val="auto"/>
          <w:spacing w:val="6"/>
          <w:sz w:val="27"/>
          <w:szCs w:val="27"/>
          <w:highlight w:val="none"/>
        </w:rPr>
        <w:t>（四）其他主要项目管理人员简历表</w:t>
      </w:r>
    </w:p>
    <w:p w14:paraId="70910A59">
      <w:pPr>
        <w:spacing w:before="20"/>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14:paraId="78013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14:paraId="64DAECF2">
            <w:pPr>
              <w:pStyle w:val="11"/>
              <w:spacing w:before="91" w:line="231" w:lineRule="auto"/>
              <w:ind w:left="250" w:right="224" w:firstLine="16"/>
              <w:rPr>
                <w:color w:val="auto"/>
                <w:highlight w:val="none"/>
              </w:rPr>
            </w:pPr>
            <w:r>
              <w:rPr>
                <w:color w:val="auto"/>
                <w:spacing w:val="-7"/>
                <w:highlight w:val="none"/>
              </w:rPr>
              <w:t>岗位名称</w:t>
            </w:r>
            <w:r>
              <w:rPr>
                <w:color w:val="auto"/>
                <w:highlight w:val="none"/>
              </w:rPr>
              <w:t xml:space="preserve"> </w:t>
            </w:r>
            <w:r>
              <w:rPr>
                <w:color w:val="auto"/>
                <w:spacing w:val="-5"/>
                <w:highlight w:val="none"/>
              </w:rPr>
              <w:t>（职务）</w:t>
            </w:r>
          </w:p>
        </w:tc>
        <w:tc>
          <w:tcPr>
            <w:tcW w:w="7001" w:type="dxa"/>
            <w:gridSpan w:val="3"/>
            <w:vAlign w:val="top"/>
          </w:tcPr>
          <w:p w14:paraId="51B0D472">
            <w:pPr>
              <w:rPr>
                <w:rFonts w:ascii="Arial"/>
                <w:color w:val="auto"/>
                <w:sz w:val="21"/>
                <w:highlight w:val="none"/>
              </w:rPr>
            </w:pPr>
          </w:p>
        </w:tc>
      </w:tr>
      <w:tr w14:paraId="27928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12F39A76">
            <w:pPr>
              <w:pStyle w:val="11"/>
              <w:spacing w:before="221" w:line="221" w:lineRule="auto"/>
              <w:ind w:left="243"/>
              <w:rPr>
                <w:color w:val="auto"/>
                <w:highlight w:val="none"/>
              </w:rPr>
            </w:pPr>
            <w:r>
              <w:rPr>
                <w:color w:val="auto"/>
                <w:spacing w:val="-4"/>
                <w:highlight w:val="none"/>
              </w:rPr>
              <w:t>姓</w:t>
            </w:r>
            <w:r>
              <w:rPr>
                <w:color w:val="auto"/>
                <w:spacing w:val="3"/>
                <w:highlight w:val="none"/>
              </w:rPr>
              <w:t xml:space="preserve">    </w:t>
            </w:r>
            <w:r>
              <w:rPr>
                <w:color w:val="auto"/>
                <w:spacing w:val="-4"/>
                <w:highlight w:val="none"/>
              </w:rPr>
              <w:t>名</w:t>
            </w:r>
          </w:p>
        </w:tc>
        <w:tc>
          <w:tcPr>
            <w:tcW w:w="2654" w:type="dxa"/>
            <w:vAlign w:val="top"/>
          </w:tcPr>
          <w:p w14:paraId="0EB7B6C9">
            <w:pPr>
              <w:rPr>
                <w:rFonts w:ascii="Arial"/>
                <w:color w:val="auto"/>
                <w:sz w:val="21"/>
                <w:highlight w:val="none"/>
              </w:rPr>
            </w:pPr>
          </w:p>
        </w:tc>
        <w:tc>
          <w:tcPr>
            <w:tcW w:w="1684" w:type="dxa"/>
            <w:vAlign w:val="top"/>
          </w:tcPr>
          <w:p w14:paraId="415DA078">
            <w:pPr>
              <w:pStyle w:val="11"/>
              <w:spacing w:before="221" w:line="221" w:lineRule="auto"/>
              <w:ind w:left="429"/>
              <w:rPr>
                <w:color w:val="auto"/>
                <w:highlight w:val="none"/>
              </w:rPr>
            </w:pPr>
            <w:r>
              <w:rPr>
                <w:color w:val="auto"/>
                <w:spacing w:val="-4"/>
                <w:highlight w:val="none"/>
              </w:rPr>
              <w:t>年</w:t>
            </w:r>
            <w:r>
              <w:rPr>
                <w:color w:val="auto"/>
                <w:spacing w:val="2"/>
                <w:highlight w:val="none"/>
              </w:rPr>
              <w:t xml:space="preserve">    </w:t>
            </w:r>
            <w:r>
              <w:rPr>
                <w:color w:val="auto"/>
                <w:spacing w:val="-4"/>
                <w:highlight w:val="none"/>
              </w:rPr>
              <w:t>龄</w:t>
            </w:r>
          </w:p>
        </w:tc>
        <w:tc>
          <w:tcPr>
            <w:tcW w:w="2663" w:type="dxa"/>
            <w:vAlign w:val="top"/>
          </w:tcPr>
          <w:p w14:paraId="4E8E80E6">
            <w:pPr>
              <w:rPr>
                <w:rFonts w:ascii="Arial"/>
                <w:color w:val="auto"/>
                <w:sz w:val="21"/>
                <w:highlight w:val="none"/>
              </w:rPr>
            </w:pPr>
          </w:p>
        </w:tc>
      </w:tr>
      <w:tr w14:paraId="043A0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14:paraId="42AF6857">
            <w:pPr>
              <w:pStyle w:val="11"/>
              <w:spacing w:before="222" w:line="221" w:lineRule="auto"/>
              <w:ind w:left="246"/>
              <w:rPr>
                <w:color w:val="auto"/>
                <w:highlight w:val="none"/>
              </w:rPr>
            </w:pPr>
            <w:r>
              <w:rPr>
                <w:color w:val="auto"/>
                <w:spacing w:val="-5"/>
                <w:highlight w:val="none"/>
              </w:rPr>
              <w:t>性</w:t>
            </w:r>
            <w:r>
              <w:rPr>
                <w:color w:val="auto"/>
                <w:spacing w:val="3"/>
                <w:highlight w:val="none"/>
              </w:rPr>
              <w:t xml:space="preserve">    </w:t>
            </w:r>
            <w:r>
              <w:rPr>
                <w:color w:val="auto"/>
                <w:spacing w:val="-5"/>
                <w:highlight w:val="none"/>
              </w:rPr>
              <w:t>别</w:t>
            </w:r>
          </w:p>
        </w:tc>
        <w:tc>
          <w:tcPr>
            <w:tcW w:w="2654" w:type="dxa"/>
            <w:vAlign w:val="top"/>
          </w:tcPr>
          <w:p w14:paraId="59C56E4E">
            <w:pPr>
              <w:rPr>
                <w:rFonts w:ascii="Arial"/>
                <w:color w:val="auto"/>
                <w:sz w:val="21"/>
                <w:highlight w:val="none"/>
              </w:rPr>
            </w:pPr>
          </w:p>
        </w:tc>
        <w:tc>
          <w:tcPr>
            <w:tcW w:w="1684" w:type="dxa"/>
            <w:vAlign w:val="top"/>
          </w:tcPr>
          <w:p w14:paraId="54E14A54">
            <w:pPr>
              <w:pStyle w:val="11"/>
              <w:spacing w:before="221" w:line="221" w:lineRule="auto"/>
              <w:ind w:left="432"/>
              <w:rPr>
                <w:color w:val="auto"/>
                <w:highlight w:val="none"/>
              </w:rPr>
            </w:pPr>
            <w:r>
              <w:rPr>
                <w:color w:val="auto"/>
                <w:spacing w:val="-2"/>
                <w:highlight w:val="none"/>
              </w:rPr>
              <w:t>毕业学校</w:t>
            </w:r>
          </w:p>
        </w:tc>
        <w:tc>
          <w:tcPr>
            <w:tcW w:w="2663" w:type="dxa"/>
            <w:vAlign w:val="top"/>
          </w:tcPr>
          <w:p w14:paraId="5AD23E94">
            <w:pPr>
              <w:rPr>
                <w:rFonts w:ascii="Arial"/>
                <w:color w:val="auto"/>
                <w:sz w:val="21"/>
                <w:highlight w:val="none"/>
              </w:rPr>
            </w:pPr>
          </w:p>
        </w:tc>
      </w:tr>
      <w:tr w14:paraId="2D7F7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22998747">
            <w:pPr>
              <w:pStyle w:val="11"/>
              <w:spacing w:before="223" w:line="221" w:lineRule="auto"/>
              <w:ind w:left="142"/>
              <w:rPr>
                <w:color w:val="auto"/>
                <w:highlight w:val="none"/>
              </w:rPr>
            </w:pPr>
            <w:r>
              <w:rPr>
                <w:color w:val="auto"/>
                <w:spacing w:val="-2"/>
                <w:highlight w:val="none"/>
              </w:rPr>
              <w:t>学历和专业</w:t>
            </w:r>
          </w:p>
        </w:tc>
        <w:tc>
          <w:tcPr>
            <w:tcW w:w="2654" w:type="dxa"/>
            <w:vAlign w:val="top"/>
          </w:tcPr>
          <w:p w14:paraId="54F3734D">
            <w:pPr>
              <w:rPr>
                <w:rFonts w:ascii="Arial"/>
                <w:color w:val="auto"/>
                <w:sz w:val="21"/>
                <w:highlight w:val="none"/>
              </w:rPr>
            </w:pPr>
          </w:p>
        </w:tc>
        <w:tc>
          <w:tcPr>
            <w:tcW w:w="1684" w:type="dxa"/>
            <w:vAlign w:val="top"/>
          </w:tcPr>
          <w:p w14:paraId="628EF886">
            <w:pPr>
              <w:pStyle w:val="11"/>
              <w:spacing w:before="223" w:line="221" w:lineRule="auto"/>
              <w:ind w:left="432"/>
              <w:rPr>
                <w:color w:val="auto"/>
                <w:highlight w:val="none"/>
              </w:rPr>
            </w:pPr>
            <w:r>
              <w:rPr>
                <w:color w:val="auto"/>
                <w:spacing w:val="-2"/>
                <w:highlight w:val="none"/>
              </w:rPr>
              <w:t>毕业时间</w:t>
            </w:r>
          </w:p>
        </w:tc>
        <w:tc>
          <w:tcPr>
            <w:tcW w:w="2663" w:type="dxa"/>
            <w:vAlign w:val="top"/>
          </w:tcPr>
          <w:p w14:paraId="49A74165">
            <w:pPr>
              <w:rPr>
                <w:rFonts w:ascii="Arial"/>
                <w:color w:val="auto"/>
                <w:sz w:val="21"/>
                <w:highlight w:val="none"/>
              </w:rPr>
            </w:pPr>
          </w:p>
        </w:tc>
      </w:tr>
      <w:tr w14:paraId="4A7E4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5CF49D70">
            <w:pPr>
              <w:pStyle w:val="11"/>
              <w:spacing w:before="88" w:line="231" w:lineRule="auto"/>
              <w:ind w:left="463" w:right="171" w:hanging="273"/>
              <w:rPr>
                <w:color w:val="auto"/>
                <w:highlight w:val="none"/>
              </w:rPr>
            </w:pPr>
            <w:r>
              <w:rPr>
                <w:color w:val="auto"/>
                <w:spacing w:val="-1"/>
                <w:highlight w:val="none"/>
              </w:rPr>
              <w:t>执业/岗位</w:t>
            </w:r>
            <w:r>
              <w:rPr>
                <w:color w:val="auto"/>
                <w:spacing w:val="1"/>
                <w:highlight w:val="none"/>
              </w:rPr>
              <w:t xml:space="preserve"> </w:t>
            </w:r>
            <w:r>
              <w:rPr>
                <w:color w:val="auto"/>
                <w:spacing w:val="-4"/>
                <w:highlight w:val="none"/>
              </w:rPr>
              <w:t>资格</w:t>
            </w:r>
          </w:p>
        </w:tc>
        <w:tc>
          <w:tcPr>
            <w:tcW w:w="2654" w:type="dxa"/>
            <w:vAlign w:val="top"/>
          </w:tcPr>
          <w:p w14:paraId="401DD2BB">
            <w:pPr>
              <w:rPr>
                <w:rFonts w:ascii="Arial"/>
                <w:color w:val="auto"/>
                <w:sz w:val="21"/>
                <w:highlight w:val="none"/>
              </w:rPr>
            </w:pPr>
          </w:p>
        </w:tc>
        <w:tc>
          <w:tcPr>
            <w:tcW w:w="1684" w:type="dxa"/>
            <w:vAlign w:val="top"/>
          </w:tcPr>
          <w:p w14:paraId="35128159">
            <w:pPr>
              <w:pStyle w:val="11"/>
              <w:spacing w:before="228" w:line="221" w:lineRule="auto"/>
              <w:ind w:left="429"/>
              <w:rPr>
                <w:color w:val="auto"/>
                <w:highlight w:val="none"/>
              </w:rPr>
            </w:pPr>
            <w:r>
              <w:rPr>
                <w:color w:val="auto"/>
                <w:spacing w:val="-1"/>
                <w:highlight w:val="none"/>
              </w:rPr>
              <w:t>专业职称</w:t>
            </w:r>
          </w:p>
        </w:tc>
        <w:tc>
          <w:tcPr>
            <w:tcW w:w="2663" w:type="dxa"/>
            <w:vAlign w:val="top"/>
          </w:tcPr>
          <w:p w14:paraId="6C844FEE">
            <w:pPr>
              <w:rPr>
                <w:rFonts w:ascii="Arial"/>
                <w:color w:val="auto"/>
                <w:sz w:val="21"/>
                <w:highlight w:val="none"/>
              </w:rPr>
            </w:pPr>
          </w:p>
        </w:tc>
      </w:tr>
      <w:tr w14:paraId="26F7F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0467351D">
            <w:pPr>
              <w:pStyle w:val="11"/>
              <w:spacing w:before="89" w:line="230" w:lineRule="auto"/>
              <w:ind w:left="242" w:right="171" w:hanging="52"/>
              <w:rPr>
                <w:color w:val="auto"/>
                <w:highlight w:val="none"/>
              </w:rPr>
            </w:pPr>
            <w:r>
              <w:rPr>
                <w:color w:val="auto"/>
                <w:spacing w:val="-1"/>
                <w:highlight w:val="none"/>
              </w:rPr>
              <w:t>执业/岗位</w:t>
            </w:r>
            <w:r>
              <w:rPr>
                <w:color w:val="auto"/>
                <w:spacing w:val="1"/>
                <w:highlight w:val="none"/>
              </w:rPr>
              <w:t xml:space="preserve"> </w:t>
            </w:r>
            <w:r>
              <w:rPr>
                <w:color w:val="auto"/>
                <w:spacing w:val="-1"/>
                <w:highlight w:val="none"/>
              </w:rPr>
              <w:t>证书编号</w:t>
            </w:r>
          </w:p>
        </w:tc>
        <w:tc>
          <w:tcPr>
            <w:tcW w:w="2654" w:type="dxa"/>
            <w:vAlign w:val="top"/>
          </w:tcPr>
          <w:p w14:paraId="7D3D458D">
            <w:pPr>
              <w:rPr>
                <w:rFonts w:ascii="Arial"/>
                <w:color w:val="auto"/>
                <w:sz w:val="21"/>
                <w:highlight w:val="none"/>
              </w:rPr>
            </w:pPr>
          </w:p>
        </w:tc>
        <w:tc>
          <w:tcPr>
            <w:tcW w:w="1684" w:type="dxa"/>
            <w:vAlign w:val="top"/>
          </w:tcPr>
          <w:p w14:paraId="3791005A">
            <w:pPr>
              <w:pStyle w:val="11"/>
              <w:spacing w:before="223" w:line="221" w:lineRule="auto"/>
              <w:ind w:left="222"/>
              <w:rPr>
                <w:color w:val="auto"/>
                <w:highlight w:val="none"/>
              </w:rPr>
            </w:pPr>
            <w:r>
              <w:rPr>
                <w:color w:val="auto"/>
                <w:spacing w:val="-1"/>
                <w:highlight w:val="none"/>
              </w:rPr>
              <w:t>专业工作年限</w:t>
            </w:r>
          </w:p>
        </w:tc>
        <w:tc>
          <w:tcPr>
            <w:tcW w:w="2663" w:type="dxa"/>
            <w:vAlign w:val="top"/>
          </w:tcPr>
          <w:p w14:paraId="103DB79B">
            <w:pPr>
              <w:rPr>
                <w:rFonts w:ascii="Arial"/>
                <w:color w:val="auto"/>
                <w:sz w:val="21"/>
                <w:highlight w:val="none"/>
              </w:rPr>
            </w:pPr>
          </w:p>
        </w:tc>
      </w:tr>
      <w:tr w14:paraId="7CADB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14:paraId="545A679E">
            <w:pPr>
              <w:spacing w:line="358" w:lineRule="auto"/>
              <w:rPr>
                <w:rFonts w:ascii="Arial"/>
                <w:color w:val="auto"/>
                <w:sz w:val="21"/>
                <w:highlight w:val="none"/>
              </w:rPr>
            </w:pPr>
          </w:p>
          <w:p w14:paraId="082D451E">
            <w:pPr>
              <w:pStyle w:val="11"/>
              <w:spacing w:before="71" w:line="210" w:lineRule="auto"/>
              <w:ind w:left="1126"/>
              <w:rPr>
                <w:color w:val="auto"/>
                <w:highlight w:val="none"/>
              </w:rPr>
            </w:pPr>
            <w:r>
              <w:rPr>
                <w:color w:val="auto"/>
                <w:spacing w:val="1"/>
                <w:highlight w:val="none"/>
              </w:rPr>
              <w:t>主</w:t>
            </w:r>
            <w:r>
              <w:rPr>
                <w:color w:val="auto"/>
                <w:spacing w:val="-46"/>
                <w:highlight w:val="none"/>
              </w:rPr>
              <w:t xml:space="preserve"> </w:t>
            </w:r>
            <w:r>
              <w:rPr>
                <w:color w:val="auto"/>
                <w:spacing w:val="1"/>
                <w:highlight w:val="none"/>
              </w:rPr>
              <w:t>要</w:t>
            </w:r>
            <w:r>
              <w:rPr>
                <w:color w:val="auto"/>
                <w:spacing w:val="-42"/>
                <w:highlight w:val="none"/>
              </w:rPr>
              <w:t xml:space="preserve"> </w:t>
            </w:r>
            <w:r>
              <w:rPr>
                <w:color w:val="auto"/>
                <w:spacing w:val="1"/>
                <w:highlight w:val="none"/>
              </w:rPr>
              <w:t>工</w:t>
            </w:r>
            <w:r>
              <w:rPr>
                <w:color w:val="auto"/>
                <w:spacing w:val="-43"/>
                <w:highlight w:val="none"/>
              </w:rPr>
              <w:t xml:space="preserve"> </w:t>
            </w:r>
            <w:r>
              <w:rPr>
                <w:color w:val="auto"/>
                <w:spacing w:val="1"/>
                <w:highlight w:val="none"/>
              </w:rPr>
              <w:t>作</w:t>
            </w:r>
            <w:r>
              <w:rPr>
                <w:color w:val="auto"/>
                <w:spacing w:val="-47"/>
                <w:highlight w:val="none"/>
              </w:rPr>
              <w:t xml:space="preserve"> </w:t>
            </w:r>
            <w:r>
              <w:rPr>
                <w:color w:val="auto"/>
                <w:spacing w:val="1"/>
                <w:highlight w:val="none"/>
              </w:rPr>
              <w:t>业</w:t>
            </w:r>
            <w:r>
              <w:rPr>
                <w:color w:val="auto"/>
                <w:spacing w:val="-43"/>
                <w:highlight w:val="none"/>
              </w:rPr>
              <w:t xml:space="preserve"> </w:t>
            </w:r>
            <w:r>
              <w:rPr>
                <w:color w:val="auto"/>
                <w:spacing w:val="1"/>
                <w:highlight w:val="none"/>
              </w:rPr>
              <w:t>绩</w:t>
            </w:r>
            <w:r>
              <w:rPr>
                <w:color w:val="auto"/>
                <w:spacing w:val="-43"/>
                <w:highlight w:val="none"/>
              </w:rPr>
              <w:t xml:space="preserve"> </w:t>
            </w:r>
            <w:r>
              <w:rPr>
                <w:color w:val="auto"/>
                <w:spacing w:val="1"/>
                <w:highlight w:val="none"/>
              </w:rPr>
              <w:t>及</w:t>
            </w:r>
            <w:r>
              <w:rPr>
                <w:color w:val="auto"/>
                <w:spacing w:val="-42"/>
                <w:highlight w:val="none"/>
              </w:rPr>
              <w:t xml:space="preserve"> </w:t>
            </w:r>
            <w:r>
              <w:rPr>
                <w:color w:val="auto"/>
                <w:spacing w:val="1"/>
                <w:highlight w:val="none"/>
              </w:rPr>
              <w:t>担</w:t>
            </w:r>
            <w:r>
              <w:rPr>
                <w:color w:val="auto"/>
                <w:spacing w:val="-48"/>
                <w:highlight w:val="none"/>
              </w:rPr>
              <w:t xml:space="preserve"> </w:t>
            </w:r>
            <w:r>
              <w:rPr>
                <w:color w:val="auto"/>
                <w:spacing w:val="1"/>
                <w:highlight w:val="none"/>
              </w:rPr>
              <w:t>任</w:t>
            </w:r>
            <w:r>
              <w:rPr>
                <w:color w:val="auto"/>
                <w:spacing w:val="-42"/>
                <w:highlight w:val="none"/>
              </w:rPr>
              <w:t xml:space="preserve"> </w:t>
            </w:r>
            <w:r>
              <w:rPr>
                <w:color w:val="auto"/>
                <w:spacing w:val="1"/>
                <w:highlight w:val="none"/>
              </w:rPr>
              <w:t>的</w:t>
            </w:r>
            <w:r>
              <w:rPr>
                <w:color w:val="auto"/>
                <w:spacing w:val="-42"/>
                <w:highlight w:val="none"/>
              </w:rPr>
              <w:t xml:space="preserve"> </w:t>
            </w:r>
            <w:r>
              <w:rPr>
                <w:color w:val="auto"/>
                <w:spacing w:val="1"/>
                <w:highlight w:val="none"/>
              </w:rPr>
              <w:t>主</w:t>
            </w:r>
            <w:r>
              <w:rPr>
                <w:color w:val="auto"/>
                <w:spacing w:val="-43"/>
                <w:highlight w:val="none"/>
              </w:rPr>
              <w:t xml:space="preserve"> </w:t>
            </w:r>
            <w:r>
              <w:rPr>
                <w:color w:val="auto"/>
                <w:spacing w:val="1"/>
                <w:highlight w:val="none"/>
              </w:rPr>
              <w:t>要</w:t>
            </w:r>
            <w:r>
              <w:rPr>
                <w:color w:val="auto"/>
                <w:spacing w:val="-47"/>
                <w:highlight w:val="none"/>
              </w:rPr>
              <w:t xml:space="preserve"> </w:t>
            </w:r>
            <w:r>
              <w:rPr>
                <w:color w:val="auto"/>
                <w:spacing w:val="1"/>
                <w:highlight w:val="none"/>
              </w:rPr>
              <w:t>工</w:t>
            </w:r>
            <w:r>
              <w:rPr>
                <w:color w:val="auto"/>
                <w:spacing w:val="-43"/>
                <w:highlight w:val="none"/>
              </w:rPr>
              <w:t xml:space="preserve"> </w:t>
            </w:r>
            <w:r>
              <w:rPr>
                <w:color w:val="auto"/>
                <w:spacing w:val="1"/>
                <w:highlight w:val="none"/>
              </w:rPr>
              <w:t>作</w:t>
            </w:r>
          </w:p>
        </w:tc>
        <w:tc>
          <w:tcPr>
            <w:tcW w:w="7001" w:type="dxa"/>
            <w:gridSpan w:val="3"/>
            <w:vAlign w:val="top"/>
          </w:tcPr>
          <w:p w14:paraId="06165AAC">
            <w:pPr>
              <w:rPr>
                <w:rFonts w:ascii="Arial"/>
                <w:color w:val="auto"/>
                <w:sz w:val="21"/>
                <w:highlight w:val="none"/>
              </w:rPr>
            </w:pPr>
          </w:p>
        </w:tc>
      </w:tr>
    </w:tbl>
    <w:p w14:paraId="1C8C27E0">
      <w:pPr>
        <w:spacing w:before="32" w:line="236" w:lineRule="auto"/>
        <w:ind w:left="646" w:right="5" w:hanging="626"/>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备注：其他主要项目管理人员指项目副经理（如有）、项目技术负责人、</w:t>
      </w:r>
      <w:r>
        <w:rPr>
          <w:rFonts w:ascii="宋体" w:hAnsi="宋体" w:eastAsia="宋体" w:cs="宋体"/>
          <w:color w:val="auto"/>
          <w:spacing w:val="40"/>
          <w:sz w:val="21"/>
          <w:szCs w:val="21"/>
          <w:highlight w:val="none"/>
        </w:rPr>
        <w:t xml:space="preserve"> </w:t>
      </w:r>
      <w:r>
        <w:rPr>
          <w:rFonts w:ascii="宋体" w:hAnsi="宋体" w:eastAsia="宋体" w:cs="宋体"/>
          <w:color w:val="auto"/>
          <w:spacing w:val="-6"/>
          <w:sz w:val="21"/>
          <w:szCs w:val="21"/>
          <w:highlight w:val="none"/>
        </w:rPr>
        <w:t>施工管理、质量管</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理、安全管理及资格条件要求的其他岗位人员。其中项目副经理（如有）、项目技术</w:t>
      </w:r>
      <w:r>
        <w:rPr>
          <w:rFonts w:ascii="宋体" w:hAnsi="宋体" w:eastAsia="宋体" w:cs="宋体"/>
          <w:color w:val="auto"/>
          <w:spacing w:val="16"/>
          <w:sz w:val="21"/>
          <w:szCs w:val="21"/>
          <w:highlight w:val="none"/>
        </w:rPr>
        <w:t xml:space="preserve"> </w:t>
      </w:r>
      <w:r>
        <w:rPr>
          <w:rFonts w:ascii="宋体" w:hAnsi="宋体" w:eastAsia="宋体" w:cs="宋体"/>
          <w:color w:val="auto"/>
          <w:spacing w:val="-10"/>
          <w:sz w:val="21"/>
          <w:szCs w:val="21"/>
          <w:highlight w:val="none"/>
        </w:rPr>
        <w:t>负责人应附资格证书（如有）、注册证书（如有）、职称证书（如有）、学历证书</w:t>
      </w:r>
      <w:r>
        <w:rPr>
          <w:rFonts w:ascii="宋体" w:hAnsi="宋体" w:eastAsia="宋体" w:cs="宋体"/>
          <w:color w:val="auto"/>
          <w:spacing w:val="-43"/>
          <w:sz w:val="21"/>
          <w:szCs w:val="21"/>
          <w:highlight w:val="none"/>
        </w:rPr>
        <w:t xml:space="preserve"> </w:t>
      </w:r>
      <w:r>
        <w:rPr>
          <w:rFonts w:ascii="宋体" w:hAnsi="宋体" w:eastAsia="宋体" w:cs="宋体"/>
          <w:color w:val="auto"/>
          <w:spacing w:val="-10"/>
          <w:sz w:val="21"/>
          <w:szCs w:val="21"/>
          <w:highlight w:val="none"/>
        </w:rPr>
        <w:t>（如</w:t>
      </w:r>
      <w:r>
        <w:rPr>
          <w:rFonts w:ascii="宋体" w:hAnsi="宋体" w:eastAsia="宋体" w:cs="宋体"/>
          <w:color w:val="auto"/>
          <w:sz w:val="21"/>
          <w:szCs w:val="21"/>
          <w:highlight w:val="none"/>
        </w:rPr>
        <w:t xml:space="preserve"> 有）</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rPr>
        <w:t>,主要业绩证明材料（如有</w:t>
      </w:r>
      <w:r>
        <w:rPr>
          <w:rFonts w:ascii="宋体" w:hAnsi="宋体" w:eastAsia="宋体" w:cs="宋体"/>
          <w:color w:val="auto"/>
          <w:spacing w:val="-31"/>
          <w:sz w:val="21"/>
          <w:szCs w:val="21"/>
          <w:highlight w:val="none"/>
        </w:rPr>
        <w:t>）；</w:t>
      </w:r>
      <w:r>
        <w:rPr>
          <w:rFonts w:ascii="宋体" w:hAnsi="宋体" w:eastAsia="宋体" w:cs="宋体"/>
          <w:color w:val="auto"/>
          <w:sz w:val="21"/>
          <w:szCs w:val="21"/>
          <w:highlight w:val="none"/>
        </w:rPr>
        <w:t xml:space="preserve">安全管理人员应附有效的安全生产考核合格证书 </w:t>
      </w:r>
      <w:r>
        <w:rPr>
          <w:rFonts w:ascii="宋体" w:hAnsi="宋体" w:eastAsia="宋体" w:cs="宋体"/>
          <w:color w:val="auto"/>
          <w:spacing w:val="-2"/>
          <w:sz w:val="21"/>
          <w:szCs w:val="21"/>
          <w:highlight w:val="none"/>
        </w:rPr>
        <w:t>（C 证</w:t>
      </w:r>
      <w:r>
        <w:rPr>
          <w:rFonts w:ascii="宋体" w:hAnsi="宋体" w:eastAsia="宋体" w:cs="宋体"/>
          <w:color w:val="auto"/>
          <w:spacing w:val="-11"/>
          <w:sz w:val="21"/>
          <w:szCs w:val="21"/>
          <w:highlight w:val="none"/>
        </w:rPr>
        <w:t>）；</w:t>
      </w:r>
      <w:r>
        <w:rPr>
          <w:rFonts w:ascii="宋体" w:hAnsi="宋体" w:eastAsia="宋体" w:cs="宋体"/>
          <w:color w:val="auto"/>
          <w:spacing w:val="-2"/>
          <w:sz w:val="21"/>
          <w:szCs w:val="21"/>
          <w:highlight w:val="none"/>
        </w:rPr>
        <w:t>施工管理、质量管理及资格条件要求的其他岗位人员应附岗位培训考核合</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格证书。</w:t>
      </w:r>
    </w:p>
    <w:p w14:paraId="763088A0">
      <w:pPr>
        <w:spacing w:line="236" w:lineRule="auto"/>
        <w:rPr>
          <w:rFonts w:ascii="宋体" w:hAnsi="宋体" w:eastAsia="宋体" w:cs="宋体"/>
          <w:color w:val="auto"/>
          <w:sz w:val="21"/>
          <w:szCs w:val="21"/>
          <w:highlight w:val="none"/>
        </w:rPr>
        <w:sectPr>
          <w:footerReference r:id="rId226" w:type="default"/>
          <w:pgSz w:w="11905" w:h="16839"/>
          <w:pgMar w:top="400" w:right="1785" w:bottom="1004" w:left="1785" w:header="0" w:footer="828" w:gutter="0"/>
          <w:pgNumType w:fmt="decimal"/>
          <w:cols w:space="720" w:num="1"/>
        </w:sectPr>
      </w:pPr>
    </w:p>
    <w:p w14:paraId="48C83E96">
      <w:pPr>
        <w:pStyle w:val="3"/>
        <w:spacing w:line="255" w:lineRule="auto"/>
        <w:rPr>
          <w:color w:val="auto"/>
          <w:highlight w:val="none"/>
        </w:rPr>
      </w:pPr>
    </w:p>
    <w:p w14:paraId="465A3B05">
      <w:pPr>
        <w:pStyle w:val="3"/>
        <w:spacing w:line="256" w:lineRule="auto"/>
        <w:rPr>
          <w:color w:val="auto"/>
          <w:highlight w:val="none"/>
        </w:rPr>
      </w:pPr>
    </w:p>
    <w:p w14:paraId="0A5B0C70">
      <w:pPr>
        <w:pStyle w:val="3"/>
        <w:spacing w:line="256" w:lineRule="auto"/>
        <w:rPr>
          <w:color w:val="auto"/>
          <w:highlight w:val="none"/>
        </w:rPr>
      </w:pPr>
    </w:p>
    <w:p w14:paraId="0F2A530F">
      <w:pPr>
        <w:pStyle w:val="3"/>
        <w:spacing w:line="256" w:lineRule="auto"/>
        <w:rPr>
          <w:color w:val="auto"/>
          <w:highlight w:val="none"/>
        </w:rPr>
      </w:pPr>
    </w:p>
    <w:p w14:paraId="18BD22D3">
      <w:pPr>
        <w:spacing w:before="88" w:line="436" w:lineRule="exact"/>
        <w:ind w:left="3054"/>
        <w:rPr>
          <w:rFonts w:ascii="黑体" w:hAnsi="黑体" w:eastAsia="黑体" w:cs="黑体"/>
          <w:color w:val="auto"/>
          <w:sz w:val="27"/>
          <w:szCs w:val="27"/>
          <w:highlight w:val="none"/>
        </w:rPr>
      </w:pPr>
      <w:bookmarkStart w:id="1342" w:name="bookmark315"/>
      <w:bookmarkEnd w:id="1342"/>
      <w:r>
        <w:rPr>
          <w:rFonts w:ascii="黑体" w:hAnsi="黑体" w:eastAsia="黑体" w:cs="黑体"/>
          <w:color w:val="auto"/>
          <w:spacing w:val="8"/>
          <w:position w:val="11"/>
          <w:sz w:val="27"/>
          <w:szCs w:val="27"/>
          <w:highlight w:val="none"/>
        </w:rPr>
        <w:t>七、资格审查资料</w:t>
      </w:r>
    </w:p>
    <w:p w14:paraId="637B6298">
      <w:pPr>
        <w:spacing w:line="219" w:lineRule="auto"/>
        <w:ind w:left="299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（一）投标人基本情况</w:t>
      </w:r>
    </w:p>
    <w:p w14:paraId="7A68F8B3">
      <w:pPr>
        <w:spacing w:before="117" w:line="218" w:lineRule="auto"/>
        <w:ind w:left="3049"/>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Times New Roman" w:hAnsi="Times New Roman" w:eastAsia="Times New Roman" w:cs="Times New Roman"/>
          <w:color w:val="auto"/>
          <w:spacing w:val="-6"/>
          <w:sz w:val="24"/>
          <w:szCs w:val="24"/>
          <w:highlight w:val="none"/>
        </w:rPr>
        <w:t xml:space="preserve">1 </w:t>
      </w:r>
      <w:r>
        <w:rPr>
          <w:rFonts w:ascii="黑体" w:hAnsi="黑体" w:eastAsia="黑体" w:cs="黑体"/>
          <w:color w:val="auto"/>
          <w:spacing w:val="-6"/>
          <w:sz w:val="24"/>
          <w:szCs w:val="24"/>
          <w:highlight w:val="none"/>
        </w:rPr>
        <w:t>投标人基本情况表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14:paraId="53B8E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17FEACDE">
            <w:pPr>
              <w:pStyle w:val="11"/>
              <w:spacing w:before="183" w:line="221" w:lineRule="auto"/>
              <w:ind w:left="265"/>
              <w:rPr>
                <w:color w:val="auto"/>
                <w:highlight w:val="none"/>
              </w:rPr>
            </w:pPr>
            <w:r>
              <w:rPr>
                <w:color w:val="auto"/>
                <w:spacing w:val="-1"/>
                <w:highlight w:val="none"/>
              </w:rPr>
              <w:t>投标人名称</w:t>
            </w:r>
          </w:p>
        </w:tc>
        <w:tc>
          <w:tcPr>
            <w:tcW w:w="6751" w:type="dxa"/>
            <w:gridSpan w:val="7"/>
            <w:vAlign w:val="top"/>
          </w:tcPr>
          <w:p w14:paraId="0E44343D">
            <w:pPr>
              <w:rPr>
                <w:rFonts w:ascii="Arial"/>
                <w:color w:val="auto"/>
                <w:sz w:val="21"/>
                <w:highlight w:val="none"/>
              </w:rPr>
            </w:pPr>
          </w:p>
        </w:tc>
      </w:tr>
      <w:tr w14:paraId="3C8E8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2A025AF5">
            <w:pPr>
              <w:pStyle w:val="11"/>
              <w:spacing w:before="179" w:line="222" w:lineRule="auto"/>
              <w:ind w:left="368"/>
              <w:rPr>
                <w:color w:val="auto"/>
                <w:highlight w:val="none"/>
              </w:rPr>
            </w:pPr>
            <w:r>
              <w:rPr>
                <w:color w:val="auto"/>
                <w:spacing w:val="-1"/>
                <w:highlight w:val="none"/>
              </w:rPr>
              <w:t>注册地址</w:t>
            </w:r>
          </w:p>
        </w:tc>
        <w:tc>
          <w:tcPr>
            <w:tcW w:w="3161" w:type="dxa"/>
            <w:gridSpan w:val="3"/>
            <w:vAlign w:val="top"/>
          </w:tcPr>
          <w:p w14:paraId="2688611B">
            <w:pPr>
              <w:rPr>
                <w:rFonts w:ascii="Arial"/>
                <w:color w:val="auto"/>
                <w:sz w:val="21"/>
                <w:highlight w:val="none"/>
              </w:rPr>
            </w:pPr>
          </w:p>
        </w:tc>
        <w:tc>
          <w:tcPr>
            <w:tcW w:w="1171" w:type="dxa"/>
            <w:vAlign w:val="top"/>
          </w:tcPr>
          <w:p w14:paraId="13A6CDB0">
            <w:pPr>
              <w:pStyle w:val="11"/>
              <w:spacing w:before="178" w:line="221" w:lineRule="auto"/>
              <w:ind w:left="210"/>
              <w:rPr>
                <w:color w:val="auto"/>
                <w:highlight w:val="none"/>
              </w:rPr>
            </w:pPr>
            <w:r>
              <w:rPr>
                <w:color w:val="auto"/>
                <w:spacing w:val="-4"/>
                <w:highlight w:val="none"/>
              </w:rPr>
              <w:t>邮政编码</w:t>
            </w:r>
          </w:p>
        </w:tc>
        <w:tc>
          <w:tcPr>
            <w:tcW w:w="2419" w:type="dxa"/>
            <w:gridSpan w:val="3"/>
            <w:vAlign w:val="top"/>
          </w:tcPr>
          <w:p w14:paraId="006A19CF">
            <w:pPr>
              <w:rPr>
                <w:rFonts w:ascii="Arial"/>
                <w:color w:val="auto"/>
                <w:sz w:val="21"/>
                <w:highlight w:val="none"/>
              </w:rPr>
            </w:pPr>
          </w:p>
        </w:tc>
      </w:tr>
      <w:tr w14:paraId="74459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14:paraId="7741FD71">
            <w:pPr>
              <w:spacing w:line="396" w:lineRule="auto"/>
              <w:rPr>
                <w:rFonts w:ascii="Arial"/>
                <w:color w:val="auto"/>
                <w:sz w:val="21"/>
                <w:highlight w:val="none"/>
              </w:rPr>
            </w:pPr>
          </w:p>
          <w:p w14:paraId="1949615E">
            <w:pPr>
              <w:pStyle w:val="11"/>
              <w:spacing w:before="69" w:line="222" w:lineRule="auto"/>
              <w:ind w:left="369"/>
              <w:rPr>
                <w:color w:val="auto"/>
                <w:highlight w:val="none"/>
              </w:rPr>
            </w:pPr>
            <w:r>
              <w:rPr>
                <w:color w:val="auto"/>
                <w:spacing w:val="-1"/>
                <w:highlight w:val="none"/>
              </w:rPr>
              <w:t>联系方式</w:t>
            </w:r>
          </w:p>
        </w:tc>
        <w:tc>
          <w:tcPr>
            <w:tcW w:w="854" w:type="dxa"/>
            <w:vAlign w:val="top"/>
          </w:tcPr>
          <w:p w14:paraId="05065BD4">
            <w:pPr>
              <w:pStyle w:val="11"/>
              <w:spacing w:before="178" w:line="223" w:lineRule="auto"/>
              <w:ind w:left="120"/>
              <w:rPr>
                <w:color w:val="auto"/>
                <w:highlight w:val="none"/>
              </w:rPr>
            </w:pPr>
            <w:r>
              <w:rPr>
                <w:color w:val="auto"/>
                <w:spacing w:val="-2"/>
                <w:highlight w:val="none"/>
              </w:rPr>
              <w:t>联系人</w:t>
            </w:r>
          </w:p>
        </w:tc>
        <w:tc>
          <w:tcPr>
            <w:tcW w:w="2307" w:type="dxa"/>
            <w:gridSpan w:val="2"/>
            <w:vAlign w:val="top"/>
          </w:tcPr>
          <w:p w14:paraId="652909B7">
            <w:pPr>
              <w:rPr>
                <w:rFonts w:ascii="Arial"/>
                <w:color w:val="auto"/>
                <w:sz w:val="21"/>
                <w:highlight w:val="none"/>
              </w:rPr>
            </w:pPr>
          </w:p>
        </w:tc>
        <w:tc>
          <w:tcPr>
            <w:tcW w:w="1171" w:type="dxa"/>
            <w:vAlign w:val="top"/>
          </w:tcPr>
          <w:p w14:paraId="7C894AA2">
            <w:pPr>
              <w:pStyle w:val="11"/>
              <w:spacing w:before="178" w:line="223" w:lineRule="auto"/>
              <w:ind w:left="325"/>
              <w:rPr>
                <w:color w:val="auto"/>
                <w:highlight w:val="none"/>
              </w:rPr>
            </w:pPr>
            <w:r>
              <w:rPr>
                <w:color w:val="auto"/>
                <w:spacing w:val="-16"/>
                <w:highlight w:val="none"/>
              </w:rPr>
              <w:t>电</w:t>
            </w:r>
            <w:r>
              <w:rPr>
                <w:color w:val="auto"/>
                <w:spacing w:val="4"/>
                <w:highlight w:val="none"/>
              </w:rPr>
              <w:t xml:space="preserve">  </w:t>
            </w:r>
            <w:r>
              <w:rPr>
                <w:color w:val="auto"/>
                <w:spacing w:val="-16"/>
                <w:highlight w:val="none"/>
              </w:rPr>
              <w:t>话</w:t>
            </w:r>
          </w:p>
        </w:tc>
        <w:tc>
          <w:tcPr>
            <w:tcW w:w="2419" w:type="dxa"/>
            <w:gridSpan w:val="3"/>
            <w:vAlign w:val="top"/>
          </w:tcPr>
          <w:p w14:paraId="1E2B4280">
            <w:pPr>
              <w:rPr>
                <w:rFonts w:ascii="Arial"/>
                <w:color w:val="auto"/>
                <w:sz w:val="21"/>
                <w:highlight w:val="none"/>
              </w:rPr>
            </w:pPr>
          </w:p>
        </w:tc>
      </w:tr>
      <w:tr w14:paraId="2E37D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14:paraId="0FE57165">
            <w:pPr>
              <w:rPr>
                <w:rFonts w:ascii="Arial"/>
                <w:color w:val="auto"/>
                <w:sz w:val="21"/>
                <w:highlight w:val="none"/>
              </w:rPr>
            </w:pPr>
          </w:p>
        </w:tc>
        <w:tc>
          <w:tcPr>
            <w:tcW w:w="854" w:type="dxa"/>
            <w:vAlign w:val="top"/>
          </w:tcPr>
          <w:p w14:paraId="57645713">
            <w:pPr>
              <w:pStyle w:val="11"/>
              <w:spacing w:before="175" w:line="220" w:lineRule="auto"/>
              <w:ind w:left="117"/>
              <w:rPr>
                <w:color w:val="auto"/>
                <w:highlight w:val="none"/>
              </w:rPr>
            </w:pPr>
            <w:r>
              <w:rPr>
                <w:color w:val="auto"/>
                <w:spacing w:val="-3"/>
                <w:highlight w:val="none"/>
              </w:rPr>
              <w:t>传</w:t>
            </w:r>
            <w:r>
              <w:rPr>
                <w:color w:val="auto"/>
                <w:spacing w:val="5"/>
                <w:highlight w:val="none"/>
              </w:rPr>
              <w:t xml:space="preserve">  </w:t>
            </w:r>
            <w:r>
              <w:rPr>
                <w:color w:val="auto"/>
                <w:spacing w:val="-3"/>
                <w:highlight w:val="none"/>
              </w:rPr>
              <w:t>真</w:t>
            </w:r>
          </w:p>
        </w:tc>
        <w:tc>
          <w:tcPr>
            <w:tcW w:w="2307" w:type="dxa"/>
            <w:gridSpan w:val="2"/>
            <w:vAlign w:val="top"/>
          </w:tcPr>
          <w:p w14:paraId="02827A65">
            <w:pPr>
              <w:rPr>
                <w:rFonts w:ascii="Arial"/>
                <w:color w:val="auto"/>
                <w:sz w:val="21"/>
                <w:highlight w:val="none"/>
              </w:rPr>
            </w:pPr>
          </w:p>
        </w:tc>
        <w:tc>
          <w:tcPr>
            <w:tcW w:w="1171" w:type="dxa"/>
            <w:vAlign w:val="top"/>
          </w:tcPr>
          <w:p w14:paraId="2099BFEB">
            <w:pPr>
              <w:pStyle w:val="11"/>
              <w:spacing w:before="175" w:line="226" w:lineRule="auto"/>
              <w:ind w:left="317"/>
              <w:rPr>
                <w:color w:val="auto"/>
                <w:highlight w:val="none"/>
              </w:rPr>
            </w:pPr>
            <w:r>
              <w:rPr>
                <w:color w:val="auto"/>
                <w:spacing w:val="-12"/>
                <w:highlight w:val="none"/>
              </w:rPr>
              <w:t>网</w:t>
            </w:r>
            <w:r>
              <w:rPr>
                <w:color w:val="auto"/>
                <w:spacing w:val="5"/>
                <w:highlight w:val="none"/>
              </w:rPr>
              <w:t xml:space="preserve">  </w:t>
            </w:r>
            <w:r>
              <w:rPr>
                <w:color w:val="auto"/>
                <w:spacing w:val="-12"/>
                <w:highlight w:val="none"/>
              </w:rPr>
              <w:t>址</w:t>
            </w:r>
          </w:p>
        </w:tc>
        <w:tc>
          <w:tcPr>
            <w:tcW w:w="2419" w:type="dxa"/>
            <w:gridSpan w:val="3"/>
            <w:vAlign w:val="top"/>
          </w:tcPr>
          <w:p w14:paraId="67118297">
            <w:pPr>
              <w:rPr>
                <w:rFonts w:ascii="Arial"/>
                <w:color w:val="auto"/>
                <w:sz w:val="21"/>
                <w:highlight w:val="none"/>
              </w:rPr>
            </w:pPr>
          </w:p>
        </w:tc>
      </w:tr>
      <w:tr w14:paraId="0FC8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20ECBE92">
            <w:pPr>
              <w:pStyle w:val="11"/>
              <w:spacing w:before="175" w:line="221" w:lineRule="auto"/>
              <w:ind w:left="371"/>
              <w:rPr>
                <w:color w:val="auto"/>
                <w:highlight w:val="none"/>
              </w:rPr>
            </w:pPr>
            <w:r>
              <w:rPr>
                <w:color w:val="auto"/>
                <w:spacing w:val="-2"/>
                <w:highlight w:val="none"/>
              </w:rPr>
              <w:t>组织结构</w:t>
            </w:r>
          </w:p>
        </w:tc>
        <w:tc>
          <w:tcPr>
            <w:tcW w:w="6751" w:type="dxa"/>
            <w:gridSpan w:val="7"/>
            <w:vAlign w:val="top"/>
          </w:tcPr>
          <w:p w14:paraId="655BDECB">
            <w:pPr>
              <w:rPr>
                <w:rFonts w:ascii="Arial"/>
                <w:color w:val="auto"/>
                <w:sz w:val="21"/>
                <w:highlight w:val="none"/>
              </w:rPr>
            </w:pPr>
          </w:p>
        </w:tc>
      </w:tr>
      <w:tr w14:paraId="2B5FF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47186D8">
            <w:pPr>
              <w:pStyle w:val="11"/>
              <w:spacing w:before="179" w:line="221" w:lineRule="auto"/>
              <w:ind w:left="263"/>
              <w:rPr>
                <w:color w:val="auto"/>
                <w:highlight w:val="none"/>
              </w:rPr>
            </w:pPr>
            <w:r>
              <w:rPr>
                <w:color w:val="auto"/>
                <w:spacing w:val="-1"/>
                <w:highlight w:val="none"/>
              </w:rPr>
              <w:t>法定代表人</w:t>
            </w:r>
          </w:p>
        </w:tc>
        <w:tc>
          <w:tcPr>
            <w:tcW w:w="854" w:type="dxa"/>
            <w:vAlign w:val="top"/>
          </w:tcPr>
          <w:p w14:paraId="006B6D8F">
            <w:pPr>
              <w:pStyle w:val="11"/>
              <w:spacing w:before="179" w:line="221" w:lineRule="auto"/>
              <w:ind w:left="224"/>
              <w:rPr>
                <w:color w:val="auto"/>
                <w:highlight w:val="none"/>
              </w:rPr>
            </w:pPr>
            <w:r>
              <w:rPr>
                <w:color w:val="auto"/>
                <w:spacing w:val="-2"/>
                <w:highlight w:val="none"/>
              </w:rPr>
              <w:t>姓名</w:t>
            </w:r>
          </w:p>
        </w:tc>
        <w:tc>
          <w:tcPr>
            <w:tcW w:w="1142" w:type="dxa"/>
            <w:vAlign w:val="top"/>
          </w:tcPr>
          <w:p w14:paraId="71B1AEF8">
            <w:pPr>
              <w:rPr>
                <w:rFonts w:ascii="Arial"/>
                <w:color w:val="auto"/>
                <w:sz w:val="21"/>
                <w:highlight w:val="none"/>
              </w:rPr>
            </w:pPr>
          </w:p>
        </w:tc>
        <w:tc>
          <w:tcPr>
            <w:tcW w:w="1165" w:type="dxa"/>
            <w:vAlign w:val="top"/>
          </w:tcPr>
          <w:p w14:paraId="50B52E2A">
            <w:pPr>
              <w:pStyle w:val="11"/>
              <w:spacing w:before="179" w:line="221" w:lineRule="auto"/>
              <w:ind w:left="164"/>
              <w:rPr>
                <w:color w:val="auto"/>
                <w:highlight w:val="none"/>
              </w:rPr>
            </w:pPr>
            <w:r>
              <w:rPr>
                <w:color w:val="auto"/>
                <w:spacing w:val="-1"/>
                <w:highlight w:val="none"/>
              </w:rPr>
              <w:t>技术职称</w:t>
            </w:r>
          </w:p>
        </w:tc>
        <w:tc>
          <w:tcPr>
            <w:tcW w:w="1517" w:type="dxa"/>
            <w:gridSpan w:val="2"/>
            <w:vAlign w:val="top"/>
          </w:tcPr>
          <w:p w14:paraId="32796DDE">
            <w:pPr>
              <w:rPr>
                <w:rFonts w:ascii="Arial"/>
                <w:color w:val="auto"/>
                <w:sz w:val="21"/>
                <w:highlight w:val="none"/>
              </w:rPr>
            </w:pPr>
          </w:p>
        </w:tc>
        <w:tc>
          <w:tcPr>
            <w:tcW w:w="854" w:type="dxa"/>
            <w:vAlign w:val="top"/>
          </w:tcPr>
          <w:p w14:paraId="14089405">
            <w:pPr>
              <w:pStyle w:val="11"/>
              <w:spacing w:before="180" w:line="223" w:lineRule="auto"/>
              <w:ind w:left="239"/>
              <w:rPr>
                <w:color w:val="auto"/>
                <w:highlight w:val="none"/>
              </w:rPr>
            </w:pPr>
            <w:r>
              <w:rPr>
                <w:color w:val="auto"/>
                <w:spacing w:val="-8"/>
                <w:highlight w:val="none"/>
              </w:rPr>
              <w:t>电话</w:t>
            </w:r>
          </w:p>
        </w:tc>
        <w:tc>
          <w:tcPr>
            <w:tcW w:w="1219" w:type="dxa"/>
            <w:vAlign w:val="top"/>
          </w:tcPr>
          <w:p w14:paraId="297C6CFA">
            <w:pPr>
              <w:rPr>
                <w:rFonts w:ascii="Arial"/>
                <w:color w:val="auto"/>
                <w:sz w:val="21"/>
                <w:highlight w:val="none"/>
              </w:rPr>
            </w:pPr>
          </w:p>
        </w:tc>
      </w:tr>
      <w:tr w14:paraId="3E49C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910B2C7">
            <w:pPr>
              <w:pStyle w:val="11"/>
              <w:spacing w:before="180" w:line="221" w:lineRule="auto"/>
              <w:ind w:left="263"/>
              <w:rPr>
                <w:color w:val="auto"/>
                <w:highlight w:val="none"/>
              </w:rPr>
            </w:pPr>
            <w:r>
              <w:rPr>
                <w:color w:val="auto"/>
                <w:spacing w:val="-1"/>
                <w:highlight w:val="none"/>
              </w:rPr>
              <w:t>技术负责人</w:t>
            </w:r>
          </w:p>
        </w:tc>
        <w:tc>
          <w:tcPr>
            <w:tcW w:w="854" w:type="dxa"/>
            <w:vAlign w:val="top"/>
          </w:tcPr>
          <w:p w14:paraId="2D21CF4B">
            <w:pPr>
              <w:pStyle w:val="11"/>
              <w:spacing w:before="180" w:line="221" w:lineRule="auto"/>
              <w:ind w:left="224"/>
              <w:rPr>
                <w:color w:val="auto"/>
                <w:highlight w:val="none"/>
              </w:rPr>
            </w:pPr>
            <w:r>
              <w:rPr>
                <w:color w:val="auto"/>
                <w:spacing w:val="-2"/>
                <w:highlight w:val="none"/>
              </w:rPr>
              <w:t>姓名</w:t>
            </w:r>
          </w:p>
        </w:tc>
        <w:tc>
          <w:tcPr>
            <w:tcW w:w="1142" w:type="dxa"/>
            <w:vAlign w:val="top"/>
          </w:tcPr>
          <w:p w14:paraId="5EFBC4D7">
            <w:pPr>
              <w:rPr>
                <w:rFonts w:ascii="Arial"/>
                <w:color w:val="auto"/>
                <w:sz w:val="21"/>
                <w:highlight w:val="none"/>
              </w:rPr>
            </w:pPr>
          </w:p>
        </w:tc>
        <w:tc>
          <w:tcPr>
            <w:tcW w:w="1165" w:type="dxa"/>
            <w:vAlign w:val="top"/>
          </w:tcPr>
          <w:p w14:paraId="551F374C">
            <w:pPr>
              <w:pStyle w:val="11"/>
              <w:spacing w:before="180" w:line="221" w:lineRule="auto"/>
              <w:ind w:left="164"/>
              <w:rPr>
                <w:color w:val="auto"/>
                <w:highlight w:val="none"/>
              </w:rPr>
            </w:pPr>
            <w:r>
              <w:rPr>
                <w:color w:val="auto"/>
                <w:spacing w:val="-1"/>
                <w:highlight w:val="none"/>
              </w:rPr>
              <w:t>技术职称</w:t>
            </w:r>
          </w:p>
        </w:tc>
        <w:tc>
          <w:tcPr>
            <w:tcW w:w="1517" w:type="dxa"/>
            <w:gridSpan w:val="2"/>
            <w:vAlign w:val="top"/>
          </w:tcPr>
          <w:p w14:paraId="6F62A09D">
            <w:pPr>
              <w:rPr>
                <w:rFonts w:ascii="Arial"/>
                <w:color w:val="auto"/>
                <w:sz w:val="21"/>
                <w:highlight w:val="none"/>
              </w:rPr>
            </w:pPr>
          </w:p>
        </w:tc>
        <w:tc>
          <w:tcPr>
            <w:tcW w:w="854" w:type="dxa"/>
            <w:vAlign w:val="top"/>
          </w:tcPr>
          <w:p w14:paraId="49D29FA6">
            <w:pPr>
              <w:pStyle w:val="11"/>
              <w:spacing w:before="180" w:line="223" w:lineRule="auto"/>
              <w:ind w:left="239"/>
              <w:rPr>
                <w:color w:val="auto"/>
                <w:highlight w:val="none"/>
              </w:rPr>
            </w:pPr>
            <w:r>
              <w:rPr>
                <w:color w:val="auto"/>
                <w:spacing w:val="-8"/>
                <w:highlight w:val="none"/>
              </w:rPr>
              <w:t>电话</w:t>
            </w:r>
          </w:p>
        </w:tc>
        <w:tc>
          <w:tcPr>
            <w:tcW w:w="1219" w:type="dxa"/>
            <w:vAlign w:val="top"/>
          </w:tcPr>
          <w:p w14:paraId="5B13F816">
            <w:pPr>
              <w:rPr>
                <w:rFonts w:ascii="Arial"/>
                <w:color w:val="auto"/>
                <w:sz w:val="21"/>
                <w:highlight w:val="none"/>
              </w:rPr>
            </w:pPr>
          </w:p>
        </w:tc>
      </w:tr>
      <w:tr w14:paraId="32D26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723A651E">
            <w:pPr>
              <w:pStyle w:val="11"/>
              <w:spacing w:before="180" w:line="222" w:lineRule="auto"/>
              <w:ind w:left="370"/>
              <w:rPr>
                <w:color w:val="auto"/>
                <w:highlight w:val="none"/>
              </w:rPr>
            </w:pPr>
            <w:r>
              <w:rPr>
                <w:color w:val="auto"/>
                <w:spacing w:val="-1"/>
                <w:highlight w:val="none"/>
              </w:rPr>
              <w:t>成立时间</w:t>
            </w:r>
          </w:p>
        </w:tc>
        <w:tc>
          <w:tcPr>
            <w:tcW w:w="1996" w:type="dxa"/>
            <w:gridSpan w:val="2"/>
            <w:vAlign w:val="top"/>
          </w:tcPr>
          <w:p w14:paraId="6AC6C2FE">
            <w:pPr>
              <w:rPr>
                <w:rFonts w:ascii="Arial"/>
                <w:color w:val="auto"/>
                <w:sz w:val="21"/>
                <w:highlight w:val="none"/>
              </w:rPr>
            </w:pPr>
          </w:p>
        </w:tc>
        <w:tc>
          <w:tcPr>
            <w:tcW w:w="4755" w:type="dxa"/>
            <w:gridSpan w:val="5"/>
            <w:vAlign w:val="top"/>
          </w:tcPr>
          <w:p w14:paraId="43C7AD04">
            <w:pPr>
              <w:pStyle w:val="11"/>
              <w:spacing w:before="180" w:line="221" w:lineRule="auto"/>
              <w:ind w:left="124"/>
              <w:rPr>
                <w:color w:val="auto"/>
                <w:highlight w:val="none"/>
              </w:rPr>
            </w:pPr>
            <w:r>
              <w:rPr>
                <w:color w:val="auto"/>
                <w:spacing w:val="-2"/>
                <w:highlight w:val="none"/>
              </w:rPr>
              <w:t>员工总人数：</w:t>
            </w:r>
          </w:p>
        </w:tc>
      </w:tr>
      <w:tr w14:paraId="1509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572DFA88">
            <w:pPr>
              <w:pStyle w:val="11"/>
              <w:spacing w:before="176" w:line="221" w:lineRule="auto"/>
              <w:ind w:left="160"/>
              <w:rPr>
                <w:color w:val="auto"/>
                <w:highlight w:val="none"/>
              </w:rPr>
            </w:pPr>
            <w:r>
              <w:rPr>
                <w:color w:val="auto"/>
                <w:spacing w:val="-1"/>
                <w:highlight w:val="none"/>
              </w:rPr>
              <w:t>企业资质等级</w:t>
            </w:r>
          </w:p>
        </w:tc>
        <w:tc>
          <w:tcPr>
            <w:tcW w:w="1996" w:type="dxa"/>
            <w:gridSpan w:val="2"/>
            <w:vAlign w:val="top"/>
          </w:tcPr>
          <w:p w14:paraId="5547660D">
            <w:pPr>
              <w:rPr>
                <w:rFonts w:ascii="Arial"/>
                <w:color w:val="auto"/>
                <w:sz w:val="21"/>
                <w:highlight w:val="none"/>
              </w:rPr>
            </w:pPr>
          </w:p>
        </w:tc>
        <w:tc>
          <w:tcPr>
            <w:tcW w:w="1165" w:type="dxa"/>
            <w:vMerge w:val="restart"/>
            <w:tcBorders>
              <w:bottom w:val="nil"/>
            </w:tcBorders>
            <w:vAlign w:val="top"/>
          </w:tcPr>
          <w:p w14:paraId="673DC2BE">
            <w:pPr>
              <w:spacing w:line="251" w:lineRule="auto"/>
              <w:rPr>
                <w:rFonts w:ascii="Arial"/>
                <w:color w:val="auto"/>
                <w:sz w:val="21"/>
                <w:highlight w:val="none"/>
              </w:rPr>
            </w:pPr>
          </w:p>
          <w:p w14:paraId="3F6684EE">
            <w:pPr>
              <w:spacing w:line="251" w:lineRule="auto"/>
              <w:rPr>
                <w:rFonts w:ascii="Arial"/>
                <w:color w:val="auto"/>
                <w:sz w:val="21"/>
                <w:highlight w:val="none"/>
              </w:rPr>
            </w:pPr>
          </w:p>
          <w:p w14:paraId="2F445DFF">
            <w:pPr>
              <w:spacing w:line="252" w:lineRule="auto"/>
              <w:rPr>
                <w:rFonts w:ascii="Arial"/>
                <w:color w:val="auto"/>
                <w:sz w:val="21"/>
                <w:highlight w:val="none"/>
              </w:rPr>
            </w:pPr>
          </w:p>
          <w:p w14:paraId="06612AAF">
            <w:pPr>
              <w:spacing w:line="252" w:lineRule="auto"/>
              <w:rPr>
                <w:rFonts w:ascii="Arial"/>
                <w:color w:val="auto"/>
                <w:sz w:val="21"/>
                <w:highlight w:val="none"/>
              </w:rPr>
            </w:pPr>
          </w:p>
          <w:p w14:paraId="07329129">
            <w:pPr>
              <w:spacing w:line="252" w:lineRule="auto"/>
              <w:rPr>
                <w:rFonts w:ascii="Arial"/>
                <w:color w:val="auto"/>
                <w:sz w:val="21"/>
                <w:highlight w:val="none"/>
              </w:rPr>
            </w:pPr>
          </w:p>
          <w:p w14:paraId="5ECE8499">
            <w:pPr>
              <w:pStyle w:val="11"/>
              <w:spacing w:before="68" w:line="221" w:lineRule="auto"/>
              <w:ind w:left="376"/>
              <w:rPr>
                <w:color w:val="auto"/>
                <w:highlight w:val="none"/>
              </w:rPr>
            </w:pPr>
            <w:r>
              <w:rPr>
                <w:color w:val="auto"/>
                <w:spacing w:val="-2"/>
                <w:highlight w:val="none"/>
              </w:rPr>
              <w:t>其中</w:t>
            </w:r>
          </w:p>
        </w:tc>
        <w:tc>
          <w:tcPr>
            <w:tcW w:w="1517" w:type="dxa"/>
            <w:gridSpan w:val="2"/>
            <w:vAlign w:val="top"/>
          </w:tcPr>
          <w:p w14:paraId="4FCA70D4">
            <w:pPr>
              <w:pStyle w:val="11"/>
              <w:spacing w:before="176" w:line="221" w:lineRule="auto"/>
              <w:ind w:left="232"/>
              <w:rPr>
                <w:color w:val="auto"/>
                <w:highlight w:val="none"/>
              </w:rPr>
            </w:pPr>
            <w:r>
              <w:rPr>
                <w:color w:val="auto"/>
                <w:spacing w:val="-1"/>
                <w:highlight w:val="none"/>
              </w:rPr>
              <w:t>注册建造师</w:t>
            </w:r>
          </w:p>
        </w:tc>
        <w:tc>
          <w:tcPr>
            <w:tcW w:w="2073" w:type="dxa"/>
            <w:gridSpan w:val="2"/>
            <w:vAlign w:val="top"/>
          </w:tcPr>
          <w:p w14:paraId="6048E1B0">
            <w:pPr>
              <w:rPr>
                <w:rFonts w:ascii="Arial"/>
                <w:color w:val="auto"/>
                <w:sz w:val="21"/>
                <w:highlight w:val="none"/>
              </w:rPr>
            </w:pPr>
          </w:p>
        </w:tc>
      </w:tr>
      <w:tr w14:paraId="4C9B1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C1D60C6">
            <w:pPr>
              <w:pStyle w:val="11"/>
              <w:spacing w:before="176" w:line="221" w:lineRule="auto"/>
              <w:ind w:left="269"/>
              <w:rPr>
                <w:color w:val="auto"/>
                <w:highlight w:val="none"/>
              </w:rPr>
            </w:pPr>
            <w:r>
              <w:rPr>
                <w:color w:val="auto"/>
                <w:spacing w:val="-2"/>
                <w:highlight w:val="none"/>
              </w:rPr>
              <w:t>营业执照号</w:t>
            </w:r>
          </w:p>
        </w:tc>
        <w:tc>
          <w:tcPr>
            <w:tcW w:w="1996" w:type="dxa"/>
            <w:gridSpan w:val="2"/>
            <w:vAlign w:val="top"/>
          </w:tcPr>
          <w:p w14:paraId="60503E7D">
            <w:pPr>
              <w:rPr>
                <w:rFonts w:ascii="Arial"/>
                <w:color w:val="auto"/>
                <w:sz w:val="21"/>
                <w:highlight w:val="none"/>
              </w:rPr>
            </w:pPr>
          </w:p>
        </w:tc>
        <w:tc>
          <w:tcPr>
            <w:tcW w:w="1165" w:type="dxa"/>
            <w:vMerge w:val="continue"/>
            <w:tcBorders>
              <w:top w:val="nil"/>
              <w:bottom w:val="nil"/>
            </w:tcBorders>
            <w:vAlign w:val="top"/>
          </w:tcPr>
          <w:p w14:paraId="31D099C6">
            <w:pPr>
              <w:rPr>
                <w:rFonts w:ascii="Arial"/>
                <w:color w:val="auto"/>
                <w:sz w:val="21"/>
                <w:highlight w:val="none"/>
              </w:rPr>
            </w:pPr>
          </w:p>
        </w:tc>
        <w:tc>
          <w:tcPr>
            <w:tcW w:w="1517" w:type="dxa"/>
            <w:gridSpan w:val="2"/>
            <w:vAlign w:val="top"/>
          </w:tcPr>
          <w:p w14:paraId="31F6C9DA">
            <w:pPr>
              <w:pStyle w:val="11"/>
              <w:spacing w:before="176" w:line="221" w:lineRule="auto"/>
              <w:ind w:left="133"/>
              <w:rPr>
                <w:color w:val="auto"/>
                <w:highlight w:val="none"/>
              </w:rPr>
            </w:pPr>
            <w:r>
              <w:rPr>
                <w:color w:val="auto"/>
                <w:spacing w:val="-2"/>
                <w:highlight w:val="none"/>
              </w:rPr>
              <w:t>高级职称人员</w:t>
            </w:r>
          </w:p>
        </w:tc>
        <w:tc>
          <w:tcPr>
            <w:tcW w:w="2073" w:type="dxa"/>
            <w:gridSpan w:val="2"/>
            <w:vAlign w:val="top"/>
          </w:tcPr>
          <w:p w14:paraId="5F5827F2">
            <w:pPr>
              <w:rPr>
                <w:rFonts w:ascii="Arial"/>
                <w:color w:val="auto"/>
                <w:sz w:val="21"/>
                <w:highlight w:val="none"/>
              </w:rPr>
            </w:pPr>
          </w:p>
        </w:tc>
      </w:tr>
      <w:tr w14:paraId="75D59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6F759388">
            <w:pPr>
              <w:pStyle w:val="11"/>
              <w:spacing w:before="182" w:line="222" w:lineRule="auto"/>
              <w:ind w:left="368"/>
              <w:rPr>
                <w:color w:val="auto"/>
                <w:highlight w:val="none"/>
              </w:rPr>
            </w:pPr>
            <w:r>
              <w:rPr>
                <w:color w:val="auto"/>
                <w:spacing w:val="-1"/>
                <w:highlight w:val="none"/>
              </w:rPr>
              <w:t>注册资金</w:t>
            </w:r>
          </w:p>
        </w:tc>
        <w:tc>
          <w:tcPr>
            <w:tcW w:w="1996" w:type="dxa"/>
            <w:gridSpan w:val="2"/>
            <w:vAlign w:val="top"/>
          </w:tcPr>
          <w:p w14:paraId="5D8BDCF4">
            <w:pPr>
              <w:rPr>
                <w:rFonts w:ascii="Arial"/>
                <w:color w:val="auto"/>
                <w:sz w:val="21"/>
                <w:highlight w:val="none"/>
              </w:rPr>
            </w:pPr>
          </w:p>
        </w:tc>
        <w:tc>
          <w:tcPr>
            <w:tcW w:w="1165" w:type="dxa"/>
            <w:vMerge w:val="continue"/>
            <w:tcBorders>
              <w:top w:val="nil"/>
              <w:bottom w:val="nil"/>
            </w:tcBorders>
            <w:vAlign w:val="top"/>
          </w:tcPr>
          <w:p w14:paraId="5CEBCC36">
            <w:pPr>
              <w:rPr>
                <w:rFonts w:ascii="Arial"/>
                <w:color w:val="auto"/>
                <w:sz w:val="21"/>
                <w:highlight w:val="none"/>
              </w:rPr>
            </w:pPr>
          </w:p>
        </w:tc>
        <w:tc>
          <w:tcPr>
            <w:tcW w:w="1517" w:type="dxa"/>
            <w:gridSpan w:val="2"/>
            <w:vAlign w:val="top"/>
          </w:tcPr>
          <w:p w14:paraId="6B60C0EA">
            <w:pPr>
              <w:pStyle w:val="11"/>
              <w:spacing w:before="182" w:line="221" w:lineRule="auto"/>
              <w:ind w:left="147"/>
              <w:rPr>
                <w:color w:val="auto"/>
                <w:highlight w:val="none"/>
              </w:rPr>
            </w:pPr>
            <w:r>
              <w:rPr>
                <w:color w:val="auto"/>
                <w:spacing w:val="-4"/>
                <w:highlight w:val="none"/>
              </w:rPr>
              <w:t>中级职称人员</w:t>
            </w:r>
          </w:p>
        </w:tc>
        <w:tc>
          <w:tcPr>
            <w:tcW w:w="2073" w:type="dxa"/>
            <w:gridSpan w:val="2"/>
            <w:vAlign w:val="top"/>
          </w:tcPr>
          <w:p w14:paraId="5343B35D">
            <w:pPr>
              <w:rPr>
                <w:rFonts w:ascii="Arial"/>
                <w:color w:val="auto"/>
                <w:sz w:val="21"/>
                <w:highlight w:val="none"/>
              </w:rPr>
            </w:pPr>
          </w:p>
        </w:tc>
      </w:tr>
      <w:tr w14:paraId="6B33F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14:paraId="4221DA4B">
            <w:pPr>
              <w:pStyle w:val="11"/>
              <w:spacing w:before="42" w:line="241" w:lineRule="auto"/>
              <w:ind w:left="368"/>
              <w:rPr>
                <w:color w:val="auto"/>
                <w:highlight w:val="none"/>
              </w:rPr>
            </w:pPr>
            <w:r>
              <w:rPr>
                <w:color w:val="auto"/>
                <w:spacing w:val="-1"/>
                <w:highlight w:val="none"/>
              </w:rPr>
              <w:t>基本账户</w:t>
            </w:r>
          </w:p>
          <w:p w14:paraId="21DF7516">
            <w:pPr>
              <w:pStyle w:val="11"/>
              <w:spacing w:line="219" w:lineRule="auto"/>
              <w:ind w:left="369"/>
              <w:rPr>
                <w:color w:val="auto"/>
                <w:highlight w:val="none"/>
              </w:rPr>
            </w:pPr>
            <w:r>
              <w:rPr>
                <w:color w:val="auto"/>
                <w:spacing w:val="-1"/>
                <w:highlight w:val="none"/>
              </w:rPr>
              <w:t>开户银行</w:t>
            </w:r>
          </w:p>
        </w:tc>
        <w:tc>
          <w:tcPr>
            <w:tcW w:w="1996" w:type="dxa"/>
            <w:gridSpan w:val="2"/>
            <w:vAlign w:val="top"/>
          </w:tcPr>
          <w:p w14:paraId="1A7DE756">
            <w:pPr>
              <w:rPr>
                <w:rFonts w:ascii="Arial"/>
                <w:color w:val="auto"/>
                <w:sz w:val="21"/>
                <w:highlight w:val="none"/>
              </w:rPr>
            </w:pPr>
          </w:p>
        </w:tc>
        <w:tc>
          <w:tcPr>
            <w:tcW w:w="1165" w:type="dxa"/>
            <w:vMerge w:val="continue"/>
            <w:tcBorders>
              <w:top w:val="nil"/>
              <w:bottom w:val="nil"/>
            </w:tcBorders>
            <w:vAlign w:val="top"/>
          </w:tcPr>
          <w:p w14:paraId="5F63CDB2">
            <w:pPr>
              <w:rPr>
                <w:rFonts w:ascii="Arial"/>
                <w:color w:val="auto"/>
                <w:sz w:val="21"/>
                <w:highlight w:val="none"/>
              </w:rPr>
            </w:pPr>
          </w:p>
        </w:tc>
        <w:tc>
          <w:tcPr>
            <w:tcW w:w="1517" w:type="dxa"/>
            <w:gridSpan w:val="2"/>
            <w:vAlign w:val="top"/>
          </w:tcPr>
          <w:p w14:paraId="371BA822">
            <w:pPr>
              <w:pStyle w:val="11"/>
              <w:spacing w:before="182" w:line="222" w:lineRule="auto"/>
              <w:ind w:left="126"/>
              <w:rPr>
                <w:color w:val="auto"/>
                <w:highlight w:val="none"/>
              </w:rPr>
            </w:pPr>
            <w:r>
              <w:rPr>
                <w:color w:val="auto"/>
                <w:spacing w:val="-1"/>
                <w:highlight w:val="none"/>
              </w:rPr>
              <w:t>初级职称人员</w:t>
            </w:r>
          </w:p>
        </w:tc>
        <w:tc>
          <w:tcPr>
            <w:tcW w:w="2073" w:type="dxa"/>
            <w:gridSpan w:val="2"/>
            <w:vAlign w:val="top"/>
          </w:tcPr>
          <w:p w14:paraId="2623F187">
            <w:pPr>
              <w:rPr>
                <w:rFonts w:ascii="Arial"/>
                <w:color w:val="auto"/>
                <w:sz w:val="21"/>
                <w:highlight w:val="none"/>
              </w:rPr>
            </w:pPr>
          </w:p>
        </w:tc>
      </w:tr>
      <w:tr w14:paraId="2878D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F27A221">
            <w:pPr>
              <w:pStyle w:val="11"/>
              <w:spacing w:before="43" w:line="236" w:lineRule="auto"/>
              <w:ind w:left="368"/>
              <w:rPr>
                <w:color w:val="auto"/>
                <w:highlight w:val="none"/>
              </w:rPr>
            </w:pPr>
            <w:r>
              <w:rPr>
                <w:color w:val="auto"/>
                <w:spacing w:val="-1"/>
                <w:highlight w:val="none"/>
              </w:rPr>
              <w:t>基本账户</w:t>
            </w:r>
          </w:p>
          <w:p w14:paraId="5EC7E131">
            <w:pPr>
              <w:pStyle w:val="11"/>
              <w:spacing w:before="1" w:line="218" w:lineRule="auto"/>
              <w:ind w:left="583"/>
              <w:rPr>
                <w:color w:val="auto"/>
                <w:highlight w:val="none"/>
              </w:rPr>
            </w:pPr>
            <w:r>
              <w:rPr>
                <w:color w:val="auto"/>
                <w:spacing w:val="-3"/>
                <w:highlight w:val="none"/>
              </w:rPr>
              <w:t>账号</w:t>
            </w:r>
          </w:p>
        </w:tc>
        <w:tc>
          <w:tcPr>
            <w:tcW w:w="1996" w:type="dxa"/>
            <w:gridSpan w:val="2"/>
            <w:vAlign w:val="top"/>
          </w:tcPr>
          <w:p w14:paraId="32F0D9BA">
            <w:pPr>
              <w:rPr>
                <w:rFonts w:ascii="Arial"/>
                <w:color w:val="auto"/>
                <w:sz w:val="21"/>
                <w:highlight w:val="none"/>
              </w:rPr>
            </w:pPr>
          </w:p>
        </w:tc>
        <w:tc>
          <w:tcPr>
            <w:tcW w:w="1165" w:type="dxa"/>
            <w:vMerge w:val="continue"/>
            <w:tcBorders>
              <w:top w:val="nil"/>
            </w:tcBorders>
            <w:vAlign w:val="top"/>
          </w:tcPr>
          <w:p w14:paraId="04607BBC">
            <w:pPr>
              <w:rPr>
                <w:rFonts w:ascii="Arial"/>
                <w:color w:val="auto"/>
                <w:sz w:val="21"/>
                <w:highlight w:val="none"/>
              </w:rPr>
            </w:pPr>
          </w:p>
        </w:tc>
        <w:tc>
          <w:tcPr>
            <w:tcW w:w="1517" w:type="dxa"/>
            <w:gridSpan w:val="2"/>
            <w:vAlign w:val="top"/>
          </w:tcPr>
          <w:p w14:paraId="2F453A93">
            <w:pPr>
              <w:pStyle w:val="11"/>
              <w:spacing w:before="177" w:line="222" w:lineRule="auto"/>
              <w:ind w:left="445"/>
              <w:rPr>
                <w:color w:val="auto"/>
                <w:highlight w:val="none"/>
              </w:rPr>
            </w:pPr>
            <w:r>
              <w:rPr>
                <w:color w:val="auto"/>
                <w:spacing w:val="-4"/>
                <w:highlight w:val="none"/>
              </w:rPr>
              <w:t>技</w:t>
            </w:r>
            <w:r>
              <w:rPr>
                <w:color w:val="auto"/>
                <w:spacing w:val="5"/>
                <w:highlight w:val="none"/>
              </w:rPr>
              <w:t xml:space="preserve">  </w:t>
            </w:r>
            <w:r>
              <w:rPr>
                <w:color w:val="auto"/>
                <w:spacing w:val="-4"/>
                <w:highlight w:val="none"/>
              </w:rPr>
              <w:t>工</w:t>
            </w:r>
          </w:p>
        </w:tc>
        <w:tc>
          <w:tcPr>
            <w:tcW w:w="2073" w:type="dxa"/>
            <w:gridSpan w:val="2"/>
            <w:vAlign w:val="top"/>
          </w:tcPr>
          <w:p w14:paraId="1F148EAC">
            <w:pPr>
              <w:rPr>
                <w:rFonts w:ascii="Arial"/>
                <w:color w:val="auto"/>
                <w:sz w:val="21"/>
                <w:highlight w:val="none"/>
              </w:rPr>
            </w:pPr>
          </w:p>
        </w:tc>
      </w:tr>
      <w:tr w14:paraId="5675A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14:paraId="00AA6864">
            <w:pPr>
              <w:spacing w:line="273" w:lineRule="auto"/>
              <w:rPr>
                <w:rFonts w:ascii="Arial"/>
                <w:color w:val="auto"/>
                <w:sz w:val="21"/>
                <w:highlight w:val="none"/>
              </w:rPr>
            </w:pPr>
          </w:p>
          <w:p w14:paraId="27C01FAC">
            <w:pPr>
              <w:spacing w:line="274" w:lineRule="auto"/>
              <w:rPr>
                <w:rFonts w:ascii="Arial"/>
                <w:color w:val="auto"/>
                <w:sz w:val="21"/>
                <w:highlight w:val="none"/>
              </w:rPr>
            </w:pPr>
          </w:p>
          <w:p w14:paraId="37634F01">
            <w:pPr>
              <w:pStyle w:val="11"/>
              <w:spacing w:before="69" w:line="221" w:lineRule="auto"/>
              <w:ind w:left="370"/>
              <w:rPr>
                <w:color w:val="auto"/>
                <w:highlight w:val="none"/>
              </w:rPr>
            </w:pPr>
            <w:r>
              <w:rPr>
                <w:color w:val="auto"/>
                <w:spacing w:val="-1"/>
                <w:highlight w:val="none"/>
              </w:rPr>
              <w:t>经营范围</w:t>
            </w:r>
          </w:p>
        </w:tc>
        <w:tc>
          <w:tcPr>
            <w:tcW w:w="6751" w:type="dxa"/>
            <w:gridSpan w:val="7"/>
            <w:vAlign w:val="top"/>
          </w:tcPr>
          <w:p w14:paraId="4057FF4A">
            <w:pPr>
              <w:rPr>
                <w:rFonts w:ascii="Arial"/>
                <w:color w:val="auto"/>
                <w:sz w:val="21"/>
                <w:highlight w:val="none"/>
              </w:rPr>
            </w:pPr>
          </w:p>
        </w:tc>
      </w:tr>
      <w:tr w14:paraId="6537D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3854EB09">
            <w:pPr>
              <w:pStyle w:val="11"/>
              <w:spacing w:before="178" w:line="222" w:lineRule="auto"/>
              <w:ind w:left="582"/>
              <w:rPr>
                <w:color w:val="auto"/>
                <w:highlight w:val="none"/>
              </w:rPr>
            </w:pPr>
            <w:r>
              <w:rPr>
                <w:color w:val="auto"/>
                <w:spacing w:val="-3"/>
                <w:highlight w:val="none"/>
              </w:rPr>
              <w:t>备注</w:t>
            </w:r>
          </w:p>
        </w:tc>
        <w:tc>
          <w:tcPr>
            <w:tcW w:w="6751" w:type="dxa"/>
            <w:gridSpan w:val="7"/>
            <w:vAlign w:val="top"/>
          </w:tcPr>
          <w:p w14:paraId="3D751A19">
            <w:pPr>
              <w:rPr>
                <w:rFonts w:ascii="Arial"/>
                <w:color w:val="auto"/>
                <w:sz w:val="21"/>
                <w:highlight w:val="none"/>
              </w:rPr>
            </w:pPr>
          </w:p>
        </w:tc>
      </w:tr>
    </w:tbl>
    <w:p w14:paraId="04DFD3AB">
      <w:pPr>
        <w:spacing w:before="155" w:line="403" w:lineRule="exact"/>
        <w:ind w:left="2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备注： 1.本表后应附营业执照、企业资质证书、安全生产许可证、基本账户开户许可证</w:t>
      </w:r>
    </w:p>
    <w:p w14:paraId="79D45A34">
      <w:pPr>
        <w:spacing w:before="1" w:line="219" w:lineRule="auto"/>
        <w:ind w:left="86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（基本存款账户信息）、质量、环境、职业健康安全管理体系认证证书等材料。</w:t>
      </w:r>
    </w:p>
    <w:p w14:paraId="50E34713">
      <w:pPr>
        <w:spacing w:before="149" w:line="221"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联合体投标的，联合体各成员应分别填写。</w:t>
      </w:r>
    </w:p>
    <w:p w14:paraId="5501D770">
      <w:pPr>
        <w:spacing w:line="221" w:lineRule="auto"/>
        <w:rPr>
          <w:rFonts w:ascii="宋体" w:hAnsi="宋体" w:eastAsia="宋体" w:cs="宋体"/>
          <w:color w:val="auto"/>
          <w:sz w:val="21"/>
          <w:szCs w:val="21"/>
          <w:highlight w:val="none"/>
        </w:rPr>
        <w:sectPr>
          <w:footerReference r:id="rId227" w:type="default"/>
          <w:pgSz w:w="11905" w:h="16839"/>
          <w:pgMar w:top="400" w:right="1785" w:bottom="1004" w:left="1785" w:header="0" w:footer="828" w:gutter="0"/>
          <w:pgNumType w:fmt="decimal"/>
          <w:cols w:space="720" w:num="1"/>
        </w:sectPr>
      </w:pPr>
    </w:p>
    <w:p w14:paraId="2AF5D39C">
      <w:pPr>
        <w:pStyle w:val="3"/>
        <w:spacing w:line="267" w:lineRule="auto"/>
        <w:rPr>
          <w:color w:val="auto"/>
          <w:highlight w:val="none"/>
        </w:rPr>
      </w:pPr>
    </w:p>
    <w:p w14:paraId="68B797C6">
      <w:pPr>
        <w:pStyle w:val="3"/>
        <w:spacing w:line="268" w:lineRule="auto"/>
        <w:rPr>
          <w:color w:val="auto"/>
          <w:highlight w:val="none"/>
        </w:rPr>
      </w:pPr>
    </w:p>
    <w:p w14:paraId="11E184AB">
      <w:pPr>
        <w:pStyle w:val="3"/>
        <w:spacing w:line="268" w:lineRule="auto"/>
        <w:rPr>
          <w:color w:val="auto"/>
          <w:highlight w:val="none"/>
        </w:rPr>
      </w:pPr>
    </w:p>
    <w:p w14:paraId="393369C4">
      <w:pPr>
        <w:pStyle w:val="3"/>
        <w:spacing w:line="268" w:lineRule="auto"/>
        <w:rPr>
          <w:color w:val="auto"/>
          <w:highlight w:val="none"/>
        </w:rPr>
      </w:pPr>
    </w:p>
    <w:p w14:paraId="37D7044E">
      <w:pPr>
        <w:spacing w:before="78" w:line="218" w:lineRule="auto"/>
        <w:ind w:left="3226"/>
        <w:rPr>
          <w:rFonts w:ascii="黑体" w:hAnsi="黑体" w:eastAsia="黑体" w:cs="黑体"/>
          <w:color w:val="auto"/>
          <w:sz w:val="24"/>
          <w:szCs w:val="24"/>
          <w:highlight w:val="none"/>
        </w:rPr>
      </w:pPr>
      <w:bookmarkStart w:id="1343" w:name="bookmark316"/>
      <w:bookmarkEnd w:id="1343"/>
      <w:r>
        <w:rPr>
          <w:rFonts w:ascii="Times New Roman" w:hAnsi="Times New Roman" w:eastAsia="Times New Roman" w:cs="Times New Roman"/>
          <w:color w:val="auto"/>
          <w:spacing w:val="-4"/>
          <w:sz w:val="24"/>
          <w:szCs w:val="24"/>
          <w:highlight w:val="none"/>
        </w:rPr>
        <w:t xml:space="preserve">1-2 </w:t>
      </w:r>
      <w:r>
        <w:rPr>
          <w:rFonts w:ascii="黑体" w:hAnsi="黑体" w:eastAsia="黑体" w:cs="黑体"/>
          <w:color w:val="auto"/>
          <w:spacing w:val="-4"/>
          <w:sz w:val="24"/>
          <w:szCs w:val="24"/>
          <w:highlight w:val="none"/>
        </w:rPr>
        <w:t>关联单位情况说明</w:t>
      </w:r>
    </w:p>
    <w:p w14:paraId="1011F495">
      <w:pPr>
        <w:spacing w:before="2"/>
        <w:rPr>
          <w:color w:val="auto"/>
          <w:highlight w:val="none"/>
        </w:rPr>
      </w:pPr>
    </w:p>
    <w:tbl>
      <w:tblPr>
        <w:tblStyle w:val="10"/>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14:paraId="5B9DB3A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14:paraId="021B9E4E">
            <w:pPr>
              <w:spacing w:line="319" w:lineRule="auto"/>
              <w:rPr>
                <w:rFonts w:ascii="Arial"/>
                <w:color w:val="auto"/>
                <w:sz w:val="21"/>
                <w:highlight w:val="none"/>
              </w:rPr>
            </w:pPr>
          </w:p>
          <w:p w14:paraId="45EB0B39">
            <w:pPr>
              <w:pStyle w:val="11"/>
              <w:spacing w:before="69" w:line="220" w:lineRule="auto"/>
              <w:ind w:left="14"/>
              <w:rPr>
                <w:color w:val="auto"/>
                <w:highlight w:val="none"/>
              </w:rPr>
            </w:pPr>
            <w:r>
              <w:rPr>
                <w:color w:val="auto"/>
                <w:spacing w:val="-2"/>
                <w:highlight w:val="none"/>
              </w:rPr>
              <w:t>单位负责人与本单位负责人为同一人的单位：</w:t>
            </w:r>
          </w:p>
          <w:p w14:paraId="3BF64E84">
            <w:pPr>
              <w:spacing w:line="263" w:lineRule="auto"/>
              <w:rPr>
                <w:rFonts w:ascii="Arial"/>
                <w:color w:val="auto"/>
                <w:sz w:val="21"/>
                <w:highlight w:val="none"/>
              </w:rPr>
            </w:pPr>
          </w:p>
          <w:p w14:paraId="4C5E98E7">
            <w:pPr>
              <w:spacing w:line="263" w:lineRule="auto"/>
              <w:rPr>
                <w:rFonts w:ascii="Arial"/>
                <w:color w:val="auto"/>
                <w:sz w:val="21"/>
                <w:highlight w:val="none"/>
              </w:rPr>
            </w:pPr>
          </w:p>
          <w:p w14:paraId="149EBA63">
            <w:pPr>
              <w:spacing w:line="264" w:lineRule="auto"/>
              <w:rPr>
                <w:rFonts w:ascii="Arial"/>
                <w:color w:val="auto"/>
                <w:sz w:val="21"/>
                <w:highlight w:val="none"/>
              </w:rPr>
            </w:pPr>
          </w:p>
          <w:p w14:paraId="3F3CE826">
            <w:pPr>
              <w:spacing w:line="264" w:lineRule="auto"/>
              <w:rPr>
                <w:rFonts w:ascii="Arial"/>
                <w:color w:val="auto"/>
                <w:sz w:val="21"/>
                <w:highlight w:val="none"/>
              </w:rPr>
            </w:pPr>
          </w:p>
          <w:p w14:paraId="3C3DF54E">
            <w:pPr>
              <w:spacing w:line="264" w:lineRule="auto"/>
              <w:rPr>
                <w:rFonts w:ascii="Arial"/>
                <w:color w:val="auto"/>
                <w:sz w:val="21"/>
                <w:highlight w:val="none"/>
              </w:rPr>
            </w:pPr>
          </w:p>
          <w:p w14:paraId="77EB118F">
            <w:pPr>
              <w:spacing w:line="264" w:lineRule="auto"/>
              <w:rPr>
                <w:rFonts w:ascii="Arial"/>
                <w:color w:val="auto"/>
                <w:sz w:val="21"/>
                <w:highlight w:val="none"/>
              </w:rPr>
            </w:pPr>
          </w:p>
          <w:p w14:paraId="72B9A3FA">
            <w:pPr>
              <w:pStyle w:val="11"/>
              <w:spacing w:before="68" w:line="220" w:lineRule="auto"/>
              <w:ind w:left="17"/>
              <w:rPr>
                <w:color w:val="auto"/>
                <w:highlight w:val="none"/>
              </w:rPr>
            </w:pPr>
            <w:r>
              <w:rPr>
                <w:color w:val="auto"/>
                <w:spacing w:val="-1"/>
                <w:highlight w:val="none"/>
              </w:rPr>
              <w:t>与本单位存在控股与被控股关系的单位：</w:t>
            </w:r>
          </w:p>
          <w:p w14:paraId="3FAE624C">
            <w:pPr>
              <w:spacing w:line="265" w:lineRule="auto"/>
              <w:rPr>
                <w:rFonts w:ascii="Arial"/>
                <w:color w:val="auto"/>
                <w:sz w:val="21"/>
                <w:highlight w:val="none"/>
              </w:rPr>
            </w:pPr>
          </w:p>
          <w:p w14:paraId="120425D8">
            <w:pPr>
              <w:spacing w:line="265" w:lineRule="auto"/>
              <w:rPr>
                <w:rFonts w:ascii="Arial"/>
                <w:color w:val="auto"/>
                <w:sz w:val="21"/>
                <w:highlight w:val="none"/>
              </w:rPr>
            </w:pPr>
          </w:p>
          <w:p w14:paraId="64EFBF30">
            <w:pPr>
              <w:spacing w:line="265" w:lineRule="auto"/>
              <w:rPr>
                <w:rFonts w:ascii="Arial"/>
                <w:color w:val="auto"/>
                <w:sz w:val="21"/>
                <w:highlight w:val="none"/>
              </w:rPr>
            </w:pPr>
          </w:p>
          <w:p w14:paraId="20A02FFB">
            <w:pPr>
              <w:spacing w:line="265" w:lineRule="auto"/>
              <w:rPr>
                <w:rFonts w:ascii="Arial"/>
                <w:color w:val="auto"/>
                <w:sz w:val="21"/>
                <w:highlight w:val="none"/>
              </w:rPr>
            </w:pPr>
          </w:p>
          <w:p w14:paraId="05D5DBA2">
            <w:pPr>
              <w:spacing w:line="265" w:lineRule="auto"/>
              <w:rPr>
                <w:rFonts w:ascii="Arial"/>
                <w:color w:val="auto"/>
                <w:sz w:val="21"/>
                <w:highlight w:val="none"/>
              </w:rPr>
            </w:pPr>
          </w:p>
          <w:p w14:paraId="61DB87C3">
            <w:pPr>
              <w:spacing w:line="265" w:lineRule="auto"/>
              <w:rPr>
                <w:rFonts w:ascii="Arial"/>
                <w:color w:val="auto"/>
                <w:sz w:val="21"/>
                <w:highlight w:val="none"/>
              </w:rPr>
            </w:pPr>
          </w:p>
          <w:p w14:paraId="16E117EC">
            <w:pPr>
              <w:spacing w:line="266" w:lineRule="auto"/>
              <w:rPr>
                <w:rFonts w:ascii="Arial"/>
                <w:color w:val="auto"/>
                <w:sz w:val="21"/>
                <w:highlight w:val="none"/>
              </w:rPr>
            </w:pPr>
          </w:p>
          <w:p w14:paraId="025277FF">
            <w:pPr>
              <w:spacing w:line="266" w:lineRule="auto"/>
              <w:rPr>
                <w:rFonts w:ascii="Arial"/>
                <w:color w:val="auto"/>
                <w:sz w:val="21"/>
                <w:highlight w:val="none"/>
              </w:rPr>
            </w:pPr>
          </w:p>
          <w:p w14:paraId="0EDFE097">
            <w:pPr>
              <w:spacing w:line="266" w:lineRule="auto"/>
              <w:rPr>
                <w:rFonts w:ascii="Arial"/>
                <w:color w:val="auto"/>
                <w:sz w:val="21"/>
                <w:highlight w:val="none"/>
              </w:rPr>
            </w:pPr>
          </w:p>
          <w:p w14:paraId="6D591B3F">
            <w:pPr>
              <w:pStyle w:val="11"/>
              <w:spacing w:before="69" w:line="220" w:lineRule="auto"/>
              <w:ind w:left="17"/>
              <w:rPr>
                <w:color w:val="auto"/>
                <w:highlight w:val="none"/>
              </w:rPr>
            </w:pPr>
            <w:r>
              <w:rPr>
                <w:color w:val="auto"/>
                <w:spacing w:val="-1"/>
                <w:highlight w:val="none"/>
              </w:rPr>
              <w:t>与本单位存在管理与被管理关系的单位：</w:t>
            </w:r>
          </w:p>
        </w:tc>
      </w:tr>
    </w:tbl>
    <w:p w14:paraId="629F00F8">
      <w:pPr>
        <w:spacing w:before="29" w:line="229" w:lineRule="auto"/>
        <w:ind w:left="826" w:right="452" w:hanging="62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备注： 1.投标人应当如实披露相关关联单位的情况。没有相关关联单位的明确填</w:t>
      </w:r>
      <w:r>
        <w:rPr>
          <w:rFonts w:ascii="宋体" w:hAnsi="宋体" w:eastAsia="宋体" w:cs="宋体"/>
          <w:color w:val="auto"/>
          <w:spacing w:val="-7"/>
          <w:sz w:val="21"/>
          <w:szCs w:val="21"/>
          <w:highlight w:val="none"/>
        </w:rPr>
        <w:t>“无”。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2.联合体投标的，联合体各成员应分别填写。</w:t>
      </w:r>
    </w:p>
    <w:p w14:paraId="2205BEC1">
      <w:pPr>
        <w:spacing w:line="229" w:lineRule="auto"/>
        <w:rPr>
          <w:rFonts w:ascii="宋体" w:hAnsi="宋体" w:eastAsia="宋体" w:cs="宋体"/>
          <w:color w:val="auto"/>
          <w:sz w:val="21"/>
          <w:szCs w:val="21"/>
          <w:highlight w:val="none"/>
        </w:rPr>
        <w:sectPr>
          <w:footerReference r:id="rId228" w:type="default"/>
          <w:pgSz w:w="11905" w:h="16839"/>
          <w:pgMar w:top="400" w:right="1599" w:bottom="1004" w:left="1608" w:header="0" w:footer="828" w:gutter="0"/>
          <w:pgNumType w:fmt="decimal"/>
          <w:cols w:space="720" w:num="1"/>
        </w:sectPr>
      </w:pPr>
    </w:p>
    <w:p w14:paraId="1D6E29A5">
      <w:pPr>
        <w:pStyle w:val="3"/>
        <w:spacing w:line="267" w:lineRule="auto"/>
        <w:rPr>
          <w:color w:val="auto"/>
          <w:highlight w:val="none"/>
        </w:rPr>
      </w:pPr>
    </w:p>
    <w:p w14:paraId="153CCFBB">
      <w:pPr>
        <w:pStyle w:val="3"/>
        <w:spacing w:line="267" w:lineRule="auto"/>
        <w:rPr>
          <w:color w:val="auto"/>
          <w:highlight w:val="none"/>
        </w:rPr>
      </w:pPr>
    </w:p>
    <w:p w14:paraId="42626D88">
      <w:pPr>
        <w:pStyle w:val="3"/>
        <w:spacing w:line="268" w:lineRule="auto"/>
        <w:rPr>
          <w:color w:val="auto"/>
          <w:highlight w:val="none"/>
        </w:rPr>
      </w:pPr>
    </w:p>
    <w:p w14:paraId="29344C53">
      <w:pPr>
        <w:pStyle w:val="3"/>
        <w:spacing w:line="268" w:lineRule="auto"/>
        <w:rPr>
          <w:color w:val="auto"/>
          <w:highlight w:val="none"/>
        </w:rPr>
      </w:pPr>
    </w:p>
    <w:p w14:paraId="200DF9F4">
      <w:pPr>
        <w:spacing w:before="78" w:line="220" w:lineRule="auto"/>
        <w:ind w:left="2689"/>
        <w:rPr>
          <w:rFonts w:ascii="黑体" w:hAnsi="黑体" w:eastAsia="黑体" w:cs="黑体"/>
          <w:color w:val="auto"/>
          <w:sz w:val="24"/>
          <w:szCs w:val="24"/>
          <w:highlight w:val="none"/>
        </w:rPr>
      </w:pPr>
      <w:bookmarkStart w:id="1344" w:name="bookmark317"/>
      <w:bookmarkEnd w:id="1344"/>
      <w:r>
        <w:rPr>
          <w:rFonts w:ascii="Times New Roman" w:hAnsi="Times New Roman" w:eastAsia="Times New Roman" w:cs="Times New Roman"/>
          <w:color w:val="auto"/>
          <w:spacing w:val="-3"/>
          <w:sz w:val="24"/>
          <w:szCs w:val="24"/>
          <w:highlight w:val="none"/>
        </w:rPr>
        <w:t xml:space="preserve">1-3 </w:t>
      </w:r>
      <w:r>
        <w:rPr>
          <w:rFonts w:ascii="黑体" w:hAnsi="黑体" w:eastAsia="黑体" w:cs="黑体"/>
          <w:color w:val="auto"/>
          <w:spacing w:val="-3"/>
          <w:sz w:val="24"/>
          <w:szCs w:val="24"/>
          <w:highlight w:val="none"/>
        </w:rPr>
        <w:t>企业在辽基本信息登记单</w:t>
      </w:r>
    </w:p>
    <w:p w14:paraId="6DB1BB4B">
      <w:pPr>
        <w:spacing w:before="29"/>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14:paraId="2E537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042902F5">
            <w:pPr>
              <w:pStyle w:val="11"/>
              <w:spacing w:before="250" w:line="221" w:lineRule="auto"/>
              <w:ind w:left="634"/>
              <w:rPr>
                <w:color w:val="auto"/>
                <w:highlight w:val="none"/>
              </w:rPr>
            </w:pPr>
            <w:r>
              <w:rPr>
                <w:color w:val="auto"/>
                <w:spacing w:val="-1"/>
                <w:highlight w:val="none"/>
              </w:rPr>
              <w:t>单位名称</w:t>
            </w:r>
          </w:p>
        </w:tc>
        <w:tc>
          <w:tcPr>
            <w:tcW w:w="6219" w:type="dxa"/>
            <w:gridSpan w:val="3"/>
            <w:vAlign w:val="top"/>
          </w:tcPr>
          <w:p w14:paraId="2F4B60F0">
            <w:pPr>
              <w:rPr>
                <w:rFonts w:ascii="Arial"/>
                <w:color w:val="auto"/>
                <w:sz w:val="21"/>
                <w:highlight w:val="none"/>
              </w:rPr>
            </w:pPr>
          </w:p>
        </w:tc>
      </w:tr>
      <w:tr w14:paraId="35249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40FB06CF">
            <w:pPr>
              <w:pStyle w:val="11"/>
              <w:spacing w:before="240" w:line="221" w:lineRule="auto"/>
              <w:ind w:left="321"/>
              <w:rPr>
                <w:color w:val="auto"/>
                <w:highlight w:val="none"/>
              </w:rPr>
            </w:pPr>
            <w:r>
              <w:rPr>
                <w:color w:val="auto"/>
                <w:spacing w:val="-1"/>
                <w:highlight w:val="none"/>
              </w:rPr>
              <w:t>法定代表人姓名</w:t>
            </w:r>
          </w:p>
        </w:tc>
        <w:tc>
          <w:tcPr>
            <w:tcW w:w="2064" w:type="dxa"/>
            <w:vAlign w:val="top"/>
          </w:tcPr>
          <w:p w14:paraId="44EA571B">
            <w:pPr>
              <w:rPr>
                <w:rFonts w:ascii="Arial"/>
                <w:color w:val="auto"/>
                <w:sz w:val="21"/>
                <w:highlight w:val="none"/>
              </w:rPr>
            </w:pPr>
          </w:p>
        </w:tc>
        <w:tc>
          <w:tcPr>
            <w:tcW w:w="2083" w:type="dxa"/>
            <w:vAlign w:val="top"/>
          </w:tcPr>
          <w:p w14:paraId="4BBA7705">
            <w:pPr>
              <w:pStyle w:val="11"/>
              <w:spacing w:before="241" w:line="221" w:lineRule="auto"/>
              <w:ind w:left="530"/>
              <w:rPr>
                <w:color w:val="auto"/>
                <w:highlight w:val="none"/>
              </w:rPr>
            </w:pPr>
            <w:r>
              <w:rPr>
                <w:color w:val="auto"/>
                <w:spacing w:val="-2"/>
                <w:highlight w:val="none"/>
              </w:rPr>
              <w:t>公司所在地</w:t>
            </w:r>
          </w:p>
        </w:tc>
        <w:tc>
          <w:tcPr>
            <w:tcW w:w="2072" w:type="dxa"/>
            <w:vAlign w:val="top"/>
          </w:tcPr>
          <w:p w14:paraId="7AD621FC">
            <w:pPr>
              <w:rPr>
                <w:rFonts w:ascii="Arial"/>
                <w:color w:val="auto"/>
                <w:sz w:val="21"/>
                <w:highlight w:val="none"/>
              </w:rPr>
            </w:pPr>
          </w:p>
        </w:tc>
      </w:tr>
      <w:tr w14:paraId="0EFC4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2DCCA065">
            <w:pPr>
              <w:pStyle w:val="11"/>
              <w:spacing w:before="236" w:line="221" w:lineRule="auto"/>
              <w:ind w:left="219"/>
              <w:rPr>
                <w:color w:val="auto"/>
                <w:highlight w:val="none"/>
              </w:rPr>
            </w:pPr>
            <w:r>
              <w:rPr>
                <w:color w:val="auto"/>
                <w:spacing w:val="-1"/>
                <w:highlight w:val="none"/>
              </w:rPr>
              <w:t>安全生产许可证号</w:t>
            </w:r>
          </w:p>
        </w:tc>
        <w:tc>
          <w:tcPr>
            <w:tcW w:w="6219" w:type="dxa"/>
            <w:gridSpan w:val="3"/>
            <w:vAlign w:val="top"/>
          </w:tcPr>
          <w:p w14:paraId="43300828">
            <w:pPr>
              <w:rPr>
                <w:rFonts w:ascii="Arial"/>
                <w:color w:val="auto"/>
                <w:sz w:val="21"/>
                <w:highlight w:val="none"/>
              </w:rPr>
            </w:pPr>
          </w:p>
        </w:tc>
      </w:tr>
      <w:tr w14:paraId="65FFF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14:paraId="314B56B0">
            <w:pPr>
              <w:pStyle w:val="11"/>
              <w:spacing w:before="242" w:line="220" w:lineRule="auto"/>
              <w:ind w:left="536"/>
              <w:rPr>
                <w:color w:val="auto"/>
                <w:highlight w:val="none"/>
              </w:rPr>
            </w:pPr>
            <w:r>
              <w:rPr>
                <w:color w:val="auto"/>
                <w:spacing w:val="-2"/>
                <w:highlight w:val="none"/>
              </w:rPr>
              <w:t>资质证书号</w:t>
            </w:r>
          </w:p>
        </w:tc>
        <w:tc>
          <w:tcPr>
            <w:tcW w:w="6219" w:type="dxa"/>
            <w:gridSpan w:val="3"/>
            <w:vAlign w:val="top"/>
          </w:tcPr>
          <w:p w14:paraId="20D2CD1D">
            <w:pPr>
              <w:pStyle w:val="11"/>
              <w:spacing w:before="242" w:line="221" w:lineRule="auto"/>
              <w:ind w:left="2391"/>
              <w:rPr>
                <w:color w:val="auto"/>
                <w:highlight w:val="none"/>
              </w:rPr>
            </w:pPr>
            <w:r>
              <w:rPr>
                <w:color w:val="auto"/>
                <w:spacing w:val="-2"/>
                <w:highlight w:val="none"/>
              </w:rPr>
              <w:t>资质类别及等级</w:t>
            </w:r>
          </w:p>
        </w:tc>
      </w:tr>
      <w:tr w14:paraId="49CCF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37E61FAB">
            <w:pPr>
              <w:pStyle w:val="11"/>
              <w:spacing w:before="242" w:line="332" w:lineRule="exact"/>
              <w:ind w:left="962"/>
              <w:rPr>
                <w:color w:val="auto"/>
                <w:highlight w:val="none"/>
              </w:rPr>
            </w:pPr>
            <w:r>
              <w:rPr>
                <w:color w:val="auto"/>
                <w:position w:val="2"/>
                <w:highlight w:val="none"/>
              </w:rPr>
              <w:t>…</w:t>
            </w:r>
          </w:p>
        </w:tc>
        <w:tc>
          <w:tcPr>
            <w:tcW w:w="6219" w:type="dxa"/>
            <w:gridSpan w:val="3"/>
            <w:vAlign w:val="top"/>
          </w:tcPr>
          <w:p w14:paraId="489A6EA3">
            <w:pPr>
              <w:rPr>
                <w:rFonts w:ascii="Arial"/>
                <w:color w:val="auto"/>
                <w:sz w:val="21"/>
                <w:highlight w:val="none"/>
              </w:rPr>
            </w:pPr>
          </w:p>
        </w:tc>
      </w:tr>
      <w:tr w14:paraId="364B0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14:paraId="55D51336">
            <w:pPr>
              <w:pStyle w:val="11"/>
              <w:spacing w:before="243" w:line="332" w:lineRule="exact"/>
              <w:ind w:left="962"/>
              <w:rPr>
                <w:color w:val="auto"/>
                <w:highlight w:val="none"/>
              </w:rPr>
            </w:pPr>
            <w:r>
              <w:rPr>
                <w:color w:val="auto"/>
                <w:position w:val="2"/>
                <w:highlight w:val="none"/>
              </w:rPr>
              <w:t>…</w:t>
            </w:r>
          </w:p>
        </w:tc>
        <w:tc>
          <w:tcPr>
            <w:tcW w:w="6219" w:type="dxa"/>
            <w:gridSpan w:val="3"/>
            <w:vAlign w:val="top"/>
          </w:tcPr>
          <w:p w14:paraId="68356E27">
            <w:pPr>
              <w:rPr>
                <w:rFonts w:ascii="Arial"/>
                <w:color w:val="auto"/>
                <w:sz w:val="21"/>
                <w:highlight w:val="none"/>
              </w:rPr>
            </w:pPr>
          </w:p>
        </w:tc>
      </w:tr>
      <w:tr w14:paraId="11599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14447595">
            <w:pPr>
              <w:pStyle w:val="11"/>
              <w:spacing w:before="238" w:line="333" w:lineRule="exact"/>
              <w:ind w:left="962"/>
              <w:rPr>
                <w:color w:val="auto"/>
                <w:highlight w:val="none"/>
              </w:rPr>
            </w:pPr>
            <w:r>
              <w:rPr>
                <w:color w:val="auto"/>
                <w:position w:val="2"/>
                <w:highlight w:val="none"/>
              </w:rPr>
              <w:t>…</w:t>
            </w:r>
          </w:p>
        </w:tc>
        <w:tc>
          <w:tcPr>
            <w:tcW w:w="6219" w:type="dxa"/>
            <w:gridSpan w:val="3"/>
            <w:vAlign w:val="top"/>
          </w:tcPr>
          <w:p w14:paraId="00B96483">
            <w:pPr>
              <w:rPr>
                <w:rFonts w:ascii="Arial"/>
                <w:color w:val="auto"/>
                <w:sz w:val="21"/>
                <w:highlight w:val="none"/>
              </w:rPr>
            </w:pPr>
          </w:p>
        </w:tc>
      </w:tr>
      <w:tr w14:paraId="45EEA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14:paraId="3D6BB24F">
            <w:pPr>
              <w:pStyle w:val="11"/>
              <w:spacing w:before="248" w:line="221" w:lineRule="auto"/>
              <w:ind w:left="530"/>
              <w:rPr>
                <w:color w:val="auto"/>
                <w:highlight w:val="none"/>
              </w:rPr>
            </w:pPr>
            <w:r>
              <w:rPr>
                <w:color w:val="auto"/>
                <w:spacing w:val="-1"/>
                <w:highlight w:val="none"/>
              </w:rPr>
              <w:t>企业归属地</w:t>
            </w:r>
          </w:p>
        </w:tc>
        <w:tc>
          <w:tcPr>
            <w:tcW w:w="6219" w:type="dxa"/>
            <w:gridSpan w:val="3"/>
            <w:vAlign w:val="top"/>
          </w:tcPr>
          <w:p w14:paraId="6F346858">
            <w:pPr>
              <w:pStyle w:val="11"/>
              <w:spacing w:before="248" w:line="221" w:lineRule="auto"/>
              <w:ind w:left="1669"/>
              <w:rPr>
                <w:color w:val="auto"/>
                <w:highlight w:val="none"/>
              </w:rPr>
            </w:pPr>
            <w:r>
              <w:rPr>
                <w:color w:val="auto"/>
                <w:spacing w:val="-5"/>
                <w:highlight w:val="none"/>
              </w:rPr>
              <w:t>□省内企业</w:t>
            </w:r>
            <w:r>
              <w:rPr>
                <w:color w:val="auto"/>
                <w:spacing w:val="3"/>
                <w:highlight w:val="none"/>
              </w:rPr>
              <w:t xml:space="preserve">        </w:t>
            </w:r>
            <w:r>
              <w:rPr>
                <w:color w:val="auto"/>
                <w:spacing w:val="-5"/>
                <w:highlight w:val="none"/>
              </w:rPr>
              <w:t>□省外企业</w:t>
            </w:r>
          </w:p>
        </w:tc>
      </w:tr>
      <w:tr w14:paraId="438AC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10E090A0">
            <w:pPr>
              <w:pStyle w:val="11"/>
              <w:spacing w:before="250" w:line="221" w:lineRule="auto"/>
              <w:ind w:left="319"/>
              <w:rPr>
                <w:color w:val="auto"/>
                <w:highlight w:val="none"/>
              </w:rPr>
            </w:pPr>
            <w:r>
              <w:rPr>
                <w:color w:val="auto"/>
                <w:spacing w:val="-1"/>
                <w:highlight w:val="none"/>
              </w:rPr>
              <w:t>在辽负责人姓名</w:t>
            </w:r>
          </w:p>
        </w:tc>
        <w:tc>
          <w:tcPr>
            <w:tcW w:w="2064" w:type="dxa"/>
            <w:vAlign w:val="top"/>
          </w:tcPr>
          <w:p w14:paraId="230835E3">
            <w:pPr>
              <w:rPr>
                <w:rFonts w:ascii="Arial"/>
                <w:color w:val="auto"/>
                <w:sz w:val="21"/>
                <w:highlight w:val="none"/>
              </w:rPr>
            </w:pPr>
          </w:p>
        </w:tc>
        <w:tc>
          <w:tcPr>
            <w:tcW w:w="2083" w:type="dxa"/>
            <w:vAlign w:val="top"/>
          </w:tcPr>
          <w:p w14:paraId="738AF9B2">
            <w:pPr>
              <w:pStyle w:val="11"/>
              <w:spacing w:before="250" w:line="223" w:lineRule="auto"/>
              <w:ind w:left="866"/>
              <w:rPr>
                <w:color w:val="auto"/>
                <w:highlight w:val="none"/>
              </w:rPr>
            </w:pPr>
            <w:r>
              <w:rPr>
                <w:color w:val="auto"/>
                <w:spacing w:val="-8"/>
                <w:highlight w:val="none"/>
              </w:rPr>
              <w:t>电话</w:t>
            </w:r>
          </w:p>
        </w:tc>
        <w:tc>
          <w:tcPr>
            <w:tcW w:w="2072" w:type="dxa"/>
            <w:vAlign w:val="top"/>
          </w:tcPr>
          <w:p w14:paraId="5E1E8CEC">
            <w:pPr>
              <w:rPr>
                <w:rFonts w:ascii="Arial"/>
                <w:color w:val="auto"/>
                <w:sz w:val="21"/>
                <w:highlight w:val="none"/>
              </w:rPr>
            </w:pPr>
          </w:p>
        </w:tc>
      </w:tr>
      <w:tr w14:paraId="79275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17254CA5">
            <w:pPr>
              <w:pStyle w:val="11"/>
              <w:spacing w:before="246" w:line="221" w:lineRule="auto"/>
              <w:ind w:left="319"/>
              <w:rPr>
                <w:color w:val="auto"/>
                <w:highlight w:val="none"/>
              </w:rPr>
            </w:pPr>
            <w:r>
              <w:rPr>
                <w:color w:val="auto"/>
                <w:spacing w:val="-1"/>
                <w:highlight w:val="none"/>
              </w:rPr>
              <w:t>入辽登记有效期</w:t>
            </w:r>
          </w:p>
        </w:tc>
        <w:tc>
          <w:tcPr>
            <w:tcW w:w="6219" w:type="dxa"/>
            <w:gridSpan w:val="3"/>
            <w:vAlign w:val="top"/>
          </w:tcPr>
          <w:p w14:paraId="1929E088">
            <w:pPr>
              <w:pStyle w:val="11"/>
              <w:spacing w:before="245" w:line="221" w:lineRule="auto"/>
              <w:ind w:left="2435"/>
              <w:rPr>
                <w:color w:val="auto"/>
                <w:highlight w:val="none"/>
              </w:rPr>
            </w:pPr>
            <w:r>
              <w:rPr>
                <w:color w:val="auto"/>
                <w:spacing w:val="-7"/>
                <w:highlight w:val="none"/>
              </w:rPr>
              <w:t>年</w:t>
            </w:r>
            <w:r>
              <w:rPr>
                <w:color w:val="auto"/>
                <w:spacing w:val="5"/>
                <w:highlight w:val="none"/>
              </w:rPr>
              <w:t xml:space="preserve">   </w:t>
            </w:r>
            <w:r>
              <w:rPr>
                <w:color w:val="auto"/>
                <w:spacing w:val="-7"/>
                <w:highlight w:val="none"/>
              </w:rPr>
              <w:t>月</w:t>
            </w:r>
            <w:r>
              <w:rPr>
                <w:color w:val="auto"/>
                <w:spacing w:val="10"/>
                <w:highlight w:val="none"/>
              </w:rPr>
              <w:t xml:space="preserve">    </w:t>
            </w:r>
            <w:r>
              <w:rPr>
                <w:color w:val="auto"/>
                <w:spacing w:val="-7"/>
                <w:highlight w:val="none"/>
              </w:rPr>
              <w:t>日</w:t>
            </w:r>
          </w:p>
        </w:tc>
      </w:tr>
    </w:tbl>
    <w:p w14:paraId="2D1EF751">
      <w:pPr>
        <w:spacing w:before="24"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备注：联合体投标的，联合体各成员均应附在辽基本</w:t>
      </w:r>
      <w:r>
        <w:rPr>
          <w:rFonts w:ascii="宋体" w:hAnsi="宋体" w:eastAsia="宋体" w:cs="宋体"/>
          <w:color w:val="auto"/>
          <w:spacing w:val="-1"/>
          <w:sz w:val="21"/>
          <w:szCs w:val="21"/>
          <w:highlight w:val="none"/>
        </w:rPr>
        <w:t>信息登记单。</w:t>
      </w:r>
    </w:p>
    <w:p w14:paraId="24DA15B3">
      <w:pPr>
        <w:spacing w:line="220" w:lineRule="auto"/>
        <w:rPr>
          <w:rFonts w:ascii="宋体" w:hAnsi="宋体" w:eastAsia="宋体" w:cs="宋体"/>
          <w:color w:val="auto"/>
          <w:sz w:val="21"/>
          <w:szCs w:val="21"/>
          <w:highlight w:val="none"/>
        </w:rPr>
        <w:sectPr>
          <w:footerReference r:id="rId229" w:type="default"/>
          <w:pgSz w:w="11905" w:h="16839"/>
          <w:pgMar w:top="400" w:right="1785" w:bottom="1004" w:left="1785" w:header="0" w:footer="828" w:gutter="0"/>
          <w:pgNumType w:fmt="decimal"/>
          <w:cols w:space="720" w:num="1"/>
        </w:sectPr>
      </w:pPr>
    </w:p>
    <w:p w14:paraId="4838A343">
      <w:pPr>
        <w:pStyle w:val="3"/>
        <w:spacing w:line="276" w:lineRule="auto"/>
        <w:rPr>
          <w:color w:val="auto"/>
          <w:highlight w:val="none"/>
        </w:rPr>
      </w:pPr>
    </w:p>
    <w:p w14:paraId="0D264BCC">
      <w:pPr>
        <w:pStyle w:val="3"/>
        <w:spacing w:line="276" w:lineRule="auto"/>
        <w:rPr>
          <w:color w:val="auto"/>
          <w:highlight w:val="none"/>
        </w:rPr>
      </w:pPr>
    </w:p>
    <w:p w14:paraId="15B083DF">
      <w:pPr>
        <w:pStyle w:val="3"/>
        <w:spacing w:line="276" w:lineRule="auto"/>
        <w:rPr>
          <w:color w:val="auto"/>
          <w:highlight w:val="none"/>
        </w:rPr>
      </w:pPr>
    </w:p>
    <w:p w14:paraId="5D868585">
      <w:pPr>
        <w:pStyle w:val="3"/>
        <w:spacing w:line="276" w:lineRule="auto"/>
        <w:rPr>
          <w:color w:val="auto"/>
          <w:highlight w:val="none"/>
        </w:rPr>
      </w:pPr>
    </w:p>
    <w:p w14:paraId="375029D5">
      <w:pPr>
        <w:pStyle w:val="3"/>
        <w:spacing w:line="277" w:lineRule="auto"/>
        <w:rPr>
          <w:color w:val="auto"/>
          <w:highlight w:val="none"/>
        </w:rPr>
      </w:pPr>
    </w:p>
    <w:p w14:paraId="6CF022B4">
      <w:pPr>
        <w:spacing w:before="78" w:line="218" w:lineRule="auto"/>
        <w:ind w:left="2328"/>
        <w:rPr>
          <w:rFonts w:ascii="黑体" w:hAnsi="黑体" w:eastAsia="黑体" w:cs="黑体"/>
          <w:color w:val="auto"/>
          <w:sz w:val="24"/>
          <w:szCs w:val="24"/>
          <w:highlight w:val="none"/>
        </w:rPr>
      </w:pPr>
      <w:bookmarkStart w:id="1345" w:name="bookmark318"/>
      <w:bookmarkEnd w:id="1345"/>
      <w:r>
        <w:rPr>
          <w:rFonts w:ascii="Times New Roman" w:hAnsi="Times New Roman" w:eastAsia="Times New Roman" w:cs="Times New Roman"/>
          <w:color w:val="auto"/>
          <w:spacing w:val="-3"/>
          <w:sz w:val="24"/>
          <w:szCs w:val="24"/>
          <w:highlight w:val="none"/>
        </w:rPr>
        <w:t xml:space="preserve">1-4 </w:t>
      </w:r>
      <w:r>
        <w:rPr>
          <w:rFonts w:ascii="黑体" w:hAnsi="黑体" w:eastAsia="黑体" w:cs="黑体"/>
          <w:color w:val="auto"/>
          <w:spacing w:val="-3"/>
          <w:sz w:val="24"/>
          <w:szCs w:val="24"/>
          <w:highlight w:val="none"/>
        </w:rPr>
        <w:t>项目管理机构主要人员及简历表</w:t>
      </w:r>
    </w:p>
    <w:p w14:paraId="5BF9CC9E">
      <w:pPr>
        <w:pStyle w:val="3"/>
        <w:spacing w:line="243" w:lineRule="auto"/>
        <w:rPr>
          <w:color w:val="auto"/>
          <w:highlight w:val="none"/>
        </w:rPr>
      </w:pPr>
    </w:p>
    <w:p w14:paraId="7E9AC75D">
      <w:pPr>
        <w:pStyle w:val="3"/>
        <w:spacing w:line="243" w:lineRule="auto"/>
        <w:rPr>
          <w:color w:val="auto"/>
          <w:highlight w:val="none"/>
        </w:rPr>
      </w:pPr>
    </w:p>
    <w:p w14:paraId="18196D85">
      <w:pPr>
        <w:spacing w:before="68" w:line="219" w:lineRule="auto"/>
        <w:ind w:left="651"/>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说明：</w:t>
      </w:r>
      <w:r>
        <w:rPr>
          <w:rFonts w:ascii="黑体" w:hAnsi="黑体" w:eastAsia="黑体" w:cs="黑体"/>
          <w:color w:val="auto"/>
          <w:spacing w:val="-34"/>
          <w:sz w:val="21"/>
          <w:szCs w:val="21"/>
          <w:highlight w:val="none"/>
        </w:rPr>
        <w:t xml:space="preserve"> </w:t>
      </w:r>
      <w:r>
        <w:rPr>
          <w:rFonts w:ascii="宋体" w:hAnsi="宋体" w:eastAsia="宋体" w:cs="宋体"/>
          <w:color w:val="auto"/>
          <w:spacing w:val="-6"/>
          <w:sz w:val="21"/>
          <w:szCs w:val="21"/>
          <w:highlight w:val="none"/>
        </w:rPr>
        <w:t>“项目管理机构主要人员及简历表”同本章六、项目管理机构。</w:t>
      </w:r>
    </w:p>
    <w:p w14:paraId="629A242A">
      <w:pPr>
        <w:spacing w:line="219" w:lineRule="auto"/>
        <w:rPr>
          <w:rFonts w:ascii="宋体" w:hAnsi="宋体" w:eastAsia="宋体" w:cs="宋体"/>
          <w:color w:val="auto"/>
          <w:sz w:val="21"/>
          <w:szCs w:val="21"/>
          <w:highlight w:val="none"/>
        </w:rPr>
        <w:sectPr>
          <w:footerReference r:id="rId230" w:type="default"/>
          <w:pgSz w:w="11905" w:h="16839"/>
          <w:pgMar w:top="400" w:right="1785" w:bottom="1004" w:left="1785" w:header="0" w:footer="828" w:gutter="0"/>
          <w:pgNumType w:fmt="decimal"/>
          <w:cols w:space="720" w:num="1"/>
        </w:sectPr>
      </w:pPr>
    </w:p>
    <w:p w14:paraId="534F0C69">
      <w:pPr>
        <w:pStyle w:val="3"/>
        <w:spacing w:line="267" w:lineRule="auto"/>
        <w:rPr>
          <w:color w:val="auto"/>
          <w:highlight w:val="none"/>
        </w:rPr>
      </w:pPr>
    </w:p>
    <w:p w14:paraId="4AA62072">
      <w:pPr>
        <w:pStyle w:val="3"/>
        <w:spacing w:line="267" w:lineRule="auto"/>
        <w:rPr>
          <w:color w:val="auto"/>
          <w:highlight w:val="none"/>
        </w:rPr>
      </w:pPr>
    </w:p>
    <w:p w14:paraId="3C828ACD">
      <w:pPr>
        <w:pStyle w:val="3"/>
        <w:spacing w:line="268" w:lineRule="auto"/>
        <w:rPr>
          <w:color w:val="auto"/>
          <w:highlight w:val="none"/>
        </w:rPr>
      </w:pPr>
    </w:p>
    <w:p w14:paraId="3894CEE6">
      <w:pPr>
        <w:pStyle w:val="3"/>
        <w:spacing w:line="268" w:lineRule="auto"/>
        <w:rPr>
          <w:color w:val="auto"/>
          <w:highlight w:val="none"/>
        </w:rPr>
      </w:pPr>
    </w:p>
    <w:p w14:paraId="713745A6">
      <w:pPr>
        <w:spacing w:before="78" w:line="219" w:lineRule="auto"/>
        <w:ind w:left="2328"/>
        <w:rPr>
          <w:rFonts w:ascii="黑体" w:hAnsi="黑体" w:eastAsia="黑体" w:cs="黑体"/>
          <w:color w:val="auto"/>
          <w:sz w:val="24"/>
          <w:szCs w:val="24"/>
          <w:highlight w:val="none"/>
        </w:rPr>
      </w:pPr>
      <w:bookmarkStart w:id="1346" w:name="bookmark319"/>
      <w:bookmarkEnd w:id="1346"/>
      <w:r>
        <w:rPr>
          <w:rFonts w:ascii="Times New Roman" w:hAnsi="Times New Roman" w:eastAsia="Times New Roman" w:cs="Times New Roman"/>
          <w:color w:val="auto"/>
          <w:spacing w:val="-3"/>
          <w:sz w:val="24"/>
          <w:szCs w:val="24"/>
          <w:highlight w:val="none"/>
        </w:rPr>
        <w:t xml:space="preserve">1-5 </w:t>
      </w:r>
      <w:r>
        <w:rPr>
          <w:rFonts w:ascii="黑体" w:hAnsi="黑体" w:eastAsia="黑体" w:cs="黑体"/>
          <w:color w:val="auto"/>
          <w:spacing w:val="-3"/>
          <w:sz w:val="24"/>
          <w:szCs w:val="24"/>
          <w:highlight w:val="none"/>
        </w:rPr>
        <w:t>拟投入主要施工机械设备情况表</w:t>
      </w:r>
    </w:p>
    <w:p w14:paraId="642BF793">
      <w:pPr>
        <w:spacing w:before="160"/>
        <w:rPr>
          <w:color w:val="auto"/>
          <w:highlight w:val="none"/>
        </w:rPr>
      </w:pPr>
    </w:p>
    <w:tbl>
      <w:tblPr>
        <w:tblStyle w:val="10"/>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14:paraId="2E336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14:paraId="104A317D">
            <w:pPr>
              <w:pStyle w:val="11"/>
              <w:spacing w:before="100" w:line="230" w:lineRule="auto"/>
              <w:ind w:left="389" w:right="170" w:hanging="214"/>
              <w:rPr>
                <w:color w:val="auto"/>
                <w:highlight w:val="none"/>
              </w:rPr>
            </w:pPr>
            <w:r>
              <w:rPr>
                <w:color w:val="auto"/>
                <w:spacing w:val="-1"/>
                <w:highlight w:val="none"/>
              </w:rPr>
              <w:t>机械设备</w:t>
            </w:r>
            <w:r>
              <w:rPr>
                <w:color w:val="auto"/>
                <w:highlight w:val="none"/>
              </w:rPr>
              <w:t xml:space="preserve"> </w:t>
            </w:r>
            <w:r>
              <w:rPr>
                <w:color w:val="auto"/>
                <w:spacing w:val="-3"/>
                <w:highlight w:val="none"/>
              </w:rPr>
              <w:t>名称</w:t>
            </w:r>
          </w:p>
        </w:tc>
        <w:tc>
          <w:tcPr>
            <w:tcW w:w="1179" w:type="dxa"/>
            <w:tcBorders>
              <w:top w:val="single" w:color="000000" w:sz="6" w:space="0"/>
            </w:tcBorders>
            <w:vAlign w:val="top"/>
          </w:tcPr>
          <w:p w14:paraId="45EE4AF8">
            <w:pPr>
              <w:pStyle w:val="11"/>
              <w:spacing w:before="235" w:line="221" w:lineRule="auto"/>
              <w:ind w:left="180"/>
              <w:rPr>
                <w:color w:val="auto"/>
                <w:highlight w:val="none"/>
              </w:rPr>
            </w:pPr>
            <w:r>
              <w:rPr>
                <w:color w:val="auto"/>
                <w:spacing w:val="-2"/>
                <w:highlight w:val="none"/>
              </w:rPr>
              <w:t>型号规格</w:t>
            </w:r>
          </w:p>
        </w:tc>
        <w:tc>
          <w:tcPr>
            <w:tcW w:w="1184" w:type="dxa"/>
            <w:tcBorders>
              <w:top w:val="single" w:color="000000" w:sz="6" w:space="0"/>
            </w:tcBorders>
            <w:vAlign w:val="top"/>
          </w:tcPr>
          <w:p w14:paraId="6FA47E6C">
            <w:pPr>
              <w:pStyle w:val="11"/>
              <w:spacing w:before="235" w:line="221" w:lineRule="auto"/>
              <w:ind w:left="283"/>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1184" w:type="dxa"/>
            <w:tcBorders>
              <w:top w:val="single" w:color="000000" w:sz="6" w:space="0"/>
            </w:tcBorders>
            <w:vAlign w:val="top"/>
          </w:tcPr>
          <w:p w14:paraId="1F9CF11A">
            <w:pPr>
              <w:pStyle w:val="11"/>
              <w:spacing w:before="235" w:line="221" w:lineRule="auto"/>
              <w:ind w:left="218"/>
              <w:rPr>
                <w:color w:val="auto"/>
                <w:highlight w:val="none"/>
              </w:rPr>
            </w:pPr>
            <w:r>
              <w:rPr>
                <w:color w:val="auto"/>
                <w:spacing w:val="-9"/>
                <w:highlight w:val="none"/>
              </w:rPr>
              <w:t>目前状况</w:t>
            </w:r>
          </w:p>
        </w:tc>
        <w:tc>
          <w:tcPr>
            <w:tcW w:w="1184" w:type="dxa"/>
            <w:tcBorders>
              <w:top w:val="single" w:color="000000" w:sz="6" w:space="0"/>
            </w:tcBorders>
            <w:vAlign w:val="top"/>
          </w:tcPr>
          <w:p w14:paraId="79A74112">
            <w:pPr>
              <w:pStyle w:val="11"/>
              <w:spacing w:before="235" w:line="221" w:lineRule="auto"/>
              <w:ind w:left="287"/>
              <w:rPr>
                <w:color w:val="auto"/>
                <w:highlight w:val="none"/>
              </w:rPr>
            </w:pPr>
            <w:r>
              <w:rPr>
                <w:color w:val="auto"/>
                <w:spacing w:val="-4"/>
                <w:highlight w:val="none"/>
              </w:rPr>
              <w:t>来</w:t>
            </w:r>
            <w:r>
              <w:rPr>
                <w:color w:val="auto"/>
                <w:spacing w:val="4"/>
                <w:highlight w:val="none"/>
              </w:rPr>
              <w:t xml:space="preserve">  </w:t>
            </w:r>
            <w:r>
              <w:rPr>
                <w:color w:val="auto"/>
                <w:spacing w:val="-4"/>
                <w:highlight w:val="none"/>
              </w:rPr>
              <w:t>源</w:t>
            </w:r>
          </w:p>
        </w:tc>
        <w:tc>
          <w:tcPr>
            <w:tcW w:w="1184" w:type="dxa"/>
            <w:tcBorders>
              <w:top w:val="single" w:color="000000" w:sz="6" w:space="0"/>
            </w:tcBorders>
            <w:vAlign w:val="top"/>
          </w:tcPr>
          <w:p w14:paraId="61CE6C62">
            <w:pPr>
              <w:pStyle w:val="11"/>
              <w:spacing w:before="100" w:line="231" w:lineRule="auto"/>
              <w:ind w:left="509" w:right="160" w:hanging="326"/>
              <w:rPr>
                <w:color w:val="auto"/>
                <w:highlight w:val="none"/>
              </w:rPr>
            </w:pPr>
            <w:r>
              <w:rPr>
                <w:color w:val="auto"/>
                <w:spacing w:val="-2"/>
                <w:highlight w:val="none"/>
              </w:rPr>
              <w:t>现停放地</w:t>
            </w:r>
            <w:r>
              <w:rPr>
                <w:color w:val="auto"/>
                <w:spacing w:val="1"/>
                <w:highlight w:val="none"/>
              </w:rPr>
              <w:t xml:space="preserve"> </w:t>
            </w:r>
            <w:r>
              <w:rPr>
                <w:color w:val="auto"/>
                <w:highlight w:val="none"/>
              </w:rPr>
              <w:t>点</w:t>
            </w:r>
          </w:p>
        </w:tc>
        <w:tc>
          <w:tcPr>
            <w:tcW w:w="1193" w:type="dxa"/>
            <w:tcBorders>
              <w:top w:val="single" w:color="000000" w:sz="6" w:space="0"/>
              <w:right w:val="single" w:color="000000" w:sz="6" w:space="0"/>
            </w:tcBorders>
            <w:vAlign w:val="top"/>
          </w:tcPr>
          <w:p w14:paraId="4AB59A08">
            <w:pPr>
              <w:pStyle w:val="11"/>
              <w:spacing w:before="236" w:line="222" w:lineRule="auto"/>
              <w:ind w:left="292"/>
              <w:rPr>
                <w:color w:val="auto"/>
                <w:highlight w:val="none"/>
              </w:rPr>
            </w:pPr>
            <w:r>
              <w:rPr>
                <w:color w:val="auto"/>
                <w:spacing w:val="-5"/>
                <w:highlight w:val="none"/>
              </w:rPr>
              <w:t>备</w:t>
            </w:r>
            <w:r>
              <w:rPr>
                <w:color w:val="auto"/>
                <w:spacing w:val="4"/>
                <w:highlight w:val="none"/>
              </w:rPr>
              <w:t xml:space="preserve">  </w:t>
            </w:r>
            <w:r>
              <w:rPr>
                <w:color w:val="auto"/>
                <w:spacing w:val="-5"/>
                <w:highlight w:val="none"/>
              </w:rPr>
              <w:t>注</w:t>
            </w:r>
          </w:p>
        </w:tc>
      </w:tr>
      <w:tr w14:paraId="17278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49295CD1">
            <w:pPr>
              <w:rPr>
                <w:rFonts w:ascii="Arial"/>
                <w:color w:val="auto"/>
                <w:sz w:val="21"/>
                <w:highlight w:val="none"/>
              </w:rPr>
            </w:pPr>
          </w:p>
        </w:tc>
        <w:tc>
          <w:tcPr>
            <w:tcW w:w="1179" w:type="dxa"/>
            <w:vAlign w:val="top"/>
          </w:tcPr>
          <w:p w14:paraId="2F0D649B">
            <w:pPr>
              <w:rPr>
                <w:rFonts w:ascii="Arial"/>
                <w:color w:val="auto"/>
                <w:sz w:val="21"/>
                <w:highlight w:val="none"/>
              </w:rPr>
            </w:pPr>
          </w:p>
        </w:tc>
        <w:tc>
          <w:tcPr>
            <w:tcW w:w="1184" w:type="dxa"/>
            <w:vAlign w:val="top"/>
          </w:tcPr>
          <w:p w14:paraId="02C0038B">
            <w:pPr>
              <w:rPr>
                <w:rFonts w:ascii="Arial"/>
                <w:color w:val="auto"/>
                <w:sz w:val="21"/>
                <w:highlight w:val="none"/>
              </w:rPr>
            </w:pPr>
          </w:p>
        </w:tc>
        <w:tc>
          <w:tcPr>
            <w:tcW w:w="1184" w:type="dxa"/>
            <w:vAlign w:val="top"/>
          </w:tcPr>
          <w:p w14:paraId="554C7930">
            <w:pPr>
              <w:rPr>
                <w:rFonts w:ascii="Arial"/>
                <w:color w:val="auto"/>
                <w:sz w:val="21"/>
                <w:highlight w:val="none"/>
              </w:rPr>
            </w:pPr>
          </w:p>
        </w:tc>
        <w:tc>
          <w:tcPr>
            <w:tcW w:w="1184" w:type="dxa"/>
            <w:vAlign w:val="top"/>
          </w:tcPr>
          <w:p w14:paraId="6EF256E2">
            <w:pPr>
              <w:rPr>
                <w:rFonts w:ascii="Arial"/>
                <w:color w:val="auto"/>
                <w:sz w:val="21"/>
                <w:highlight w:val="none"/>
              </w:rPr>
            </w:pPr>
          </w:p>
        </w:tc>
        <w:tc>
          <w:tcPr>
            <w:tcW w:w="1184" w:type="dxa"/>
            <w:vAlign w:val="top"/>
          </w:tcPr>
          <w:p w14:paraId="4A2DC4EE">
            <w:pPr>
              <w:rPr>
                <w:rFonts w:ascii="Arial"/>
                <w:color w:val="auto"/>
                <w:sz w:val="21"/>
                <w:highlight w:val="none"/>
              </w:rPr>
            </w:pPr>
          </w:p>
        </w:tc>
        <w:tc>
          <w:tcPr>
            <w:tcW w:w="1193" w:type="dxa"/>
            <w:tcBorders>
              <w:right w:val="single" w:color="000000" w:sz="6" w:space="0"/>
            </w:tcBorders>
            <w:vAlign w:val="top"/>
          </w:tcPr>
          <w:p w14:paraId="6C6F697A">
            <w:pPr>
              <w:rPr>
                <w:rFonts w:ascii="Arial"/>
                <w:color w:val="auto"/>
                <w:sz w:val="21"/>
                <w:highlight w:val="none"/>
              </w:rPr>
            </w:pPr>
          </w:p>
        </w:tc>
      </w:tr>
      <w:tr w14:paraId="03B55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719E655B">
            <w:pPr>
              <w:rPr>
                <w:rFonts w:ascii="Arial"/>
                <w:color w:val="auto"/>
                <w:sz w:val="21"/>
                <w:highlight w:val="none"/>
              </w:rPr>
            </w:pPr>
          </w:p>
        </w:tc>
        <w:tc>
          <w:tcPr>
            <w:tcW w:w="1179" w:type="dxa"/>
            <w:vAlign w:val="top"/>
          </w:tcPr>
          <w:p w14:paraId="7BBBEDF3">
            <w:pPr>
              <w:rPr>
                <w:rFonts w:ascii="Arial"/>
                <w:color w:val="auto"/>
                <w:sz w:val="21"/>
                <w:highlight w:val="none"/>
              </w:rPr>
            </w:pPr>
          </w:p>
        </w:tc>
        <w:tc>
          <w:tcPr>
            <w:tcW w:w="1184" w:type="dxa"/>
            <w:vAlign w:val="top"/>
          </w:tcPr>
          <w:p w14:paraId="1287B313">
            <w:pPr>
              <w:rPr>
                <w:rFonts w:ascii="Arial"/>
                <w:color w:val="auto"/>
                <w:sz w:val="21"/>
                <w:highlight w:val="none"/>
              </w:rPr>
            </w:pPr>
          </w:p>
        </w:tc>
        <w:tc>
          <w:tcPr>
            <w:tcW w:w="1184" w:type="dxa"/>
            <w:vAlign w:val="top"/>
          </w:tcPr>
          <w:p w14:paraId="506FB456">
            <w:pPr>
              <w:rPr>
                <w:rFonts w:ascii="Arial"/>
                <w:color w:val="auto"/>
                <w:sz w:val="21"/>
                <w:highlight w:val="none"/>
              </w:rPr>
            </w:pPr>
          </w:p>
        </w:tc>
        <w:tc>
          <w:tcPr>
            <w:tcW w:w="1184" w:type="dxa"/>
            <w:vAlign w:val="top"/>
          </w:tcPr>
          <w:p w14:paraId="117168EC">
            <w:pPr>
              <w:rPr>
                <w:rFonts w:ascii="Arial"/>
                <w:color w:val="auto"/>
                <w:sz w:val="21"/>
                <w:highlight w:val="none"/>
              </w:rPr>
            </w:pPr>
          </w:p>
        </w:tc>
        <w:tc>
          <w:tcPr>
            <w:tcW w:w="1184" w:type="dxa"/>
            <w:vAlign w:val="top"/>
          </w:tcPr>
          <w:p w14:paraId="1966B7D2">
            <w:pPr>
              <w:rPr>
                <w:rFonts w:ascii="Arial"/>
                <w:color w:val="auto"/>
                <w:sz w:val="21"/>
                <w:highlight w:val="none"/>
              </w:rPr>
            </w:pPr>
          </w:p>
        </w:tc>
        <w:tc>
          <w:tcPr>
            <w:tcW w:w="1193" w:type="dxa"/>
            <w:tcBorders>
              <w:right w:val="single" w:color="000000" w:sz="6" w:space="0"/>
            </w:tcBorders>
            <w:vAlign w:val="top"/>
          </w:tcPr>
          <w:p w14:paraId="48E6FA90">
            <w:pPr>
              <w:rPr>
                <w:rFonts w:ascii="Arial"/>
                <w:color w:val="auto"/>
                <w:sz w:val="21"/>
                <w:highlight w:val="none"/>
              </w:rPr>
            </w:pPr>
          </w:p>
        </w:tc>
      </w:tr>
      <w:tr w14:paraId="6A9FA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180B0A49">
            <w:pPr>
              <w:rPr>
                <w:rFonts w:ascii="Arial"/>
                <w:color w:val="auto"/>
                <w:sz w:val="21"/>
                <w:highlight w:val="none"/>
              </w:rPr>
            </w:pPr>
          </w:p>
        </w:tc>
        <w:tc>
          <w:tcPr>
            <w:tcW w:w="1179" w:type="dxa"/>
            <w:vAlign w:val="top"/>
          </w:tcPr>
          <w:p w14:paraId="7ACA3C2D">
            <w:pPr>
              <w:rPr>
                <w:rFonts w:ascii="Arial"/>
                <w:color w:val="auto"/>
                <w:sz w:val="21"/>
                <w:highlight w:val="none"/>
              </w:rPr>
            </w:pPr>
          </w:p>
        </w:tc>
        <w:tc>
          <w:tcPr>
            <w:tcW w:w="1184" w:type="dxa"/>
            <w:vAlign w:val="top"/>
          </w:tcPr>
          <w:p w14:paraId="0C13BB1D">
            <w:pPr>
              <w:rPr>
                <w:rFonts w:ascii="Arial"/>
                <w:color w:val="auto"/>
                <w:sz w:val="21"/>
                <w:highlight w:val="none"/>
              </w:rPr>
            </w:pPr>
          </w:p>
        </w:tc>
        <w:tc>
          <w:tcPr>
            <w:tcW w:w="1184" w:type="dxa"/>
            <w:vAlign w:val="top"/>
          </w:tcPr>
          <w:p w14:paraId="13EB70D9">
            <w:pPr>
              <w:rPr>
                <w:rFonts w:ascii="Arial"/>
                <w:color w:val="auto"/>
                <w:sz w:val="21"/>
                <w:highlight w:val="none"/>
              </w:rPr>
            </w:pPr>
          </w:p>
        </w:tc>
        <w:tc>
          <w:tcPr>
            <w:tcW w:w="1184" w:type="dxa"/>
            <w:vAlign w:val="top"/>
          </w:tcPr>
          <w:p w14:paraId="227683BE">
            <w:pPr>
              <w:rPr>
                <w:rFonts w:ascii="Arial"/>
                <w:color w:val="auto"/>
                <w:sz w:val="21"/>
                <w:highlight w:val="none"/>
              </w:rPr>
            </w:pPr>
          </w:p>
        </w:tc>
        <w:tc>
          <w:tcPr>
            <w:tcW w:w="1184" w:type="dxa"/>
            <w:vAlign w:val="top"/>
          </w:tcPr>
          <w:p w14:paraId="13596C06">
            <w:pPr>
              <w:rPr>
                <w:rFonts w:ascii="Arial"/>
                <w:color w:val="auto"/>
                <w:sz w:val="21"/>
                <w:highlight w:val="none"/>
              </w:rPr>
            </w:pPr>
          </w:p>
        </w:tc>
        <w:tc>
          <w:tcPr>
            <w:tcW w:w="1193" w:type="dxa"/>
            <w:tcBorders>
              <w:right w:val="single" w:color="000000" w:sz="6" w:space="0"/>
            </w:tcBorders>
            <w:vAlign w:val="top"/>
          </w:tcPr>
          <w:p w14:paraId="40B826BC">
            <w:pPr>
              <w:rPr>
                <w:rFonts w:ascii="Arial"/>
                <w:color w:val="auto"/>
                <w:sz w:val="21"/>
                <w:highlight w:val="none"/>
              </w:rPr>
            </w:pPr>
          </w:p>
        </w:tc>
      </w:tr>
      <w:tr w14:paraId="28BB1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74A87FBB">
            <w:pPr>
              <w:rPr>
                <w:rFonts w:ascii="Arial"/>
                <w:color w:val="auto"/>
                <w:sz w:val="21"/>
                <w:highlight w:val="none"/>
              </w:rPr>
            </w:pPr>
          </w:p>
        </w:tc>
        <w:tc>
          <w:tcPr>
            <w:tcW w:w="1179" w:type="dxa"/>
            <w:vAlign w:val="top"/>
          </w:tcPr>
          <w:p w14:paraId="3A2F8E70">
            <w:pPr>
              <w:rPr>
                <w:rFonts w:ascii="Arial"/>
                <w:color w:val="auto"/>
                <w:sz w:val="21"/>
                <w:highlight w:val="none"/>
              </w:rPr>
            </w:pPr>
          </w:p>
        </w:tc>
        <w:tc>
          <w:tcPr>
            <w:tcW w:w="1184" w:type="dxa"/>
            <w:vAlign w:val="top"/>
          </w:tcPr>
          <w:p w14:paraId="33B7B952">
            <w:pPr>
              <w:rPr>
                <w:rFonts w:ascii="Arial"/>
                <w:color w:val="auto"/>
                <w:sz w:val="21"/>
                <w:highlight w:val="none"/>
              </w:rPr>
            </w:pPr>
          </w:p>
        </w:tc>
        <w:tc>
          <w:tcPr>
            <w:tcW w:w="1184" w:type="dxa"/>
            <w:vAlign w:val="top"/>
          </w:tcPr>
          <w:p w14:paraId="746298E7">
            <w:pPr>
              <w:rPr>
                <w:rFonts w:ascii="Arial"/>
                <w:color w:val="auto"/>
                <w:sz w:val="21"/>
                <w:highlight w:val="none"/>
              </w:rPr>
            </w:pPr>
          </w:p>
        </w:tc>
        <w:tc>
          <w:tcPr>
            <w:tcW w:w="1184" w:type="dxa"/>
            <w:vAlign w:val="top"/>
          </w:tcPr>
          <w:p w14:paraId="7B6A593D">
            <w:pPr>
              <w:rPr>
                <w:rFonts w:ascii="Arial"/>
                <w:color w:val="auto"/>
                <w:sz w:val="21"/>
                <w:highlight w:val="none"/>
              </w:rPr>
            </w:pPr>
          </w:p>
        </w:tc>
        <w:tc>
          <w:tcPr>
            <w:tcW w:w="1184" w:type="dxa"/>
            <w:vAlign w:val="top"/>
          </w:tcPr>
          <w:p w14:paraId="2CC31E85">
            <w:pPr>
              <w:rPr>
                <w:rFonts w:ascii="Arial"/>
                <w:color w:val="auto"/>
                <w:sz w:val="21"/>
                <w:highlight w:val="none"/>
              </w:rPr>
            </w:pPr>
          </w:p>
        </w:tc>
        <w:tc>
          <w:tcPr>
            <w:tcW w:w="1193" w:type="dxa"/>
            <w:tcBorders>
              <w:right w:val="single" w:color="000000" w:sz="6" w:space="0"/>
            </w:tcBorders>
            <w:vAlign w:val="top"/>
          </w:tcPr>
          <w:p w14:paraId="7CE2CAED">
            <w:pPr>
              <w:rPr>
                <w:rFonts w:ascii="Arial"/>
                <w:color w:val="auto"/>
                <w:sz w:val="21"/>
                <w:highlight w:val="none"/>
              </w:rPr>
            </w:pPr>
          </w:p>
        </w:tc>
      </w:tr>
      <w:tr w14:paraId="76300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7C467D78">
            <w:pPr>
              <w:rPr>
                <w:rFonts w:ascii="Arial"/>
                <w:color w:val="auto"/>
                <w:sz w:val="21"/>
                <w:highlight w:val="none"/>
              </w:rPr>
            </w:pPr>
          </w:p>
        </w:tc>
        <w:tc>
          <w:tcPr>
            <w:tcW w:w="1179" w:type="dxa"/>
            <w:vAlign w:val="top"/>
          </w:tcPr>
          <w:p w14:paraId="5031374A">
            <w:pPr>
              <w:rPr>
                <w:rFonts w:ascii="Arial"/>
                <w:color w:val="auto"/>
                <w:sz w:val="21"/>
                <w:highlight w:val="none"/>
              </w:rPr>
            </w:pPr>
          </w:p>
        </w:tc>
        <w:tc>
          <w:tcPr>
            <w:tcW w:w="1184" w:type="dxa"/>
            <w:vAlign w:val="top"/>
          </w:tcPr>
          <w:p w14:paraId="41B9E615">
            <w:pPr>
              <w:rPr>
                <w:rFonts w:ascii="Arial"/>
                <w:color w:val="auto"/>
                <w:sz w:val="21"/>
                <w:highlight w:val="none"/>
              </w:rPr>
            </w:pPr>
          </w:p>
        </w:tc>
        <w:tc>
          <w:tcPr>
            <w:tcW w:w="1184" w:type="dxa"/>
            <w:vAlign w:val="top"/>
          </w:tcPr>
          <w:p w14:paraId="52BF5B99">
            <w:pPr>
              <w:rPr>
                <w:rFonts w:ascii="Arial"/>
                <w:color w:val="auto"/>
                <w:sz w:val="21"/>
                <w:highlight w:val="none"/>
              </w:rPr>
            </w:pPr>
          </w:p>
        </w:tc>
        <w:tc>
          <w:tcPr>
            <w:tcW w:w="1184" w:type="dxa"/>
            <w:vAlign w:val="top"/>
          </w:tcPr>
          <w:p w14:paraId="74424CA8">
            <w:pPr>
              <w:rPr>
                <w:rFonts w:ascii="Arial"/>
                <w:color w:val="auto"/>
                <w:sz w:val="21"/>
                <w:highlight w:val="none"/>
              </w:rPr>
            </w:pPr>
          </w:p>
        </w:tc>
        <w:tc>
          <w:tcPr>
            <w:tcW w:w="1184" w:type="dxa"/>
            <w:vAlign w:val="top"/>
          </w:tcPr>
          <w:p w14:paraId="2EECE2F5">
            <w:pPr>
              <w:rPr>
                <w:rFonts w:ascii="Arial"/>
                <w:color w:val="auto"/>
                <w:sz w:val="21"/>
                <w:highlight w:val="none"/>
              </w:rPr>
            </w:pPr>
          </w:p>
        </w:tc>
        <w:tc>
          <w:tcPr>
            <w:tcW w:w="1193" w:type="dxa"/>
            <w:tcBorders>
              <w:right w:val="single" w:color="000000" w:sz="6" w:space="0"/>
            </w:tcBorders>
            <w:vAlign w:val="top"/>
          </w:tcPr>
          <w:p w14:paraId="76F62A22">
            <w:pPr>
              <w:rPr>
                <w:rFonts w:ascii="Arial"/>
                <w:color w:val="auto"/>
                <w:sz w:val="21"/>
                <w:highlight w:val="none"/>
              </w:rPr>
            </w:pPr>
          </w:p>
        </w:tc>
      </w:tr>
      <w:tr w14:paraId="5CD45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246CD781">
            <w:pPr>
              <w:rPr>
                <w:rFonts w:ascii="Arial"/>
                <w:color w:val="auto"/>
                <w:sz w:val="21"/>
                <w:highlight w:val="none"/>
              </w:rPr>
            </w:pPr>
          </w:p>
        </w:tc>
        <w:tc>
          <w:tcPr>
            <w:tcW w:w="1179" w:type="dxa"/>
            <w:vAlign w:val="top"/>
          </w:tcPr>
          <w:p w14:paraId="28C7B573">
            <w:pPr>
              <w:rPr>
                <w:rFonts w:ascii="Arial"/>
                <w:color w:val="auto"/>
                <w:sz w:val="21"/>
                <w:highlight w:val="none"/>
              </w:rPr>
            </w:pPr>
          </w:p>
        </w:tc>
        <w:tc>
          <w:tcPr>
            <w:tcW w:w="1184" w:type="dxa"/>
            <w:vAlign w:val="top"/>
          </w:tcPr>
          <w:p w14:paraId="1421663A">
            <w:pPr>
              <w:rPr>
                <w:rFonts w:ascii="Arial"/>
                <w:color w:val="auto"/>
                <w:sz w:val="21"/>
                <w:highlight w:val="none"/>
              </w:rPr>
            </w:pPr>
          </w:p>
        </w:tc>
        <w:tc>
          <w:tcPr>
            <w:tcW w:w="1184" w:type="dxa"/>
            <w:vAlign w:val="top"/>
          </w:tcPr>
          <w:p w14:paraId="71D7AFBE">
            <w:pPr>
              <w:rPr>
                <w:rFonts w:ascii="Arial"/>
                <w:color w:val="auto"/>
                <w:sz w:val="21"/>
                <w:highlight w:val="none"/>
              </w:rPr>
            </w:pPr>
          </w:p>
        </w:tc>
        <w:tc>
          <w:tcPr>
            <w:tcW w:w="1184" w:type="dxa"/>
            <w:vAlign w:val="top"/>
          </w:tcPr>
          <w:p w14:paraId="3AD5F5E6">
            <w:pPr>
              <w:rPr>
                <w:rFonts w:ascii="Arial"/>
                <w:color w:val="auto"/>
                <w:sz w:val="21"/>
                <w:highlight w:val="none"/>
              </w:rPr>
            </w:pPr>
          </w:p>
        </w:tc>
        <w:tc>
          <w:tcPr>
            <w:tcW w:w="1184" w:type="dxa"/>
            <w:vAlign w:val="top"/>
          </w:tcPr>
          <w:p w14:paraId="4BDAE657">
            <w:pPr>
              <w:rPr>
                <w:rFonts w:ascii="Arial"/>
                <w:color w:val="auto"/>
                <w:sz w:val="21"/>
                <w:highlight w:val="none"/>
              </w:rPr>
            </w:pPr>
          </w:p>
        </w:tc>
        <w:tc>
          <w:tcPr>
            <w:tcW w:w="1193" w:type="dxa"/>
            <w:tcBorders>
              <w:right w:val="single" w:color="000000" w:sz="6" w:space="0"/>
            </w:tcBorders>
            <w:vAlign w:val="top"/>
          </w:tcPr>
          <w:p w14:paraId="5C83C5ED">
            <w:pPr>
              <w:rPr>
                <w:rFonts w:ascii="Arial"/>
                <w:color w:val="auto"/>
                <w:sz w:val="21"/>
                <w:highlight w:val="none"/>
              </w:rPr>
            </w:pPr>
          </w:p>
        </w:tc>
      </w:tr>
      <w:tr w14:paraId="6F444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3AF12AB3">
            <w:pPr>
              <w:rPr>
                <w:rFonts w:ascii="Arial"/>
                <w:color w:val="auto"/>
                <w:sz w:val="21"/>
                <w:highlight w:val="none"/>
              </w:rPr>
            </w:pPr>
          </w:p>
        </w:tc>
        <w:tc>
          <w:tcPr>
            <w:tcW w:w="1179" w:type="dxa"/>
            <w:vAlign w:val="top"/>
          </w:tcPr>
          <w:p w14:paraId="4A933FA5">
            <w:pPr>
              <w:rPr>
                <w:rFonts w:ascii="Arial"/>
                <w:color w:val="auto"/>
                <w:sz w:val="21"/>
                <w:highlight w:val="none"/>
              </w:rPr>
            </w:pPr>
          </w:p>
        </w:tc>
        <w:tc>
          <w:tcPr>
            <w:tcW w:w="1184" w:type="dxa"/>
            <w:vAlign w:val="top"/>
          </w:tcPr>
          <w:p w14:paraId="1ED07502">
            <w:pPr>
              <w:rPr>
                <w:rFonts w:ascii="Arial"/>
                <w:color w:val="auto"/>
                <w:sz w:val="21"/>
                <w:highlight w:val="none"/>
              </w:rPr>
            </w:pPr>
          </w:p>
        </w:tc>
        <w:tc>
          <w:tcPr>
            <w:tcW w:w="1184" w:type="dxa"/>
            <w:vAlign w:val="top"/>
          </w:tcPr>
          <w:p w14:paraId="081CDD56">
            <w:pPr>
              <w:rPr>
                <w:rFonts w:ascii="Arial"/>
                <w:color w:val="auto"/>
                <w:sz w:val="21"/>
                <w:highlight w:val="none"/>
              </w:rPr>
            </w:pPr>
          </w:p>
        </w:tc>
        <w:tc>
          <w:tcPr>
            <w:tcW w:w="1184" w:type="dxa"/>
            <w:vAlign w:val="top"/>
          </w:tcPr>
          <w:p w14:paraId="161C0A80">
            <w:pPr>
              <w:rPr>
                <w:rFonts w:ascii="Arial"/>
                <w:color w:val="auto"/>
                <w:sz w:val="21"/>
                <w:highlight w:val="none"/>
              </w:rPr>
            </w:pPr>
          </w:p>
        </w:tc>
        <w:tc>
          <w:tcPr>
            <w:tcW w:w="1184" w:type="dxa"/>
            <w:vAlign w:val="top"/>
          </w:tcPr>
          <w:p w14:paraId="42E31B47">
            <w:pPr>
              <w:rPr>
                <w:rFonts w:ascii="Arial"/>
                <w:color w:val="auto"/>
                <w:sz w:val="21"/>
                <w:highlight w:val="none"/>
              </w:rPr>
            </w:pPr>
          </w:p>
        </w:tc>
        <w:tc>
          <w:tcPr>
            <w:tcW w:w="1193" w:type="dxa"/>
            <w:tcBorders>
              <w:right w:val="single" w:color="000000" w:sz="6" w:space="0"/>
            </w:tcBorders>
            <w:vAlign w:val="top"/>
          </w:tcPr>
          <w:p w14:paraId="5B4E9164">
            <w:pPr>
              <w:rPr>
                <w:rFonts w:ascii="Arial"/>
                <w:color w:val="auto"/>
                <w:sz w:val="21"/>
                <w:highlight w:val="none"/>
              </w:rPr>
            </w:pPr>
          </w:p>
        </w:tc>
      </w:tr>
      <w:tr w14:paraId="400BE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14:paraId="70471BA2">
            <w:pPr>
              <w:rPr>
                <w:rFonts w:ascii="Arial"/>
                <w:color w:val="auto"/>
                <w:sz w:val="21"/>
                <w:highlight w:val="none"/>
              </w:rPr>
            </w:pPr>
          </w:p>
        </w:tc>
        <w:tc>
          <w:tcPr>
            <w:tcW w:w="1179" w:type="dxa"/>
            <w:tcBorders>
              <w:bottom w:val="single" w:color="000000" w:sz="6" w:space="0"/>
            </w:tcBorders>
            <w:vAlign w:val="top"/>
          </w:tcPr>
          <w:p w14:paraId="405C8D7B">
            <w:pPr>
              <w:rPr>
                <w:rFonts w:ascii="Arial"/>
                <w:color w:val="auto"/>
                <w:sz w:val="21"/>
                <w:highlight w:val="none"/>
              </w:rPr>
            </w:pPr>
          </w:p>
        </w:tc>
        <w:tc>
          <w:tcPr>
            <w:tcW w:w="1184" w:type="dxa"/>
            <w:tcBorders>
              <w:bottom w:val="single" w:color="000000" w:sz="6" w:space="0"/>
            </w:tcBorders>
            <w:vAlign w:val="top"/>
          </w:tcPr>
          <w:p w14:paraId="5BC055F7">
            <w:pPr>
              <w:rPr>
                <w:rFonts w:ascii="Arial"/>
                <w:color w:val="auto"/>
                <w:sz w:val="21"/>
                <w:highlight w:val="none"/>
              </w:rPr>
            </w:pPr>
          </w:p>
        </w:tc>
        <w:tc>
          <w:tcPr>
            <w:tcW w:w="1184" w:type="dxa"/>
            <w:tcBorders>
              <w:bottom w:val="single" w:color="000000" w:sz="6" w:space="0"/>
            </w:tcBorders>
            <w:vAlign w:val="top"/>
          </w:tcPr>
          <w:p w14:paraId="2D0808B1">
            <w:pPr>
              <w:rPr>
                <w:rFonts w:ascii="Arial"/>
                <w:color w:val="auto"/>
                <w:sz w:val="21"/>
                <w:highlight w:val="none"/>
              </w:rPr>
            </w:pPr>
          </w:p>
        </w:tc>
        <w:tc>
          <w:tcPr>
            <w:tcW w:w="1184" w:type="dxa"/>
            <w:tcBorders>
              <w:bottom w:val="single" w:color="000000" w:sz="6" w:space="0"/>
            </w:tcBorders>
            <w:vAlign w:val="top"/>
          </w:tcPr>
          <w:p w14:paraId="69E746F0">
            <w:pPr>
              <w:rPr>
                <w:rFonts w:ascii="Arial"/>
                <w:color w:val="auto"/>
                <w:sz w:val="21"/>
                <w:highlight w:val="none"/>
              </w:rPr>
            </w:pPr>
          </w:p>
        </w:tc>
        <w:tc>
          <w:tcPr>
            <w:tcW w:w="1184" w:type="dxa"/>
            <w:tcBorders>
              <w:bottom w:val="single" w:color="000000" w:sz="6" w:space="0"/>
            </w:tcBorders>
            <w:vAlign w:val="top"/>
          </w:tcPr>
          <w:p w14:paraId="3354BC7E">
            <w:pPr>
              <w:rPr>
                <w:rFonts w:ascii="Arial"/>
                <w:color w:val="auto"/>
                <w:sz w:val="21"/>
                <w:highlight w:val="none"/>
              </w:rPr>
            </w:pPr>
          </w:p>
        </w:tc>
        <w:tc>
          <w:tcPr>
            <w:tcW w:w="1193" w:type="dxa"/>
            <w:tcBorders>
              <w:bottom w:val="single" w:color="000000" w:sz="6" w:space="0"/>
              <w:right w:val="single" w:color="000000" w:sz="6" w:space="0"/>
            </w:tcBorders>
            <w:vAlign w:val="top"/>
          </w:tcPr>
          <w:p w14:paraId="79C32B2E">
            <w:pPr>
              <w:rPr>
                <w:rFonts w:ascii="Arial"/>
                <w:color w:val="auto"/>
                <w:sz w:val="21"/>
                <w:highlight w:val="none"/>
              </w:rPr>
            </w:pPr>
          </w:p>
        </w:tc>
      </w:tr>
    </w:tbl>
    <w:p w14:paraId="02ECB84E">
      <w:pPr>
        <w:spacing w:before="139" w:line="352" w:lineRule="auto"/>
        <w:ind w:left="632" w:right="11" w:hanging="6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备注：“目前状况”应说明已使用年限、是否完好以及目前是否正</w:t>
      </w:r>
      <w:r>
        <w:rPr>
          <w:rFonts w:ascii="宋体" w:hAnsi="宋体" w:eastAsia="宋体" w:cs="宋体"/>
          <w:color w:val="auto"/>
          <w:spacing w:val="2"/>
          <w:sz w:val="21"/>
          <w:szCs w:val="21"/>
          <w:highlight w:val="none"/>
        </w:rPr>
        <w:t>在使用，“来源”分为</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“自有”和“市场租赁”两种情况，正在使</w:t>
      </w:r>
      <w:r>
        <w:rPr>
          <w:rFonts w:ascii="宋体" w:hAnsi="宋体" w:eastAsia="宋体" w:cs="宋体"/>
          <w:color w:val="auto"/>
          <w:spacing w:val="3"/>
          <w:sz w:val="21"/>
          <w:szCs w:val="21"/>
          <w:highlight w:val="none"/>
        </w:rPr>
        <w:t>用中的设备应在“备注”中注明何时能</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够投入本项目。本招标项目（标段）投标人</w:t>
      </w:r>
      <w:r>
        <w:rPr>
          <w:rFonts w:ascii="宋体" w:hAnsi="宋体" w:eastAsia="宋体" w:cs="宋体"/>
          <w:color w:val="auto"/>
          <w:spacing w:val="3"/>
          <w:sz w:val="21"/>
          <w:szCs w:val="21"/>
          <w:highlight w:val="none"/>
        </w:rPr>
        <w:t>资质条件、能力和信誉中要求的主要施</w:t>
      </w:r>
    </w:p>
    <w:p w14:paraId="0C483DEE">
      <w:pPr>
        <w:spacing w:line="219" w:lineRule="auto"/>
        <w:ind w:left="6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工机械设备，投标人应提供相关证明材料。</w:t>
      </w:r>
    </w:p>
    <w:p w14:paraId="7DFF595F">
      <w:pPr>
        <w:spacing w:line="219" w:lineRule="auto"/>
        <w:rPr>
          <w:rFonts w:ascii="宋体" w:hAnsi="宋体" w:eastAsia="宋体" w:cs="宋体"/>
          <w:color w:val="auto"/>
          <w:sz w:val="21"/>
          <w:szCs w:val="21"/>
          <w:highlight w:val="none"/>
        </w:rPr>
        <w:sectPr>
          <w:footerReference r:id="rId231" w:type="default"/>
          <w:pgSz w:w="11905" w:h="16839"/>
          <w:pgMar w:top="400" w:right="1785" w:bottom="1004" w:left="1785" w:header="0" w:footer="828" w:gutter="0"/>
          <w:pgNumType w:fmt="decimal"/>
          <w:cols w:space="720" w:num="1"/>
        </w:sectPr>
      </w:pPr>
    </w:p>
    <w:p w14:paraId="4EF4EDBB">
      <w:pPr>
        <w:pStyle w:val="3"/>
        <w:spacing w:line="267" w:lineRule="auto"/>
        <w:rPr>
          <w:color w:val="auto"/>
          <w:highlight w:val="none"/>
        </w:rPr>
      </w:pPr>
    </w:p>
    <w:p w14:paraId="5422096F">
      <w:pPr>
        <w:pStyle w:val="3"/>
        <w:spacing w:line="268" w:lineRule="auto"/>
        <w:rPr>
          <w:color w:val="auto"/>
          <w:highlight w:val="none"/>
        </w:rPr>
      </w:pPr>
    </w:p>
    <w:p w14:paraId="0B3C50C2">
      <w:pPr>
        <w:pStyle w:val="3"/>
        <w:spacing w:line="268" w:lineRule="auto"/>
        <w:rPr>
          <w:color w:val="auto"/>
          <w:highlight w:val="none"/>
        </w:rPr>
      </w:pPr>
    </w:p>
    <w:p w14:paraId="4488230E">
      <w:pPr>
        <w:pStyle w:val="3"/>
        <w:spacing w:line="268" w:lineRule="auto"/>
        <w:rPr>
          <w:color w:val="auto"/>
          <w:highlight w:val="none"/>
        </w:rPr>
      </w:pPr>
    </w:p>
    <w:p w14:paraId="3280A8B3">
      <w:pPr>
        <w:spacing w:before="78" w:line="218" w:lineRule="auto"/>
        <w:ind w:left="2993"/>
        <w:rPr>
          <w:rFonts w:ascii="黑体" w:hAnsi="黑体" w:eastAsia="黑体" w:cs="黑体"/>
          <w:color w:val="auto"/>
          <w:sz w:val="24"/>
          <w:szCs w:val="24"/>
          <w:highlight w:val="none"/>
        </w:rPr>
      </w:pPr>
      <w:bookmarkStart w:id="1347" w:name="bookmark320"/>
      <w:bookmarkEnd w:id="1347"/>
      <w:r>
        <w:rPr>
          <w:rFonts w:ascii="黑体" w:hAnsi="黑体" w:eastAsia="黑体" w:cs="黑体"/>
          <w:color w:val="auto"/>
          <w:spacing w:val="-3"/>
          <w:sz w:val="24"/>
          <w:szCs w:val="24"/>
          <w:highlight w:val="none"/>
        </w:rPr>
        <w:t>（二）近年财务状况表</w:t>
      </w:r>
    </w:p>
    <w:p w14:paraId="01FF72AD">
      <w:pPr>
        <w:spacing w:before="161"/>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14:paraId="5B837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C4B6D40">
            <w:pPr>
              <w:pStyle w:val="11"/>
              <w:spacing w:before="149" w:line="223" w:lineRule="auto"/>
              <w:ind w:left="711"/>
              <w:rPr>
                <w:color w:val="auto"/>
                <w:highlight w:val="none"/>
              </w:rPr>
            </w:pPr>
            <w:r>
              <w:rPr>
                <w:color w:val="auto"/>
                <w:spacing w:val="-3"/>
                <w:highlight w:val="none"/>
                <w14:textOutline w14:w="3831" w14:cap="flat" w14:cmpd="sng">
                  <w14:solidFill>
                    <w14:srgbClr w14:val="000000"/>
                  </w14:solidFill>
                  <w14:prstDash w14:val="solid"/>
                  <w14:miter w14:val="0"/>
                </w14:textOutline>
              </w:rPr>
              <w:t>名称</w:t>
            </w:r>
          </w:p>
        </w:tc>
        <w:tc>
          <w:tcPr>
            <w:tcW w:w="773" w:type="dxa"/>
            <w:vAlign w:val="top"/>
          </w:tcPr>
          <w:p w14:paraId="0D8EAF7F">
            <w:pPr>
              <w:pStyle w:val="11"/>
              <w:spacing w:before="149" w:line="221" w:lineRule="auto"/>
              <w:ind w:left="178"/>
              <w:rPr>
                <w:color w:val="auto"/>
                <w:highlight w:val="none"/>
              </w:rPr>
            </w:pPr>
            <w:r>
              <w:rPr>
                <w:color w:val="auto"/>
                <w:spacing w:val="-2"/>
                <w:highlight w:val="none"/>
                <w14:textOutline w14:w="3831" w14:cap="flat" w14:cmpd="sng">
                  <w14:solidFill>
                    <w14:srgbClr w14:val="000000"/>
                  </w14:solidFill>
                  <w14:prstDash w14:val="solid"/>
                  <w14:miter w14:val="0"/>
                </w14:textOutline>
              </w:rPr>
              <w:t>单位</w:t>
            </w:r>
          </w:p>
        </w:tc>
        <w:tc>
          <w:tcPr>
            <w:tcW w:w="1430" w:type="dxa"/>
            <w:vAlign w:val="top"/>
          </w:tcPr>
          <w:p w14:paraId="45166FD0">
            <w:pPr>
              <w:pStyle w:val="11"/>
              <w:tabs>
                <w:tab w:val="left" w:pos="764"/>
              </w:tabs>
              <w:spacing w:before="149" w:line="221" w:lineRule="auto"/>
              <w:ind w:left="447"/>
              <w:rPr>
                <w:color w:val="auto"/>
                <w:highlight w:val="none"/>
              </w:rPr>
            </w:pPr>
            <w:r>
              <w:rPr>
                <w:color w:val="auto"/>
                <w:highlight w:val="none"/>
                <w:u w:val="single" w:color="auto"/>
              </w:rPr>
              <w:tab/>
            </w:r>
            <w:r>
              <w:rPr>
                <w:color w:val="auto"/>
                <w:spacing w:val="-96"/>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25" w:type="dxa"/>
            <w:vAlign w:val="top"/>
          </w:tcPr>
          <w:p w14:paraId="20042887">
            <w:pPr>
              <w:pStyle w:val="11"/>
              <w:tabs>
                <w:tab w:val="left" w:pos="816"/>
              </w:tabs>
              <w:spacing w:before="149" w:line="221" w:lineRule="auto"/>
              <w:ind w:left="501"/>
              <w:rPr>
                <w:color w:val="auto"/>
                <w:highlight w:val="none"/>
              </w:rPr>
            </w:pPr>
            <w:r>
              <w:rPr>
                <w:color w:val="auto"/>
                <w:highlight w:val="none"/>
                <w:u w:val="single" w:color="auto"/>
              </w:rPr>
              <w:tab/>
            </w:r>
            <w:r>
              <w:rPr>
                <w:color w:val="auto"/>
                <w:spacing w:val="-95"/>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25" w:type="dxa"/>
            <w:vAlign w:val="top"/>
          </w:tcPr>
          <w:p w14:paraId="3B278896">
            <w:pPr>
              <w:pStyle w:val="11"/>
              <w:tabs>
                <w:tab w:val="left" w:pos="765"/>
              </w:tabs>
              <w:spacing w:before="149" w:line="221" w:lineRule="auto"/>
              <w:ind w:left="449"/>
              <w:rPr>
                <w:color w:val="auto"/>
                <w:highlight w:val="none"/>
              </w:rPr>
            </w:pPr>
            <w:r>
              <w:rPr>
                <w:color w:val="auto"/>
                <w:highlight w:val="none"/>
                <w:u w:val="single" w:color="auto"/>
              </w:rPr>
              <w:tab/>
            </w:r>
            <w:r>
              <w:rPr>
                <w:color w:val="auto"/>
                <w:spacing w:val="-96"/>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34" w:type="dxa"/>
            <w:vAlign w:val="top"/>
          </w:tcPr>
          <w:p w14:paraId="28FD44A1">
            <w:pPr>
              <w:pStyle w:val="11"/>
              <w:spacing w:before="149" w:line="221" w:lineRule="auto"/>
              <w:ind w:left="193"/>
              <w:rPr>
                <w:color w:val="auto"/>
                <w:highlight w:val="none"/>
              </w:rPr>
            </w:pPr>
            <w:r>
              <w:rPr>
                <w:color w:val="auto"/>
                <w:spacing w:val="-1"/>
                <w:highlight w:val="none"/>
                <w14:textOutline w14:w="3831" w14:cap="flat" w14:cmpd="sng">
                  <w14:solidFill>
                    <w14:srgbClr w14:val="000000"/>
                  </w14:solidFill>
                  <w14:prstDash w14:val="solid"/>
                  <w14:miter w14:val="0"/>
                </w14:textOutline>
              </w:rPr>
              <w:t>近年平均值</w:t>
            </w:r>
          </w:p>
        </w:tc>
      </w:tr>
      <w:tr w14:paraId="60D6D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576C3739">
            <w:pPr>
              <w:pStyle w:val="11"/>
              <w:spacing w:before="150" w:line="222" w:lineRule="auto"/>
              <w:ind w:left="122"/>
              <w:rPr>
                <w:color w:val="auto"/>
                <w:highlight w:val="none"/>
              </w:rPr>
            </w:pPr>
            <w:r>
              <w:rPr>
                <w:color w:val="auto"/>
                <w:spacing w:val="-1"/>
                <w:highlight w:val="none"/>
              </w:rPr>
              <w:t>一．注册资金</w:t>
            </w:r>
          </w:p>
        </w:tc>
        <w:tc>
          <w:tcPr>
            <w:tcW w:w="773" w:type="dxa"/>
            <w:vAlign w:val="top"/>
          </w:tcPr>
          <w:p w14:paraId="0886CB02">
            <w:pPr>
              <w:pStyle w:val="11"/>
              <w:spacing w:before="150" w:line="221" w:lineRule="auto"/>
              <w:ind w:left="284"/>
              <w:rPr>
                <w:color w:val="auto"/>
                <w:highlight w:val="none"/>
              </w:rPr>
            </w:pPr>
            <w:r>
              <w:rPr>
                <w:color w:val="auto"/>
                <w:highlight w:val="none"/>
              </w:rPr>
              <w:t>元</w:t>
            </w:r>
          </w:p>
        </w:tc>
        <w:tc>
          <w:tcPr>
            <w:tcW w:w="1430" w:type="dxa"/>
            <w:vAlign w:val="top"/>
          </w:tcPr>
          <w:p w14:paraId="705E8FD6">
            <w:pPr>
              <w:rPr>
                <w:rFonts w:ascii="Arial"/>
                <w:color w:val="auto"/>
                <w:sz w:val="21"/>
                <w:highlight w:val="none"/>
              </w:rPr>
            </w:pPr>
          </w:p>
        </w:tc>
        <w:tc>
          <w:tcPr>
            <w:tcW w:w="1425" w:type="dxa"/>
            <w:vAlign w:val="top"/>
          </w:tcPr>
          <w:p w14:paraId="4C7D0E1A">
            <w:pPr>
              <w:rPr>
                <w:rFonts w:ascii="Arial"/>
                <w:color w:val="auto"/>
                <w:sz w:val="21"/>
                <w:highlight w:val="none"/>
              </w:rPr>
            </w:pPr>
          </w:p>
        </w:tc>
        <w:tc>
          <w:tcPr>
            <w:tcW w:w="1425" w:type="dxa"/>
            <w:vAlign w:val="top"/>
          </w:tcPr>
          <w:p w14:paraId="4787CFC5">
            <w:pPr>
              <w:rPr>
                <w:rFonts w:ascii="Arial"/>
                <w:color w:val="auto"/>
                <w:sz w:val="21"/>
                <w:highlight w:val="none"/>
              </w:rPr>
            </w:pPr>
          </w:p>
        </w:tc>
        <w:tc>
          <w:tcPr>
            <w:tcW w:w="1434" w:type="dxa"/>
            <w:vAlign w:val="top"/>
          </w:tcPr>
          <w:p w14:paraId="1213FD65">
            <w:pPr>
              <w:pStyle w:val="11"/>
              <w:spacing w:before="250" w:line="142" w:lineRule="exact"/>
              <w:ind w:left="668"/>
              <w:rPr>
                <w:color w:val="auto"/>
                <w:highlight w:val="none"/>
              </w:rPr>
            </w:pPr>
            <w:r>
              <w:rPr>
                <w:color w:val="auto"/>
                <w:position w:val="-3"/>
                <w:highlight w:val="none"/>
              </w:rPr>
              <w:t>-</w:t>
            </w:r>
          </w:p>
        </w:tc>
      </w:tr>
      <w:tr w14:paraId="4E39B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D76C5A2">
            <w:pPr>
              <w:pStyle w:val="11"/>
              <w:spacing w:before="150" w:line="221" w:lineRule="auto"/>
              <w:ind w:left="122"/>
              <w:rPr>
                <w:color w:val="auto"/>
                <w:highlight w:val="none"/>
              </w:rPr>
            </w:pPr>
            <w:r>
              <w:rPr>
                <w:color w:val="auto"/>
                <w:spacing w:val="-1"/>
                <w:highlight w:val="none"/>
              </w:rPr>
              <w:t>二．净资产</w:t>
            </w:r>
          </w:p>
        </w:tc>
        <w:tc>
          <w:tcPr>
            <w:tcW w:w="773" w:type="dxa"/>
            <w:vAlign w:val="top"/>
          </w:tcPr>
          <w:p w14:paraId="783AF92B">
            <w:pPr>
              <w:pStyle w:val="11"/>
              <w:spacing w:before="151" w:line="221" w:lineRule="auto"/>
              <w:ind w:left="284"/>
              <w:rPr>
                <w:color w:val="auto"/>
                <w:highlight w:val="none"/>
              </w:rPr>
            </w:pPr>
            <w:r>
              <w:rPr>
                <w:color w:val="auto"/>
                <w:highlight w:val="none"/>
              </w:rPr>
              <w:t>元</w:t>
            </w:r>
          </w:p>
        </w:tc>
        <w:tc>
          <w:tcPr>
            <w:tcW w:w="1430" w:type="dxa"/>
            <w:vAlign w:val="top"/>
          </w:tcPr>
          <w:p w14:paraId="6B0A6A7B">
            <w:pPr>
              <w:rPr>
                <w:rFonts w:ascii="Arial"/>
                <w:color w:val="auto"/>
                <w:sz w:val="21"/>
                <w:highlight w:val="none"/>
              </w:rPr>
            </w:pPr>
          </w:p>
        </w:tc>
        <w:tc>
          <w:tcPr>
            <w:tcW w:w="1425" w:type="dxa"/>
            <w:vAlign w:val="top"/>
          </w:tcPr>
          <w:p w14:paraId="3CB29D5E">
            <w:pPr>
              <w:rPr>
                <w:rFonts w:ascii="Arial"/>
                <w:color w:val="auto"/>
                <w:sz w:val="21"/>
                <w:highlight w:val="none"/>
              </w:rPr>
            </w:pPr>
          </w:p>
        </w:tc>
        <w:tc>
          <w:tcPr>
            <w:tcW w:w="1425" w:type="dxa"/>
            <w:vAlign w:val="top"/>
          </w:tcPr>
          <w:p w14:paraId="71ED586E">
            <w:pPr>
              <w:rPr>
                <w:rFonts w:ascii="Arial"/>
                <w:color w:val="auto"/>
                <w:sz w:val="21"/>
                <w:highlight w:val="none"/>
              </w:rPr>
            </w:pPr>
          </w:p>
        </w:tc>
        <w:tc>
          <w:tcPr>
            <w:tcW w:w="1434" w:type="dxa"/>
            <w:vAlign w:val="top"/>
          </w:tcPr>
          <w:p w14:paraId="16EE9D50">
            <w:pPr>
              <w:pStyle w:val="11"/>
              <w:spacing w:before="251" w:line="141" w:lineRule="exact"/>
              <w:ind w:left="668"/>
              <w:rPr>
                <w:color w:val="auto"/>
                <w:highlight w:val="none"/>
              </w:rPr>
            </w:pPr>
            <w:r>
              <w:rPr>
                <w:color w:val="auto"/>
                <w:position w:val="-3"/>
                <w:highlight w:val="none"/>
              </w:rPr>
              <w:t>-</w:t>
            </w:r>
          </w:p>
        </w:tc>
      </w:tr>
      <w:tr w14:paraId="2D53C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351E2721">
            <w:pPr>
              <w:pStyle w:val="11"/>
              <w:spacing w:before="145" w:line="221" w:lineRule="auto"/>
              <w:ind w:left="118"/>
              <w:rPr>
                <w:color w:val="auto"/>
                <w:highlight w:val="none"/>
              </w:rPr>
            </w:pPr>
            <w:r>
              <w:rPr>
                <w:color w:val="auto"/>
                <w:highlight w:val="none"/>
              </w:rPr>
              <w:t>三．总资产</w:t>
            </w:r>
          </w:p>
        </w:tc>
        <w:tc>
          <w:tcPr>
            <w:tcW w:w="773" w:type="dxa"/>
            <w:vAlign w:val="top"/>
          </w:tcPr>
          <w:p w14:paraId="5DEF2371">
            <w:pPr>
              <w:pStyle w:val="11"/>
              <w:spacing w:before="146" w:line="221" w:lineRule="auto"/>
              <w:ind w:left="284"/>
              <w:rPr>
                <w:color w:val="auto"/>
                <w:highlight w:val="none"/>
              </w:rPr>
            </w:pPr>
            <w:r>
              <w:rPr>
                <w:color w:val="auto"/>
                <w:highlight w:val="none"/>
              </w:rPr>
              <w:t>元</w:t>
            </w:r>
          </w:p>
        </w:tc>
        <w:tc>
          <w:tcPr>
            <w:tcW w:w="1430" w:type="dxa"/>
            <w:vAlign w:val="top"/>
          </w:tcPr>
          <w:p w14:paraId="196B16C8">
            <w:pPr>
              <w:rPr>
                <w:rFonts w:ascii="Arial"/>
                <w:color w:val="auto"/>
                <w:sz w:val="21"/>
                <w:highlight w:val="none"/>
              </w:rPr>
            </w:pPr>
          </w:p>
        </w:tc>
        <w:tc>
          <w:tcPr>
            <w:tcW w:w="1425" w:type="dxa"/>
            <w:vAlign w:val="top"/>
          </w:tcPr>
          <w:p w14:paraId="3F6BC94E">
            <w:pPr>
              <w:rPr>
                <w:rFonts w:ascii="Arial"/>
                <w:color w:val="auto"/>
                <w:sz w:val="21"/>
                <w:highlight w:val="none"/>
              </w:rPr>
            </w:pPr>
          </w:p>
        </w:tc>
        <w:tc>
          <w:tcPr>
            <w:tcW w:w="1425" w:type="dxa"/>
            <w:vAlign w:val="top"/>
          </w:tcPr>
          <w:p w14:paraId="46E255C2">
            <w:pPr>
              <w:rPr>
                <w:rFonts w:ascii="Arial"/>
                <w:color w:val="auto"/>
                <w:sz w:val="21"/>
                <w:highlight w:val="none"/>
              </w:rPr>
            </w:pPr>
          </w:p>
        </w:tc>
        <w:tc>
          <w:tcPr>
            <w:tcW w:w="1434" w:type="dxa"/>
            <w:vAlign w:val="top"/>
          </w:tcPr>
          <w:p w14:paraId="69E94194">
            <w:pPr>
              <w:rPr>
                <w:rFonts w:ascii="Arial"/>
                <w:color w:val="auto"/>
                <w:sz w:val="21"/>
                <w:highlight w:val="none"/>
              </w:rPr>
            </w:pPr>
          </w:p>
        </w:tc>
      </w:tr>
      <w:tr w14:paraId="194A8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0FDC0045">
            <w:pPr>
              <w:pStyle w:val="11"/>
              <w:spacing w:before="151" w:line="221" w:lineRule="auto"/>
              <w:ind w:left="138"/>
              <w:rPr>
                <w:color w:val="auto"/>
                <w:highlight w:val="none"/>
              </w:rPr>
            </w:pPr>
            <w:r>
              <w:rPr>
                <w:color w:val="auto"/>
                <w:spacing w:val="-4"/>
                <w:highlight w:val="none"/>
              </w:rPr>
              <w:t>四．固定资产</w:t>
            </w:r>
          </w:p>
        </w:tc>
        <w:tc>
          <w:tcPr>
            <w:tcW w:w="773" w:type="dxa"/>
            <w:vAlign w:val="top"/>
          </w:tcPr>
          <w:p w14:paraId="556D3273">
            <w:pPr>
              <w:pStyle w:val="11"/>
              <w:spacing w:before="152" w:line="221" w:lineRule="auto"/>
              <w:ind w:left="284"/>
              <w:rPr>
                <w:color w:val="auto"/>
                <w:highlight w:val="none"/>
              </w:rPr>
            </w:pPr>
            <w:r>
              <w:rPr>
                <w:color w:val="auto"/>
                <w:highlight w:val="none"/>
              </w:rPr>
              <w:t>元</w:t>
            </w:r>
          </w:p>
        </w:tc>
        <w:tc>
          <w:tcPr>
            <w:tcW w:w="1430" w:type="dxa"/>
            <w:vAlign w:val="top"/>
          </w:tcPr>
          <w:p w14:paraId="68A25D89">
            <w:pPr>
              <w:rPr>
                <w:rFonts w:ascii="Arial"/>
                <w:color w:val="auto"/>
                <w:sz w:val="21"/>
                <w:highlight w:val="none"/>
              </w:rPr>
            </w:pPr>
          </w:p>
        </w:tc>
        <w:tc>
          <w:tcPr>
            <w:tcW w:w="1425" w:type="dxa"/>
            <w:vAlign w:val="top"/>
          </w:tcPr>
          <w:p w14:paraId="2F238A82">
            <w:pPr>
              <w:rPr>
                <w:rFonts w:ascii="Arial"/>
                <w:color w:val="auto"/>
                <w:sz w:val="21"/>
                <w:highlight w:val="none"/>
              </w:rPr>
            </w:pPr>
          </w:p>
        </w:tc>
        <w:tc>
          <w:tcPr>
            <w:tcW w:w="1425" w:type="dxa"/>
            <w:vAlign w:val="top"/>
          </w:tcPr>
          <w:p w14:paraId="1AA209C8">
            <w:pPr>
              <w:rPr>
                <w:rFonts w:ascii="Arial"/>
                <w:color w:val="auto"/>
                <w:sz w:val="21"/>
                <w:highlight w:val="none"/>
              </w:rPr>
            </w:pPr>
          </w:p>
        </w:tc>
        <w:tc>
          <w:tcPr>
            <w:tcW w:w="1434" w:type="dxa"/>
            <w:vAlign w:val="top"/>
          </w:tcPr>
          <w:p w14:paraId="4E1D6130">
            <w:pPr>
              <w:pStyle w:val="11"/>
              <w:spacing w:before="252" w:line="141" w:lineRule="exact"/>
              <w:ind w:left="668"/>
              <w:rPr>
                <w:color w:val="auto"/>
                <w:highlight w:val="none"/>
              </w:rPr>
            </w:pPr>
            <w:r>
              <w:rPr>
                <w:color w:val="auto"/>
                <w:position w:val="-3"/>
                <w:highlight w:val="none"/>
              </w:rPr>
              <w:t>-</w:t>
            </w:r>
          </w:p>
        </w:tc>
      </w:tr>
      <w:tr w14:paraId="1BBF5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01D36690">
            <w:pPr>
              <w:pStyle w:val="11"/>
              <w:spacing w:before="150" w:line="221" w:lineRule="auto"/>
              <w:ind w:left="122"/>
              <w:rPr>
                <w:color w:val="auto"/>
                <w:highlight w:val="none"/>
              </w:rPr>
            </w:pPr>
            <w:r>
              <w:rPr>
                <w:color w:val="auto"/>
                <w:spacing w:val="-1"/>
                <w:highlight w:val="none"/>
              </w:rPr>
              <w:t>五．流动资产</w:t>
            </w:r>
          </w:p>
        </w:tc>
        <w:tc>
          <w:tcPr>
            <w:tcW w:w="773" w:type="dxa"/>
            <w:vAlign w:val="top"/>
          </w:tcPr>
          <w:p w14:paraId="12823EF0">
            <w:pPr>
              <w:pStyle w:val="11"/>
              <w:spacing w:before="151" w:line="221" w:lineRule="auto"/>
              <w:ind w:left="284"/>
              <w:rPr>
                <w:color w:val="auto"/>
                <w:highlight w:val="none"/>
              </w:rPr>
            </w:pPr>
            <w:r>
              <w:rPr>
                <w:color w:val="auto"/>
                <w:highlight w:val="none"/>
              </w:rPr>
              <w:t>元</w:t>
            </w:r>
          </w:p>
        </w:tc>
        <w:tc>
          <w:tcPr>
            <w:tcW w:w="1430" w:type="dxa"/>
            <w:vAlign w:val="top"/>
          </w:tcPr>
          <w:p w14:paraId="590C95A7">
            <w:pPr>
              <w:rPr>
                <w:rFonts w:ascii="Arial"/>
                <w:color w:val="auto"/>
                <w:sz w:val="21"/>
                <w:highlight w:val="none"/>
              </w:rPr>
            </w:pPr>
          </w:p>
        </w:tc>
        <w:tc>
          <w:tcPr>
            <w:tcW w:w="1425" w:type="dxa"/>
            <w:vAlign w:val="top"/>
          </w:tcPr>
          <w:p w14:paraId="31D922A2">
            <w:pPr>
              <w:rPr>
                <w:rFonts w:ascii="Arial"/>
                <w:color w:val="auto"/>
                <w:sz w:val="21"/>
                <w:highlight w:val="none"/>
              </w:rPr>
            </w:pPr>
          </w:p>
        </w:tc>
        <w:tc>
          <w:tcPr>
            <w:tcW w:w="1425" w:type="dxa"/>
            <w:vAlign w:val="top"/>
          </w:tcPr>
          <w:p w14:paraId="3FE6C529">
            <w:pPr>
              <w:rPr>
                <w:rFonts w:ascii="Arial"/>
                <w:color w:val="auto"/>
                <w:sz w:val="21"/>
                <w:highlight w:val="none"/>
              </w:rPr>
            </w:pPr>
          </w:p>
        </w:tc>
        <w:tc>
          <w:tcPr>
            <w:tcW w:w="1434" w:type="dxa"/>
            <w:vAlign w:val="top"/>
          </w:tcPr>
          <w:p w14:paraId="05C6E434">
            <w:pPr>
              <w:rPr>
                <w:rFonts w:ascii="Arial"/>
                <w:color w:val="auto"/>
                <w:sz w:val="21"/>
                <w:highlight w:val="none"/>
              </w:rPr>
            </w:pPr>
          </w:p>
        </w:tc>
      </w:tr>
      <w:tr w14:paraId="7A367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66799B30">
            <w:pPr>
              <w:pStyle w:val="11"/>
              <w:spacing w:before="146" w:line="221" w:lineRule="auto"/>
              <w:ind w:left="120"/>
              <w:rPr>
                <w:color w:val="auto"/>
                <w:highlight w:val="none"/>
              </w:rPr>
            </w:pPr>
            <w:r>
              <w:rPr>
                <w:color w:val="auto"/>
                <w:spacing w:val="-1"/>
                <w:highlight w:val="none"/>
              </w:rPr>
              <w:t>六．流动负债</w:t>
            </w:r>
          </w:p>
        </w:tc>
        <w:tc>
          <w:tcPr>
            <w:tcW w:w="773" w:type="dxa"/>
            <w:vAlign w:val="top"/>
          </w:tcPr>
          <w:p w14:paraId="4DFF93B5">
            <w:pPr>
              <w:pStyle w:val="11"/>
              <w:spacing w:before="146" w:line="221" w:lineRule="auto"/>
              <w:ind w:left="284"/>
              <w:rPr>
                <w:color w:val="auto"/>
                <w:highlight w:val="none"/>
              </w:rPr>
            </w:pPr>
            <w:r>
              <w:rPr>
                <w:color w:val="auto"/>
                <w:highlight w:val="none"/>
              </w:rPr>
              <w:t>元</w:t>
            </w:r>
          </w:p>
        </w:tc>
        <w:tc>
          <w:tcPr>
            <w:tcW w:w="1430" w:type="dxa"/>
            <w:vAlign w:val="top"/>
          </w:tcPr>
          <w:p w14:paraId="1B973C5A">
            <w:pPr>
              <w:rPr>
                <w:rFonts w:ascii="Arial"/>
                <w:color w:val="auto"/>
                <w:sz w:val="21"/>
                <w:highlight w:val="none"/>
              </w:rPr>
            </w:pPr>
          </w:p>
        </w:tc>
        <w:tc>
          <w:tcPr>
            <w:tcW w:w="1425" w:type="dxa"/>
            <w:vAlign w:val="top"/>
          </w:tcPr>
          <w:p w14:paraId="5CEBA513">
            <w:pPr>
              <w:rPr>
                <w:rFonts w:ascii="Arial"/>
                <w:color w:val="auto"/>
                <w:sz w:val="21"/>
                <w:highlight w:val="none"/>
              </w:rPr>
            </w:pPr>
          </w:p>
        </w:tc>
        <w:tc>
          <w:tcPr>
            <w:tcW w:w="1425" w:type="dxa"/>
            <w:vAlign w:val="top"/>
          </w:tcPr>
          <w:p w14:paraId="73C0F64F">
            <w:pPr>
              <w:rPr>
                <w:rFonts w:ascii="Arial"/>
                <w:color w:val="auto"/>
                <w:sz w:val="21"/>
                <w:highlight w:val="none"/>
              </w:rPr>
            </w:pPr>
          </w:p>
        </w:tc>
        <w:tc>
          <w:tcPr>
            <w:tcW w:w="1434" w:type="dxa"/>
            <w:vAlign w:val="top"/>
          </w:tcPr>
          <w:p w14:paraId="3F08720A">
            <w:pPr>
              <w:rPr>
                <w:rFonts w:ascii="Arial"/>
                <w:color w:val="auto"/>
                <w:sz w:val="21"/>
                <w:highlight w:val="none"/>
              </w:rPr>
            </w:pPr>
          </w:p>
        </w:tc>
      </w:tr>
      <w:tr w14:paraId="4DBFD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0762BCE9">
            <w:pPr>
              <w:pStyle w:val="11"/>
              <w:spacing w:before="151" w:line="221" w:lineRule="auto"/>
              <w:ind w:left="118"/>
              <w:rPr>
                <w:color w:val="auto"/>
                <w:highlight w:val="none"/>
              </w:rPr>
            </w:pPr>
            <w:r>
              <w:rPr>
                <w:color w:val="auto"/>
                <w:spacing w:val="-1"/>
                <w:highlight w:val="none"/>
              </w:rPr>
              <w:t>七．负债合计</w:t>
            </w:r>
          </w:p>
        </w:tc>
        <w:tc>
          <w:tcPr>
            <w:tcW w:w="773" w:type="dxa"/>
            <w:vAlign w:val="top"/>
          </w:tcPr>
          <w:p w14:paraId="70F12431">
            <w:pPr>
              <w:pStyle w:val="11"/>
              <w:spacing w:before="152" w:line="221" w:lineRule="auto"/>
              <w:ind w:left="284"/>
              <w:rPr>
                <w:color w:val="auto"/>
                <w:highlight w:val="none"/>
              </w:rPr>
            </w:pPr>
            <w:r>
              <w:rPr>
                <w:color w:val="auto"/>
                <w:highlight w:val="none"/>
              </w:rPr>
              <w:t>元</w:t>
            </w:r>
          </w:p>
        </w:tc>
        <w:tc>
          <w:tcPr>
            <w:tcW w:w="1430" w:type="dxa"/>
            <w:vAlign w:val="top"/>
          </w:tcPr>
          <w:p w14:paraId="5A6D48C0">
            <w:pPr>
              <w:rPr>
                <w:rFonts w:ascii="Arial"/>
                <w:color w:val="auto"/>
                <w:sz w:val="21"/>
                <w:highlight w:val="none"/>
              </w:rPr>
            </w:pPr>
          </w:p>
        </w:tc>
        <w:tc>
          <w:tcPr>
            <w:tcW w:w="1425" w:type="dxa"/>
            <w:vAlign w:val="top"/>
          </w:tcPr>
          <w:p w14:paraId="70CA02A0">
            <w:pPr>
              <w:rPr>
                <w:rFonts w:ascii="Arial"/>
                <w:color w:val="auto"/>
                <w:sz w:val="21"/>
                <w:highlight w:val="none"/>
              </w:rPr>
            </w:pPr>
          </w:p>
        </w:tc>
        <w:tc>
          <w:tcPr>
            <w:tcW w:w="1425" w:type="dxa"/>
            <w:vAlign w:val="top"/>
          </w:tcPr>
          <w:p w14:paraId="24BC0A9C">
            <w:pPr>
              <w:rPr>
                <w:rFonts w:ascii="Arial"/>
                <w:color w:val="auto"/>
                <w:sz w:val="21"/>
                <w:highlight w:val="none"/>
              </w:rPr>
            </w:pPr>
          </w:p>
        </w:tc>
        <w:tc>
          <w:tcPr>
            <w:tcW w:w="1434" w:type="dxa"/>
            <w:vAlign w:val="top"/>
          </w:tcPr>
          <w:p w14:paraId="12CCD368">
            <w:pPr>
              <w:rPr>
                <w:rFonts w:ascii="Arial"/>
                <w:color w:val="auto"/>
                <w:sz w:val="21"/>
                <w:highlight w:val="none"/>
              </w:rPr>
            </w:pPr>
          </w:p>
        </w:tc>
      </w:tr>
      <w:tr w14:paraId="65B49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1824" w:type="dxa"/>
            <w:vAlign w:val="top"/>
          </w:tcPr>
          <w:p w14:paraId="4BF70C92">
            <w:pPr>
              <w:pStyle w:val="11"/>
              <w:spacing w:before="151" w:line="221" w:lineRule="auto"/>
              <w:ind w:left="122"/>
              <w:rPr>
                <w:color w:val="auto"/>
                <w:highlight w:val="none"/>
              </w:rPr>
            </w:pPr>
            <w:r>
              <w:rPr>
                <w:color w:val="auto"/>
                <w:spacing w:val="-1"/>
                <w:highlight w:val="none"/>
              </w:rPr>
              <w:t>八．营业收入</w:t>
            </w:r>
          </w:p>
        </w:tc>
        <w:tc>
          <w:tcPr>
            <w:tcW w:w="773" w:type="dxa"/>
            <w:vAlign w:val="top"/>
          </w:tcPr>
          <w:p w14:paraId="5203D169">
            <w:pPr>
              <w:pStyle w:val="11"/>
              <w:spacing w:before="152" w:line="221" w:lineRule="auto"/>
              <w:ind w:left="284"/>
              <w:rPr>
                <w:color w:val="auto"/>
                <w:highlight w:val="none"/>
              </w:rPr>
            </w:pPr>
            <w:r>
              <w:rPr>
                <w:color w:val="auto"/>
                <w:highlight w:val="none"/>
              </w:rPr>
              <w:t>元</w:t>
            </w:r>
          </w:p>
        </w:tc>
        <w:tc>
          <w:tcPr>
            <w:tcW w:w="1430" w:type="dxa"/>
            <w:vAlign w:val="top"/>
          </w:tcPr>
          <w:p w14:paraId="6EA7D9C9">
            <w:pPr>
              <w:rPr>
                <w:rFonts w:ascii="Arial"/>
                <w:color w:val="auto"/>
                <w:sz w:val="21"/>
                <w:highlight w:val="none"/>
              </w:rPr>
            </w:pPr>
          </w:p>
        </w:tc>
        <w:tc>
          <w:tcPr>
            <w:tcW w:w="1425" w:type="dxa"/>
            <w:vAlign w:val="top"/>
          </w:tcPr>
          <w:p w14:paraId="3C5FF73E">
            <w:pPr>
              <w:rPr>
                <w:rFonts w:ascii="Arial"/>
                <w:color w:val="auto"/>
                <w:sz w:val="21"/>
                <w:highlight w:val="none"/>
              </w:rPr>
            </w:pPr>
          </w:p>
        </w:tc>
        <w:tc>
          <w:tcPr>
            <w:tcW w:w="1425" w:type="dxa"/>
            <w:vAlign w:val="top"/>
          </w:tcPr>
          <w:p w14:paraId="00DC891E">
            <w:pPr>
              <w:rPr>
                <w:rFonts w:ascii="Arial"/>
                <w:color w:val="auto"/>
                <w:sz w:val="21"/>
                <w:highlight w:val="none"/>
              </w:rPr>
            </w:pPr>
          </w:p>
        </w:tc>
        <w:tc>
          <w:tcPr>
            <w:tcW w:w="1434" w:type="dxa"/>
            <w:vAlign w:val="top"/>
          </w:tcPr>
          <w:p w14:paraId="39023271">
            <w:pPr>
              <w:rPr>
                <w:rFonts w:ascii="Arial"/>
                <w:color w:val="auto"/>
                <w:sz w:val="21"/>
                <w:highlight w:val="none"/>
              </w:rPr>
            </w:pPr>
          </w:p>
        </w:tc>
      </w:tr>
      <w:tr w14:paraId="0D8B5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368C208">
            <w:pPr>
              <w:pStyle w:val="11"/>
              <w:spacing w:before="147" w:line="221" w:lineRule="auto"/>
              <w:ind w:left="123"/>
              <w:rPr>
                <w:color w:val="auto"/>
                <w:highlight w:val="none"/>
              </w:rPr>
            </w:pPr>
            <w:r>
              <w:rPr>
                <w:color w:val="auto"/>
                <w:spacing w:val="-1"/>
                <w:highlight w:val="none"/>
              </w:rPr>
              <w:t>九．净利润</w:t>
            </w:r>
          </w:p>
        </w:tc>
        <w:tc>
          <w:tcPr>
            <w:tcW w:w="773" w:type="dxa"/>
            <w:vAlign w:val="top"/>
          </w:tcPr>
          <w:p w14:paraId="5B930527">
            <w:pPr>
              <w:pStyle w:val="11"/>
              <w:spacing w:before="147" w:line="221" w:lineRule="auto"/>
              <w:ind w:left="284"/>
              <w:rPr>
                <w:color w:val="auto"/>
                <w:highlight w:val="none"/>
              </w:rPr>
            </w:pPr>
            <w:r>
              <w:rPr>
                <w:color w:val="auto"/>
                <w:highlight w:val="none"/>
              </w:rPr>
              <w:t>元</w:t>
            </w:r>
          </w:p>
        </w:tc>
        <w:tc>
          <w:tcPr>
            <w:tcW w:w="1430" w:type="dxa"/>
            <w:vAlign w:val="top"/>
          </w:tcPr>
          <w:p w14:paraId="233220D8">
            <w:pPr>
              <w:rPr>
                <w:rFonts w:ascii="Arial"/>
                <w:color w:val="auto"/>
                <w:sz w:val="21"/>
                <w:highlight w:val="none"/>
              </w:rPr>
            </w:pPr>
          </w:p>
        </w:tc>
        <w:tc>
          <w:tcPr>
            <w:tcW w:w="1425" w:type="dxa"/>
            <w:vAlign w:val="top"/>
          </w:tcPr>
          <w:p w14:paraId="144E4815">
            <w:pPr>
              <w:rPr>
                <w:rFonts w:ascii="Arial"/>
                <w:color w:val="auto"/>
                <w:sz w:val="21"/>
                <w:highlight w:val="none"/>
              </w:rPr>
            </w:pPr>
          </w:p>
        </w:tc>
        <w:tc>
          <w:tcPr>
            <w:tcW w:w="1425" w:type="dxa"/>
            <w:vAlign w:val="top"/>
          </w:tcPr>
          <w:p w14:paraId="6C70FE4F">
            <w:pPr>
              <w:rPr>
                <w:rFonts w:ascii="Arial"/>
                <w:color w:val="auto"/>
                <w:sz w:val="21"/>
                <w:highlight w:val="none"/>
              </w:rPr>
            </w:pPr>
          </w:p>
        </w:tc>
        <w:tc>
          <w:tcPr>
            <w:tcW w:w="1434" w:type="dxa"/>
            <w:vAlign w:val="top"/>
          </w:tcPr>
          <w:p w14:paraId="7B836D38">
            <w:pPr>
              <w:pStyle w:val="11"/>
              <w:spacing w:before="247" w:line="142" w:lineRule="exact"/>
              <w:ind w:left="668"/>
              <w:rPr>
                <w:color w:val="auto"/>
                <w:highlight w:val="none"/>
              </w:rPr>
            </w:pPr>
            <w:r>
              <w:rPr>
                <w:color w:val="auto"/>
                <w:position w:val="-3"/>
                <w:highlight w:val="none"/>
              </w:rPr>
              <w:t>-</w:t>
            </w:r>
          </w:p>
        </w:tc>
      </w:tr>
      <w:tr w14:paraId="7CC72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14:paraId="314F445C">
            <w:pPr>
              <w:pStyle w:val="11"/>
              <w:spacing w:before="32" w:line="224" w:lineRule="auto"/>
              <w:ind w:left="118" w:right="106"/>
              <w:rPr>
                <w:color w:val="auto"/>
                <w:highlight w:val="none"/>
              </w:rPr>
            </w:pPr>
            <w:r>
              <w:rPr>
                <w:color w:val="auto"/>
                <w:spacing w:val="10"/>
                <w:highlight w:val="none"/>
              </w:rPr>
              <w:t>十</w:t>
            </w:r>
            <w:r>
              <w:rPr>
                <w:color w:val="auto"/>
                <w:spacing w:val="-53"/>
                <w:highlight w:val="none"/>
              </w:rPr>
              <w:t xml:space="preserve"> </w:t>
            </w:r>
            <w:r>
              <w:rPr>
                <w:color w:val="auto"/>
                <w:spacing w:val="10"/>
                <w:highlight w:val="none"/>
              </w:rPr>
              <w:t>．现金流量净</w:t>
            </w:r>
            <w:r>
              <w:rPr>
                <w:color w:val="auto"/>
                <w:highlight w:val="none"/>
              </w:rPr>
              <w:t xml:space="preserve"> 额</w:t>
            </w:r>
          </w:p>
        </w:tc>
        <w:tc>
          <w:tcPr>
            <w:tcW w:w="773" w:type="dxa"/>
            <w:vAlign w:val="top"/>
          </w:tcPr>
          <w:p w14:paraId="633C2683">
            <w:pPr>
              <w:pStyle w:val="11"/>
              <w:spacing w:before="167" w:line="221" w:lineRule="auto"/>
              <w:ind w:left="284"/>
              <w:rPr>
                <w:color w:val="auto"/>
                <w:highlight w:val="none"/>
              </w:rPr>
            </w:pPr>
            <w:r>
              <w:rPr>
                <w:color w:val="auto"/>
                <w:highlight w:val="none"/>
              </w:rPr>
              <w:t>元</w:t>
            </w:r>
          </w:p>
        </w:tc>
        <w:tc>
          <w:tcPr>
            <w:tcW w:w="1430" w:type="dxa"/>
            <w:vAlign w:val="top"/>
          </w:tcPr>
          <w:p w14:paraId="4EFE4D86">
            <w:pPr>
              <w:rPr>
                <w:rFonts w:ascii="Arial"/>
                <w:color w:val="auto"/>
                <w:sz w:val="21"/>
                <w:highlight w:val="none"/>
              </w:rPr>
            </w:pPr>
          </w:p>
        </w:tc>
        <w:tc>
          <w:tcPr>
            <w:tcW w:w="1425" w:type="dxa"/>
            <w:vAlign w:val="top"/>
          </w:tcPr>
          <w:p w14:paraId="46E9C4EC">
            <w:pPr>
              <w:rPr>
                <w:rFonts w:ascii="Arial"/>
                <w:color w:val="auto"/>
                <w:sz w:val="21"/>
                <w:highlight w:val="none"/>
              </w:rPr>
            </w:pPr>
          </w:p>
        </w:tc>
        <w:tc>
          <w:tcPr>
            <w:tcW w:w="1425" w:type="dxa"/>
            <w:vAlign w:val="top"/>
          </w:tcPr>
          <w:p w14:paraId="20FD73F9">
            <w:pPr>
              <w:rPr>
                <w:rFonts w:ascii="Arial"/>
                <w:color w:val="auto"/>
                <w:sz w:val="21"/>
                <w:highlight w:val="none"/>
              </w:rPr>
            </w:pPr>
          </w:p>
        </w:tc>
        <w:tc>
          <w:tcPr>
            <w:tcW w:w="1434" w:type="dxa"/>
            <w:vAlign w:val="top"/>
          </w:tcPr>
          <w:p w14:paraId="071ED705">
            <w:pPr>
              <w:pStyle w:val="11"/>
              <w:spacing w:before="267" w:line="141" w:lineRule="exact"/>
              <w:ind w:left="668"/>
              <w:rPr>
                <w:color w:val="auto"/>
                <w:highlight w:val="none"/>
              </w:rPr>
            </w:pPr>
            <w:r>
              <w:rPr>
                <w:color w:val="auto"/>
                <w:position w:val="-3"/>
                <w:highlight w:val="none"/>
              </w:rPr>
              <w:t>-</w:t>
            </w:r>
          </w:p>
        </w:tc>
      </w:tr>
      <w:tr w14:paraId="0356D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0DEA8E3D">
            <w:pPr>
              <w:pStyle w:val="11"/>
              <w:spacing w:before="27" w:line="224" w:lineRule="auto"/>
              <w:ind w:left="120" w:right="106" w:hanging="1"/>
              <w:rPr>
                <w:color w:val="auto"/>
                <w:highlight w:val="none"/>
              </w:rPr>
            </w:pPr>
            <w:r>
              <w:rPr>
                <w:color w:val="auto"/>
                <w:spacing w:val="10"/>
                <w:highlight w:val="none"/>
              </w:rPr>
              <w:t>十一</w:t>
            </w:r>
            <w:r>
              <w:rPr>
                <w:color w:val="auto"/>
                <w:spacing w:val="-53"/>
                <w:highlight w:val="none"/>
              </w:rPr>
              <w:t xml:space="preserve"> </w:t>
            </w:r>
            <w:r>
              <w:rPr>
                <w:color w:val="auto"/>
                <w:spacing w:val="10"/>
                <w:highlight w:val="none"/>
              </w:rPr>
              <w:t>．主要财务</w:t>
            </w:r>
            <w:r>
              <w:rPr>
                <w:color w:val="auto"/>
                <w:highlight w:val="none"/>
              </w:rPr>
              <w:t xml:space="preserve"> </w:t>
            </w:r>
            <w:r>
              <w:rPr>
                <w:color w:val="auto"/>
                <w:spacing w:val="-3"/>
                <w:highlight w:val="none"/>
              </w:rPr>
              <w:t>指标</w:t>
            </w:r>
          </w:p>
        </w:tc>
        <w:tc>
          <w:tcPr>
            <w:tcW w:w="773" w:type="dxa"/>
            <w:vAlign w:val="top"/>
          </w:tcPr>
          <w:p w14:paraId="652155DF">
            <w:pPr>
              <w:rPr>
                <w:rFonts w:ascii="Arial"/>
                <w:color w:val="auto"/>
                <w:sz w:val="21"/>
                <w:highlight w:val="none"/>
              </w:rPr>
            </w:pPr>
          </w:p>
        </w:tc>
        <w:tc>
          <w:tcPr>
            <w:tcW w:w="1430" w:type="dxa"/>
            <w:vAlign w:val="top"/>
          </w:tcPr>
          <w:p w14:paraId="22FCDAF5">
            <w:pPr>
              <w:rPr>
                <w:rFonts w:ascii="Arial"/>
                <w:color w:val="auto"/>
                <w:sz w:val="21"/>
                <w:highlight w:val="none"/>
              </w:rPr>
            </w:pPr>
          </w:p>
        </w:tc>
        <w:tc>
          <w:tcPr>
            <w:tcW w:w="1425" w:type="dxa"/>
            <w:vAlign w:val="top"/>
          </w:tcPr>
          <w:p w14:paraId="3C7025A3">
            <w:pPr>
              <w:rPr>
                <w:rFonts w:ascii="Arial"/>
                <w:color w:val="auto"/>
                <w:sz w:val="21"/>
                <w:highlight w:val="none"/>
              </w:rPr>
            </w:pPr>
          </w:p>
        </w:tc>
        <w:tc>
          <w:tcPr>
            <w:tcW w:w="1425" w:type="dxa"/>
            <w:vAlign w:val="top"/>
          </w:tcPr>
          <w:p w14:paraId="44773372">
            <w:pPr>
              <w:rPr>
                <w:rFonts w:ascii="Arial"/>
                <w:color w:val="auto"/>
                <w:sz w:val="21"/>
                <w:highlight w:val="none"/>
              </w:rPr>
            </w:pPr>
          </w:p>
        </w:tc>
        <w:tc>
          <w:tcPr>
            <w:tcW w:w="1434" w:type="dxa"/>
            <w:vAlign w:val="top"/>
          </w:tcPr>
          <w:p w14:paraId="41C4C38D">
            <w:pPr>
              <w:pStyle w:val="11"/>
              <w:spacing w:before="267" w:line="141" w:lineRule="exact"/>
              <w:ind w:left="668"/>
              <w:rPr>
                <w:color w:val="auto"/>
                <w:highlight w:val="none"/>
              </w:rPr>
            </w:pPr>
            <w:r>
              <w:rPr>
                <w:color w:val="auto"/>
                <w:position w:val="-3"/>
                <w:highlight w:val="none"/>
              </w:rPr>
              <w:t>-</w:t>
            </w:r>
          </w:p>
        </w:tc>
      </w:tr>
      <w:tr w14:paraId="526A5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5775B1E9">
            <w:pPr>
              <w:pStyle w:val="11"/>
              <w:spacing w:before="152" w:line="221" w:lineRule="auto"/>
              <w:ind w:left="134"/>
              <w:rPr>
                <w:color w:val="auto"/>
                <w:highlight w:val="none"/>
              </w:rPr>
            </w:pPr>
            <w:r>
              <w:rPr>
                <w:color w:val="auto"/>
                <w:spacing w:val="-3"/>
                <w:highlight w:val="none"/>
              </w:rPr>
              <w:t>1．净资产收益率</w:t>
            </w:r>
          </w:p>
        </w:tc>
        <w:tc>
          <w:tcPr>
            <w:tcW w:w="773" w:type="dxa"/>
            <w:vAlign w:val="top"/>
          </w:tcPr>
          <w:p w14:paraId="41A4A40F">
            <w:pPr>
              <w:spacing w:before="206" w:line="296"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2EA9BEB">
            <w:pPr>
              <w:rPr>
                <w:rFonts w:ascii="Arial"/>
                <w:color w:val="auto"/>
                <w:sz w:val="21"/>
                <w:highlight w:val="none"/>
              </w:rPr>
            </w:pPr>
          </w:p>
        </w:tc>
        <w:tc>
          <w:tcPr>
            <w:tcW w:w="1425" w:type="dxa"/>
            <w:vAlign w:val="top"/>
          </w:tcPr>
          <w:p w14:paraId="52D28FAC">
            <w:pPr>
              <w:rPr>
                <w:rFonts w:ascii="Arial"/>
                <w:color w:val="auto"/>
                <w:sz w:val="21"/>
                <w:highlight w:val="none"/>
              </w:rPr>
            </w:pPr>
          </w:p>
        </w:tc>
        <w:tc>
          <w:tcPr>
            <w:tcW w:w="1425" w:type="dxa"/>
            <w:vAlign w:val="top"/>
          </w:tcPr>
          <w:p w14:paraId="09D5275C">
            <w:pPr>
              <w:rPr>
                <w:rFonts w:ascii="Arial"/>
                <w:color w:val="auto"/>
                <w:sz w:val="21"/>
                <w:highlight w:val="none"/>
              </w:rPr>
            </w:pPr>
          </w:p>
        </w:tc>
        <w:tc>
          <w:tcPr>
            <w:tcW w:w="1434" w:type="dxa"/>
            <w:vAlign w:val="top"/>
          </w:tcPr>
          <w:p w14:paraId="5447D7C4">
            <w:pPr>
              <w:rPr>
                <w:rFonts w:ascii="Arial"/>
                <w:color w:val="auto"/>
                <w:sz w:val="21"/>
                <w:highlight w:val="none"/>
              </w:rPr>
            </w:pPr>
          </w:p>
        </w:tc>
      </w:tr>
      <w:tr w14:paraId="713CD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1824" w:type="dxa"/>
            <w:vAlign w:val="top"/>
          </w:tcPr>
          <w:p w14:paraId="24C5D366">
            <w:pPr>
              <w:pStyle w:val="11"/>
              <w:spacing w:before="152" w:line="221" w:lineRule="auto"/>
              <w:ind w:left="121"/>
              <w:rPr>
                <w:color w:val="auto"/>
                <w:highlight w:val="none"/>
              </w:rPr>
            </w:pPr>
            <w:r>
              <w:rPr>
                <w:color w:val="auto"/>
                <w:spacing w:val="-1"/>
                <w:highlight w:val="none"/>
              </w:rPr>
              <w:t>2．总资产报酬率</w:t>
            </w:r>
          </w:p>
        </w:tc>
        <w:tc>
          <w:tcPr>
            <w:tcW w:w="773" w:type="dxa"/>
            <w:vAlign w:val="top"/>
          </w:tcPr>
          <w:p w14:paraId="09ACF635">
            <w:pPr>
              <w:spacing w:before="212" w:line="295"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5CFF68B0">
            <w:pPr>
              <w:rPr>
                <w:rFonts w:ascii="Arial"/>
                <w:color w:val="auto"/>
                <w:sz w:val="21"/>
                <w:highlight w:val="none"/>
              </w:rPr>
            </w:pPr>
          </w:p>
        </w:tc>
        <w:tc>
          <w:tcPr>
            <w:tcW w:w="1425" w:type="dxa"/>
            <w:vAlign w:val="top"/>
          </w:tcPr>
          <w:p w14:paraId="0F779CAF">
            <w:pPr>
              <w:rPr>
                <w:rFonts w:ascii="Arial"/>
                <w:color w:val="auto"/>
                <w:sz w:val="21"/>
                <w:highlight w:val="none"/>
              </w:rPr>
            </w:pPr>
          </w:p>
        </w:tc>
        <w:tc>
          <w:tcPr>
            <w:tcW w:w="1425" w:type="dxa"/>
            <w:vAlign w:val="top"/>
          </w:tcPr>
          <w:p w14:paraId="456E8DF3">
            <w:pPr>
              <w:rPr>
                <w:rFonts w:ascii="Arial"/>
                <w:color w:val="auto"/>
                <w:sz w:val="21"/>
                <w:highlight w:val="none"/>
              </w:rPr>
            </w:pPr>
          </w:p>
        </w:tc>
        <w:tc>
          <w:tcPr>
            <w:tcW w:w="1434" w:type="dxa"/>
            <w:vAlign w:val="top"/>
          </w:tcPr>
          <w:p w14:paraId="6646A038">
            <w:pPr>
              <w:rPr>
                <w:rFonts w:ascii="Arial"/>
                <w:color w:val="auto"/>
                <w:sz w:val="21"/>
                <w:highlight w:val="none"/>
              </w:rPr>
            </w:pPr>
          </w:p>
        </w:tc>
      </w:tr>
      <w:tr w14:paraId="48C8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09D26D66">
            <w:pPr>
              <w:pStyle w:val="11"/>
              <w:spacing w:before="34" w:line="221" w:lineRule="auto"/>
              <w:ind w:left="120" w:right="105" w:firstLine="2"/>
              <w:rPr>
                <w:color w:val="auto"/>
                <w:highlight w:val="none"/>
              </w:rPr>
            </w:pPr>
            <w:r>
              <w:rPr>
                <w:color w:val="auto"/>
                <w:spacing w:val="1"/>
                <w:highlight w:val="none"/>
              </w:rPr>
              <w:t>3．主营业务利润</w:t>
            </w:r>
            <w:r>
              <w:rPr>
                <w:color w:val="auto"/>
                <w:spacing w:val="6"/>
                <w:highlight w:val="none"/>
              </w:rPr>
              <w:t xml:space="preserve"> </w:t>
            </w:r>
            <w:r>
              <w:rPr>
                <w:color w:val="auto"/>
                <w:highlight w:val="none"/>
              </w:rPr>
              <w:t>率</w:t>
            </w:r>
          </w:p>
        </w:tc>
        <w:tc>
          <w:tcPr>
            <w:tcW w:w="773" w:type="dxa"/>
            <w:vAlign w:val="top"/>
          </w:tcPr>
          <w:p w14:paraId="00D3A7B8">
            <w:pPr>
              <w:spacing w:before="207"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0F7C28E">
            <w:pPr>
              <w:rPr>
                <w:rFonts w:ascii="Arial"/>
                <w:color w:val="auto"/>
                <w:sz w:val="21"/>
                <w:highlight w:val="none"/>
              </w:rPr>
            </w:pPr>
          </w:p>
        </w:tc>
        <w:tc>
          <w:tcPr>
            <w:tcW w:w="1425" w:type="dxa"/>
            <w:vAlign w:val="top"/>
          </w:tcPr>
          <w:p w14:paraId="52DF1C61">
            <w:pPr>
              <w:rPr>
                <w:rFonts w:ascii="Arial"/>
                <w:color w:val="auto"/>
                <w:sz w:val="21"/>
                <w:highlight w:val="none"/>
              </w:rPr>
            </w:pPr>
          </w:p>
        </w:tc>
        <w:tc>
          <w:tcPr>
            <w:tcW w:w="1425" w:type="dxa"/>
            <w:vAlign w:val="top"/>
          </w:tcPr>
          <w:p w14:paraId="4FC23BD6">
            <w:pPr>
              <w:rPr>
                <w:rFonts w:ascii="Arial"/>
                <w:color w:val="auto"/>
                <w:sz w:val="21"/>
                <w:highlight w:val="none"/>
              </w:rPr>
            </w:pPr>
          </w:p>
        </w:tc>
        <w:tc>
          <w:tcPr>
            <w:tcW w:w="1434" w:type="dxa"/>
            <w:vAlign w:val="top"/>
          </w:tcPr>
          <w:p w14:paraId="795B1611">
            <w:pPr>
              <w:pStyle w:val="11"/>
              <w:spacing w:before="268" w:line="141" w:lineRule="exact"/>
              <w:ind w:left="668"/>
              <w:rPr>
                <w:color w:val="auto"/>
                <w:highlight w:val="none"/>
              </w:rPr>
            </w:pPr>
            <w:r>
              <w:rPr>
                <w:color w:val="auto"/>
                <w:position w:val="-3"/>
                <w:highlight w:val="none"/>
              </w:rPr>
              <w:t>-</w:t>
            </w:r>
          </w:p>
        </w:tc>
      </w:tr>
      <w:tr w14:paraId="1C73A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3DDAEC0C">
            <w:pPr>
              <w:pStyle w:val="11"/>
              <w:spacing w:before="153" w:line="221" w:lineRule="auto"/>
              <w:ind w:left="118"/>
              <w:rPr>
                <w:color w:val="auto"/>
                <w:highlight w:val="none"/>
              </w:rPr>
            </w:pPr>
            <w:r>
              <w:rPr>
                <w:color w:val="auto"/>
                <w:spacing w:val="-1"/>
                <w:highlight w:val="none"/>
              </w:rPr>
              <w:t>4．资产负债率</w:t>
            </w:r>
          </w:p>
        </w:tc>
        <w:tc>
          <w:tcPr>
            <w:tcW w:w="773" w:type="dxa"/>
            <w:vAlign w:val="top"/>
          </w:tcPr>
          <w:p w14:paraId="0E10DDA1">
            <w:pPr>
              <w:spacing w:before="207"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7E371712">
            <w:pPr>
              <w:rPr>
                <w:rFonts w:ascii="Arial"/>
                <w:color w:val="auto"/>
                <w:sz w:val="21"/>
                <w:highlight w:val="none"/>
              </w:rPr>
            </w:pPr>
          </w:p>
        </w:tc>
        <w:tc>
          <w:tcPr>
            <w:tcW w:w="1425" w:type="dxa"/>
            <w:vAlign w:val="top"/>
          </w:tcPr>
          <w:p w14:paraId="3CC4B75D">
            <w:pPr>
              <w:rPr>
                <w:rFonts w:ascii="Arial"/>
                <w:color w:val="auto"/>
                <w:sz w:val="21"/>
                <w:highlight w:val="none"/>
              </w:rPr>
            </w:pPr>
          </w:p>
        </w:tc>
        <w:tc>
          <w:tcPr>
            <w:tcW w:w="1425" w:type="dxa"/>
            <w:vAlign w:val="top"/>
          </w:tcPr>
          <w:p w14:paraId="7B7421E8">
            <w:pPr>
              <w:rPr>
                <w:rFonts w:ascii="Arial"/>
                <w:color w:val="auto"/>
                <w:sz w:val="21"/>
                <w:highlight w:val="none"/>
              </w:rPr>
            </w:pPr>
          </w:p>
        </w:tc>
        <w:tc>
          <w:tcPr>
            <w:tcW w:w="1434" w:type="dxa"/>
            <w:vAlign w:val="top"/>
          </w:tcPr>
          <w:p w14:paraId="2B4916D8">
            <w:pPr>
              <w:rPr>
                <w:rFonts w:ascii="Arial"/>
                <w:color w:val="auto"/>
                <w:sz w:val="21"/>
                <w:highlight w:val="none"/>
              </w:rPr>
            </w:pPr>
          </w:p>
        </w:tc>
      </w:tr>
      <w:tr w14:paraId="79CB3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1DE5E514">
            <w:pPr>
              <w:pStyle w:val="11"/>
              <w:spacing w:before="148" w:line="221" w:lineRule="auto"/>
              <w:ind w:left="123"/>
              <w:rPr>
                <w:color w:val="auto"/>
                <w:highlight w:val="none"/>
              </w:rPr>
            </w:pPr>
            <w:r>
              <w:rPr>
                <w:color w:val="auto"/>
                <w:spacing w:val="-1"/>
                <w:highlight w:val="none"/>
              </w:rPr>
              <w:t>5．流动比率</w:t>
            </w:r>
          </w:p>
        </w:tc>
        <w:tc>
          <w:tcPr>
            <w:tcW w:w="773" w:type="dxa"/>
            <w:vAlign w:val="top"/>
          </w:tcPr>
          <w:p w14:paraId="4769B46E">
            <w:pPr>
              <w:spacing w:before="208" w:line="294"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2CFA5786">
            <w:pPr>
              <w:rPr>
                <w:rFonts w:ascii="Arial"/>
                <w:color w:val="auto"/>
                <w:sz w:val="21"/>
                <w:highlight w:val="none"/>
              </w:rPr>
            </w:pPr>
          </w:p>
        </w:tc>
        <w:tc>
          <w:tcPr>
            <w:tcW w:w="1425" w:type="dxa"/>
            <w:vAlign w:val="top"/>
          </w:tcPr>
          <w:p w14:paraId="28368B76">
            <w:pPr>
              <w:rPr>
                <w:rFonts w:ascii="Arial"/>
                <w:color w:val="auto"/>
                <w:sz w:val="21"/>
                <w:highlight w:val="none"/>
              </w:rPr>
            </w:pPr>
          </w:p>
        </w:tc>
        <w:tc>
          <w:tcPr>
            <w:tcW w:w="1425" w:type="dxa"/>
            <w:vAlign w:val="top"/>
          </w:tcPr>
          <w:p w14:paraId="513CD892">
            <w:pPr>
              <w:rPr>
                <w:rFonts w:ascii="Arial"/>
                <w:color w:val="auto"/>
                <w:sz w:val="21"/>
                <w:highlight w:val="none"/>
              </w:rPr>
            </w:pPr>
          </w:p>
        </w:tc>
        <w:tc>
          <w:tcPr>
            <w:tcW w:w="1434" w:type="dxa"/>
            <w:vAlign w:val="top"/>
          </w:tcPr>
          <w:p w14:paraId="0AD1714E">
            <w:pPr>
              <w:rPr>
                <w:rFonts w:ascii="Arial"/>
                <w:color w:val="auto"/>
                <w:sz w:val="21"/>
                <w:highlight w:val="none"/>
              </w:rPr>
            </w:pPr>
          </w:p>
        </w:tc>
      </w:tr>
      <w:tr w14:paraId="37E1C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828CD8A">
            <w:pPr>
              <w:pStyle w:val="11"/>
              <w:spacing w:before="154" w:line="221" w:lineRule="auto"/>
              <w:ind w:left="120"/>
              <w:rPr>
                <w:color w:val="auto"/>
                <w:highlight w:val="none"/>
              </w:rPr>
            </w:pPr>
            <w:r>
              <w:rPr>
                <w:color w:val="auto"/>
                <w:spacing w:val="-1"/>
                <w:highlight w:val="none"/>
              </w:rPr>
              <w:t>6．速动比率</w:t>
            </w:r>
          </w:p>
        </w:tc>
        <w:tc>
          <w:tcPr>
            <w:tcW w:w="773" w:type="dxa"/>
            <w:vAlign w:val="top"/>
          </w:tcPr>
          <w:p w14:paraId="04F4E52D">
            <w:pPr>
              <w:spacing w:before="209"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4D9C935C">
            <w:pPr>
              <w:rPr>
                <w:rFonts w:ascii="Arial"/>
                <w:color w:val="auto"/>
                <w:sz w:val="21"/>
                <w:highlight w:val="none"/>
              </w:rPr>
            </w:pPr>
          </w:p>
        </w:tc>
        <w:tc>
          <w:tcPr>
            <w:tcW w:w="1425" w:type="dxa"/>
            <w:vAlign w:val="top"/>
          </w:tcPr>
          <w:p w14:paraId="26B5F0FF">
            <w:pPr>
              <w:rPr>
                <w:rFonts w:ascii="Arial"/>
                <w:color w:val="auto"/>
                <w:sz w:val="21"/>
                <w:highlight w:val="none"/>
              </w:rPr>
            </w:pPr>
          </w:p>
        </w:tc>
        <w:tc>
          <w:tcPr>
            <w:tcW w:w="1425" w:type="dxa"/>
            <w:vAlign w:val="top"/>
          </w:tcPr>
          <w:p w14:paraId="2359413F">
            <w:pPr>
              <w:rPr>
                <w:rFonts w:ascii="Arial"/>
                <w:color w:val="auto"/>
                <w:sz w:val="21"/>
                <w:highlight w:val="none"/>
              </w:rPr>
            </w:pPr>
          </w:p>
        </w:tc>
        <w:tc>
          <w:tcPr>
            <w:tcW w:w="1434" w:type="dxa"/>
            <w:vAlign w:val="top"/>
          </w:tcPr>
          <w:p w14:paraId="4CA17C77">
            <w:pPr>
              <w:rPr>
                <w:rFonts w:ascii="Arial"/>
                <w:color w:val="auto"/>
                <w:sz w:val="21"/>
                <w:highlight w:val="none"/>
              </w:rPr>
            </w:pPr>
          </w:p>
        </w:tc>
      </w:tr>
    </w:tbl>
    <w:p w14:paraId="1F09677F">
      <w:pPr>
        <w:spacing w:before="77"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备注： 1.本表后应附近年经会计师事务所或审计机构审计的</w:t>
      </w:r>
      <w:r>
        <w:rPr>
          <w:rFonts w:ascii="宋体" w:hAnsi="宋体" w:eastAsia="宋体" w:cs="宋体"/>
          <w:color w:val="auto"/>
          <w:spacing w:val="-4"/>
          <w:sz w:val="21"/>
          <w:szCs w:val="21"/>
          <w:highlight w:val="none"/>
        </w:rPr>
        <w:t>财务会计报表。</w:t>
      </w:r>
    </w:p>
    <w:p w14:paraId="0BD0EA4C">
      <w:pPr>
        <w:spacing w:before="75" w:line="254" w:lineRule="auto"/>
        <w:ind w:left="965" w:right="2" w:hanging="311"/>
        <w:rPr>
          <w:rFonts w:ascii="宋体" w:hAnsi="宋体" w:eastAsia="宋体" w:cs="宋体"/>
          <w:color w:val="auto"/>
          <w:sz w:val="21"/>
          <w:szCs w:val="21"/>
          <w:highlight w:val="none"/>
        </w:rPr>
      </w:pPr>
      <w:r>
        <w:rPr>
          <w:rFonts w:ascii="宋体" w:hAnsi="宋体" w:eastAsia="宋体" w:cs="宋体"/>
          <w:color w:val="auto"/>
          <w:sz w:val="21"/>
          <w:szCs w:val="21"/>
          <w:highlight w:val="none"/>
        </w:rPr>
        <w:t>2.本表所列数据必须与本表各附件中的数据相一致。 如果有不一致之处，以不利于</w:t>
      </w:r>
      <w:r>
        <w:rPr>
          <w:rFonts w:ascii="宋体" w:hAnsi="宋体" w:eastAsia="宋体" w:cs="宋体"/>
          <w:color w:val="auto"/>
          <w:spacing w:val="8"/>
          <w:sz w:val="21"/>
          <w:szCs w:val="21"/>
          <w:highlight w:val="none"/>
        </w:rPr>
        <w:t xml:space="preserve"> </w:t>
      </w:r>
      <w:r>
        <w:rPr>
          <w:rFonts w:ascii="宋体" w:hAnsi="宋体" w:eastAsia="宋体" w:cs="宋体"/>
          <w:color w:val="auto"/>
          <w:spacing w:val="-4"/>
          <w:sz w:val="21"/>
          <w:szCs w:val="21"/>
          <w:highlight w:val="none"/>
        </w:rPr>
        <w:t>投标人的数据为准。</w:t>
      </w:r>
    </w:p>
    <w:p w14:paraId="190D2E0A">
      <w:pPr>
        <w:spacing w:before="71" w:line="221" w:lineRule="auto"/>
        <w:ind w:left="65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3.联合体投标的，联合体各成员应分别填写。</w:t>
      </w:r>
    </w:p>
    <w:p w14:paraId="6E491528">
      <w:pPr>
        <w:spacing w:line="221" w:lineRule="auto"/>
        <w:rPr>
          <w:rFonts w:ascii="宋体" w:hAnsi="宋体" w:eastAsia="宋体" w:cs="宋体"/>
          <w:color w:val="auto"/>
          <w:sz w:val="21"/>
          <w:szCs w:val="21"/>
          <w:highlight w:val="none"/>
        </w:rPr>
        <w:sectPr>
          <w:footerReference r:id="rId232" w:type="default"/>
          <w:pgSz w:w="11905" w:h="16839"/>
          <w:pgMar w:top="400" w:right="1785" w:bottom="1004" w:left="1785" w:header="0" w:footer="828" w:gutter="0"/>
          <w:pgNumType w:fmt="decimal"/>
          <w:cols w:space="720" w:num="1"/>
        </w:sectPr>
      </w:pPr>
    </w:p>
    <w:p w14:paraId="13D0B2D0">
      <w:pPr>
        <w:pStyle w:val="3"/>
        <w:spacing w:line="267" w:lineRule="auto"/>
        <w:rPr>
          <w:color w:val="auto"/>
          <w:highlight w:val="none"/>
        </w:rPr>
      </w:pPr>
    </w:p>
    <w:p w14:paraId="021A593B">
      <w:pPr>
        <w:pStyle w:val="3"/>
        <w:spacing w:line="268" w:lineRule="auto"/>
        <w:rPr>
          <w:color w:val="auto"/>
          <w:highlight w:val="none"/>
        </w:rPr>
      </w:pPr>
    </w:p>
    <w:p w14:paraId="4DCC0B07">
      <w:pPr>
        <w:pStyle w:val="3"/>
        <w:spacing w:line="268" w:lineRule="auto"/>
        <w:rPr>
          <w:color w:val="auto"/>
          <w:highlight w:val="none"/>
        </w:rPr>
      </w:pPr>
    </w:p>
    <w:p w14:paraId="68693D7A">
      <w:pPr>
        <w:pStyle w:val="3"/>
        <w:spacing w:line="268" w:lineRule="auto"/>
        <w:rPr>
          <w:color w:val="auto"/>
          <w:highlight w:val="none"/>
        </w:rPr>
      </w:pPr>
    </w:p>
    <w:p w14:paraId="27F54EFD">
      <w:pPr>
        <w:spacing w:before="78" w:line="218" w:lineRule="auto"/>
        <w:ind w:left="2766"/>
        <w:rPr>
          <w:rFonts w:ascii="黑体" w:hAnsi="黑体" w:eastAsia="黑体" w:cs="黑体"/>
          <w:color w:val="auto"/>
          <w:sz w:val="24"/>
          <w:szCs w:val="24"/>
          <w:highlight w:val="none"/>
        </w:rPr>
      </w:pPr>
      <w:bookmarkStart w:id="1348" w:name="bookmark321"/>
      <w:bookmarkEnd w:id="1348"/>
      <w:r>
        <w:rPr>
          <w:rFonts w:ascii="黑体" w:hAnsi="黑体" w:eastAsia="黑体" w:cs="黑体"/>
          <w:color w:val="auto"/>
          <w:spacing w:val="-3"/>
          <w:sz w:val="24"/>
          <w:szCs w:val="24"/>
          <w:highlight w:val="none"/>
        </w:rPr>
        <w:t>（三）近年完成的类似项目情况</w:t>
      </w:r>
    </w:p>
    <w:p w14:paraId="41780F5D">
      <w:pPr>
        <w:pStyle w:val="3"/>
        <w:spacing w:line="475" w:lineRule="auto"/>
        <w:rPr>
          <w:color w:val="auto"/>
          <w:highlight w:val="none"/>
        </w:rPr>
      </w:pPr>
    </w:p>
    <w:p w14:paraId="72473425">
      <w:pPr>
        <w:spacing w:before="78" w:line="218" w:lineRule="auto"/>
        <w:ind w:left="280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3-</w:t>
      </w:r>
      <w:r>
        <w:rPr>
          <w:rFonts w:ascii="Times New Roman" w:hAnsi="Times New Roman" w:eastAsia="Times New Roman" w:cs="Times New Roman"/>
          <w:color w:val="auto"/>
          <w:spacing w:val="-18"/>
          <w:sz w:val="24"/>
          <w:szCs w:val="24"/>
          <w:highlight w:val="none"/>
        </w:rPr>
        <w:t xml:space="preserve"> </w:t>
      </w:r>
      <w:r>
        <w:rPr>
          <w:rFonts w:ascii="Times New Roman" w:hAnsi="Times New Roman" w:eastAsia="Times New Roman" w:cs="Times New Roman"/>
          <w:color w:val="auto"/>
          <w:spacing w:val="-3"/>
          <w:sz w:val="24"/>
          <w:szCs w:val="24"/>
          <w:highlight w:val="none"/>
        </w:rPr>
        <w:t xml:space="preserve">1 </w:t>
      </w:r>
      <w:r>
        <w:rPr>
          <w:rFonts w:ascii="黑体" w:hAnsi="黑体" w:eastAsia="黑体" w:cs="黑体"/>
          <w:color w:val="auto"/>
          <w:spacing w:val="-3"/>
          <w:sz w:val="24"/>
          <w:szCs w:val="24"/>
          <w:highlight w:val="none"/>
        </w:rPr>
        <w:t>近年完成的类似项目汇总表</w:t>
      </w: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5B29D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14:paraId="30CF4C32">
            <w:pPr>
              <w:pStyle w:val="11"/>
              <w:spacing w:before="167" w:line="211" w:lineRule="auto"/>
              <w:ind w:left="159"/>
              <w:rPr>
                <w:color w:val="auto"/>
                <w:highlight w:val="none"/>
              </w:rPr>
            </w:pPr>
            <w:r>
              <w:rPr>
                <w:color w:val="auto"/>
                <w:spacing w:val="1"/>
                <w:highlight w:val="none"/>
              </w:rPr>
              <w:t>序</w:t>
            </w:r>
            <w:r>
              <w:rPr>
                <w:color w:val="auto"/>
                <w:spacing w:val="86"/>
                <w:highlight w:val="none"/>
              </w:rPr>
              <w:t xml:space="preserve"> </w:t>
            </w:r>
            <w:r>
              <w:rPr>
                <w:color w:val="auto"/>
                <w:spacing w:val="1"/>
                <w:highlight w:val="none"/>
              </w:rPr>
              <w:t>号</w:t>
            </w:r>
          </w:p>
        </w:tc>
        <w:tc>
          <w:tcPr>
            <w:tcW w:w="1842" w:type="dxa"/>
            <w:vAlign w:val="top"/>
          </w:tcPr>
          <w:p w14:paraId="77A1969F">
            <w:pPr>
              <w:spacing w:line="291" w:lineRule="auto"/>
              <w:rPr>
                <w:rFonts w:ascii="Arial"/>
                <w:color w:val="auto"/>
                <w:sz w:val="21"/>
                <w:highlight w:val="none"/>
              </w:rPr>
            </w:pPr>
          </w:p>
          <w:p w14:paraId="0E04316B">
            <w:pPr>
              <w:pStyle w:val="11"/>
              <w:spacing w:before="68" w:line="221" w:lineRule="auto"/>
              <w:ind w:left="506"/>
              <w:rPr>
                <w:color w:val="auto"/>
                <w:highlight w:val="none"/>
              </w:rPr>
            </w:pPr>
            <w:r>
              <w:rPr>
                <w:color w:val="auto"/>
                <w:spacing w:val="-2"/>
                <w:highlight w:val="none"/>
              </w:rPr>
              <w:t>项目名称</w:t>
            </w:r>
          </w:p>
        </w:tc>
        <w:tc>
          <w:tcPr>
            <w:tcW w:w="1397" w:type="dxa"/>
            <w:vAlign w:val="top"/>
          </w:tcPr>
          <w:p w14:paraId="17567BB4">
            <w:pPr>
              <w:spacing w:line="291" w:lineRule="auto"/>
              <w:rPr>
                <w:rFonts w:ascii="Arial"/>
                <w:color w:val="auto"/>
                <w:sz w:val="21"/>
                <w:highlight w:val="none"/>
              </w:rPr>
            </w:pPr>
          </w:p>
          <w:p w14:paraId="23D5B634">
            <w:pPr>
              <w:pStyle w:val="11"/>
              <w:spacing w:before="68" w:line="221" w:lineRule="auto"/>
              <w:ind w:left="181"/>
              <w:rPr>
                <w:color w:val="auto"/>
                <w:highlight w:val="none"/>
              </w:rPr>
            </w:pPr>
            <w:r>
              <w:rPr>
                <w:color w:val="auto"/>
                <w:spacing w:val="-1"/>
                <w:highlight w:val="none"/>
              </w:rPr>
              <w:t>发包人名称</w:t>
            </w:r>
          </w:p>
        </w:tc>
        <w:tc>
          <w:tcPr>
            <w:tcW w:w="1080" w:type="dxa"/>
            <w:vAlign w:val="top"/>
          </w:tcPr>
          <w:p w14:paraId="3E655799">
            <w:pPr>
              <w:spacing w:line="290" w:lineRule="auto"/>
              <w:rPr>
                <w:rFonts w:ascii="Arial"/>
                <w:color w:val="auto"/>
                <w:sz w:val="21"/>
                <w:highlight w:val="none"/>
              </w:rPr>
            </w:pPr>
          </w:p>
          <w:p w14:paraId="7777C560">
            <w:pPr>
              <w:pStyle w:val="11"/>
              <w:spacing w:before="68" w:line="221" w:lineRule="auto"/>
              <w:ind w:left="123"/>
              <w:rPr>
                <w:color w:val="auto"/>
                <w:highlight w:val="none"/>
              </w:rPr>
            </w:pPr>
            <w:r>
              <w:rPr>
                <w:color w:val="auto"/>
                <w:spacing w:val="-2"/>
                <w:highlight w:val="none"/>
              </w:rPr>
              <w:t>工程规模</w:t>
            </w:r>
          </w:p>
        </w:tc>
        <w:tc>
          <w:tcPr>
            <w:tcW w:w="1108" w:type="dxa"/>
            <w:vAlign w:val="top"/>
          </w:tcPr>
          <w:p w14:paraId="6952E943">
            <w:pPr>
              <w:pStyle w:val="11"/>
              <w:spacing w:before="159" w:line="403" w:lineRule="exact"/>
              <w:ind w:left="141"/>
              <w:rPr>
                <w:color w:val="auto"/>
                <w:highlight w:val="none"/>
              </w:rPr>
            </w:pPr>
            <w:r>
              <w:rPr>
                <w:color w:val="auto"/>
                <w:spacing w:val="-1"/>
                <w:position w:val="14"/>
                <w:highlight w:val="none"/>
              </w:rPr>
              <w:t>合同价格</w:t>
            </w:r>
          </w:p>
          <w:p w14:paraId="7AF56AEE">
            <w:pPr>
              <w:pStyle w:val="11"/>
              <w:spacing w:line="209" w:lineRule="auto"/>
              <w:ind w:left="199"/>
              <w:rPr>
                <w:color w:val="auto"/>
                <w:highlight w:val="none"/>
              </w:rPr>
            </w:pPr>
            <w:r>
              <w:rPr>
                <w:color w:val="auto"/>
                <w:spacing w:val="-6"/>
                <w:highlight w:val="none"/>
              </w:rPr>
              <w:t>（元）</w:t>
            </w:r>
          </w:p>
        </w:tc>
        <w:tc>
          <w:tcPr>
            <w:tcW w:w="1781" w:type="dxa"/>
            <w:vAlign w:val="top"/>
          </w:tcPr>
          <w:p w14:paraId="40145C8C">
            <w:pPr>
              <w:spacing w:line="290" w:lineRule="auto"/>
              <w:rPr>
                <w:rFonts w:ascii="Arial"/>
                <w:color w:val="auto"/>
                <w:sz w:val="21"/>
                <w:highlight w:val="none"/>
              </w:rPr>
            </w:pPr>
          </w:p>
          <w:p w14:paraId="58D39A8D">
            <w:pPr>
              <w:pStyle w:val="11"/>
              <w:spacing w:before="68" w:line="221" w:lineRule="auto"/>
              <w:ind w:left="267"/>
              <w:rPr>
                <w:color w:val="auto"/>
                <w:highlight w:val="none"/>
              </w:rPr>
            </w:pPr>
            <w:r>
              <w:rPr>
                <w:color w:val="auto"/>
                <w:spacing w:val="-1"/>
                <w:highlight w:val="none"/>
              </w:rPr>
              <w:t>开、竣工日期</w:t>
            </w:r>
          </w:p>
        </w:tc>
        <w:tc>
          <w:tcPr>
            <w:tcW w:w="1084" w:type="dxa"/>
            <w:vAlign w:val="top"/>
          </w:tcPr>
          <w:p w14:paraId="6E8B63C9">
            <w:pPr>
              <w:spacing w:line="291" w:lineRule="auto"/>
              <w:rPr>
                <w:rFonts w:ascii="Arial"/>
                <w:color w:val="auto"/>
                <w:sz w:val="21"/>
                <w:highlight w:val="none"/>
              </w:rPr>
            </w:pPr>
          </w:p>
          <w:p w14:paraId="59861886">
            <w:pPr>
              <w:pStyle w:val="11"/>
              <w:spacing w:before="68" w:line="221" w:lineRule="auto"/>
              <w:ind w:left="131"/>
              <w:rPr>
                <w:color w:val="auto"/>
                <w:highlight w:val="none"/>
              </w:rPr>
            </w:pPr>
            <w:r>
              <w:rPr>
                <w:color w:val="auto"/>
                <w:spacing w:val="-2"/>
                <w:highlight w:val="none"/>
              </w:rPr>
              <w:t>项目经理</w:t>
            </w:r>
          </w:p>
        </w:tc>
      </w:tr>
      <w:tr w14:paraId="6E28E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998CEDE">
            <w:pPr>
              <w:rPr>
                <w:rFonts w:ascii="Arial"/>
                <w:color w:val="auto"/>
                <w:sz w:val="21"/>
                <w:highlight w:val="none"/>
              </w:rPr>
            </w:pPr>
          </w:p>
        </w:tc>
        <w:tc>
          <w:tcPr>
            <w:tcW w:w="1842" w:type="dxa"/>
            <w:vAlign w:val="top"/>
          </w:tcPr>
          <w:p w14:paraId="0983F29D">
            <w:pPr>
              <w:rPr>
                <w:rFonts w:ascii="Arial"/>
                <w:color w:val="auto"/>
                <w:sz w:val="21"/>
                <w:highlight w:val="none"/>
              </w:rPr>
            </w:pPr>
          </w:p>
        </w:tc>
        <w:tc>
          <w:tcPr>
            <w:tcW w:w="1397" w:type="dxa"/>
            <w:vAlign w:val="top"/>
          </w:tcPr>
          <w:p w14:paraId="6B4D0EC9">
            <w:pPr>
              <w:rPr>
                <w:rFonts w:ascii="Arial"/>
                <w:color w:val="auto"/>
                <w:sz w:val="21"/>
                <w:highlight w:val="none"/>
              </w:rPr>
            </w:pPr>
          </w:p>
        </w:tc>
        <w:tc>
          <w:tcPr>
            <w:tcW w:w="1080" w:type="dxa"/>
            <w:vAlign w:val="top"/>
          </w:tcPr>
          <w:p w14:paraId="7A29D6D5">
            <w:pPr>
              <w:rPr>
                <w:rFonts w:ascii="Arial"/>
                <w:color w:val="auto"/>
                <w:sz w:val="21"/>
                <w:highlight w:val="none"/>
              </w:rPr>
            </w:pPr>
          </w:p>
        </w:tc>
        <w:tc>
          <w:tcPr>
            <w:tcW w:w="1108" w:type="dxa"/>
            <w:vAlign w:val="top"/>
          </w:tcPr>
          <w:p w14:paraId="497151FD">
            <w:pPr>
              <w:rPr>
                <w:rFonts w:ascii="Arial"/>
                <w:color w:val="auto"/>
                <w:sz w:val="21"/>
                <w:highlight w:val="none"/>
              </w:rPr>
            </w:pPr>
          </w:p>
        </w:tc>
        <w:tc>
          <w:tcPr>
            <w:tcW w:w="1781" w:type="dxa"/>
            <w:vAlign w:val="top"/>
          </w:tcPr>
          <w:p w14:paraId="70437D12">
            <w:pPr>
              <w:rPr>
                <w:rFonts w:ascii="Arial"/>
                <w:color w:val="auto"/>
                <w:sz w:val="21"/>
                <w:highlight w:val="none"/>
              </w:rPr>
            </w:pPr>
          </w:p>
        </w:tc>
        <w:tc>
          <w:tcPr>
            <w:tcW w:w="1084" w:type="dxa"/>
            <w:vAlign w:val="top"/>
          </w:tcPr>
          <w:p w14:paraId="4A9DC5CC">
            <w:pPr>
              <w:rPr>
                <w:rFonts w:ascii="Arial"/>
                <w:color w:val="auto"/>
                <w:sz w:val="21"/>
                <w:highlight w:val="none"/>
              </w:rPr>
            </w:pPr>
          </w:p>
        </w:tc>
      </w:tr>
      <w:tr w14:paraId="2E019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99ACD48">
            <w:pPr>
              <w:rPr>
                <w:rFonts w:ascii="Arial"/>
                <w:color w:val="auto"/>
                <w:sz w:val="21"/>
                <w:highlight w:val="none"/>
              </w:rPr>
            </w:pPr>
          </w:p>
        </w:tc>
        <w:tc>
          <w:tcPr>
            <w:tcW w:w="1842" w:type="dxa"/>
            <w:vAlign w:val="top"/>
          </w:tcPr>
          <w:p w14:paraId="022A0CFE">
            <w:pPr>
              <w:rPr>
                <w:rFonts w:ascii="Arial"/>
                <w:color w:val="auto"/>
                <w:sz w:val="21"/>
                <w:highlight w:val="none"/>
              </w:rPr>
            </w:pPr>
          </w:p>
        </w:tc>
        <w:tc>
          <w:tcPr>
            <w:tcW w:w="1397" w:type="dxa"/>
            <w:vAlign w:val="top"/>
          </w:tcPr>
          <w:p w14:paraId="1A52B57D">
            <w:pPr>
              <w:rPr>
                <w:rFonts w:ascii="Arial"/>
                <w:color w:val="auto"/>
                <w:sz w:val="21"/>
                <w:highlight w:val="none"/>
              </w:rPr>
            </w:pPr>
          </w:p>
        </w:tc>
        <w:tc>
          <w:tcPr>
            <w:tcW w:w="1080" w:type="dxa"/>
            <w:vAlign w:val="top"/>
          </w:tcPr>
          <w:p w14:paraId="11B39B93">
            <w:pPr>
              <w:rPr>
                <w:rFonts w:ascii="Arial"/>
                <w:color w:val="auto"/>
                <w:sz w:val="21"/>
                <w:highlight w:val="none"/>
              </w:rPr>
            </w:pPr>
          </w:p>
        </w:tc>
        <w:tc>
          <w:tcPr>
            <w:tcW w:w="1108" w:type="dxa"/>
            <w:vAlign w:val="top"/>
          </w:tcPr>
          <w:p w14:paraId="08C793F0">
            <w:pPr>
              <w:rPr>
                <w:rFonts w:ascii="Arial"/>
                <w:color w:val="auto"/>
                <w:sz w:val="21"/>
                <w:highlight w:val="none"/>
              </w:rPr>
            </w:pPr>
          </w:p>
        </w:tc>
        <w:tc>
          <w:tcPr>
            <w:tcW w:w="1781" w:type="dxa"/>
            <w:vAlign w:val="top"/>
          </w:tcPr>
          <w:p w14:paraId="5D900C22">
            <w:pPr>
              <w:rPr>
                <w:rFonts w:ascii="Arial"/>
                <w:color w:val="auto"/>
                <w:sz w:val="21"/>
                <w:highlight w:val="none"/>
              </w:rPr>
            </w:pPr>
          </w:p>
        </w:tc>
        <w:tc>
          <w:tcPr>
            <w:tcW w:w="1084" w:type="dxa"/>
            <w:vAlign w:val="top"/>
          </w:tcPr>
          <w:p w14:paraId="1E991E4B">
            <w:pPr>
              <w:rPr>
                <w:rFonts w:ascii="Arial"/>
                <w:color w:val="auto"/>
                <w:sz w:val="21"/>
                <w:highlight w:val="none"/>
              </w:rPr>
            </w:pPr>
          </w:p>
        </w:tc>
      </w:tr>
      <w:tr w14:paraId="565BC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1F1E547">
            <w:pPr>
              <w:rPr>
                <w:rFonts w:ascii="Arial"/>
                <w:color w:val="auto"/>
                <w:sz w:val="21"/>
                <w:highlight w:val="none"/>
              </w:rPr>
            </w:pPr>
          </w:p>
        </w:tc>
        <w:tc>
          <w:tcPr>
            <w:tcW w:w="1842" w:type="dxa"/>
            <w:vAlign w:val="top"/>
          </w:tcPr>
          <w:p w14:paraId="61340EF3">
            <w:pPr>
              <w:rPr>
                <w:rFonts w:ascii="Arial"/>
                <w:color w:val="auto"/>
                <w:sz w:val="21"/>
                <w:highlight w:val="none"/>
              </w:rPr>
            </w:pPr>
          </w:p>
        </w:tc>
        <w:tc>
          <w:tcPr>
            <w:tcW w:w="1397" w:type="dxa"/>
            <w:vAlign w:val="top"/>
          </w:tcPr>
          <w:p w14:paraId="3C252A55">
            <w:pPr>
              <w:rPr>
                <w:rFonts w:ascii="Arial"/>
                <w:color w:val="auto"/>
                <w:sz w:val="21"/>
                <w:highlight w:val="none"/>
              </w:rPr>
            </w:pPr>
          </w:p>
        </w:tc>
        <w:tc>
          <w:tcPr>
            <w:tcW w:w="1080" w:type="dxa"/>
            <w:vAlign w:val="top"/>
          </w:tcPr>
          <w:p w14:paraId="5F80769F">
            <w:pPr>
              <w:rPr>
                <w:rFonts w:ascii="Arial"/>
                <w:color w:val="auto"/>
                <w:sz w:val="21"/>
                <w:highlight w:val="none"/>
              </w:rPr>
            </w:pPr>
          </w:p>
        </w:tc>
        <w:tc>
          <w:tcPr>
            <w:tcW w:w="1108" w:type="dxa"/>
            <w:vAlign w:val="top"/>
          </w:tcPr>
          <w:p w14:paraId="209FD6FB">
            <w:pPr>
              <w:rPr>
                <w:rFonts w:ascii="Arial"/>
                <w:color w:val="auto"/>
                <w:sz w:val="21"/>
                <w:highlight w:val="none"/>
              </w:rPr>
            </w:pPr>
          </w:p>
        </w:tc>
        <w:tc>
          <w:tcPr>
            <w:tcW w:w="1781" w:type="dxa"/>
            <w:vAlign w:val="top"/>
          </w:tcPr>
          <w:p w14:paraId="64BAE183">
            <w:pPr>
              <w:rPr>
                <w:rFonts w:ascii="Arial"/>
                <w:color w:val="auto"/>
                <w:sz w:val="21"/>
                <w:highlight w:val="none"/>
              </w:rPr>
            </w:pPr>
          </w:p>
        </w:tc>
        <w:tc>
          <w:tcPr>
            <w:tcW w:w="1084" w:type="dxa"/>
            <w:vAlign w:val="top"/>
          </w:tcPr>
          <w:p w14:paraId="0EB6206C">
            <w:pPr>
              <w:rPr>
                <w:rFonts w:ascii="Arial"/>
                <w:color w:val="auto"/>
                <w:sz w:val="21"/>
                <w:highlight w:val="none"/>
              </w:rPr>
            </w:pPr>
          </w:p>
        </w:tc>
      </w:tr>
      <w:tr w14:paraId="639C6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CA36C31">
            <w:pPr>
              <w:rPr>
                <w:rFonts w:ascii="Arial"/>
                <w:color w:val="auto"/>
                <w:sz w:val="21"/>
                <w:highlight w:val="none"/>
              </w:rPr>
            </w:pPr>
          </w:p>
        </w:tc>
        <w:tc>
          <w:tcPr>
            <w:tcW w:w="1842" w:type="dxa"/>
            <w:vAlign w:val="top"/>
          </w:tcPr>
          <w:p w14:paraId="31981CA9">
            <w:pPr>
              <w:rPr>
                <w:rFonts w:ascii="Arial"/>
                <w:color w:val="auto"/>
                <w:sz w:val="21"/>
                <w:highlight w:val="none"/>
              </w:rPr>
            </w:pPr>
          </w:p>
        </w:tc>
        <w:tc>
          <w:tcPr>
            <w:tcW w:w="1397" w:type="dxa"/>
            <w:vAlign w:val="top"/>
          </w:tcPr>
          <w:p w14:paraId="05C1A8B0">
            <w:pPr>
              <w:rPr>
                <w:rFonts w:ascii="Arial"/>
                <w:color w:val="auto"/>
                <w:sz w:val="21"/>
                <w:highlight w:val="none"/>
              </w:rPr>
            </w:pPr>
          </w:p>
        </w:tc>
        <w:tc>
          <w:tcPr>
            <w:tcW w:w="1080" w:type="dxa"/>
            <w:vAlign w:val="top"/>
          </w:tcPr>
          <w:p w14:paraId="05D6C482">
            <w:pPr>
              <w:rPr>
                <w:rFonts w:ascii="Arial"/>
                <w:color w:val="auto"/>
                <w:sz w:val="21"/>
                <w:highlight w:val="none"/>
              </w:rPr>
            </w:pPr>
          </w:p>
        </w:tc>
        <w:tc>
          <w:tcPr>
            <w:tcW w:w="1108" w:type="dxa"/>
            <w:vAlign w:val="top"/>
          </w:tcPr>
          <w:p w14:paraId="62DB9212">
            <w:pPr>
              <w:rPr>
                <w:rFonts w:ascii="Arial"/>
                <w:color w:val="auto"/>
                <w:sz w:val="21"/>
                <w:highlight w:val="none"/>
              </w:rPr>
            </w:pPr>
          </w:p>
        </w:tc>
        <w:tc>
          <w:tcPr>
            <w:tcW w:w="1781" w:type="dxa"/>
            <w:vAlign w:val="top"/>
          </w:tcPr>
          <w:p w14:paraId="04E4A2B5">
            <w:pPr>
              <w:rPr>
                <w:rFonts w:ascii="Arial"/>
                <w:color w:val="auto"/>
                <w:sz w:val="21"/>
                <w:highlight w:val="none"/>
              </w:rPr>
            </w:pPr>
          </w:p>
        </w:tc>
        <w:tc>
          <w:tcPr>
            <w:tcW w:w="1084" w:type="dxa"/>
            <w:vAlign w:val="top"/>
          </w:tcPr>
          <w:p w14:paraId="3DFB4312">
            <w:pPr>
              <w:rPr>
                <w:rFonts w:ascii="Arial"/>
                <w:color w:val="auto"/>
                <w:sz w:val="21"/>
                <w:highlight w:val="none"/>
              </w:rPr>
            </w:pPr>
          </w:p>
        </w:tc>
      </w:tr>
      <w:tr w14:paraId="56577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547" w:type="dxa"/>
            <w:vAlign w:val="top"/>
          </w:tcPr>
          <w:p w14:paraId="12E19999">
            <w:pPr>
              <w:rPr>
                <w:rFonts w:ascii="Arial"/>
                <w:color w:val="auto"/>
                <w:sz w:val="21"/>
                <w:highlight w:val="none"/>
              </w:rPr>
            </w:pPr>
          </w:p>
        </w:tc>
        <w:tc>
          <w:tcPr>
            <w:tcW w:w="1842" w:type="dxa"/>
            <w:vAlign w:val="top"/>
          </w:tcPr>
          <w:p w14:paraId="12FAA668">
            <w:pPr>
              <w:rPr>
                <w:rFonts w:ascii="Arial"/>
                <w:color w:val="auto"/>
                <w:sz w:val="21"/>
                <w:highlight w:val="none"/>
              </w:rPr>
            </w:pPr>
          </w:p>
        </w:tc>
        <w:tc>
          <w:tcPr>
            <w:tcW w:w="1397" w:type="dxa"/>
            <w:vAlign w:val="top"/>
          </w:tcPr>
          <w:p w14:paraId="149B22B9">
            <w:pPr>
              <w:rPr>
                <w:rFonts w:ascii="Arial"/>
                <w:color w:val="auto"/>
                <w:sz w:val="21"/>
                <w:highlight w:val="none"/>
              </w:rPr>
            </w:pPr>
          </w:p>
        </w:tc>
        <w:tc>
          <w:tcPr>
            <w:tcW w:w="1080" w:type="dxa"/>
            <w:vAlign w:val="top"/>
          </w:tcPr>
          <w:p w14:paraId="40BBF4D0">
            <w:pPr>
              <w:rPr>
                <w:rFonts w:ascii="Arial"/>
                <w:color w:val="auto"/>
                <w:sz w:val="21"/>
                <w:highlight w:val="none"/>
              </w:rPr>
            </w:pPr>
          </w:p>
        </w:tc>
        <w:tc>
          <w:tcPr>
            <w:tcW w:w="1108" w:type="dxa"/>
            <w:vAlign w:val="top"/>
          </w:tcPr>
          <w:p w14:paraId="78FAEDD0">
            <w:pPr>
              <w:rPr>
                <w:rFonts w:ascii="Arial"/>
                <w:color w:val="auto"/>
                <w:sz w:val="21"/>
                <w:highlight w:val="none"/>
              </w:rPr>
            </w:pPr>
          </w:p>
        </w:tc>
        <w:tc>
          <w:tcPr>
            <w:tcW w:w="1781" w:type="dxa"/>
            <w:vAlign w:val="top"/>
          </w:tcPr>
          <w:p w14:paraId="18163FE6">
            <w:pPr>
              <w:rPr>
                <w:rFonts w:ascii="Arial"/>
                <w:color w:val="auto"/>
                <w:sz w:val="21"/>
                <w:highlight w:val="none"/>
              </w:rPr>
            </w:pPr>
          </w:p>
        </w:tc>
        <w:tc>
          <w:tcPr>
            <w:tcW w:w="1084" w:type="dxa"/>
            <w:vAlign w:val="top"/>
          </w:tcPr>
          <w:p w14:paraId="32947A54">
            <w:pPr>
              <w:rPr>
                <w:rFonts w:ascii="Arial"/>
                <w:color w:val="auto"/>
                <w:sz w:val="21"/>
                <w:highlight w:val="none"/>
              </w:rPr>
            </w:pPr>
          </w:p>
        </w:tc>
      </w:tr>
      <w:tr w14:paraId="20B17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06C6450A">
            <w:pPr>
              <w:rPr>
                <w:rFonts w:ascii="Arial"/>
                <w:color w:val="auto"/>
                <w:sz w:val="21"/>
                <w:highlight w:val="none"/>
              </w:rPr>
            </w:pPr>
          </w:p>
        </w:tc>
        <w:tc>
          <w:tcPr>
            <w:tcW w:w="1842" w:type="dxa"/>
            <w:vAlign w:val="top"/>
          </w:tcPr>
          <w:p w14:paraId="70C3A178">
            <w:pPr>
              <w:rPr>
                <w:rFonts w:ascii="Arial"/>
                <w:color w:val="auto"/>
                <w:sz w:val="21"/>
                <w:highlight w:val="none"/>
              </w:rPr>
            </w:pPr>
          </w:p>
        </w:tc>
        <w:tc>
          <w:tcPr>
            <w:tcW w:w="1397" w:type="dxa"/>
            <w:vAlign w:val="top"/>
          </w:tcPr>
          <w:p w14:paraId="7A040B95">
            <w:pPr>
              <w:rPr>
                <w:rFonts w:ascii="Arial"/>
                <w:color w:val="auto"/>
                <w:sz w:val="21"/>
                <w:highlight w:val="none"/>
              </w:rPr>
            </w:pPr>
          </w:p>
        </w:tc>
        <w:tc>
          <w:tcPr>
            <w:tcW w:w="1080" w:type="dxa"/>
            <w:vAlign w:val="top"/>
          </w:tcPr>
          <w:p w14:paraId="749D3254">
            <w:pPr>
              <w:rPr>
                <w:rFonts w:ascii="Arial"/>
                <w:color w:val="auto"/>
                <w:sz w:val="21"/>
                <w:highlight w:val="none"/>
              </w:rPr>
            </w:pPr>
          </w:p>
        </w:tc>
        <w:tc>
          <w:tcPr>
            <w:tcW w:w="1108" w:type="dxa"/>
            <w:vAlign w:val="top"/>
          </w:tcPr>
          <w:p w14:paraId="18E1D91D">
            <w:pPr>
              <w:rPr>
                <w:rFonts w:ascii="Arial"/>
                <w:color w:val="auto"/>
                <w:sz w:val="21"/>
                <w:highlight w:val="none"/>
              </w:rPr>
            </w:pPr>
          </w:p>
        </w:tc>
        <w:tc>
          <w:tcPr>
            <w:tcW w:w="1781" w:type="dxa"/>
            <w:vAlign w:val="top"/>
          </w:tcPr>
          <w:p w14:paraId="0B7C6C72">
            <w:pPr>
              <w:rPr>
                <w:rFonts w:ascii="Arial"/>
                <w:color w:val="auto"/>
                <w:sz w:val="21"/>
                <w:highlight w:val="none"/>
              </w:rPr>
            </w:pPr>
          </w:p>
        </w:tc>
        <w:tc>
          <w:tcPr>
            <w:tcW w:w="1084" w:type="dxa"/>
            <w:vAlign w:val="top"/>
          </w:tcPr>
          <w:p w14:paraId="65908A45">
            <w:pPr>
              <w:rPr>
                <w:rFonts w:ascii="Arial"/>
                <w:color w:val="auto"/>
                <w:sz w:val="21"/>
                <w:highlight w:val="none"/>
              </w:rPr>
            </w:pPr>
          </w:p>
        </w:tc>
      </w:tr>
      <w:tr w14:paraId="6A4AD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0A49561">
            <w:pPr>
              <w:rPr>
                <w:rFonts w:ascii="Arial"/>
                <w:color w:val="auto"/>
                <w:sz w:val="21"/>
                <w:highlight w:val="none"/>
              </w:rPr>
            </w:pPr>
          </w:p>
        </w:tc>
        <w:tc>
          <w:tcPr>
            <w:tcW w:w="1842" w:type="dxa"/>
            <w:vAlign w:val="top"/>
          </w:tcPr>
          <w:p w14:paraId="7D52853B">
            <w:pPr>
              <w:rPr>
                <w:rFonts w:ascii="Arial"/>
                <w:color w:val="auto"/>
                <w:sz w:val="21"/>
                <w:highlight w:val="none"/>
              </w:rPr>
            </w:pPr>
          </w:p>
        </w:tc>
        <w:tc>
          <w:tcPr>
            <w:tcW w:w="1397" w:type="dxa"/>
            <w:vAlign w:val="top"/>
          </w:tcPr>
          <w:p w14:paraId="1FB88B5A">
            <w:pPr>
              <w:rPr>
                <w:rFonts w:ascii="Arial"/>
                <w:color w:val="auto"/>
                <w:sz w:val="21"/>
                <w:highlight w:val="none"/>
              </w:rPr>
            </w:pPr>
          </w:p>
        </w:tc>
        <w:tc>
          <w:tcPr>
            <w:tcW w:w="1080" w:type="dxa"/>
            <w:vAlign w:val="top"/>
          </w:tcPr>
          <w:p w14:paraId="4A9B91E5">
            <w:pPr>
              <w:rPr>
                <w:rFonts w:ascii="Arial"/>
                <w:color w:val="auto"/>
                <w:sz w:val="21"/>
                <w:highlight w:val="none"/>
              </w:rPr>
            </w:pPr>
          </w:p>
        </w:tc>
        <w:tc>
          <w:tcPr>
            <w:tcW w:w="1108" w:type="dxa"/>
            <w:vAlign w:val="top"/>
          </w:tcPr>
          <w:p w14:paraId="6CC8B4F6">
            <w:pPr>
              <w:rPr>
                <w:rFonts w:ascii="Arial"/>
                <w:color w:val="auto"/>
                <w:sz w:val="21"/>
                <w:highlight w:val="none"/>
              </w:rPr>
            </w:pPr>
          </w:p>
        </w:tc>
        <w:tc>
          <w:tcPr>
            <w:tcW w:w="1781" w:type="dxa"/>
            <w:vAlign w:val="top"/>
          </w:tcPr>
          <w:p w14:paraId="3896F077">
            <w:pPr>
              <w:rPr>
                <w:rFonts w:ascii="Arial"/>
                <w:color w:val="auto"/>
                <w:sz w:val="21"/>
                <w:highlight w:val="none"/>
              </w:rPr>
            </w:pPr>
          </w:p>
        </w:tc>
        <w:tc>
          <w:tcPr>
            <w:tcW w:w="1084" w:type="dxa"/>
            <w:vAlign w:val="top"/>
          </w:tcPr>
          <w:p w14:paraId="7362F813">
            <w:pPr>
              <w:rPr>
                <w:rFonts w:ascii="Arial"/>
                <w:color w:val="auto"/>
                <w:sz w:val="21"/>
                <w:highlight w:val="none"/>
              </w:rPr>
            </w:pPr>
          </w:p>
        </w:tc>
      </w:tr>
      <w:tr w14:paraId="5B912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1C2EF08">
            <w:pPr>
              <w:rPr>
                <w:rFonts w:ascii="Arial"/>
                <w:color w:val="auto"/>
                <w:sz w:val="21"/>
                <w:highlight w:val="none"/>
              </w:rPr>
            </w:pPr>
          </w:p>
        </w:tc>
        <w:tc>
          <w:tcPr>
            <w:tcW w:w="1842" w:type="dxa"/>
            <w:vAlign w:val="top"/>
          </w:tcPr>
          <w:p w14:paraId="7CCBBD8C">
            <w:pPr>
              <w:rPr>
                <w:rFonts w:ascii="Arial"/>
                <w:color w:val="auto"/>
                <w:sz w:val="21"/>
                <w:highlight w:val="none"/>
              </w:rPr>
            </w:pPr>
          </w:p>
        </w:tc>
        <w:tc>
          <w:tcPr>
            <w:tcW w:w="1397" w:type="dxa"/>
            <w:vAlign w:val="top"/>
          </w:tcPr>
          <w:p w14:paraId="271DBE6E">
            <w:pPr>
              <w:rPr>
                <w:rFonts w:ascii="Arial"/>
                <w:color w:val="auto"/>
                <w:sz w:val="21"/>
                <w:highlight w:val="none"/>
              </w:rPr>
            </w:pPr>
          </w:p>
        </w:tc>
        <w:tc>
          <w:tcPr>
            <w:tcW w:w="1080" w:type="dxa"/>
            <w:vAlign w:val="top"/>
          </w:tcPr>
          <w:p w14:paraId="13EA6A2C">
            <w:pPr>
              <w:rPr>
                <w:rFonts w:ascii="Arial"/>
                <w:color w:val="auto"/>
                <w:sz w:val="21"/>
                <w:highlight w:val="none"/>
              </w:rPr>
            </w:pPr>
          </w:p>
        </w:tc>
        <w:tc>
          <w:tcPr>
            <w:tcW w:w="1108" w:type="dxa"/>
            <w:vAlign w:val="top"/>
          </w:tcPr>
          <w:p w14:paraId="506F6F2E">
            <w:pPr>
              <w:rPr>
                <w:rFonts w:ascii="Arial"/>
                <w:color w:val="auto"/>
                <w:sz w:val="21"/>
                <w:highlight w:val="none"/>
              </w:rPr>
            </w:pPr>
          </w:p>
        </w:tc>
        <w:tc>
          <w:tcPr>
            <w:tcW w:w="1781" w:type="dxa"/>
            <w:vAlign w:val="top"/>
          </w:tcPr>
          <w:p w14:paraId="7EA19955">
            <w:pPr>
              <w:rPr>
                <w:rFonts w:ascii="Arial"/>
                <w:color w:val="auto"/>
                <w:sz w:val="21"/>
                <w:highlight w:val="none"/>
              </w:rPr>
            </w:pPr>
          </w:p>
        </w:tc>
        <w:tc>
          <w:tcPr>
            <w:tcW w:w="1084" w:type="dxa"/>
            <w:vAlign w:val="top"/>
          </w:tcPr>
          <w:p w14:paraId="577C305A">
            <w:pPr>
              <w:rPr>
                <w:rFonts w:ascii="Arial"/>
                <w:color w:val="auto"/>
                <w:sz w:val="21"/>
                <w:highlight w:val="none"/>
              </w:rPr>
            </w:pPr>
          </w:p>
        </w:tc>
      </w:tr>
      <w:tr w14:paraId="4CB50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DA5F301">
            <w:pPr>
              <w:rPr>
                <w:rFonts w:ascii="Arial"/>
                <w:color w:val="auto"/>
                <w:sz w:val="21"/>
                <w:highlight w:val="none"/>
              </w:rPr>
            </w:pPr>
          </w:p>
        </w:tc>
        <w:tc>
          <w:tcPr>
            <w:tcW w:w="1842" w:type="dxa"/>
            <w:vAlign w:val="top"/>
          </w:tcPr>
          <w:p w14:paraId="6DDDAC61">
            <w:pPr>
              <w:rPr>
                <w:rFonts w:ascii="Arial"/>
                <w:color w:val="auto"/>
                <w:sz w:val="21"/>
                <w:highlight w:val="none"/>
              </w:rPr>
            </w:pPr>
          </w:p>
        </w:tc>
        <w:tc>
          <w:tcPr>
            <w:tcW w:w="1397" w:type="dxa"/>
            <w:vAlign w:val="top"/>
          </w:tcPr>
          <w:p w14:paraId="06604275">
            <w:pPr>
              <w:rPr>
                <w:rFonts w:ascii="Arial"/>
                <w:color w:val="auto"/>
                <w:sz w:val="21"/>
                <w:highlight w:val="none"/>
              </w:rPr>
            </w:pPr>
          </w:p>
        </w:tc>
        <w:tc>
          <w:tcPr>
            <w:tcW w:w="1080" w:type="dxa"/>
            <w:vAlign w:val="top"/>
          </w:tcPr>
          <w:p w14:paraId="6F818180">
            <w:pPr>
              <w:rPr>
                <w:rFonts w:ascii="Arial"/>
                <w:color w:val="auto"/>
                <w:sz w:val="21"/>
                <w:highlight w:val="none"/>
              </w:rPr>
            </w:pPr>
          </w:p>
        </w:tc>
        <w:tc>
          <w:tcPr>
            <w:tcW w:w="1108" w:type="dxa"/>
            <w:vAlign w:val="top"/>
          </w:tcPr>
          <w:p w14:paraId="37F4BD16">
            <w:pPr>
              <w:rPr>
                <w:rFonts w:ascii="Arial"/>
                <w:color w:val="auto"/>
                <w:sz w:val="21"/>
                <w:highlight w:val="none"/>
              </w:rPr>
            </w:pPr>
          </w:p>
        </w:tc>
        <w:tc>
          <w:tcPr>
            <w:tcW w:w="1781" w:type="dxa"/>
            <w:vAlign w:val="top"/>
          </w:tcPr>
          <w:p w14:paraId="5663CA07">
            <w:pPr>
              <w:rPr>
                <w:rFonts w:ascii="Arial"/>
                <w:color w:val="auto"/>
                <w:sz w:val="21"/>
                <w:highlight w:val="none"/>
              </w:rPr>
            </w:pPr>
          </w:p>
        </w:tc>
        <w:tc>
          <w:tcPr>
            <w:tcW w:w="1084" w:type="dxa"/>
            <w:vAlign w:val="top"/>
          </w:tcPr>
          <w:p w14:paraId="6C5EAA72">
            <w:pPr>
              <w:rPr>
                <w:rFonts w:ascii="Arial"/>
                <w:color w:val="auto"/>
                <w:sz w:val="21"/>
                <w:highlight w:val="none"/>
              </w:rPr>
            </w:pPr>
          </w:p>
        </w:tc>
      </w:tr>
      <w:tr w14:paraId="61CBE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85CF111">
            <w:pPr>
              <w:rPr>
                <w:rFonts w:ascii="Arial"/>
                <w:color w:val="auto"/>
                <w:sz w:val="21"/>
                <w:highlight w:val="none"/>
              </w:rPr>
            </w:pPr>
          </w:p>
        </w:tc>
        <w:tc>
          <w:tcPr>
            <w:tcW w:w="1842" w:type="dxa"/>
            <w:vAlign w:val="top"/>
          </w:tcPr>
          <w:p w14:paraId="5D7BE5D7">
            <w:pPr>
              <w:rPr>
                <w:rFonts w:ascii="Arial"/>
                <w:color w:val="auto"/>
                <w:sz w:val="21"/>
                <w:highlight w:val="none"/>
              </w:rPr>
            </w:pPr>
          </w:p>
        </w:tc>
        <w:tc>
          <w:tcPr>
            <w:tcW w:w="1397" w:type="dxa"/>
            <w:vAlign w:val="top"/>
          </w:tcPr>
          <w:p w14:paraId="05D54E52">
            <w:pPr>
              <w:rPr>
                <w:rFonts w:ascii="Arial"/>
                <w:color w:val="auto"/>
                <w:sz w:val="21"/>
                <w:highlight w:val="none"/>
              </w:rPr>
            </w:pPr>
          </w:p>
        </w:tc>
        <w:tc>
          <w:tcPr>
            <w:tcW w:w="1080" w:type="dxa"/>
            <w:vAlign w:val="top"/>
          </w:tcPr>
          <w:p w14:paraId="7F5A6029">
            <w:pPr>
              <w:rPr>
                <w:rFonts w:ascii="Arial"/>
                <w:color w:val="auto"/>
                <w:sz w:val="21"/>
                <w:highlight w:val="none"/>
              </w:rPr>
            </w:pPr>
          </w:p>
        </w:tc>
        <w:tc>
          <w:tcPr>
            <w:tcW w:w="1108" w:type="dxa"/>
            <w:vAlign w:val="top"/>
          </w:tcPr>
          <w:p w14:paraId="2F6FFA96">
            <w:pPr>
              <w:rPr>
                <w:rFonts w:ascii="Arial"/>
                <w:color w:val="auto"/>
                <w:sz w:val="21"/>
                <w:highlight w:val="none"/>
              </w:rPr>
            </w:pPr>
          </w:p>
        </w:tc>
        <w:tc>
          <w:tcPr>
            <w:tcW w:w="1781" w:type="dxa"/>
            <w:vAlign w:val="top"/>
          </w:tcPr>
          <w:p w14:paraId="00D3EF30">
            <w:pPr>
              <w:rPr>
                <w:rFonts w:ascii="Arial"/>
                <w:color w:val="auto"/>
                <w:sz w:val="21"/>
                <w:highlight w:val="none"/>
              </w:rPr>
            </w:pPr>
          </w:p>
        </w:tc>
        <w:tc>
          <w:tcPr>
            <w:tcW w:w="1084" w:type="dxa"/>
            <w:vAlign w:val="top"/>
          </w:tcPr>
          <w:p w14:paraId="627D5615">
            <w:pPr>
              <w:rPr>
                <w:rFonts w:ascii="Arial"/>
                <w:color w:val="auto"/>
                <w:sz w:val="21"/>
                <w:highlight w:val="none"/>
              </w:rPr>
            </w:pPr>
          </w:p>
        </w:tc>
      </w:tr>
      <w:tr w14:paraId="4D62B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228418B">
            <w:pPr>
              <w:rPr>
                <w:rFonts w:ascii="Arial"/>
                <w:color w:val="auto"/>
                <w:sz w:val="21"/>
                <w:highlight w:val="none"/>
              </w:rPr>
            </w:pPr>
          </w:p>
        </w:tc>
        <w:tc>
          <w:tcPr>
            <w:tcW w:w="1842" w:type="dxa"/>
            <w:vAlign w:val="top"/>
          </w:tcPr>
          <w:p w14:paraId="7B943477">
            <w:pPr>
              <w:rPr>
                <w:rFonts w:ascii="Arial"/>
                <w:color w:val="auto"/>
                <w:sz w:val="21"/>
                <w:highlight w:val="none"/>
              </w:rPr>
            </w:pPr>
          </w:p>
        </w:tc>
        <w:tc>
          <w:tcPr>
            <w:tcW w:w="1397" w:type="dxa"/>
            <w:vAlign w:val="top"/>
          </w:tcPr>
          <w:p w14:paraId="611F1337">
            <w:pPr>
              <w:rPr>
                <w:rFonts w:ascii="Arial"/>
                <w:color w:val="auto"/>
                <w:sz w:val="21"/>
                <w:highlight w:val="none"/>
              </w:rPr>
            </w:pPr>
          </w:p>
        </w:tc>
        <w:tc>
          <w:tcPr>
            <w:tcW w:w="1080" w:type="dxa"/>
            <w:vAlign w:val="top"/>
          </w:tcPr>
          <w:p w14:paraId="2911300C">
            <w:pPr>
              <w:rPr>
                <w:rFonts w:ascii="Arial"/>
                <w:color w:val="auto"/>
                <w:sz w:val="21"/>
                <w:highlight w:val="none"/>
              </w:rPr>
            </w:pPr>
          </w:p>
        </w:tc>
        <w:tc>
          <w:tcPr>
            <w:tcW w:w="1108" w:type="dxa"/>
            <w:vAlign w:val="top"/>
          </w:tcPr>
          <w:p w14:paraId="4E8EB9CD">
            <w:pPr>
              <w:rPr>
                <w:rFonts w:ascii="Arial"/>
                <w:color w:val="auto"/>
                <w:sz w:val="21"/>
                <w:highlight w:val="none"/>
              </w:rPr>
            </w:pPr>
          </w:p>
        </w:tc>
        <w:tc>
          <w:tcPr>
            <w:tcW w:w="1781" w:type="dxa"/>
            <w:vAlign w:val="top"/>
          </w:tcPr>
          <w:p w14:paraId="39342DDD">
            <w:pPr>
              <w:rPr>
                <w:rFonts w:ascii="Arial"/>
                <w:color w:val="auto"/>
                <w:sz w:val="21"/>
                <w:highlight w:val="none"/>
              </w:rPr>
            </w:pPr>
          </w:p>
        </w:tc>
        <w:tc>
          <w:tcPr>
            <w:tcW w:w="1084" w:type="dxa"/>
            <w:vAlign w:val="top"/>
          </w:tcPr>
          <w:p w14:paraId="44005A18">
            <w:pPr>
              <w:rPr>
                <w:rFonts w:ascii="Arial"/>
                <w:color w:val="auto"/>
                <w:sz w:val="21"/>
                <w:highlight w:val="none"/>
              </w:rPr>
            </w:pPr>
          </w:p>
        </w:tc>
      </w:tr>
      <w:tr w14:paraId="12E09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8E7A1C0">
            <w:pPr>
              <w:rPr>
                <w:rFonts w:ascii="Arial"/>
                <w:color w:val="auto"/>
                <w:sz w:val="21"/>
                <w:highlight w:val="none"/>
              </w:rPr>
            </w:pPr>
          </w:p>
        </w:tc>
        <w:tc>
          <w:tcPr>
            <w:tcW w:w="1842" w:type="dxa"/>
            <w:vAlign w:val="top"/>
          </w:tcPr>
          <w:p w14:paraId="5C9F39C8">
            <w:pPr>
              <w:rPr>
                <w:rFonts w:ascii="Arial"/>
                <w:color w:val="auto"/>
                <w:sz w:val="21"/>
                <w:highlight w:val="none"/>
              </w:rPr>
            </w:pPr>
          </w:p>
        </w:tc>
        <w:tc>
          <w:tcPr>
            <w:tcW w:w="1397" w:type="dxa"/>
            <w:vAlign w:val="top"/>
          </w:tcPr>
          <w:p w14:paraId="7A32E2A3">
            <w:pPr>
              <w:rPr>
                <w:rFonts w:ascii="Arial"/>
                <w:color w:val="auto"/>
                <w:sz w:val="21"/>
                <w:highlight w:val="none"/>
              </w:rPr>
            </w:pPr>
          </w:p>
        </w:tc>
        <w:tc>
          <w:tcPr>
            <w:tcW w:w="1080" w:type="dxa"/>
            <w:vAlign w:val="top"/>
          </w:tcPr>
          <w:p w14:paraId="401109D2">
            <w:pPr>
              <w:rPr>
                <w:rFonts w:ascii="Arial"/>
                <w:color w:val="auto"/>
                <w:sz w:val="21"/>
                <w:highlight w:val="none"/>
              </w:rPr>
            </w:pPr>
          </w:p>
        </w:tc>
        <w:tc>
          <w:tcPr>
            <w:tcW w:w="1108" w:type="dxa"/>
            <w:vAlign w:val="top"/>
          </w:tcPr>
          <w:p w14:paraId="728375AD">
            <w:pPr>
              <w:rPr>
                <w:rFonts w:ascii="Arial"/>
                <w:color w:val="auto"/>
                <w:sz w:val="21"/>
                <w:highlight w:val="none"/>
              </w:rPr>
            </w:pPr>
          </w:p>
        </w:tc>
        <w:tc>
          <w:tcPr>
            <w:tcW w:w="1781" w:type="dxa"/>
            <w:vAlign w:val="top"/>
          </w:tcPr>
          <w:p w14:paraId="1A8EB65A">
            <w:pPr>
              <w:rPr>
                <w:rFonts w:ascii="Arial"/>
                <w:color w:val="auto"/>
                <w:sz w:val="21"/>
                <w:highlight w:val="none"/>
              </w:rPr>
            </w:pPr>
          </w:p>
        </w:tc>
        <w:tc>
          <w:tcPr>
            <w:tcW w:w="1084" w:type="dxa"/>
            <w:vAlign w:val="top"/>
          </w:tcPr>
          <w:p w14:paraId="7737B4EE">
            <w:pPr>
              <w:rPr>
                <w:rFonts w:ascii="Arial"/>
                <w:color w:val="auto"/>
                <w:sz w:val="21"/>
                <w:highlight w:val="none"/>
              </w:rPr>
            </w:pPr>
          </w:p>
        </w:tc>
      </w:tr>
      <w:tr w14:paraId="180C2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30470183">
            <w:pPr>
              <w:rPr>
                <w:rFonts w:ascii="Arial"/>
                <w:color w:val="auto"/>
                <w:sz w:val="21"/>
                <w:highlight w:val="none"/>
              </w:rPr>
            </w:pPr>
          </w:p>
        </w:tc>
        <w:tc>
          <w:tcPr>
            <w:tcW w:w="1842" w:type="dxa"/>
            <w:vAlign w:val="top"/>
          </w:tcPr>
          <w:p w14:paraId="7CB26320">
            <w:pPr>
              <w:rPr>
                <w:rFonts w:ascii="Arial"/>
                <w:color w:val="auto"/>
                <w:sz w:val="21"/>
                <w:highlight w:val="none"/>
              </w:rPr>
            </w:pPr>
          </w:p>
        </w:tc>
        <w:tc>
          <w:tcPr>
            <w:tcW w:w="1397" w:type="dxa"/>
            <w:vAlign w:val="top"/>
          </w:tcPr>
          <w:p w14:paraId="6D0B68E0">
            <w:pPr>
              <w:rPr>
                <w:rFonts w:ascii="Arial"/>
                <w:color w:val="auto"/>
                <w:sz w:val="21"/>
                <w:highlight w:val="none"/>
              </w:rPr>
            </w:pPr>
          </w:p>
        </w:tc>
        <w:tc>
          <w:tcPr>
            <w:tcW w:w="1080" w:type="dxa"/>
            <w:vAlign w:val="top"/>
          </w:tcPr>
          <w:p w14:paraId="156AA6BA">
            <w:pPr>
              <w:rPr>
                <w:rFonts w:ascii="Arial"/>
                <w:color w:val="auto"/>
                <w:sz w:val="21"/>
                <w:highlight w:val="none"/>
              </w:rPr>
            </w:pPr>
          </w:p>
        </w:tc>
        <w:tc>
          <w:tcPr>
            <w:tcW w:w="1108" w:type="dxa"/>
            <w:vAlign w:val="top"/>
          </w:tcPr>
          <w:p w14:paraId="46ED062A">
            <w:pPr>
              <w:rPr>
                <w:rFonts w:ascii="Arial"/>
                <w:color w:val="auto"/>
                <w:sz w:val="21"/>
                <w:highlight w:val="none"/>
              </w:rPr>
            </w:pPr>
          </w:p>
        </w:tc>
        <w:tc>
          <w:tcPr>
            <w:tcW w:w="1781" w:type="dxa"/>
            <w:vAlign w:val="top"/>
          </w:tcPr>
          <w:p w14:paraId="3857B6CC">
            <w:pPr>
              <w:rPr>
                <w:rFonts w:ascii="Arial"/>
                <w:color w:val="auto"/>
                <w:sz w:val="21"/>
                <w:highlight w:val="none"/>
              </w:rPr>
            </w:pPr>
          </w:p>
        </w:tc>
        <w:tc>
          <w:tcPr>
            <w:tcW w:w="1084" w:type="dxa"/>
            <w:vAlign w:val="top"/>
          </w:tcPr>
          <w:p w14:paraId="0E0CEBBD">
            <w:pPr>
              <w:rPr>
                <w:rFonts w:ascii="Arial"/>
                <w:color w:val="auto"/>
                <w:sz w:val="21"/>
                <w:highlight w:val="none"/>
              </w:rPr>
            </w:pPr>
          </w:p>
        </w:tc>
      </w:tr>
      <w:tr w14:paraId="7B910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547" w:type="dxa"/>
            <w:vAlign w:val="top"/>
          </w:tcPr>
          <w:p w14:paraId="425A0BDD">
            <w:pPr>
              <w:rPr>
                <w:rFonts w:ascii="Arial"/>
                <w:color w:val="auto"/>
                <w:sz w:val="21"/>
                <w:highlight w:val="none"/>
              </w:rPr>
            </w:pPr>
          </w:p>
        </w:tc>
        <w:tc>
          <w:tcPr>
            <w:tcW w:w="1842" w:type="dxa"/>
            <w:vAlign w:val="top"/>
          </w:tcPr>
          <w:p w14:paraId="21545CFE">
            <w:pPr>
              <w:rPr>
                <w:rFonts w:ascii="Arial"/>
                <w:color w:val="auto"/>
                <w:sz w:val="21"/>
                <w:highlight w:val="none"/>
              </w:rPr>
            </w:pPr>
          </w:p>
        </w:tc>
        <w:tc>
          <w:tcPr>
            <w:tcW w:w="1397" w:type="dxa"/>
            <w:vAlign w:val="top"/>
          </w:tcPr>
          <w:p w14:paraId="64AD3404">
            <w:pPr>
              <w:rPr>
                <w:rFonts w:ascii="Arial"/>
                <w:color w:val="auto"/>
                <w:sz w:val="21"/>
                <w:highlight w:val="none"/>
              </w:rPr>
            </w:pPr>
          </w:p>
        </w:tc>
        <w:tc>
          <w:tcPr>
            <w:tcW w:w="1080" w:type="dxa"/>
            <w:vAlign w:val="top"/>
          </w:tcPr>
          <w:p w14:paraId="7C65E057">
            <w:pPr>
              <w:rPr>
                <w:rFonts w:ascii="Arial"/>
                <w:color w:val="auto"/>
                <w:sz w:val="21"/>
                <w:highlight w:val="none"/>
              </w:rPr>
            </w:pPr>
          </w:p>
        </w:tc>
        <w:tc>
          <w:tcPr>
            <w:tcW w:w="1108" w:type="dxa"/>
            <w:vAlign w:val="top"/>
          </w:tcPr>
          <w:p w14:paraId="56BB92C1">
            <w:pPr>
              <w:rPr>
                <w:rFonts w:ascii="Arial"/>
                <w:color w:val="auto"/>
                <w:sz w:val="21"/>
                <w:highlight w:val="none"/>
              </w:rPr>
            </w:pPr>
          </w:p>
        </w:tc>
        <w:tc>
          <w:tcPr>
            <w:tcW w:w="1781" w:type="dxa"/>
            <w:vAlign w:val="top"/>
          </w:tcPr>
          <w:p w14:paraId="63883246">
            <w:pPr>
              <w:rPr>
                <w:rFonts w:ascii="Arial"/>
                <w:color w:val="auto"/>
                <w:sz w:val="21"/>
                <w:highlight w:val="none"/>
              </w:rPr>
            </w:pPr>
          </w:p>
        </w:tc>
        <w:tc>
          <w:tcPr>
            <w:tcW w:w="1084" w:type="dxa"/>
            <w:vAlign w:val="top"/>
          </w:tcPr>
          <w:p w14:paraId="57857721">
            <w:pPr>
              <w:rPr>
                <w:rFonts w:ascii="Arial"/>
                <w:color w:val="auto"/>
                <w:sz w:val="21"/>
                <w:highlight w:val="none"/>
              </w:rPr>
            </w:pPr>
          </w:p>
        </w:tc>
      </w:tr>
      <w:tr w14:paraId="4F6B8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02986BA">
            <w:pPr>
              <w:rPr>
                <w:rFonts w:ascii="Arial"/>
                <w:color w:val="auto"/>
                <w:sz w:val="21"/>
                <w:highlight w:val="none"/>
              </w:rPr>
            </w:pPr>
          </w:p>
        </w:tc>
        <w:tc>
          <w:tcPr>
            <w:tcW w:w="1842" w:type="dxa"/>
            <w:vAlign w:val="top"/>
          </w:tcPr>
          <w:p w14:paraId="0E944FDA">
            <w:pPr>
              <w:rPr>
                <w:rFonts w:ascii="Arial"/>
                <w:color w:val="auto"/>
                <w:sz w:val="21"/>
                <w:highlight w:val="none"/>
              </w:rPr>
            </w:pPr>
          </w:p>
        </w:tc>
        <w:tc>
          <w:tcPr>
            <w:tcW w:w="1397" w:type="dxa"/>
            <w:vAlign w:val="top"/>
          </w:tcPr>
          <w:p w14:paraId="3DB7B4E2">
            <w:pPr>
              <w:rPr>
                <w:rFonts w:ascii="Arial"/>
                <w:color w:val="auto"/>
                <w:sz w:val="21"/>
                <w:highlight w:val="none"/>
              </w:rPr>
            </w:pPr>
          </w:p>
        </w:tc>
        <w:tc>
          <w:tcPr>
            <w:tcW w:w="1080" w:type="dxa"/>
            <w:vAlign w:val="top"/>
          </w:tcPr>
          <w:p w14:paraId="40D23CA8">
            <w:pPr>
              <w:rPr>
                <w:rFonts w:ascii="Arial"/>
                <w:color w:val="auto"/>
                <w:sz w:val="21"/>
                <w:highlight w:val="none"/>
              </w:rPr>
            </w:pPr>
          </w:p>
        </w:tc>
        <w:tc>
          <w:tcPr>
            <w:tcW w:w="1108" w:type="dxa"/>
            <w:vAlign w:val="top"/>
          </w:tcPr>
          <w:p w14:paraId="029CD0FD">
            <w:pPr>
              <w:rPr>
                <w:rFonts w:ascii="Arial"/>
                <w:color w:val="auto"/>
                <w:sz w:val="21"/>
                <w:highlight w:val="none"/>
              </w:rPr>
            </w:pPr>
          </w:p>
        </w:tc>
        <w:tc>
          <w:tcPr>
            <w:tcW w:w="1781" w:type="dxa"/>
            <w:vAlign w:val="top"/>
          </w:tcPr>
          <w:p w14:paraId="49105EAA">
            <w:pPr>
              <w:rPr>
                <w:rFonts w:ascii="Arial"/>
                <w:color w:val="auto"/>
                <w:sz w:val="21"/>
                <w:highlight w:val="none"/>
              </w:rPr>
            </w:pPr>
          </w:p>
        </w:tc>
        <w:tc>
          <w:tcPr>
            <w:tcW w:w="1084" w:type="dxa"/>
            <w:vAlign w:val="top"/>
          </w:tcPr>
          <w:p w14:paraId="3A268FB0">
            <w:pPr>
              <w:rPr>
                <w:rFonts w:ascii="Arial"/>
                <w:color w:val="auto"/>
                <w:sz w:val="21"/>
                <w:highlight w:val="none"/>
              </w:rPr>
            </w:pPr>
          </w:p>
        </w:tc>
      </w:tr>
      <w:tr w14:paraId="16DA2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1F4691D1">
            <w:pPr>
              <w:rPr>
                <w:rFonts w:ascii="Arial"/>
                <w:color w:val="auto"/>
                <w:sz w:val="21"/>
                <w:highlight w:val="none"/>
              </w:rPr>
            </w:pPr>
          </w:p>
        </w:tc>
        <w:tc>
          <w:tcPr>
            <w:tcW w:w="1842" w:type="dxa"/>
            <w:vAlign w:val="top"/>
          </w:tcPr>
          <w:p w14:paraId="556B2DB7">
            <w:pPr>
              <w:rPr>
                <w:rFonts w:ascii="Arial"/>
                <w:color w:val="auto"/>
                <w:sz w:val="21"/>
                <w:highlight w:val="none"/>
              </w:rPr>
            </w:pPr>
          </w:p>
        </w:tc>
        <w:tc>
          <w:tcPr>
            <w:tcW w:w="1397" w:type="dxa"/>
            <w:vAlign w:val="top"/>
          </w:tcPr>
          <w:p w14:paraId="09F9DE25">
            <w:pPr>
              <w:rPr>
                <w:rFonts w:ascii="Arial"/>
                <w:color w:val="auto"/>
                <w:sz w:val="21"/>
                <w:highlight w:val="none"/>
              </w:rPr>
            </w:pPr>
          </w:p>
        </w:tc>
        <w:tc>
          <w:tcPr>
            <w:tcW w:w="1080" w:type="dxa"/>
            <w:vAlign w:val="top"/>
          </w:tcPr>
          <w:p w14:paraId="2B6B59D4">
            <w:pPr>
              <w:rPr>
                <w:rFonts w:ascii="Arial"/>
                <w:color w:val="auto"/>
                <w:sz w:val="21"/>
                <w:highlight w:val="none"/>
              </w:rPr>
            </w:pPr>
          </w:p>
        </w:tc>
        <w:tc>
          <w:tcPr>
            <w:tcW w:w="1108" w:type="dxa"/>
            <w:vAlign w:val="top"/>
          </w:tcPr>
          <w:p w14:paraId="4074DCD5">
            <w:pPr>
              <w:rPr>
                <w:rFonts w:ascii="Arial"/>
                <w:color w:val="auto"/>
                <w:sz w:val="21"/>
                <w:highlight w:val="none"/>
              </w:rPr>
            </w:pPr>
          </w:p>
        </w:tc>
        <w:tc>
          <w:tcPr>
            <w:tcW w:w="1781" w:type="dxa"/>
            <w:vAlign w:val="top"/>
          </w:tcPr>
          <w:p w14:paraId="4A0661BE">
            <w:pPr>
              <w:rPr>
                <w:rFonts w:ascii="Arial"/>
                <w:color w:val="auto"/>
                <w:sz w:val="21"/>
                <w:highlight w:val="none"/>
              </w:rPr>
            </w:pPr>
          </w:p>
        </w:tc>
        <w:tc>
          <w:tcPr>
            <w:tcW w:w="1084" w:type="dxa"/>
            <w:vAlign w:val="top"/>
          </w:tcPr>
          <w:p w14:paraId="5BB58C14">
            <w:pPr>
              <w:rPr>
                <w:rFonts w:ascii="Arial"/>
                <w:color w:val="auto"/>
                <w:sz w:val="21"/>
                <w:highlight w:val="none"/>
              </w:rPr>
            </w:pPr>
          </w:p>
        </w:tc>
      </w:tr>
    </w:tbl>
    <w:p w14:paraId="7FB42053">
      <w:pPr>
        <w:pStyle w:val="3"/>
        <w:rPr>
          <w:color w:val="auto"/>
          <w:highlight w:val="none"/>
        </w:rPr>
      </w:pPr>
    </w:p>
    <w:p w14:paraId="72BA82E9">
      <w:pPr>
        <w:rPr>
          <w:color w:val="auto"/>
          <w:highlight w:val="none"/>
        </w:rPr>
        <w:sectPr>
          <w:footerReference r:id="rId233" w:type="default"/>
          <w:pgSz w:w="11905" w:h="16839"/>
          <w:pgMar w:top="400" w:right="1527" w:bottom="1004" w:left="1531" w:header="0" w:footer="828" w:gutter="0"/>
          <w:pgNumType w:fmt="decimal"/>
          <w:cols w:space="720" w:num="1"/>
        </w:sectPr>
      </w:pPr>
    </w:p>
    <w:p w14:paraId="7C6FF767">
      <w:pPr>
        <w:pStyle w:val="3"/>
        <w:spacing w:line="267" w:lineRule="auto"/>
        <w:rPr>
          <w:color w:val="auto"/>
          <w:highlight w:val="none"/>
        </w:rPr>
      </w:pPr>
    </w:p>
    <w:p w14:paraId="692ADCC4">
      <w:pPr>
        <w:pStyle w:val="3"/>
        <w:spacing w:line="268" w:lineRule="auto"/>
        <w:rPr>
          <w:color w:val="auto"/>
          <w:highlight w:val="none"/>
        </w:rPr>
      </w:pPr>
    </w:p>
    <w:p w14:paraId="2BC50E61">
      <w:pPr>
        <w:pStyle w:val="3"/>
        <w:spacing w:line="268" w:lineRule="auto"/>
        <w:rPr>
          <w:color w:val="auto"/>
          <w:highlight w:val="none"/>
        </w:rPr>
      </w:pPr>
    </w:p>
    <w:p w14:paraId="3C9380CF">
      <w:pPr>
        <w:pStyle w:val="3"/>
        <w:spacing w:line="268" w:lineRule="auto"/>
        <w:rPr>
          <w:color w:val="auto"/>
          <w:highlight w:val="none"/>
        </w:rPr>
      </w:pPr>
    </w:p>
    <w:p w14:paraId="13900CB9">
      <w:pPr>
        <w:spacing w:before="78" w:line="218" w:lineRule="auto"/>
        <w:ind w:left="2546"/>
        <w:rPr>
          <w:rFonts w:ascii="黑体" w:hAnsi="黑体" w:eastAsia="黑体" w:cs="黑体"/>
          <w:color w:val="auto"/>
          <w:sz w:val="24"/>
          <w:szCs w:val="24"/>
          <w:highlight w:val="none"/>
        </w:rPr>
      </w:pPr>
      <w:bookmarkStart w:id="1349" w:name="bookmark322"/>
      <w:bookmarkEnd w:id="1349"/>
      <w:r>
        <w:rPr>
          <w:rFonts w:ascii="Times New Roman" w:hAnsi="Times New Roman" w:eastAsia="Times New Roman" w:cs="Times New Roman"/>
          <w:color w:val="auto"/>
          <w:spacing w:val="-1"/>
          <w:sz w:val="24"/>
          <w:szCs w:val="24"/>
          <w:highlight w:val="none"/>
        </w:rPr>
        <w:t xml:space="preserve">3-2 </w:t>
      </w:r>
      <w:r>
        <w:rPr>
          <w:rFonts w:ascii="黑体" w:hAnsi="黑体" w:eastAsia="黑体" w:cs="黑体"/>
          <w:color w:val="auto"/>
          <w:spacing w:val="-1"/>
          <w:sz w:val="24"/>
          <w:szCs w:val="24"/>
          <w:highlight w:val="none"/>
        </w:rPr>
        <w:t>近年完成的类似项目情况表</w:t>
      </w:r>
    </w:p>
    <w:p w14:paraId="6BEDFB22">
      <w:pPr>
        <w:spacing w:before="199"/>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2FBD7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370" w:type="dxa"/>
            <w:vAlign w:val="top"/>
          </w:tcPr>
          <w:p w14:paraId="2E693BE2">
            <w:pPr>
              <w:pStyle w:val="11"/>
              <w:spacing w:before="208" w:line="221" w:lineRule="auto"/>
              <w:ind w:left="775"/>
              <w:rPr>
                <w:color w:val="auto"/>
                <w:highlight w:val="none"/>
              </w:rPr>
            </w:pPr>
            <w:r>
              <w:rPr>
                <w:color w:val="auto"/>
                <w:spacing w:val="-2"/>
                <w:highlight w:val="none"/>
              </w:rPr>
              <w:t>项目名称</w:t>
            </w:r>
          </w:p>
        </w:tc>
        <w:tc>
          <w:tcPr>
            <w:tcW w:w="5941" w:type="dxa"/>
            <w:vAlign w:val="top"/>
          </w:tcPr>
          <w:p w14:paraId="2E0295E5">
            <w:pPr>
              <w:rPr>
                <w:rFonts w:ascii="Arial"/>
                <w:color w:val="auto"/>
                <w:sz w:val="21"/>
                <w:highlight w:val="none"/>
              </w:rPr>
            </w:pPr>
          </w:p>
        </w:tc>
      </w:tr>
      <w:tr w14:paraId="77397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E847F12">
            <w:pPr>
              <w:pStyle w:val="11"/>
              <w:spacing w:before="207" w:line="221" w:lineRule="auto"/>
              <w:ind w:left="669"/>
              <w:rPr>
                <w:color w:val="auto"/>
                <w:highlight w:val="none"/>
              </w:rPr>
            </w:pPr>
            <w:r>
              <w:rPr>
                <w:color w:val="auto"/>
                <w:spacing w:val="-1"/>
                <w:highlight w:val="none"/>
              </w:rPr>
              <w:t>项目所在地</w:t>
            </w:r>
          </w:p>
        </w:tc>
        <w:tc>
          <w:tcPr>
            <w:tcW w:w="5941" w:type="dxa"/>
            <w:vAlign w:val="top"/>
          </w:tcPr>
          <w:p w14:paraId="59A6BBB6">
            <w:pPr>
              <w:rPr>
                <w:rFonts w:ascii="Arial"/>
                <w:color w:val="auto"/>
                <w:sz w:val="21"/>
                <w:highlight w:val="none"/>
              </w:rPr>
            </w:pPr>
          </w:p>
        </w:tc>
      </w:tr>
      <w:tr w14:paraId="7779A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FD940F6">
            <w:pPr>
              <w:pStyle w:val="11"/>
              <w:spacing w:before="208" w:line="221" w:lineRule="auto"/>
              <w:ind w:left="669"/>
              <w:rPr>
                <w:color w:val="auto"/>
                <w:highlight w:val="none"/>
              </w:rPr>
            </w:pPr>
            <w:r>
              <w:rPr>
                <w:color w:val="auto"/>
                <w:spacing w:val="-1"/>
                <w:highlight w:val="none"/>
              </w:rPr>
              <w:t>发包人名称</w:t>
            </w:r>
          </w:p>
        </w:tc>
        <w:tc>
          <w:tcPr>
            <w:tcW w:w="5941" w:type="dxa"/>
            <w:vAlign w:val="top"/>
          </w:tcPr>
          <w:p w14:paraId="12484A08">
            <w:pPr>
              <w:rPr>
                <w:rFonts w:ascii="Arial"/>
                <w:color w:val="auto"/>
                <w:sz w:val="21"/>
                <w:highlight w:val="none"/>
              </w:rPr>
            </w:pPr>
          </w:p>
        </w:tc>
      </w:tr>
      <w:tr w14:paraId="56D88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09643FD">
            <w:pPr>
              <w:pStyle w:val="11"/>
              <w:spacing w:before="209" w:line="221" w:lineRule="auto"/>
              <w:ind w:left="669"/>
              <w:rPr>
                <w:color w:val="auto"/>
                <w:highlight w:val="none"/>
              </w:rPr>
            </w:pPr>
            <w:r>
              <w:rPr>
                <w:color w:val="auto"/>
                <w:spacing w:val="-1"/>
                <w:highlight w:val="none"/>
              </w:rPr>
              <w:t>发包人地址</w:t>
            </w:r>
          </w:p>
        </w:tc>
        <w:tc>
          <w:tcPr>
            <w:tcW w:w="5941" w:type="dxa"/>
            <w:vAlign w:val="top"/>
          </w:tcPr>
          <w:p w14:paraId="7EDEB8B9">
            <w:pPr>
              <w:rPr>
                <w:rFonts w:ascii="Arial"/>
                <w:color w:val="auto"/>
                <w:sz w:val="21"/>
                <w:highlight w:val="none"/>
              </w:rPr>
            </w:pPr>
          </w:p>
        </w:tc>
      </w:tr>
      <w:tr w14:paraId="4535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DAD4617">
            <w:pPr>
              <w:pStyle w:val="11"/>
              <w:spacing w:before="208" w:line="221" w:lineRule="auto"/>
              <w:ind w:left="251"/>
              <w:rPr>
                <w:color w:val="auto"/>
                <w:highlight w:val="none"/>
              </w:rPr>
            </w:pPr>
            <w:r>
              <w:rPr>
                <w:color w:val="auto"/>
                <w:spacing w:val="-1"/>
                <w:highlight w:val="none"/>
              </w:rPr>
              <w:t>发包人联系人及电话</w:t>
            </w:r>
          </w:p>
        </w:tc>
        <w:tc>
          <w:tcPr>
            <w:tcW w:w="5941" w:type="dxa"/>
            <w:vAlign w:val="top"/>
          </w:tcPr>
          <w:p w14:paraId="368613BF">
            <w:pPr>
              <w:rPr>
                <w:rFonts w:ascii="Arial"/>
                <w:color w:val="auto"/>
                <w:sz w:val="21"/>
                <w:highlight w:val="none"/>
              </w:rPr>
            </w:pPr>
          </w:p>
        </w:tc>
      </w:tr>
      <w:tr w14:paraId="1DA08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5DD9766">
            <w:pPr>
              <w:pStyle w:val="11"/>
              <w:spacing w:before="209" w:line="219" w:lineRule="auto"/>
              <w:ind w:left="460"/>
              <w:rPr>
                <w:color w:val="auto"/>
                <w:highlight w:val="none"/>
              </w:rPr>
            </w:pPr>
            <w:r>
              <w:rPr>
                <w:color w:val="auto"/>
                <w:spacing w:val="-3"/>
                <w:highlight w:val="none"/>
              </w:rPr>
              <w:t>合同价格（元）</w:t>
            </w:r>
          </w:p>
        </w:tc>
        <w:tc>
          <w:tcPr>
            <w:tcW w:w="5941" w:type="dxa"/>
            <w:vAlign w:val="top"/>
          </w:tcPr>
          <w:p w14:paraId="55EE400D">
            <w:pPr>
              <w:rPr>
                <w:rFonts w:ascii="Arial"/>
                <w:color w:val="auto"/>
                <w:sz w:val="21"/>
                <w:highlight w:val="none"/>
              </w:rPr>
            </w:pPr>
          </w:p>
        </w:tc>
      </w:tr>
      <w:tr w14:paraId="60410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BBE112E">
            <w:pPr>
              <w:pStyle w:val="11"/>
              <w:spacing w:before="210" w:line="221" w:lineRule="auto"/>
              <w:ind w:left="772"/>
              <w:rPr>
                <w:color w:val="auto"/>
                <w:highlight w:val="none"/>
              </w:rPr>
            </w:pPr>
            <w:r>
              <w:rPr>
                <w:color w:val="auto"/>
                <w:spacing w:val="-1"/>
                <w:highlight w:val="none"/>
              </w:rPr>
              <w:t>开工日期</w:t>
            </w:r>
          </w:p>
        </w:tc>
        <w:tc>
          <w:tcPr>
            <w:tcW w:w="5941" w:type="dxa"/>
            <w:vAlign w:val="top"/>
          </w:tcPr>
          <w:p w14:paraId="16AD76A9">
            <w:pPr>
              <w:rPr>
                <w:rFonts w:ascii="Arial"/>
                <w:color w:val="auto"/>
                <w:sz w:val="21"/>
                <w:highlight w:val="none"/>
              </w:rPr>
            </w:pPr>
          </w:p>
        </w:tc>
      </w:tr>
      <w:tr w14:paraId="1F43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7666079">
            <w:pPr>
              <w:pStyle w:val="11"/>
              <w:spacing w:before="204" w:line="221" w:lineRule="auto"/>
              <w:ind w:left="772"/>
              <w:rPr>
                <w:color w:val="auto"/>
                <w:highlight w:val="none"/>
              </w:rPr>
            </w:pPr>
            <w:r>
              <w:rPr>
                <w:color w:val="auto"/>
                <w:spacing w:val="-1"/>
                <w:highlight w:val="none"/>
              </w:rPr>
              <w:t>竣工日期</w:t>
            </w:r>
          </w:p>
        </w:tc>
        <w:tc>
          <w:tcPr>
            <w:tcW w:w="5941" w:type="dxa"/>
            <w:vAlign w:val="top"/>
          </w:tcPr>
          <w:p w14:paraId="64E5FF34">
            <w:pPr>
              <w:rPr>
                <w:rFonts w:ascii="Arial"/>
                <w:color w:val="auto"/>
                <w:sz w:val="21"/>
                <w:highlight w:val="none"/>
              </w:rPr>
            </w:pPr>
          </w:p>
        </w:tc>
      </w:tr>
      <w:tr w14:paraId="1E1C9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1A8495B2">
            <w:pPr>
              <w:pStyle w:val="11"/>
              <w:spacing w:before="204" w:line="221" w:lineRule="auto"/>
              <w:ind w:left="666"/>
              <w:rPr>
                <w:color w:val="auto"/>
                <w:highlight w:val="none"/>
              </w:rPr>
            </w:pPr>
            <w:r>
              <w:rPr>
                <w:color w:val="auto"/>
                <w:spacing w:val="-1"/>
                <w:highlight w:val="none"/>
              </w:rPr>
              <w:t>承担的工作</w:t>
            </w:r>
          </w:p>
        </w:tc>
        <w:tc>
          <w:tcPr>
            <w:tcW w:w="5941" w:type="dxa"/>
            <w:vAlign w:val="top"/>
          </w:tcPr>
          <w:p w14:paraId="05DEDFC6">
            <w:pPr>
              <w:rPr>
                <w:rFonts w:ascii="Arial"/>
                <w:color w:val="auto"/>
                <w:sz w:val="21"/>
                <w:highlight w:val="none"/>
              </w:rPr>
            </w:pPr>
          </w:p>
        </w:tc>
      </w:tr>
      <w:tr w14:paraId="246E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E760B22">
            <w:pPr>
              <w:pStyle w:val="11"/>
              <w:spacing w:before="205" w:line="221" w:lineRule="auto"/>
              <w:ind w:left="774"/>
              <w:rPr>
                <w:color w:val="auto"/>
                <w:highlight w:val="none"/>
              </w:rPr>
            </w:pPr>
            <w:r>
              <w:rPr>
                <w:color w:val="auto"/>
                <w:spacing w:val="-2"/>
                <w:highlight w:val="none"/>
              </w:rPr>
              <w:t>工程质量</w:t>
            </w:r>
          </w:p>
        </w:tc>
        <w:tc>
          <w:tcPr>
            <w:tcW w:w="5941" w:type="dxa"/>
            <w:vAlign w:val="top"/>
          </w:tcPr>
          <w:p w14:paraId="5BDA9527">
            <w:pPr>
              <w:rPr>
                <w:rFonts w:ascii="Arial"/>
                <w:color w:val="auto"/>
                <w:sz w:val="21"/>
                <w:highlight w:val="none"/>
              </w:rPr>
            </w:pPr>
          </w:p>
        </w:tc>
      </w:tr>
      <w:tr w14:paraId="35F57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A0EA46B">
            <w:pPr>
              <w:pStyle w:val="11"/>
              <w:spacing w:before="206" w:line="221" w:lineRule="auto"/>
              <w:ind w:left="775"/>
              <w:rPr>
                <w:color w:val="auto"/>
                <w:highlight w:val="none"/>
              </w:rPr>
            </w:pPr>
            <w:r>
              <w:rPr>
                <w:color w:val="auto"/>
                <w:spacing w:val="-2"/>
                <w:highlight w:val="none"/>
              </w:rPr>
              <w:t>项目经理</w:t>
            </w:r>
          </w:p>
        </w:tc>
        <w:tc>
          <w:tcPr>
            <w:tcW w:w="5941" w:type="dxa"/>
            <w:vAlign w:val="top"/>
          </w:tcPr>
          <w:p w14:paraId="5FF1EA9A">
            <w:pPr>
              <w:rPr>
                <w:rFonts w:ascii="Arial"/>
                <w:color w:val="auto"/>
                <w:sz w:val="21"/>
                <w:highlight w:val="none"/>
              </w:rPr>
            </w:pPr>
          </w:p>
        </w:tc>
      </w:tr>
      <w:tr w14:paraId="1A6EF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58D79A89">
            <w:pPr>
              <w:pStyle w:val="11"/>
              <w:spacing w:before="206" w:line="221" w:lineRule="auto"/>
              <w:ind w:left="667"/>
              <w:rPr>
                <w:color w:val="auto"/>
                <w:highlight w:val="none"/>
              </w:rPr>
            </w:pPr>
            <w:r>
              <w:rPr>
                <w:color w:val="auto"/>
                <w:spacing w:val="-1"/>
                <w:highlight w:val="none"/>
              </w:rPr>
              <w:t>技术负责人</w:t>
            </w:r>
          </w:p>
        </w:tc>
        <w:tc>
          <w:tcPr>
            <w:tcW w:w="5941" w:type="dxa"/>
            <w:vAlign w:val="top"/>
          </w:tcPr>
          <w:p w14:paraId="12FDF038">
            <w:pPr>
              <w:rPr>
                <w:rFonts w:ascii="Arial"/>
                <w:color w:val="auto"/>
                <w:sz w:val="21"/>
                <w:highlight w:val="none"/>
              </w:rPr>
            </w:pPr>
          </w:p>
        </w:tc>
      </w:tr>
      <w:tr w14:paraId="51742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0AA8904">
            <w:pPr>
              <w:pStyle w:val="11"/>
              <w:spacing w:before="206" w:line="221" w:lineRule="auto"/>
              <w:ind w:left="254"/>
              <w:rPr>
                <w:color w:val="auto"/>
                <w:highlight w:val="none"/>
              </w:rPr>
            </w:pPr>
            <w:r>
              <w:rPr>
                <w:color w:val="auto"/>
                <w:spacing w:val="-1"/>
                <w:highlight w:val="none"/>
              </w:rPr>
              <w:t>总监理工程师及电话</w:t>
            </w:r>
          </w:p>
        </w:tc>
        <w:tc>
          <w:tcPr>
            <w:tcW w:w="5941" w:type="dxa"/>
            <w:vAlign w:val="top"/>
          </w:tcPr>
          <w:p w14:paraId="09AC4021">
            <w:pPr>
              <w:rPr>
                <w:rFonts w:ascii="Arial"/>
                <w:color w:val="auto"/>
                <w:sz w:val="21"/>
                <w:highlight w:val="none"/>
              </w:rPr>
            </w:pPr>
          </w:p>
        </w:tc>
      </w:tr>
      <w:tr w14:paraId="0636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14:paraId="36424900">
            <w:pPr>
              <w:pStyle w:val="11"/>
              <w:spacing w:before="298" w:line="221" w:lineRule="auto"/>
              <w:ind w:left="775"/>
              <w:rPr>
                <w:color w:val="auto"/>
                <w:highlight w:val="none"/>
              </w:rPr>
            </w:pPr>
            <w:r>
              <w:rPr>
                <w:color w:val="auto"/>
                <w:spacing w:val="-2"/>
                <w:highlight w:val="none"/>
              </w:rPr>
              <w:t>项目描述</w:t>
            </w:r>
          </w:p>
        </w:tc>
        <w:tc>
          <w:tcPr>
            <w:tcW w:w="5941" w:type="dxa"/>
            <w:vAlign w:val="top"/>
          </w:tcPr>
          <w:p w14:paraId="694289B0">
            <w:pPr>
              <w:rPr>
                <w:rFonts w:ascii="Arial"/>
                <w:color w:val="auto"/>
                <w:sz w:val="21"/>
                <w:highlight w:val="none"/>
              </w:rPr>
            </w:pPr>
          </w:p>
        </w:tc>
      </w:tr>
      <w:tr w14:paraId="01046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4ECD8C3">
            <w:pPr>
              <w:pStyle w:val="11"/>
              <w:spacing w:before="208" w:line="222" w:lineRule="auto"/>
              <w:ind w:left="985"/>
              <w:rPr>
                <w:color w:val="auto"/>
                <w:highlight w:val="none"/>
              </w:rPr>
            </w:pPr>
            <w:r>
              <w:rPr>
                <w:color w:val="auto"/>
                <w:spacing w:val="-3"/>
                <w:highlight w:val="none"/>
              </w:rPr>
              <w:t>备注</w:t>
            </w:r>
          </w:p>
        </w:tc>
        <w:tc>
          <w:tcPr>
            <w:tcW w:w="5941" w:type="dxa"/>
            <w:vAlign w:val="top"/>
          </w:tcPr>
          <w:p w14:paraId="1CCE4F1E">
            <w:pPr>
              <w:rPr>
                <w:rFonts w:ascii="Arial"/>
                <w:color w:val="auto"/>
                <w:sz w:val="21"/>
                <w:highlight w:val="none"/>
              </w:rPr>
            </w:pPr>
          </w:p>
        </w:tc>
      </w:tr>
    </w:tbl>
    <w:p w14:paraId="2A165C24">
      <w:pPr>
        <w:spacing w:before="29" w:line="220" w:lineRule="auto"/>
        <w:ind w:left="33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备注： 1.类似项目含义和近年具体要求见投标人须</w:t>
      </w:r>
      <w:r>
        <w:rPr>
          <w:rFonts w:ascii="宋体" w:hAnsi="宋体" w:eastAsia="宋体" w:cs="宋体"/>
          <w:color w:val="auto"/>
          <w:spacing w:val="-6"/>
          <w:sz w:val="21"/>
          <w:szCs w:val="21"/>
          <w:highlight w:val="none"/>
        </w:rPr>
        <w:t>知前附表，</w:t>
      </w:r>
    </w:p>
    <w:p w14:paraId="796A1246">
      <w:pPr>
        <w:spacing w:before="18" w:line="220" w:lineRule="auto"/>
        <w:ind w:left="96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2.本表后附业绩材料。每张表格只填写一个项目，</w:t>
      </w:r>
      <w:r>
        <w:rPr>
          <w:rFonts w:ascii="宋体" w:hAnsi="宋体" w:eastAsia="宋体" w:cs="宋体"/>
          <w:color w:val="auto"/>
          <w:spacing w:val="-2"/>
          <w:sz w:val="21"/>
          <w:szCs w:val="21"/>
          <w:highlight w:val="none"/>
        </w:rPr>
        <w:t>并标明序号。</w:t>
      </w:r>
    </w:p>
    <w:p w14:paraId="5536EF6B">
      <w:pPr>
        <w:spacing w:line="220" w:lineRule="auto"/>
        <w:rPr>
          <w:rFonts w:ascii="宋体" w:hAnsi="宋体" w:eastAsia="宋体" w:cs="宋体"/>
          <w:color w:val="auto"/>
          <w:sz w:val="21"/>
          <w:szCs w:val="21"/>
          <w:highlight w:val="none"/>
        </w:rPr>
        <w:sectPr>
          <w:footerReference r:id="rId234" w:type="default"/>
          <w:pgSz w:w="11905" w:h="16839"/>
          <w:pgMar w:top="400" w:right="1785" w:bottom="1004" w:left="1785" w:header="0" w:footer="828" w:gutter="0"/>
          <w:pgNumType w:fmt="decimal"/>
          <w:cols w:space="720" w:num="1"/>
        </w:sectPr>
      </w:pPr>
    </w:p>
    <w:p w14:paraId="72BA1AFD">
      <w:pPr>
        <w:pStyle w:val="3"/>
        <w:spacing w:line="267" w:lineRule="auto"/>
        <w:rPr>
          <w:color w:val="auto"/>
          <w:highlight w:val="none"/>
        </w:rPr>
      </w:pPr>
    </w:p>
    <w:p w14:paraId="17076B12">
      <w:pPr>
        <w:pStyle w:val="3"/>
        <w:spacing w:line="268" w:lineRule="auto"/>
        <w:rPr>
          <w:color w:val="auto"/>
          <w:highlight w:val="none"/>
        </w:rPr>
      </w:pPr>
    </w:p>
    <w:p w14:paraId="1C1F95F2">
      <w:pPr>
        <w:pStyle w:val="3"/>
        <w:spacing w:line="268" w:lineRule="auto"/>
        <w:rPr>
          <w:color w:val="auto"/>
          <w:highlight w:val="none"/>
        </w:rPr>
      </w:pPr>
    </w:p>
    <w:p w14:paraId="7B2527DA">
      <w:pPr>
        <w:pStyle w:val="3"/>
        <w:spacing w:line="268" w:lineRule="auto"/>
        <w:rPr>
          <w:color w:val="auto"/>
          <w:highlight w:val="none"/>
        </w:rPr>
      </w:pPr>
    </w:p>
    <w:p w14:paraId="150B8960">
      <w:pPr>
        <w:spacing w:before="78" w:line="398" w:lineRule="exact"/>
        <w:ind w:left="2406"/>
        <w:rPr>
          <w:rFonts w:ascii="黑体" w:hAnsi="黑体" w:eastAsia="黑体" w:cs="黑体"/>
          <w:color w:val="auto"/>
          <w:sz w:val="24"/>
          <w:szCs w:val="24"/>
          <w:highlight w:val="none"/>
        </w:rPr>
      </w:pPr>
      <w:r>
        <w:rPr>
          <w:rFonts w:ascii="黑体" w:hAnsi="黑体" w:eastAsia="黑体" w:cs="黑体"/>
          <w:color w:val="auto"/>
          <w:spacing w:val="-2"/>
          <w:position w:val="11"/>
          <w:sz w:val="24"/>
          <w:szCs w:val="24"/>
          <w:highlight w:val="none"/>
        </w:rPr>
        <w:t>（四）正在施工的和新承接的项目情况</w:t>
      </w:r>
    </w:p>
    <w:p w14:paraId="587B5CE6">
      <w:pPr>
        <w:spacing w:line="218" w:lineRule="auto"/>
        <w:ind w:left="2433"/>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4-</w:t>
      </w:r>
      <w:r>
        <w:rPr>
          <w:rFonts w:ascii="Times New Roman" w:hAnsi="Times New Roman" w:eastAsia="Times New Roman" w:cs="Times New Roman"/>
          <w:color w:val="auto"/>
          <w:spacing w:val="-23"/>
          <w:sz w:val="24"/>
          <w:szCs w:val="24"/>
          <w:highlight w:val="none"/>
        </w:rPr>
        <w:t xml:space="preserve"> </w:t>
      </w:r>
      <w:r>
        <w:rPr>
          <w:rFonts w:ascii="Times New Roman" w:hAnsi="Times New Roman" w:eastAsia="Times New Roman" w:cs="Times New Roman"/>
          <w:color w:val="auto"/>
          <w:spacing w:val="-3"/>
          <w:sz w:val="24"/>
          <w:szCs w:val="24"/>
          <w:highlight w:val="none"/>
        </w:rPr>
        <w:t>1</w:t>
      </w:r>
      <w:r>
        <w:rPr>
          <w:rFonts w:ascii="Times New Roman" w:hAnsi="Times New Roman" w:eastAsia="Times New Roman" w:cs="Times New Roman"/>
          <w:color w:val="auto"/>
          <w:spacing w:val="17"/>
          <w:w w:val="101"/>
          <w:sz w:val="24"/>
          <w:szCs w:val="24"/>
          <w:highlight w:val="none"/>
        </w:rPr>
        <w:t xml:space="preserve"> </w:t>
      </w:r>
      <w:r>
        <w:rPr>
          <w:rFonts w:ascii="黑体" w:hAnsi="黑体" w:eastAsia="黑体" w:cs="黑体"/>
          <w:color w:val="auto"/>
          <w:spacing w:val="-3"/>
          <w:sz w:val="24"/>
          <w:szCs w:val="24"/>
          <w:highlight w:val="none"/>
        </w:rPr>
        <w:t>正在施工的和新承接的项目汇总表</w:t>
      </w:r>
    </w:p>
    <w:p w14:paraId="3D5F0B1C">
      <w:pPr>
        <w:spacing w:line="44" w:lineRule="auto"/>
        <w:rPr>
          <w:rFonts w:ascii="Arial"/>
          <w:color w:val="auto"/>
          <w:sz w:val="2"/>
          <w:highlight w:val="none"/>
        </w:rPr>
      </w:pP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0084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14:paraId="5A6CF045">
            <w:pPr>
              <w:pStyle w:val="11"/>
              <w:spacing w:before="167" w:line="211" w:lineRule="auto"/>
              <w:ind w:left="159"/>
              <w:rPr>
                <w:color w:val="auto"/>
                <w:highlight w:val="none"/>
              </w:rPr>
            </w:pPr>
            <w:r>
              <w:rPr>
                <w:color w:val="auto"/>
                <w:spacing w:val="1"/>
                <w:highlight w:val="none"/>
              </w:rPr>
              <w:t>序</w:t>
            </w:r>
            <w:r>
              <w:rPr>
                <w:color w:val="auto"/>
                <w:spacing w:val="82"/>
                <w:highlight w:val="none"/>
              </w:rPr>
              <w:t xml:space="preserve"> </w:t>
            </w:r>
            <w:r>
              <w:rPr>
                <w:color w:val="auto"/>
                <w:spacing w:val="1"/>
                <w:highlight w:val="none"/>
              </w:rPr>
              <w:t>号</w:t>
            </w:r>
          </w:p>
        </w:tc>
        <w:tc>
          <w:tcPr>
            <w:tcW w:w="1842" w:type="dxa"/>
            <w:vAlign w:val="top"/>
          </w:tcPr>
          <w:p w14:paraId="62FD5A5D">
            <w:pPr>
              <w:spacing w:line="286" w:lineRule="auto"/>
              <w:rPr>
                <w:rFonts w:ascii="Arial"/>
                <w:color w:val="auto"/>
                <w:sz w:val="21"/>
                <w:highlight w:val="none"/>
              </w:rPr>
            </w:pPr>
          </w:p>
          <w:p w14:paraId="0A3582C2">
            <w:pPr>
              <w:pStyle w:val="11"/>
              <w:spacing w:before="69" w:line="221" w:lineRule="auto"/>
              <w:ind w:left="506"/>
              <w:rPr>
                <w:color w:val="auto"/>
                <w:highlight w:val="none"/>
              </w:rPr>
            </w:pPr>
            <w:r>
              <w:rPr>
                <w:color w:val="auto"/>
                <w:spacing w:val="-2"/>
                <w:highlight w:val="none"/>
              </w:rPr>
              <w:t>项目名称</w:t>
            </w:r>
          </w:p>
        </w:tc>
        <w:tc>
          <w:tcPr>
            <w:tcW w:w="1397" w:type="dxa"/>
            <w:vAlign w:val="top"/>
          </w:tcPr>
          <w:p w14:paraId="1A5B22FD">
            <w:pPr>
              <w:spacing w:line="286" w:lineRule="auto"/>
              <w:rPr>
                <w:rFonts w:ascii="Arial"/>
                <w:color w:val="auto"/>
                <w:sz w:val="21"/>
                <w:highlight w:val="none"/>
              </w:rPr>
            </w:pPr>
          </w:p>
          <w:p w14:paraId="26CAB207">
            <w:pPr>
              <w:pStyle w:val="11"/>
              <w:spacing w:before="69" w:line="221" w:lineRule="auto"/>
              <w:ind w:left="181"/>
              <w:rPr>
                <w:color w:val="auto"/>
                <w:highlight w:val="none"/>
              </w:rPr>
            </w:pPr>
            <w:r>
              <w:rPr>
                <w:color w:val="auto"/>
                <w:spacing w:val="-1"/>
                <w:highlight w:val="none"/>
              </w:rPr>
              <w:t>发包人名称</w:t>
            </w:r>
          </w:p>
        </w:tc>
        <w:tc>
          <w:tcPr>
            <w:tcW w:w="1080" w:type="dxa"/>
            <w:vAlign w:val="top"/>
          </w:tcPr>
          <w:p w14:paraId="62A324DB">
            <w:pPr>
              <w:spacing w:line="286" w:lineRule="auto"/>
              <w:rPr>
                <w:rFonts w:ascii="Arial"/>
                <w:color w:val="auto"/>
                <w:sz w:val="21"/>
                <w:highlight w:val="none"/>
              </w:rPr>
            </w:pPr>
          </w:p>
          <w:p w14:paraId="2BF9A43F">
            <w:pPr>
              <w:pStyle w:val="11"/>
              <w:spacing w:before="68" w:line="221" w:lineRule="auto"/>
              <w:ind w:left="123"/>
              <w:rPr>
                <w:color w:val="auto"/>
                <w:highlight w:val="none"/>
              </w:rPr>
            </w:pPr>
            <w:r>
              <w:rPr>
                <w:color w:val="auto"/>
                <w:spacing w:val="-2"/>
                <w:highlight w:val="none"/>
              </w:rPr>
              <w:t>工程规模</w:t>
            </w:r>
          </w:p>
        </w:tc>
        <w:tc>
          <w:tcPr>
            <w:tcW w:w="1108" w:type="dxa"/>
            <w:vAlign w:val="top"/>
          </w:tcPr>
          <w:p w14:paraId="5D7DA81A">
            <w:pPr>
              <w:pStyle w:val="11"/>
              <w:spacing w:before="159" w:line="399" w:lineRule="exact"/>
              <w:ind w:left="141"/>
              <w:rPr>
                <w:color w:val="auto"/>
                <w:highlight w:val="none"/>
              </w:rPr>
            </w:pPr>
            <w:r>
              <w:rPr>
                <w:color w:val="auto"/>
                <w:spacing w:val="-1"/>
                <w:position w:val="14"/>
                <w:highlight w:val="none"/>
              </w:rPr>
              <w:t>合同价格</w:t>
            </w:r>
          </w:p>
          <w:p w14:paraId="18048CF8">
            <w:pPr>
              <w:pStyle w:val="11"/>
              <w:spacing w:line="209" w:lineRule="auto"/>
              <w:ind w:left="199"/>
              <w:rPr>
                <w:color w:val="auto"/>
                <w:highlight w:val="none"/>
              </w:rPr>
            </w:pPr>
            <w:r>
              <w:rPr>
                <w:color w:val="auto"/>
                <w:spacing w:val="-6"/>
                <w:highlight w:val="none"/>
              </w:rPr>
              <w:t>（元）</w:t>
            </w:r>
          </w:p>
        </w:tc>
        <w:tc>
          <w:tcPr>
            <w:tcW w:w="1781" w:type="dxa"/>
            <w:vAlign w:val="top"/>
          </w:tcPr>
          <w:p w14:paraId="22BE07F6">
            <w:pPr>
              <w:pStyle w:val="11"/>
              <w:spacing w:before="159" w:line="399" w:lineRule="exact"/>
              <w:ind w:left="372"/>
              <w:rPr>
                <w:color w:val="auto"/>
                <w:highlight w:val="none"/>
              </w:rPr>
            </w:pPr>
            <w:r>
              <w:rPr>
                <w:color w:val="auto"/>
                <w:spacing w:val="-1"/>
                <w:position w:val="14"/>
                <w:highlight w:val="none"/>
              </w:rPr>
              <w:t>计划开、竣</w:t>
            </w:r>
          </w:p>
          <w:p w14:paraId="60FF5A51">
            <w:pPr>
              <w:pStyle w:val="11"/>
              <w:spacing w:line="209" w:lineRule="auto"/>
              <w:ind w:left="586"/>
              <w:rPr>
                <w:color w:val="auto"/>
                <w:highlight w:val="none"/>
              </w:rPr>
            </w:pPr>
            <w:r>
              <w:rPr>
                <w:color w:val="auto"/>
                <w:spacing w:val="-2"/>
                <w:highlight w:val="none"/>
              </w:rPr>
              <w:t>工日期</w:t>
            </w:r>
          </w:p>
        </w:tc>
        <w:tc>
          <w:tcPr>
            <w:tcW w:w="1084" w:type="dxa"/>
            <w:vAlign w:val="top"/>
          </w:tcPr>
          <w:p w14:paraId="0E0BA3F4">
            <w:pPr>
              <w:spacing w:line="286" w:lineRule="auto"/>
              <w:rPr>
                <w:rFonts w:ascii="Arial"/>
                <w:color w:val="auto"/>
                <w:sz w:val="21"/>
                <w:highlight w:val="none"/>
              </w:rPr>
            </w:pPr>
          </w:p>
          <w:p w14:paraId="0D886CC1">
            <w:pPr>
              <w:pStyle w:val="11"/>
              <w:spacing w:before="69" w:line="221" w:lineRule="auto"/>
              <w:ind w:left="131"/>
              <w:rPr>
                <w:color w:val="auto"/>
                <w:highlight w:val="none"/>
              </w:rPr>
            </w:pPr>
            <w:r>
              <w:rPr>
                <w:color w:val="auto"/>
                <w:spacing w:val="-2"/>
                <w:highlight w:val="none"/>
              </w:rPr>
              <w:t>项目经理</w:t>
            </w:r>
          </w:p>
        </w:tc>
      </w:tr>
      <w:tr w14:paraId="19510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5B722C6">
            <w:pPr>
              <w:rPr>
                <w:rFonts w:ascii="Arial"/>
                <w:color w:val="auto"/>
                <w:sz w:val="21"/>
                <w:highlight w:val="none"/>
              </w:rPr>
            </w:pPr>
          </w:p>
        </w:tc>
        <w:tc>
          <w:tcPr>
            <w:tcW w:w="1842" w:type="dxa"/>
            <w:vAlign w:val="top"/>
          </w:tcPr>
          <w:p w14:paraId="5446F5C0">
            <w:pPr>
              <w:rPr>
                <w:rFonts w:ascii="Arial"/>
                <w:color w:val="auto"/>
                <w:sz w:val="21"/>
                <w:highlight w:val="none"/>
              </w:rPr>
            </w:pPr>
          </w:p>
        </w:tc>
        <w:tc>
          <w:tcPr>
            <w:tcW w:w="1397" w:type="dxa"/>
            <w:vAlign w:val="top"/>
          </w:tcPr>
          <w:p w14:paraId="65EF3001">
            <w:pPr>
              <w:rPr>
                <w:rFonts w:ascii="Arial"/>
                <w:color w:val="auto"/>
                <w:sz w:val="21"/>
                <w:highlight w:val="none"/>
              </w:rPr>
            </w:pPr>
          </w:p>
        </w:tc>
        <w:tc>
          <w:tcPr>
            <w:tcW w:w="1080" w:type="dxa"/>
            <w:vAlign w:val="top"/>
          </w:tcPr>
          <w:p w14:paraId="4C75C212">
            <w:pPr>
              <w:rPr>
                <w:rFonts w:ascii="Arial"/>
                <w:color w:val="auto"/>
                <w:sz w:val="21"/>
                <w:highlight w:val="none"/>
              </w:rPr>
            </w:pPr>
          </w:p>
        </w:tc>
        <w:tc>
          <w:tcPr>
            <w:tcW w:w="1108" w:type="dxa"/>
            <w:vAlign w:val="top"/>
          </w:tcPr>
          <w:p w14:paraId="40C42AF9">
            <w:pPr>
              <w:rPr>
                <w:rFonts w:ascii="Arial"/>
                <w:color w:val="auto"/>
                <w:sz w:val="21"/>
                <w:highlight w:val="none"/>
              </w:rPr>
            </w:pPr>
          </w:p>
        </w:tc>
        <w:tc>
          <w:tcPr>
            <w:tcW w:w="1781" w:type="dxa"/>
            <w:vAlign w:val="top"/>
          </w:tcPr>
          <w:p w14:paraId="71610DC8">
            <w:pPr>
              <w:rPr>
                <w:rFonts w:ascii="Arial"/>
                <w:color w:val="auto"/>
                <w:sz w:val="21"/>
                <w:highlight w:val="none"/>
              </w:rPr>
            </w:pPr>
          </w:p>
        </w:tc>
        <w:tc>
          <w:tcPr>
            <w:tcW w:w="1084" w:type="dxa"/>
            <w:vAlign w:val="top"/>
          </w:tcPr>
          <w:p w14:paraId="477E8B45">
            <w:pPr>
              <w:rPr>
                <w:rFonts w:ascii="Arial"/>
                <w:color w:val="auto"/>
                <w:sz w:val="21"/>
                <w:highlight w:val="none"/>
              </w:rPr>
            </w:pPr>
          </w:p>
        </w:tc>
      </w:tr>
      <w:tr w14:paraId="1B792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D875C08">
            <w:pPr>
              <w:rPr>
                <w:rFonts w:ascii="Arial"/>
                <w:color w:val="auto"/>
                <w:sz w:val="21"/>
                <w:highlight w:val="none"/>
              </w:rPr>
            </w:pPr>
          </w:p>
        </w:tc>
        <w:tc>
          <w:tcPr>
            <w:tcW w:w="1842" w:type="dxa"/>
            <w:vAlign w:val="top"/>
          </w:tcPr>
          <w:p w14:paraId="15D5C473">
            <w:pPr>
              <w:rPr>
                <w:rFonts w:ascii="Arial"/>
                <w:color w:val="auto"/>
                <w:sz w:val="21"/>
                <w:highlight w:val="none"/>
              </w:rPr>
            </w:pPr>
          </w:p>
        </w:tc>
        <w:tc>
          <w:tcPr>
            <w:tcW w:w="1397" w:type="dxa"/>
            <w:vAlign w:val="top"/>
          </w:tcPr>
          <w:p w14:paraId="7B7EF1DB">
            <w:pPr>
              <w:rPr>
                <w:rFonts w:ascii="Arial"/>
                <w:color w:val="auto"/>
                <w:sz w:val="21"/>
                <w:highlight w:val="none"/>
              </w:rPr>
            </w:pPr>
          </w:p>
        </w:tc>
        <w:tc>
          <w:tcPr>
            <w:tcW w:w="1080" w:type="dxa"/>
            <w:vAlign w:val="top"/>
          </w:tcPr>
          <w:p w14:paraId="18CA7B77">
            <w:pPr>
              <w:rPr>
                <w:rFonts w:ascii="Arial"/>
                <w:color w:val="auto"/>
                <w:sz w:val="21"/>
                <w:highlight w:val="none"/>
              </w:rPr>
            </w:pPr>
          </w:p>
        </w:tc>
        <w:tc>
          <w:tcPr>
            <w:tcW w:w="1108" w:type="dxa"/>
            <w:vAlign w:val="top"/>
          </w:tcPr>
          <w:p w14:paraId="144FCF9A">
            <w:pPr>
              <w:rPr>
                <w:rFonts w:ascii="Arial"/>
                <w:color w:val="auto"/>
                <w:sz w:val="21"/>
                <w:highlight w:val="none"/>
              </w:rPr>
            </w:pPr>
          </w:p>
        </w:tc>
        <w:tc>
          <w:tcPr>
            <w:tcW w:w="1781" w:type="dxa"/>
            <w:vAlign w:val="top"/>
          </w:tcPr>
          <w:p w14:paraId="3B7D2DB1">
            <w:pPr>
              <w:rPr>
                <w:rFonts w:ascii="Arial"/>
                <w:color w:val="auto"/>
                <w:sz w:val="21"/>
                <w:highlight w:val="none"/>
              </w:rPr>
            </w:pPr>
          </w:p>
        </w:tc>
        <w:tc>
          <w:tcPr>
            <w:tcW w:w="1084" w:type="dxa"/>
            <w:vAlign w:val="top"/>
          </w:tcPr>
          <w:p w14:paraId="76A929C7">
            <w:pPr>
              <w:rPr>
                <w:rFonts w:ascii="Arial"/>
                <w:color w:val="auto"/>
                <w:sz w:val="21"/>
                <w:highlight w:val="none"/>
              </w:rPr>
            </w:pPr>
          </w:p>
        </w:tc>
      </w:tr>
      <w:tr w14:paraId="79BBF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030D7C70">
            <w:pPr>
              <w:rPr>
                <w:rFonts w:ascii="Arial"/>
                <w:color w:val="auto"/>
                <w:sz w:val="21"/>
                <w:highlight w:val="none"/>
              </w:rPr>
            </w:pPr>
          </w:p>
        </w:tc>
        <w:tc>
          <w:tcPr>
            <w:tcW w:w="1842" w:type="dxa"/>
            <w:vAlign w:val="top"/>
          </w:tcPr>
          <w:p w14:paraId="53631715">
            <w:pPr>
              <w:rPr>
                <w:rFonts w:ascii="Arial"/>
                <w:color w:val="auto"/>
                <w:sz w:val="21"/>
                <w:highlight w:val="none"/>
              </w:rPr>
            </w:pPr>
          </w:p>
        </w:tc>
        <w:tc>
          <w:tcPr>
            <w:tcW w:w="1397" w:type="dxa"/>
            <w:vAlign w:val="top"/>
          </w:tcPr>
          <w:p w14:paraId="124C26FE">
            <w:pPr>
              <w:rPr>
                <w:rFonts w:ascii="Arial"/>
                <w:color w:val="auto"/>
                <w:sz w:val="21"/>
                <w:highlight w:val="none"/>
              </w:rPr>
            </w:pPr>
          </w:p>
        </w:tc>
        <w:tc>
          <w:tcPr>
            <w:tcW w:w="1080" w:type="dxa"/>
            <w:vAlign w:val="top"/>
          </w:tcPr>
          <w:p w14:paraId="481A61B4">
            <w:pPr>
              <w:rPr>
                <w:rFonts w:ascii="Arial"/>
                <w:color w:val="auto"/>
                <w:sz w:val="21"/>
                <w:highlight w:val="none"/>
              </w:rPr>
            </w:pPr>
          </w:p>
        </w:tc>
        <w:tc>
          <w:tcPr>
            <w:tcW w:w="1108" w:type="dxa"/>
            <w:vAlign w:val="top"/>
          </w:tcPr>
          <w:p w14:paraId="43D6017C">
            <w:pPr>
              <w:rPr>
                <w:rFonts w:ascii="Arial"/>
                <w:color w:val="auto"/>
                <w:sz w:val="21"/>
                <w:highlight w:val="none"/>
              </w:rPr>
            </w:pPr>
          </w:p>
        </w:tc>
        <w:tc>
          <w:tcPr>
            <w:tcW w:w="1781" w:type="dxa"/>
            <w:vAlign w:val="top"/>
          </w:tcPr>
          <w:p w14:paraId="160D9CD3">
            <w:pPr>
              <w:rPr>
                <w:rFonts w:ascii="Arial"/>
                <w:color w:val="auto"/>
                <w:sz w:val="21"/>
                <w:highlight w:val="none"/>
              </w:rPr>
            </w:pPr>
          </w:p>
        </w:tc>
        <w:tc>
          <w:tcPr>
            <w:tcW w:w="1084" w:type="dxa"/>
            <w:vAlign w:val="top"/>
          </w:tcPr>
          <w:p w14:paraId="4C1BF0EA">
            <w:pPr>
              <w:rPr>
                <w:rFonts w:ascii="Arial"/>
                <w:color w:val="auto"/>
                <w:sz w:val="21"/>
                <w:highlight w:val="none"/>
              </w:rPr>
            </w:pPr>
          </w:p>
        </w:tc>
      </w:tr>
      <w:tr w14:paraId="3D950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CA8DAF6">
            <w:pPr>
              <w:rPr>
                <w:rFonts w:ascii="Arial"/>
                <w:color w:val="auto"/>
                <w:sz w:val="21"/>
                <w:highlight w:val="none"/>
              </w:rPr>
            </w:pPr>
          </w:p>
        </w:tc>
        <w:tc>
          <w:tcPr>
            <w:tcW w:w="1842" w:type="dxa"/>
            <w:vAlign w:val="top"/>
          </w:tcPr>
          <w:p w14:paraId="07D31F99">
            <w:pPr>
              <w:rPr>
                <w:rFonts w:ascii="Arial"/>
                <w:color w:val="auto"/>
                <w:sz w:val="21"/>
                <w:highlight w:val="none"/>
              </w:rPr>
            </w:pPr>
          </w:p>
        </w:tc>
        <w:tc>
          <w:tcPr>
            <w:tcW w:w="1397" w:type="dxa"/>
            <w:vAlign w:val="top"/>
          </w:tcPr>
          <w:p w14:paraId="492AF54A">
            <w:pPr>
              <w:rPr>
                <w:rFonts w:ascii="Arial"/>
                <w:color w:val="auto"/>
                <w:sz w:val="21"/>
                <w:highlight w:val="none"/>
              </w:rPr>
            </w:pPr>
          </w:p>
        </w:tc>
        <w:tc>
          <w:tcPr>
            <w:tcW w:w="1080" w:type="dxa"/>
            <w:vAlign w:val="top"/>
          </w:tcPr>
          <w:p w14:paraId="1D0F84C6">
            <w:pPr>
              <w:rPr>
                <w:rFonts w:ascii="Arial"/>
                <w:color w:val="auto"/>
                <w:sz w:val="21"/>
                <w:highlight w:val="none"/>
              </w:rPr>
            </w:pPr>
          </w:p>
        </w:tc>
        <w:tc>
          <w:tcPr>
            <w:tcW w:w="1108" w:type="dxa"/>
            <w:vAlign w:val="top"/>
          </w:tcPr>
          <w:p w14:paraId="69E3D623">
            <w:pPr>
              <w:rPr>
                <w:rFonts w:ascii="Arial"/>
                <w:color w:val="auto"/>
                <w:sz w:val="21"/>
                <w:highlight w:val="none"/>
              </w:rPr>
            </w:pPr>
          </w:p>
        </w:tc>
        <w:tc>
          <w:tcPr>
            <w:tcW w:w="1781" w:type="dxa"/>
            <w:vAlign w:val="top"/>
          </w:tcPr>
          <w:p w14:paraId="723DDD85">
            <w:pPr>
              <w:rPr>
                <w:rFonts w:ascii="Arial"/>
                <w:color w:val="auto"/>
                <w:sz w:val="21"/>
                <w:highlight w:val="none"/>
              </w:rPr>
            </w:pPr>
          </w:p>
        </w:tc>
        <w:tc>
          <w:tcPr>
            <w:tcW w:w="1084" w:type="dxa"/>
            <w:vAlign w:val="top"/>
          </w:tcPr>
          <w:p w14:paraId="0F62D497">
            <w:pPr>
              <w:rPr>
                <w:rFonts w:ascii="Arial"/>
                <w:color w:val="auto"/>
                <w:sz w:val="21"/>
                <w:highlight w:val="none"/>
              </w:rPr>
            </w:pPr>
          </w:p>
        </w:tc>
      </w:tr>
      <w:tr w14:paraId="4B5A7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74ECEB2">
            <w:pPr>
              <w:rPr>
                <w:rFonts w:ascii="Arial"/>
                <w:color w:val="auto"/>
                <w:sz w:val="21"/>
                <w:highlight w:val="none"/>
              </w:rPr>
            </w:pPr>
          </w:p>
        </w:tc>
        <w:tc>
          <w:tcPr>
            <w:tcW w:w="1842" w:type="dxa"/>
            <w:vAlign w:val="top"/>
          </w:tcPr>
          <w:p w14:paraId="74BF20F3">
            <w:pPr>
              <w:rPr>
                <w:rFonts w:ascii="Arial"/>
                <w:color w:val="auto"/>
                <w:sz w:val="21"/>
                <w:highlight w:val="none"/>
              </w:rPr>
            </w:pPr>
          </w:p>
        </w:tc>
        <w:tc>
          <w:tcPr>
            <w:tcW w:w="1397" w:type="dxa"/>
            <w:vAlign w:val="top"/>
          </w:tcPr>
          <w:p w14:paraId="78C7097C">
            <w:pPr>
              <w:rPr>
                <w:rFonts w:ascii="Arial"/>
                <w:color w:val="auto"/>
                <w:sz w:val="21"/>
                <w:highlight w:val="none"/>
              </w:rPr>
            </w:pPr>
          </w:p>
        </w:tc>
        <w:tc>
          <w:tcPr>
            <w:tcW w:w="1080" w:type="dxa"/>
            <w:vAlign w:val="top"/>
          </w:tcPr>
          <w:p w14:paraId="526B9D2D">
            <w:pPr>
              <w:rPr>
                <w:rFonts w:ascii="Arial"/>
                <w:color w:val="auto"/>
                <w:sz w:val="21"/>
                <w:highlight w:val="none"/>
              </w:rPr>
            </w:pPr>
          </w:p>
        </w:tc>
        <w:tc>
          <w:tcPr>
            <w:tcW w:w="1108" w:type="dxa"/>
            <w:vAlign w:val="top"/>
          </w:tcPr>
          <w:p w14:paraId="4A4E1669">
            <w:pPr>
              <w:rPr>
                <w:rFonts w:ascii="Arial"/>
                <w:color w:val="auto"/>
                <w:sz w:val="21"/>
                <w:highlight w:val="none"/>
              </w:rPr>
            </w:pPr>
          </w:p>
        </w:tc>
        <w:tc>
          <w:tcPr>
            <w:tcW w:w="1781" w:type="dxa"/>
            <w:vAlign w:val="top"/>
          </w:tcPr>
          <w:p w14:paraId="32469457">
            <w:pPr>
              <w:rPr>
                <w:rFonts w:ascii="Arial"/>
                <w:color w:val="auto"/>
                <w:sz w:val="21"/>
                <w:highlight w:val="none"/>
              </w:rPr>
            </w:pPr>
          </w:p>
        </w:tc>
        <w:tc>
          <w:tcPr>
            <w:tcW w:w="1084" w:type="dxa"/>
            <w:vAlign w:val="top"/>
          </w:tcPr>
          <w:p w14:paraId="436E0CCD">
            <w:pPr>
              <w:rPr>
                <w:rFonts w:ascii="Arial"/>
                <w:color w:val="auto"/>
                <w:sz w:val="21"/>
                <w:highlight w:val="none"/>
              </w:rPr>
            </w:pPr>
          </w:p>
        </w:tc>
      </w:tr>
      <w:tr w14:paraId="5214C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27858A0">
            <w:pPr>
              <w:rPr>
                <w:rFonts w:ascii="Arial"/>
                <w:color w:val="auto"/>
                <w:sz w:val="21"/>
                <w:highlight w:val="none"/>
              </w:rPr>
            </w:pPr>
          </w:p>
        </w:tc>
        <w:tc>
          <w:tcPr>
            <w:tcW w:w="1842" w:type="dxa"/>
            <w:vAlign w:val="top"/>
          </w:tcPr>
          <w:p w14:paraId="7E979E63">
            <w:pPr>
              <w:rPr>
                <w:rFonts w:ascii="Arial"/>
                <w:color w:val="auto"/>
                <w:sz w:val="21"/>
                <w:highlight w:val="none"/>
              </w:rPr>
            </w:pPr>
          </w:p>
        </w:tc>
        <w:tc>
          <w:tcPr>
            <w:tcW w:w="1397" w:type="dxa"/>
            <w:vAlign w:val="top"/>
          </w:tcPr>
          <w:p w14:paraId="3E5D78F0">
            <w:pPr>
              <w:rPr>
                <w:rFonts w:ascii="Arial"/>
                <w:color w:val="auto"/>
                <w:sz w:val="21"/>
                <w:highlight w:val="none"/>
              </w:rPr>
            </w:pPr>
          </w:p>
        </w:tc>
        <w:tc>
          <w:tcPr>
            <w:tcW w:w="1080" w:type="dxa"/>
            <w:vAlign w:val="top"/>
          </w:tcPr>
          <w:p w14:paraId="62D20A9F">
            <w:pPr>
              <w:rPr>
                <w:rFonts w:ascii="Arial"/>
                <w:color w:val="auto"/>
                <w:sz w:val="21"/>
                <w:highlight w:val="none"/>
              </w:rPr>
            </w:pPr>
          </w:p>
        </w:tc>
        <w:tc>
          <w:tcPr>
            <w:tcW w:w="1108" w:type="dxa"/>
            <w:vAlign w:val="top"/>
          </w:tcPr>
          <w:p w14:paraId="36D75AC7">
            <w:pPr>
              <w:rPr>
                <w:rFonts w:ascii="Arial"/>
                <w:color w:val="auto"/>
                <w:sz w:val="21"/>
                <w:highlight w:val="none"/>
              </w:rPr>
            </w:pPr>
          </w:p>
        </w:tc>
        <w:tc>
          <w:tcPr>
            <w:tcW w:w="1781" w:type="dxa"/>
            <w:vAlign w:val="top"/>
          </w:tcPr>
          <w:p w14:paraId="6C31F6BF">
            <w:pPr>
              <w:rPr>
                <w:rFonts w:ascii="Arial"/>
                <w:color w:val="auto"/>
                <w:sz w:val="21"/>
                <w:highlight w:val="none"/>
              </w:rPr>
            </w:pPr>
          </w:p>
        </w:tc>
        <w:tc>
          <w:tcPr>
            <w:tcW w:w="1084" w:type="dxa"/>
            <w:vAlign w:val="top"/>
          </w:tcPr>
          <w:p w14:paraId="6B25F57F">
            <w:pPr>
              <w:rPr>
                <w:rFonts w:ascii="Arial"/>
                <w:color w:val="auto"/>
                <w:sz w:val="21"/>
                <w:highlight w:val="none"/>
              </w:rPr>
            </w:pPr>
          </w:p>
        </w:tc>
      </w:tr>
      <w:tr w14:paraId="52F20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14:paraId="0837AE8E">
            <w:pPr>
              <w:rPr>
                <w:rFonts w:ascii="Arial"/>
                <w:color w:val="auto"/>
                <w:sz w:val="21"/>
                <w:highlight w:val="none"/>
              </w:rPr>
            </w:pPr>
          </w:p>
        </w:tc>
        <w:tc>
          <w:tcPr>
            <w:tcW w:w="1842" w:type="dxa"/>
            <w:vAlign w:val="top"/>
          </w:tcPr>
          <w:p w14:paraId="21F417D3">
            <w:pPr>
              <w:rPr>
                <w:rFonts w:ascii="Arial"/>
                <w:color w:val="auto"/>
                <w:sz w:val="21"/>
                <w:highlight w:val="none"/>
              </w:rPr>
            </w:pPr>
          </w:p>
        </w:tc>
        <w:tc>
          <w:tcPr>
            <w:tcW w:w="1397" w:type="dxa"/>
            <w:vAlign w:val="top"/>
          </w:tcPr>
          <w:p w14:paraId="5F9DA967">
            <w:pPr>
              <w:rPr>
                <w:rFonts w:ascii="Arial"/>
                <w:color w:val="auto"/>
                <w:sz w:val="21"/>
                <w:highlight w:val="none"/>
              </w:rPr>
            </w:pPr>
          </w:p>
        </w:tc>
        <w:tc>
          <w:tcPr>
            <w:tcW w:w="1080" w:type="dxa"/>
            <w:vAlign w:val="top"/>
          </w:tcPr>
          <w:p w14:paraId="5D6579DC">
            <w:pPr>
              <w:rPr>
                <w:rFonts w:ascii="Arial"/>
                <w:color w:val="auto"/>
                <w:sz w:val="21"/>
                <w:highlight w:val="none"/>
              </w:rPr>
            </w:pPr>
          </w:p>
        </w:tc>
        <w:tc>
          <w:tcPr>
            <w:tcW w:w="1108" w:type="dxa"/>
            <w:vAlign w:val="top"/>
          </w:tcPr>
          <w:p w14:paraId="6C90B8D1">
            <w:pPr>
              <w:rPr>
                <w:rFonts w:ascii="Arial"/>
                <w:color w:val="auto"/>
                <w:sz w:val="21"/>
                <w:highlight w:val="none"/>
              </w:rPr>
            </w:pPr>
          </w:p>
        </w:tc>
        <w:tc>
          <w:tcPr>
            <w:tcW w:w="1781" w:type="dxa"/>
            <w:vAlign w:val="top"/>
          </w:tcPr>
          <w:p w14:paraId="70F36766">
            <w:pPr>
              <w:rPr>
                <w:rFonts w:ascii="Arial"/>
                <w:color w:val="auto"/>
                <w:sz w:val="21"/>
                <w:highlight w:val="none"/>
              </w:rPr>
            </w:pPr>
          </w:p>
        </w:tc>
        <w:tc>
          <w:tcPr>
            <w:tcW w:w="1084" w:type="dxa"/>
            <w:vAlign w:val="top"/>
          </w:tcPr>
          <w:p w14:paraId="0C102D0D">
            <w:pPr>
              <w:rPr>
                <w:rFonts w:ascii="Arial"/>
                <w:color w:val="auto"/>
                <w:sz w:val="21"/>
                <w:highlight w:val="none"/>
              </w:rPr>
            </w:pPr>
          </w:p>
        </w:tc>
      </w:tr>
      <w:tr w14:paraId="26C55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84D0F7D">
            <w:pPr>
              <w:rPr>
                <w:rFonts w:ascii="Arial"/>
                <w:color w:val="auto"/>
                <w:sz w:val="21"/>
                <w:highlight w:val="none"/>
              </w:rPr>
            </w:pPr>
          </w:p>
        </w:tc>
        <w:tc>
          <w:tcPr>
            <w:tcW w:w="1842" w:type="dxa"/>
            <w:vAlign w:val="top"/>
          </w:tcPr>
          <w:p w14:paraId="48E362B1">
            <w:pPr>
              <w:rPr>
                <w:rFonts w:ascii="Arial"/>
                <w:color w:val="auto"/>
                <w:sz w:val="21"/>
                <w:highlight w:val="none"/>
              </w:rPr>
            </w:pPr>
          </w:p>
        </w:tc>
        <w:tc>
          <w:tcPr>
            <w:tcW w:w="1397" w:type="dxa"/>
            <w:vAlign w:val="top"/>
          </w:tcPr>
          <w:p w14:paraId="45B4E09D">
            <w:pPr>
              <w:rPr>
                <w:rFonts w:ascii="Arial"/>
                <w:color w:val="auto"/>
                <w:sz w:val="21"/>
                <w:highlight w:val="none"/>
              </w:rPr>
            </w:pPr>
          </w:p>
        </w:tc>
        <w:tc>
          <w:tcPr>
            <w:tcW w:w="1080" w:type="dxa"/>
            <w:vAlign w:val="top"/>
          </w:tcPr>
          <w:p w14:paraId="29B12F86">
            <w:pPr>
              <w:rPr>
                <w:rFonts w:ascii="Arial"/>
                <w:color w:val="auto"/>
                <w:sz w:val="21"/>
                <w:highlight w:val="none"/>
              </w:rPr>
            </w:pPr>
          </w:p>
        </w:tc>
        <w:tc>
          <w:tcPr>
            <w:tcW w:w="1108" w:type="dxa"/>
            <w:vAlign w:val="top"/>
          </w:tcPr>
          <w:p w14:paraId="77A119D1">
            <w:pPr>
              <w:rPr>
                <w:rFonts w:ascii="Arial"/>
                <w:color w:val="auto"/>
                <w:sz w:val="21"/>
                <w:highlight w:val="none"/>
              </w:rPr>
            </w:pPr>
          </w:p>
        </w:tc>
        <w:tc>
          <w:tcPr>
            <w:tcW w:w="1781" w:type="dxa"/>
            <w:vAlign w:val="top"/>
          </w:tcPr>
          <w:p w14:paraId="151AFD86">
            <w:pPr>
              <w:rPr>
                <w:rFonts w:ascii="Arial"/>
                <w:color w:val="auto"/>
                <w:sz w:val="21"/>
                <w:highlight w:val="none"/>
              </w:rPr>
            </w:pPr>
          </w:p>
        </w:tc>
        <w:tc>
          <w:tcPr>
            <w:tcW w:w="1084" w:type="dxa"/>
            <w:vAlign w:val="top"/>
          </w:tcPr>
          <w:p w14:paraId="439C3312">
            <w:pPr>
              <w:rPr>
                <w:rFonts w:ascii="Arial"/>
                <w:color w:val="auto"/>
                <w:sz w:val="21"/>
                <w:highlight w:val="none"/>
              </w:rPr>
            </w:pPr>
          </w:p>
        </w:tc>
      </w:tr>
      <w:tr w14:paraId="3FDF1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79E87BB">
            <w:pPr>
              <w:rPr>
                <w:rFonts w:ascii="Arial"/>
                <w:color w:val="auto"/>
                <w:sz w:val="21"/>
                <w:highlight w:val="none"/>
              </w:rPr>
            </w:pPr>
          </w:p>
        </w:tc>
        <w:tc>
          <w:tcPr>
            <w:tcW w:w="1842" w:type="dxa"/>
            <w:vAlign w:val="top"/>
          </w:tcPr>
          <w:p w14:paraId="29DEB507">
            <w:pPr>
              <w:rPr>
                <w:rFonts w:ascii="Arial"/>
                <w:color w:val="auto"/>
                <w:sz w:val="21"/>
                <w:highlight w:val="none"/>
              </w:rPr>
            </w:pPr>
          </w:p>
        </w:tc>
        <w:tc>
          <w:tcPr>
            <w:tcW w:w="1397" w:type="dxa"/>
            <w:vAlign w:val="top"/>
          </w:tcPr>
          <w:p w14:paraId="44CF419C">
            <w:pPr>
              <w:rPr>
                <w:rFonts w:ascii="Arial"/>
                <w:color w:val="auto"/>
                <w:sz w:val="21"/>
                <w:highlight w:val="none"/>
              </w:rPr>
            </w:pPr>
          </w:p>
        </w:tc>
        <w:tc>
          <w:tcPr>
            <w:tcW w:w="1080" w:type="dxa"/>
            <w:vAlign w:val="top"/>
          </w:tcPr>
          <w:p w14:paraId="3BFA22DA">
            <w:pPr>
              <w:rPr>
                <w:rFonts w:ascii="Arial"/>
                <w:color w:val="auto"/>
                <w:sz w:val="21"/>
                <w:highlight w:val="none"/>
              </w:rPr>
            </w:pPr>
          </w:p>
        </w:tc>
        <w:tc>
          <w:tcPr>
            <w:tcW w:w="1108" w:type="dxa"/>
            <w:vAlign w:val="top"/>
          </w:tcPr>
          <w:p w14:paraId="60C398B6">
            <w:pPr>
              <w:rPr>
                <w:rFonts w:ascii="Arial"/>
                <w:color w:val="auto"/>
                <w:sz w:val="21"/>
                <w:highlight w:val="none"/>
              </w:rPr>
            </w:pPr>
          </w:p>
        </w:tc>
        <w:tc>
          <w:tcPr>
            <w:tcW w:w="1781" w:type="dxa"/>
            <w:vAlign w:val="top"/>
          </w:tcPr>
          <w:p w14:paraId="7C036940">
            <w:pPr>
              <w:rPr>
                <w:rFonts w:ascii="Arial"/>
                <w:color w:val="auto"/>
                <w:sz w:val="21"/>
                <w:highlight w:val="none"/>
              </w:rPr>
            </w:pPr>
          </w:p>
        </w:tc>
        <w:tc>
          <w:tcPr>
            <w:tcW w:w="1084" w:type="dxa"/>
            <w:vAlign w:val="top"/>
          </w:tcPr>
          <w:p w14:paraId="4A0C6B21">
            <w:pPr>
              <w:rPr>
                <w:rFonts w:ascii="Arial"/>
                <w:color w:val="auto"/>
                <w:sz w:val="21"/>
                <w:highlight w:val="none"/>
              </w:rPr>
            </w:pPr>
          </w:p>
        </w:tc>
      </w:tr>
      <w:tr w14:paraId="1174B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42B79D9">
            <w:pPr>
              <w:rPr>
                <w:rFonts w:ascii="Arial"/>
                <w:color w:val="auto"/>
                <w:sz w:val="21"/>
                <w:highlight w:val="none"/>
              </w:rPr>
            </w:pPr>
          </w:p>
        </w:tc>
        <w:tc>
          <w:tcPr>
            <w:tcW w:w="1842" w:type="dxa"/>
            <w:vAlign w:val="top"/>
          </w:tcPr>
          <w:p w14:paraId="5391FB2A">
            <w:pPr>
              <w:rPr>
                <w:rFonts w:ascii="Arial"/>
                <w:color w:val="auto"/>
                <w:sz w:val="21"/>
                <w:highlight w:val="none"/>
              </w:rPr>
            </w:pPr>
          </w:p>
        </w:tc>
        <w:tc>
          <w:tcPr>
            <w:tcW w:w="1397" w:type="dxa"/>
            <w:vAlign w:val="top"/>
          </w:tcPr>
          <w:p w14:paraId="3F649733">
            <w:pPr>
              <w:rPr>
                <w:rFonts w:ascii="Arial"/>
                <w:color w:val="auto"/>
                <w:sz w:val="21"/>
                <w:highlight w:val="none"/>
              </w:rPr>
            </w:pPr>
          </w:p>
        </w:tc>
        <w:tc>
          <w:tcPr>
            <w:tcW w:w="1080" w:type="dxa"/>
            <w:vAlign w:val="top"/>
          </w:tcPr>
          <w:p w14:paraId="3DF67E39">
            <w:pPr>
              <w:rPr>
                <w:rFonts w:ascii="Arial"/>
                <w:color w:val="auto"/>
                <w:sz w:val="21"/>
                <w:highlight w:val="none"/>
              </w:rPr>
            </w:pPr>
          </w:p>
        </w:tc>
        <w:tc>
          <w:tcPr>
            <w:tcW w:w="1108" w:type="dxa"/>
            <w:vAlign w:val="top"/>
          </w:tcPr>
          <w:p w14:paraId="6B654383">
            <w:pPr>
              <w:rPr>
                <w:rFonts w:ascii="Arial"/>
                <w:color w:val="auto"/>
                <w:sz w:val="21"/>
                <w:highlight w:val="none"/>
              </w:rPr>
            </w:pPr>
          </w:p>
        </w:tc>
        <w:tc>
          <w:tcPr>
            <w:tcW w:w="1781" w:type="dxa"/>
            <w:vAlign w:val="top"/>
          </w:tcPr>
          <w:p w14:paraId="5B43D0B5">
            <w:pPr>
              <w:rPr>
                <w:rFonts w:ascii="Arial"/>
                <w:color w:val="auto"/>
                <w:sz w:val="21"/>
                <w:highlight w:val="none"/>
              </w:rPr>
            </w:pPr>
          </w:p>
        </w:tc>
        <w:tc>
          <w:tcPr>
            <w:tcW w:w="1084" w:type="dxa"/>
            <w:vAlign w:val="top"/>
          </w:tcPr>
          <w:p w14:paraId="646E005C">
            <w:pPr>
              <w:rPr>
                <w:rFonts w:ascii="Arial"/>
                <w:color w:val="auto"/>
                <w:sz w:val="21"/>
                <w:highlight w:val="none"/>
              </w:rPr>
            </w:pPr>
          </w:p>
        </w:tc>
      </w:tr>
      <w:tr w14:paraId="7D2BC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4D9C258">
            <w:pPr>
              <w:rPr>
                <w:rFonts w:ascii="Arial"/>
                <w:color w:val="auto"/>
                <w:sz w:val="21"/>
                <w:highlight w:val="none"/>
              </w:rPr>
            </w:pPr>
          </w:p>
        </w:tc>
        <w:tc>
          <w:tcPr>
            <w:tcW w:w="1842" w:type="dxa"/>
            <w:vAlign w:val="top"/>
          </w:tcPr>
          <w:p w14:paraId="4F0F4C31">
            <w:pPr>
              <w:rPr>
                <w:rFonts w:ascii="Arial"/>
                <w:color w:val="auto"/>
                <w:sz w:val="21"/>
                <w:highlight w:val="none"/>
              </w:rPr>
            </w:pPr>
          </w:p>
        </w:tc>
        <w:tc>
          <w:tcPr>
            <w:tcW w:w="1397" w:type="dxa"/>
            <w:vAlign w:val="top"/>
          </w:tcPr>
          <w:p w14:paraId="17212233">
            <w:pPr>
              <w:rPr>
                <w:rFonts w:ascii="Arial"/>
                <w:color w:val="auto"/>
                <w:sz w:val="21"/>
                <w:highlight w:val="none"/>
              </w:rPr>
            </w:pPr>
          </w:p>
        </w:tc>
        <w:tc>
          <w:tcPr>
            <w:tcW w:w="1080" w:type="dxa"/>
            <w:vAlign w:val="top"/>
          </w:tcPr>
          <w:p w14:paraId="0BEEF043">
            <w:pPr>
              <w:rPr>
                <w:rFonts w:ascii="Arial"/>
                <w:color w:val="auto"/>
                <w:sz w:val="21"/>
                <w:highlight w:val="none"/>
              </w:rPr>
            </w:pPr>
          </w:p>
        </w:tc>
        <w:tc>
          <w:tcPr>
            <w:tcW w:w="1108" w:type="dxa"/>
            <w:vAlign w:val="top"/>
          </w:tcPr>
          <w:p w14:paraId="3E314B14">
            <w:pPr>
              <w:rPr>
                <w:rFonts w:ascii="Arial"/>
                <w:color w:val="auto"/>
                <w:sz w:val="21"/>
                <w:highlight w:val="none"/>
              </w:rPr>
            </w:pPr>
          </w:p>
        </w:tc>
        <w:tc>
          <w:tcPr>
            <w:tcW w:w="1781" w:type="dxa"/>
            <w:vAlign w:val="top"/>
          </w:tcPr>
          <w:p w14:paraId="28148507">
            <w:pPr>
              <w:rPr>
                <w:rFonts w:ascii="Arial"/>
                <w:color w:val="auto"/>
                <w:sz w:val="21"/>
                <w:highlight w:val="none"/>
              </w:rPr>
            </w:pPr>
          </w:p>
        </w:tc>
        <w:tc>
          <w:tcPr>
            <w:tcW w:w="1084" w:type="dxa"/>
            <w:vAlign w:val="top"/>
          </w:tcPr>
          <w:p w14:paraId="2358C523">
            <w:pPr>
              <w:rPr>
                <w:rFonts w:ascii="Arial"/>
                <w:color w:val="auto"/>
                <w:sz w:val="21"/>
                <w:highlight w:val="none"/>
              </w:rPr>
            </w:pPr>
          </w:p>
        </w:tc>
      </w:tr>
      <w:tr w14:paraId="2D5FD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000C811">
            <w:pPr>
              <w:rPr>
                <w:rFonts w:ascii="Arial"/>
                <w:color w:val="auto"/>
                <w:sz w:val="21"/>
                <w:highlight w:val="none"/>
              </w:rPr>
            </w:pPr>
          </w:p>
        </w:tc>
        <w:tc>
          <w:tcPr>
            <w:tcW w:w="1842" w:type="dxa"/>
            <w:vAlign w:val="top"/>
          </w:tcPr>
          <w:p w14:paraId="11B9418F">
            <w:pPr>
              <w:rPr>
                <w:rFonts w:ascii="Arial"/>
                <w:color w:val="auto"/>
                <w:sz w:val="21"/>
                <w:highlight w:val="none"/>
              </w:rPr>
            </w:pPr>
          </w:p>
        </w:tc>
        <w:tc>
          <w:tcPr>
            <w:tcW w:w="1397" w:type="dxa"/>
            <w:vAlign w:val="top"/>
          </w:tcPr>
          <w:p w14:paraId="11FC1C87">
            <w:pPr>
              <w:rPr>
                <w:rFonts w:ascii="Arial"/>
                <w:color w:val="auto"/>
                <w:sz w:val="21"/>
                <w:highlight w:val="none"/>
              </w:rPr>
            </w:pPr>
          </w:p>
        </w:tc>
        <w:tc>
          <w:tcPr>
            <w:tcW w:w="1080" w:type="dxa"/>
            <w:vAlign w:val="top"/>
          </w:tcPr>
          <w:p w14:paraId="438C46A7">
            <w:pPr>
              <w:rPr>
                <w:rFonts w:ascii="Arial"/>
                <w:color w:val="auto"/>
                <w:sz w:val="21"/>
                <w:highlight w:val="none"/>
              </w:rPr>
            </w:pPr>
          </w:p>
        </w:tc>
        <w:tc>
          <w:tcPr>
            <w:tcW w:w="1108" w:type="dxa"/>
            <w:vAlign w:val="top"/>
          </w:tcPr>
          <w:p w14:paraId="0A730B08">
            <w:pPr>
              <w:rPr>
                <w:rFonts w:ascii="Arial"/>
                <w:color w:val="auto"/>
                <w:sz w:val="21"/>
                <w:highlight w:val="none"/>
              </w:rPr>
            </w:pPr>
          </w:p>
        </w:tc>
        <w:tc>
          <w:tcPr>
            <w:tcW w:w="1781" w:type="dxa"/>
            <w:vAlign w:val="top"/>
          </w:tcPr>
          <w:p w14:paraId="33FCB1AD">
            <w:pPr>
              <w:rPr>
                <w:rFonts w:ascii="Arial"/>
                <w:color w:val="auto"/>
                <w:sz w:val="21"/>
                <w:highlight w:val="none"/>
              </w:rPr>
            </w:pPr>
          </w:p>
        </w:tc>
        <w:tc>
          <w:tcPr>
            <w:tcW w:w="1084" w:type="dxa"/>
            <w:vAlign w:val="top"/>
          </w:tcPr>
          <w:p w14:paraId="7A08D747">
            <w:pPr>
              <w:rPr>
                <w:rFonts w:ascii="Arial"/>
                <w:color w:val="auto"/>
                <w:sz w:val="21"/>
                <w:highlight w:val="none"/>
              </w:rPr>
            </w:pPr>
          </w:p>
        </w:tc>
      </w:tr>
      <w:tr w14:paraId="30FE9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1260947B">
            <w:pPr>
              <w:rPr>
                <w:rFonts w:ascii="Arial"/>
                <w:color w:val="auto"/>
                <w:sz w:val="21"/>
                <w:highlight w:val="none"/>
              </w:rPr>
            </w:pPr>
          </w:p>
        </w:tc>
        <w:tc>
          <w:tcPr>
            <w:tcW w:w="1842" w:type="dxa"/>
            <w:vAlign w:val="top"/>
          </w:tcPr>
          <w:p w14:paraId="2DB76EA4">
            <w:pPr>
              <w:rPr>
                <w:rFonts w:ascii="Arial"/>
                <w:color w:val="auto"/>
                <w:sz w:val="21"/>
                <w:highlight w:val="none"/>
              </w:rPr>
            </w:pPr>
          </w:p>
        </w:tc>
        <w:tc>
          <w:tcPr>
            <w:tcW w:w="1397" w:type="dxa"/>
            <w:vAlign w:val="top"/>
          </w:tcPr>
          <w:p w14:paraId="22A5C9E6">
            <w:pPr>
              <w:rPr>
                <w:rFonts w:ascii="Arial"/>
                <w:color w:val="auto"/>
                <w:sz w:val="21"/>
                <w:highlight w:val="none"/>
              </w:rPr>
            </w:pPr>
          </w:p>
        </w:tc>
        <w:tc>
          <w:tcPr>
            <w:tcW w:w="1080" w:type="dxa"/>
            <w:vAlign w:val="top"/>
          </w:tcPr>
          <w:p w14:paraId="76F5C167">
            <w:pPr>
              <w:rPr>
                <w:rFonts w:ascii="Arial"/>
                <w:color w:val="auto"/>
                <w:sz w:val="21"/>
                <w:highlight w:val="none"/>
              </w:rPr>
            </w:pPr>
          </w:p>
        </w:tc>
        <w:tc>
          <w:tcPr>
            <w:tcW w:w="1108" w:type="dxa"/>
            <w:vAlign w:val="top"/>
          </w:tcPr>
          <w:p w14:paraId="6065FB98">
            <w:pPr>
              <w:rPr>
                <w:rFonts w:ascii="Arial"/>
                <w:color w:val="auto"/>
                <w:sz w:val="21"/>
                <w:highlight w:val="none"/>
              </w:rPr>
            </w:pPr>
          </w:p>
        </w:tc>
        <w:tc>
          <w:tcPr>
            <w:tcW w:w="1781" w:type="dxa"/>
            <w:vAlign w:val="top"/>
          </w:tcPr>
          <w:p w14:paraId="703803DA">
            <w:pPr>
              <w:rPr>
                <w:rFonts w:ascii="Arial"/>
                <w:color w:val="auto"/>
                <w:sz w:val="21"/>
                <w:highlight w:val="none"/>
              </w:rPr>
            </w:pPr>
          </w:p>
        </w:tc>
        <w:tc>
          <w:tcPr>
            <w:tcW w:w="1084" w:type="dxa"/>
            <w:vAlign w:val="top"/>
          </w:tcPr>
          <w:p w14:paraId="072545EC">
            <w:pPr>
              <w:rPr>
                <w:rFonts w:ascii="Arial"/>
                <w:color w:val="auto"/>
                <w:sz w:val="21"/>
                <w:highlight w:val="none"/>
              </w:rPr>
            </w:pPr>
          </w:p>
        </w:tc>
      </w:tr>
      <w:tr w14:paraId="216C1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8B83770">
            <w:pPr>
              <w:rPr>
                <w:rFonts w:ascii="Arial"/>
                <w:color w:val="auto"/>
                <w:sz w:val="21"/>
                <w:highlight w:val="none"/>
              </w:rPr>
            </w:pPr>
          </w:p>
        </w:tc>
        <w:tc>
          <w:tcPr>
            <w:tcW w:w="1842" w:type="dxa"/>
            <w:vAlign w:val="top"/>
          </w:tcPr>
          <w:p w14:paraId="5942FEFA">
            <w:pPr>
              <w:rPr>
                <w:rFonts w:ascii="Arial"/>
                <w:color w:val="auto"/>
                <w:sz w:val="21"/>
                <w:highlight w:val="none"/>
              </w:rPr>
            </w:pPr>
          </w:p>
        </w:tc>
        <w:tc>
          <w:tcPr>
            <w:tcW w:w="1397" w:type="dxa"/>
            <w:vAlign w:val="top"/>
          </w:tcPr>
          <w:p w14:paraId="136AE24B">
            <w:pPr>
              <w:rPr>
                <w:rFonts w:ascii="Arial"/>
                <w:color w:val="auto"/>
                <w:sz w:val="21"/>
                <w:highlight w:val="none"/>
              </w:rPr>
            </w:pPr>
          </w:p>
        </w:tc>
        <w:tc>
          <w:tcPr>
            <w:tcW w:w="1080" w:type="dxa"/>
            <w:vAlign w:val="top"/>
          </w:tcPr>
          <w:p w14:paraId="4471C713">
            <w:pPr>
              <w:rPr>
                <w:rFonts w:ascii="Arial"/>
                <w:color w:val="auto"/>
                <w:sz w:val="21"/>
                <w:highlight w:val="none"/>
              </w:rPr>
            </w:pPr>
          </w:p>
        </w:tc>
        <w:tc>
          <w:tcPr>
            <w:tcW w:w="1108" w:type="dxa"/>
            <w:vAlign w:val="top"/>
          </w:tcPr>
          <w:p w14:paraId="655D2971">
            <w:pPr>
              <w:rPr>
                <w:rFonts w:ascii="Arial"/>
                <w:color w:val="auto"/>
                <w:sz w:val="21"/>
                <w:highlight w:val="none"/>
              </w:rPr>
            </w:pPr>
          </w:p>
        </w:tc>
        <w:tc>
          <w:tcPr>
            <w:tcW w:w="1781" w:type="dxa"/>
            <w:vAlign w:val="top"/>
          </w:tcPr>
          <w:p w14:paraId="7DF7BFB3">
            <w:pPr>
              <w:rPr>
                <w:rFonts w:ascii="Arial"/>
                <w:color w:val="auto"/>
                <w:sz w:val="21"/>
                <w:highlight w:val="none"/>
              </w:rPr>
            </w:pPr>
          </w:p>
        </w:tc>
        <w:tc>
          <w:tcPr>
            <w:tcW w:w="1084" w:type="dxa"/>
            <w:vAlign w:val="top"/>
          </w:tcPr>
          <w:p w14:paraId="09408987">
            <w:pPr>
              <w:rPr>
                <w:rFonts w:ascii="Arial"/>
                <w:color w:val="auto"/>
                <w:sz w:val="21"/>
                <w:highlight w:val="none"/>
              </w:rPr>
            </w:pPr>
          </w:p>
        </w:tc>
      </w:tr>
      <w:tr w14:paraId="3518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C99B8C5">
            <w:pPr>
              <w:rPr>
                <w:rFonts w:ascii="Arial"/>
                <w:color w:val="auto"/>
                <w:sz w:val="21"/>
                <w:highlight w:val="none"/>
              </w:rPr>
            </w:pPr>
          </w:p>
        </w:tc>
        <w:tc>
          <w:tcPr>
            <w:tcW w:w="1842" w:type="dxa"/>
            <w:vAlign w:val="top"/>
          </w:tcPr>
          <w:p w14:paraId="2CD9091D">
            <w:pPr>
              <w:rPr>
                <w:rFonts w:ascii="Arial"/>
                <w:color w:val="auto"/>
                <w:sz w:val="21"/>
                <w:highlight w:val="none"/>
              </w:rPr>
            </w:pPr>
          </w:p>
        </w:tc>
        <w:tc>
          <w:tcPr>
            <w:tcW w:w="1397" w:type="dxa"/>
            <w:vAlign w:val="top"/>
          </w:tcPr>
          <w:p w14:paraId="4917F1BB">
            <w:pPr>
              <w:rPr>
                <w:rFonts w:ascii="Arial"/>
                <w:color w:val="auto"/>
                <w:sz w:val="21"/>
                <w:highlight w:val="none"/>
              </w:rPr>
            </w:pPr>
          </w:p>
        </w:tc>
        <w:tc>
          <w:tcPr>
            <w:tcW w:w="1080" w:type="dxa"/>
            <w:vAlign w:val="top"/>
          </w:tcPr>
          <w:p w14:paraId="7AD22FEF">
            <w:pPr>
              <w:rPr>
                <w:rFonts w:ascii="Arial"/>
                <w:color w:val="auto"/>
                <w:sz w:val="21"/>
                <w:highlight w:val="none"/>
              </w:rPr>
            </w:pPr>
          </w:p>
        </w:tc>
        <w:tc>
          <w:tcPr>
            <w:tcW w:w="1108" w:type="dxa"/>
            <w:vAlign w:val="top"/>
          </w:tcPr>
          <w:p w14:paraId="327912A9">
            <w:pPr>
              <w:rPr>
                <w:rFonts w:ascii="Arial"/>
                <w:color w:val="auto"/>
                <w:sz w:val="21"/>
                <w:highlight w:val="none"/>
              </w:rPr>
            </w:pPr>
          </w:p>
        </w:tc>
        <w:tc>
          <w:tcPr>
            <w:tcW w:w="1781" w:type="dxa"/>
            <w:vAlign w:val="top"/>
          </w:tcPr>
          <w:p w14:paraId="7F6B0170">
            <w:pPr>
              <w:rPr>
                <w:rFonts w:ascii="Arial"/>
                <w:color w:val="auto"/>
                <w:sz w:val="21"/>
                <w:highlight w:val="none"/>
              </w:rPr>
            </w:pPr>
          </w:p>
        </w:tc>
        <w:tc>
          <w:tcPr>
            <w:tcW w:w="1084" w:type="dxa"/>
            <w:vAlign w:val="top"/>
          </w:tcPr>
          <w:p w14:paraId="31867E7E">
            <w:pPr>
              <w:rPr>
                <w:rFonts w:ascii="Arial"/>
                <w:color w:val="auto"/>
                <w:sz w:val="21"/>
                <w:highlight w:val="none"/>
              </w:rPr>
            </w:pPr>
          </w:p>
        </w:tc>
      </w:tr>
      <w:tr w14:paraId="297EA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29113340">
            <w:pPr>
              <w:rPr>
                <w:rFonts w:ascii="Arial"/>
                <w:color w:val="auto"/>
                <w:sz w:val="21"/>
                <w:highlight w:val="none"/>
              </w:rPr>
            </w:pPr>
          </w:p>
        </w:tc>
        <w:tc>
          <w:tcPr>
            <w:tcW w:w="1842" w:type="dxa"/>
            <w:vAlign w:val="top"/>
          </w:tcPr>
          <w:p w14:paraId="7B3FBFBA">
            <w:pPr>
              <w:rPr>
                <w:rFonts w:ascii="Arial"/>
                <w:color w:val="auto"/>
                <w:sz w:val="21"/>
                <w:highlight w:val="none"/>
              </w:rPr>
            </w:pPr>
          </w:p>
        </w:tc>
        <w:tc>
          <w:tcPr>
            <w:tcW w:w="1397" w:type="dxa"/>
            <w:vAlign w:val="top"/>
          </w:tcPr>
          <w:p w14:paraId="28FFD400">
            <w:pPr>
              <w:rPr>
                <w:rFonts w:ascii="Arial"/>
                <w:color w:val="auto"/>
                <w:sz w:val="21"/>
                <w:highlight w:val="none"/>
              </w:rPr>
            </w:pPr>
          </w:p>
        </w:tc>
        <w:tc>
          <w:tcPr>
            <w:tcW w:w="1080" w:type="dxa"/>
            <w:vAlign w:val="top"/>
          </w:tcPr>
          <w:p w14:paraId="754D2E62">
            <w:pPr>
              <w:rPr>
                <w:rFonts w:ascii="Arial"/>
                <w:color w:val="auto"/>
                <w:sz w:val="21"/>
                <w:highlight w:val="none"/>
              </w:rPr>
            </w:pPr>
          </w:p>
        </w:tc>
        <w:tc>
          <w:tcPr>
            <w:tcW w:w="1108" w:type="dxa"/>
            <w:vAlign w:val="top"/>
          </w:tcPr>
          <w:p w14:paraId="123B16ED">
            <w:pPr>
              <w:rPr>
                <w:rFonts w:ascii="Arial"/>
                <w:color w:val="auto"/>
                <w:sz w:val="21"/>
                <w:highlight w:val="none"/>
              </w:rPr>
            </w:pPr>
          </w:p>
        </w:tc>
        <w:tc>
          <w:tcPr>
            <w:tcW w:w="1781" w:type="dxa"/>
            <w:vAlign w:val="top"/>
          </w:tcPr>
          <w:p w14:paraId="218D1BFC">
            <w:pPr>
              <w:rPr>
                <w:rFonts w:ascii="Arial"/>
                <w:color w:val="auto"/>
                <w:sz w:val="21"/>
                <w:highlight w:val="none"/>
              </w:rPr>
            </w:pPr>
          </w:p>
        </w:tc>
        <w:tc>
          <w:tcPr>
            <w:tcW w:w="1084" w:type="dxa"/>
            <w:vAlign w:val="top"/>
          </w:tcPr>
          <w:p w14:paraId="1A12D22E">
            <w:pPr>
              <w:rPr>
                <w:rFonts w:ascii="Arial"/>
                <w:color w:val="auto"/>
                <w:sz w:val="21"/>
                <w:highlight w:val="none"/>
              </w:rPr>
            </w:pPr>
          </w:p>
        </w:tc>
      </w:tr>
    </w:tbl>
    <w:p w14:paraId="44115C3D">
      <w:pPr>
        <w:pStyle w:val="3"/>
        <w:rPr>
          <w:color w:val="auto"/>
          <w:highlight w:val="none"/>
        </w:rPr>
      </w:pPr>
    </w:p>
    <w:p w14:paraId="26096FF9">
      <w:pPr>
        <w:rPr>
          <w:color w:val="auto"/>
          <w:highlight w:val="none"/>
        </w:rPr>
        <w:sectPr>
          <w:footerReference r:id="rId235" w:type="default"/>
          <w:pgSz w:w="11905" w:h="16839"/>
          <w:pgMar w:top="400" w:right="1527" w:bottom="1004" w:left="1531" w:header="0" w:footer="828" w:gutter="0"/>
          <w:pgNumType w:fmt="decimal"/>
          <w:cols w:space="720" w:num="1"/>
        </w:sectPr>
      </w:pPr>
    </w:p>
    <w:p w14:paraId="4A87E344">
      <w:pPr>
        <w:pStyle w:val="3"/>
        <w:spacing w:line="267" w:lineRule="auto"/>
        <w:rPr>
          <w:color w:val="auto"/>
          <w:highlight w:val="none"/>
        </w:rPr>
      </w:pPr>
    </w:p>
    <w:p w14:paraId="15B2A1AD">
      <w:pPr>
        <w:pStyle w:val="3"/>
        <w:spacing w:line="268" w:lineRule="auto"/>
        <w:rPr>
          <w:color w:val="auto"/>
          <w:highlight w:val="none"/>
        </w:rPr>
      </w:pPr>
    </w:p>
    <w:p w14:paraId="33D2102C">
      <w:pPr>
        <w:pStyle w:val="3"/>
        <w:spacing w:line="268" w:lineRule="auto"/>
        <w:rPr>
          <w:color w:val="auto"/>
          <w:highlight w:val="none"/>
        </w:rPr>
      </w:pPr>
    </w:p>
    <w:p w14:paraId="1063FD66">
      <w:pPr>
        <w:pStyle w:val="3"/>
        <w:spacing w:line="268" w:lineRule="auto"/>
        <w:rPr>
          <w:color w:val="auto"/>
          <w:highlight w:val="none"/>
        </w:rPr>
      </w:pPr>
    </w:p>
    <w:p w14:paraId="4DD1EC58">
      <w:pPr>
        <w:spacing w:before="78" w:line="218" w:lineRule="auto"/>
        <w:ind w:left="2179"/>
        <w:rPr>
          <w:rFonts w:ascii="黑体" w:hAnsi="黑体" w:eastAsia="黑体" w:cs="黑体"/>
          <w:color w:val="auto"/>
          <w:sz w:val="24"/>
          <w:szCs w:val="24"/>
          <w:highlight w:val="none"/>
        </w:rPr>
      </w:pPr>
      <w:bookmarkStart w:id="1350" w:name="bookmark323"/>
      <w:bookmarkEnd w:id="1350"/>
      <w:r>
        <w:rPr>
          <w:rFonts w:ascii="Times New Roman" w:hAnsi="Times New Roman" w:eastAsia="Times New Roman" w:cs="Times New Roman"/>
          <w:color w:val="auto"/>
          <w:spacing w:val="-1"/>
          <w:sz w:val="24"/>
          <w:szCs w:val="24"/>
          <w:highlight w:val="none"/>
        </w:rPr>
        <w:t>4-2</w:t>
      </w:r>
      <w:r>
        <w:rPr>
          <w:rFonts w:ascii="Times New Roman" w:hAnsi="Times New Roman" w:eastAsia="Times New Roman" w:cs="Times New Roman"/>
          <w:color w:val="auto"/>
          <w:spacing w:val="18"/>
          <w:w w:val="101"/>
          <w:sz w:val="24"/>
          <w:szCs w:val="24"/>
          <w:highlight w:val="none"/>
        </w:rPr>
        <w:t xml:space="preserve"> </w:t>
      </w:r>
      <w:r>
        <w:rPr>
          <w:rFonts w:ascii="黑体" w:hAnsi="黑体" w:eastAsia="黑体" w:cs="黑体"/>
          <w:color w:val="auto"/>
          <w:spacing w:val="-1"/>
          <w:sz w:val="24"/>
          <w:szCs w:val="24"/>
          <w:highlight w:val="none"/>
        </w:rPr>
        <w:t>正在施工的和新承接的项目情况表</w:t>
      </w:r>
    </w:p>
    <w:p w14:paraId="6C0F2D16">
      <w:pPr>
        <w:spacing w:before="199"/>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7FB66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41A6AF23">
            <w:pPr>
              <w:pStyle w:val="11"/>
              <w:spacing w:before="208" w:line="221" w:lineRule="auto"/>
              <w:ind w:left="775"/>
              <w:rPr>
                <w:color w:val="auto"/>
                <w:highlight w:val="none"/>
              </w:rPr>
            </w:pPr>
            <w:r>
              <w:rPr>
                <w:color w:val="auto"/>
                <w:spacing w:val="-2"/>
                <w:highlight w:val="none"/>
              </w:rPr>
              <w:t>项目名称</w:t>
            </w:r>
          </w:p>
        </w:tc>
        <w:tc>
          <w:tcPr>
            <w:tcW w:w="5941" w:type="dxa"/>
            <w:vAlign w:val="top"/>
          </w:tcPr>
          <w:p w14:paraId="0896F2B8">
            <w:pPr>
              <w:rPr>
                <w:rFonts w:ascii="Arial"/>
                <w:color w:val="auto"/>
                <w:sz w:val="21"/>
                <w:highlight w:val="none"/>
              </w:rPr>
            </w:pPr>
          </w:p>
        </w:tc>
      </w:tr>
      <w:tr w14:paraId="28B81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024CC50">
            <w:pPr>
              <w:pStyle w:val="11"/>
              <w:spacing w:before="207" w:line="221" w:lineRule="auto"/>
              <w:ind w:left="669"/>
              <w:rPr>
                <w:color w:val="auto"/>
                <w:highlight w:val="none"/>
              </w:rPr>
            </w:pPr>
            <w:r>
              <w:rPr>
                <w:color w:val="auto"/>
                <w:spacing w:val="-1"/>
                <w:highlight w:val="none"/>
              </w:rPr>
              <w:t>项目所在地</w:t>
            </w:r>
          </w:p>
        </w:tc>
        <w:tc>
          <w:tcPr>
            <w:tcW w:w="5941" w:type="dxa"/>
            <w:vAlign w:val="top"/>
          </w:tcPr>
          <w:p w14:paraId="335F4A81">
            <w:pPr>
              <w:rPr>
                <w:rFonts w:ascii="Arial"/>
                <w:color w:val="auto"/>
                <w:sz w:val="21"/>
                <w:highlight w:val="none"/>
              </w:rPr>
            </w:pPr>
          </w:p>
        </w:tc>
      </w:tr>
      <w:tr w14:paraId="71A75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F7FAC32">
            <w:pPr>
              <w:pStyle w:val="11"/>
              <w:spacing w:before="208" w:line="221" w:lineRule="auto"/>
              <w:ind w:left="669"/>
              <w:rPr>
                <w:color w:val="auto"/>
                <w:highlight w:val="none"/>
              </w:rPr>
            </w:pPr>
            <w:r>
              <w:rPr>
                <w:color w:val="auto"/>
                <w:spacing w:val="-1"/>
                <w:highlight w:val="none"/>
              </w:rPr>
              <w:t>发包人名称</w:t>
            </w:r>
          </w:p>
        </w:tc>
        <w:tc>
          <w:tcPr>
            <w:tcW w:w="5941" w:type="dxa"/>
            <w:vAlign w:val="top"/>
          </w:tcPr>
          <w:p w14:paraId="0752D945">
            <w:pPr>
              <w:rPr>
                <w:rFonts w:ascii="Arial"/>
                <w:color w:val="auto"/>
                <w:sz w:val="21"/>
                <w:highlight w:val="none"/>
              </w:rPr>
            </w:pPr>
          </w:p>
        </w:tc>
      </w:tr>
      <w:tr w14:paraId="32F1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92358E5">
            <w:pPr>
              <w:pStyle w:val="11"/>
              <w:spacing w:before="209" w:line="221" w:lineRule="auto"/>
              <w:ind w:left="669"/>
              <w:rPr>
                <w:color w:val="auto"/>
                <w:highlight w:val="none"/>
              </w:rPr>
            </w:pPr>
            <w:r>
              <w:rPr>
                <w:color w:val="auto"/>
                <w:spacing w:val="-1"/>
                <w:highlight w:val="none"/>
              </w:rPr>
              <w:t>发包人地址</w:t>
            </w:r>
          </w:p>
        </w:tc>
        <w:tc>
          <w:tcPr>
            <w:tcW w:w="5941" w:type="dxa"/>
            <w:vAlign w:val="top"/>
          </w:tcPr>
          <w:p w14:paraId="47188C60">
            <w:pPr>
              <w:rPr>
                <w:rFonts w:ascii="Arial"/>
                <w:color w:val="auto"/>
                <w:sz w:val="21"/>
                <w:highlight w:val="none"/>
              </w:rPr>
            </w:pPr>
          </w:p>
        </w:tc>
      </w:tr>
      <w:tr w14:paraId="5763B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4006EF5">
            <w:pPr>
              <w:pStyle w:val="11"/>
              <w:spacing w:before="208" w:line="221" w:lineRule="auto"/>
              <w:ind w:left="669"/>
              <w:rPr>
                <w:color w:val="auto"/>
                <w:highlight w:val="none"/>
              </w:rPr>
            </w:pPr>
            <w:r>
              <w:rPr>
                <w:color w:val="auto"/>
                <w:spacing w:val="-1"/>
                <w:highlight w:val="none"/>
              </w:rPr>
              <w:t>发包人电话</w:t>
            </w:r>
          </w:p>
        </w:tc>
        <w:tc>
          <w:tcPr>
            <w:tcW w:w="5941" w:type="dxa"/>
            <w:vAlign w:val="top"/>
          </w:tcPr>
          <w:p w14:paraId="7C962C20">
            <w:pPr>
              <w:rPr>
                <w:rFonts w:ascii="Arial"/>
                <w:color w:val="auto"/>
                <w:sz w:val="21"/>
                <w:highlight w:val="none"/>
              </w:rPr>
            </w:pPr>
          </w:p>
        </w:tc>
      </w:tr>
      <w:tr w14:paraId="058FD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FFA8F1F">
            <w:pPr>
              <w:pStyle w:val="11"/>
              <w:spacing w:before="209" w:line="219" w:lineRule="auto"/>
              <w:ind w:left="354"/>
              <w:rPr>
                <w:color w:val="auto"/>
                <w:highlight w:val="none"/>
              </w:rPr>
            </w:pPr>
            <w:r>
              <w:rPr>
                <w:color w:val="auto"/>
                <w:spacing w:val="-2"/>
                <w:highlight w:val="none"/>
              </w:rPr>
              <w:t>签约合同价（元）</w:t>
            </w:r>
          </w:p>
        </w:tc>
        <w:tc>
          <w:tcPr>
            <w:tcW w:w="5941" w:type="dxa"/>
            <w:vAlign w:val="top"/>
          </w:tcPr>
          <w:p w14:paraId="43CCC45A">
            <w:pPr>
              <w:rPr>
                <w:rFonts w:ascii="Arial"/>
                <w:color w:val="auto"/>
                <w:sz w:val="21"/>
                <w:highlight w:val="none"/>
              </w:rPr>
            </w:pPr>
          </w:p>
        </w:tc>
      </w:tr>
      <w:tr w14:paraId="2F9F2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7652EF2">
            <w:pPr>
              <w:pStyle w:val="11"/>
              <w:spacing w:before="210" w:line="221" w:lineRule="auto"/>
              <w:ind w:left="772"/>
              <w:rPr>
                <w:color w:val="auto"/>
                <w:highlight w:val="none"/>
              </w:rPr>
            </w:pPr>
            <w:r>
              <w:rPr>
                <w:color w:val="auto"/>
                <w:spacing w:val="-1"/>
                <w:highlight w:val="none"/>
              </w:rPr>
              <w:t>开工日期</w:t>
            </w:r>
          </w:p>
        </w:tc>
        <w:tc>
          <w:tcPr>
            <w:tcW w:w="5941" w:type="dxa"/>
            <w:vAlign w:val="top"/>
          </w:tcPr>
          <w:p w14:paraId="6DB0AA35">
            <w:pPr>
              <w:rPr>
                <w:rFonts w:ascii="Arial"/>
                <w:color w:val="auto"/>
                <w:sz w:val="21"/>
                <w:highlight w:val="none"/>
              </w:rPr>
            </w:pPr>
          </w:p>
        </w:tc>
      </w:tr>
      <w:tr w14:paraId="27FA6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3EDD603">
            <w:pPr>
              <w:pStyle w:val="11"/>
              <w:spacing w:before="204" w:line="221" w:lineRule="auto"/>
              <w:ind w:left="565"/>
              <w:rPr>
                <w:color w:val="auto"/>
                <w:highlight w:val="none"/>
              </w:rPr>
            </w:pPr>
            <w:r>
              <w:rPr>
                <w:color w:val="auto"/>
                <w:spacing w:val="-1"/>
                <w:highlight w:val="none"/>
              </w:rPr>
              <w:t>计划竣工日期</w:t>
            </w:r>
          </w:p>
        </w:tc>
        <w:tc>
          <w:tcPr>
            <w:tcW w:w="5941" w:type="dxa"/>
            <w:vAlign w:val="top"/>
          </w:tcPr>
          <w:p w14:paraId="16318866">
            <w:pPr>
              <w:rPr>
                <w:rFonts w:ascii="Arial"/>
                <w:color w:val="auto"/>
                <w:sz w:val="21"/>
                <w:highlight w:val="none"/>
              </w:rPr>
            </w:pPr>
          </w:p>
        </w:tc>
      </w:tr>
      <w:tr w14:paraId="2443B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28A624BC">
            <w:pPr>
              <w:pStyle w:val="11"/>
              <w:spacing w:before="204" w:line="221" w:lineRule="auto"/>
              <w:ind w:left="666"/>
              <w:rPr>
                <w:color w:val="auto"/>
                <w:highlight w:val="none"/>
              </w:rPr>
            </w:pPr>
            <w:r>
              <w:rPr>
                <w:color w:val="auto"/>
                <w:spacing w:val="-1"/>
                <w:highlight w:val="none"/>
              </w:rPr>
              <w:t>承担的工作</w:t>
            </w:r>
          </w:p>
        </w:tc>
        <w:tc>
          <w:tcPr>
            <w:tcW w:w="5941" w:type="dxa"/>
            <w:vAlign w:val="top"/>
          </w:tcPr>
          <w:p w14:paraId="139D6BA4">
            <w:pPr>
              <w:rPr>
                <w:rFonts w:ascii="Arial"/>
                <w:color w:val="auto"/>
                <w:sz w:val="21"/>
                <w:highlight w:val="none"/>
              </w:rPr>
            </w:pPr>
          </w:p>
        </w:tc>
      </w:tr>
      <w:tr w14:paraId="2AA20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7C9667B">
            <w:pPr>
              <w:pStyle w:val="11"/>
              <w:spacing w:before="205" w:line="221" w:lineRule="auto"/>
              <w:ind w:left="774"/>
              <w:rPr>
                <w:color w:val="auto"/>
                <w:highlight w:val="none"/>
              </w:rPr>
            </w:pPr>
            <w:r>
              <w:rPr>
                <w:color w:val="auto"/>
                <w:spacing w:val="-2"/>
                <w:highlight w:val="none"/>
              </w:rPr>
              <w:t>工程质量</w:t>
            </w:r>
          </w:p>
        </w:tc>
        <w:tc>
          <w:tcPr>
            <w:tcW w:w="5941" w:type="dxa"/>
            <w:vAlign w:val="top"/>
          </w:tcPr>
          <w:p w14:paraId="01C6E05A">
            <w:pPr>
              <w:rPr>
                <w:rFonts w:ascii="Arial"/>
                <w:color w:val="auto"/>
                <w:sz w:val="21"/>
                <w:highlight w:val="none"/>
              </w:rPr>
            </w:pPr>
          </w:p>
        </w:tc>
      </w:tr>
      <w:tr w14:paraId="1321D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98AC337">
            <w:pPr>
              <w:pStyle w:val="11"/>
              <w:spacing w:before="206" w:line="221" w:lineRule="auto"/>
              <w:ind w:left="775"/>
              <w:rPr>
                <w:color w:val="auto"/>
                <w:highlight w:val="none"/>
              </w:rPr>
            </w:pPr>
            <w:r>
              <w:rPr>
                <w:color w:val="auto"/>
                <w:spacing w:val="-2"/>
                <w:highlight w:val="none"/>
              </w:rPr>
              <w:t>项目经理</w:t>
            </w:r>
          </w:p>
        </w:tc>
        <w:tc>
          <w:tcPr>
            <w:tcW w:w="5941" w:type="dxa"/>
            <w:vAlign w:val="top"/>
          </w:tcPr>
          <w:p w14:paraId="4348923C">
            <w:pPr>
              <w:rPr>
                <w:rFonts w:ascii="Arial"/>
                <w:color w:val="auto"/>
                <w:sz w:val="21"/>
                <w:highlight w:val="none"/>
              </w:rPr>
            </w:pPr>
          </w:p>
        </w:tc>
      </w:tr>
      <w:tr w14:paraId="24223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4125D69">
            <w:pPr>
              <w:pStyle w:val="11"/>
              <w:spacing w:before="206" w:line="221" w:lineRule="auto"/>
              <w:ind w:left="667"/>
              <w:rPr>
                <w:color w:val="auto"/>
                <w:highlight w:val="none"/>
              </w:rPr>
            </w:pPr>
            <w:r>
              <w:rPr>
                <w:color w:val="auto"/>
                <w:spacing w:val="-1"/>
                <w:highlight w:val="none"/>
              </w:rPr>
              <w:t>技术负责人</w:t>
            </w:r>
          </w:p>
        </w:tc>
        <w:tc>
          <w:tcPr>
            <w:tcW w:w="5941" w:type="dxa"/>
            <w:vAlign w:val="top"/>
          </w:tcPr>
          <w:p w14:paraId="2EC0A329">
            <w:pPr>
              <w:rPr>
                <w:rFonts w:ascii="Arial"/>
                <w:color w:val="auto"/>
                <w:sz w:val="21"/>
                <w:highlight w:val="none"/>
              </w:rPr>
            </w:pPr>
          </w:p>
        </w:tc>
      </w:tr>
      <w:tr w14:paraId="2C20E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F0A49F8">
            <w:pPr>
              <w:pStyle w:val="11"/>
              <w:spacing w:before="206" w:line="221" w:lineRule="auto"/>
              <w:ind w:left="254"/>
              <w:rPr>
                <w:color w:val="auto"/>
                <w:highlight w:val="none"/>
              </w:rPr>
            </w:pPr>
            <w:r>
              <w:rPr>
                <w:color w:val="auto"/>
                <w:spacing w:val="-1"/>
                <w:highlight w:val="none"/>
              </w:rPr>
              <w:t>总监理工程师及电话</w:t>
            </w:r>
          </w:p>
        </w:tc>
        <w:tc>
          <w:tcPr>
            <w:tcW w:w="5941" w:type="dxa"/>
            <w:vAlign w:val="top"/>
          </w:tcPr>
          <w:p w14:paraId="61266B9A">
            <w:pPr>
              <w:rPr>
                <w:rFonts w:ascii="Arial"/>
                <w:color w:val="auto"/>
                <w:sz w:val="21"/>
                <w:highlight w:val="none"/>
              </w:rPr>
            </w:pPr>
          </w:p>
        </w:tc>
      </w:tr>
      <w:tr w14:paraId="7DC69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14:paraId="4D8E9667">
            <w:pPr>
              <w:spacing w:line="274" w:lineRule="auto"/>
              <w:rPr>
                <w:rFonts w:ascii="Arial"/>
                <w:color w:val="auto"/>
                <w:sz w:val="21"/>
                <w:highlight w:val="none"/>
              </w:rPr>
            </w:pPr>
          </w:p>
          <w:p w14:paraId="5DEF2C7B">
            <w:pPr>
              <w:spacing w:line="274" w:lineRule="auto"/>
              <w:rPr>
                <w:rFonts w:ascii="Arial"/>
                <w:color w:val="auto"/>
                <w:sz w:val="21"/>
                <w:highlight w:val="none"/>
              </w:rPr>
            </w:pPr>
          </w:p>
          <w:p w14:paraId="55FCA949">
            <w:pPr>
              <w:spacing w:line="274" w:lineRule="auto"/>
              <w:rPr>
                <w:rFonts w:ascii="Arial"/>
                <w:color w:val="auto"/>
                <w:sz w:val="21"/>
                <w:highlight w:val="none"/>
              </w:rPr>
            </w:pPr>
          </w:p>
          <w:p w14:paraId="1D0C3007">
            <w:pPr>
              <w:spacing w:line="275" w:lineRule="auto"/>
              <w:rPr>
                <w:rFonts w:ascii="Arial"/>
                <w:color w:val="auto"/>
                <w:sz w:val="21"/>
                <w:highlight w:val="none"/>
              </w:rPr>
            </w:pPr>
          </w:p>
          <w:p w14:paraId="2669ECAF">
            <w:pPr>
              <w:pStyle w:val="11"/>
              <w:spacing w:before="69" w:line="221" w:lineRule="auto"/>
              <w:ind w:left="775"/>
              <w:rPr>
                <w:color w:val="auto"/>
                <w:highlight w:val="none"/>
              </w:rPr>
            </w:pPr>
            <w:r>
              <w:rPr>
                <w:color w:val="auto"/>
                <w:spacing w:val="-2"/>
                <w:highlight w:val="none"/>
              </w:rPr>
              <w:t>项目描述</w:t>
            </w:r>
          </w:p>
        </w:tc>
        <w:tc>
          <w:tcPr>
            <w:tcW w:w="5941" w:type="dxa"/>
            <w:vAlign w:val="top"/>
          </w:tcPr>
          <w:p w14:paraId="39BB2667">
            <w:pPr>
              <w:rPr>
                <w:rFonts w:ascii="Arial"/>
                <w:color w:val="auto"/>
                <w:sz w:val="21"/>
                <w:highlight w:val="none"/>
              </w:rPr>
            </w:pPr>
          </w:p>
        </w:tc>
      </w:tr>
      <w:tr w14:paraId="33584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0839BCE">
            <w:pPr>
              <w:pStyle w:val="11"/>
              <w:spacing w:before="208" w:line="222" w:lineRule="auto"/>
              <w:ind w:left="985"/>
              <w:rPr>
                <w:color w:val="auto"/>
                <w:highlight w:val="none"/>
              </w:rPr>
            </w:pPr>
            <w:r>
              <w:rPr>
                <w:color w:val="auto"/>
                <w:spacing w:val="-3"/>
                <w:highlight w:val="none"/>
              </w:rPr>
              <w:t>备注</w:t>
            </w:r>
          </w:p>
        </w:tc>
        <w:tc>
          <w:tcPr>
            <w:tcW w:w="5941" w:type="dxa"/>
            <w:vAlign w:val="top"/>
          </w:tcPr>
          <w:p w14:paraId="0F52EA49">
            <w:pPr>
              <w:rPr>
                <w:rFonts w:ascii="Arial"/>
                <w:color w:val="auto"/>
                <w:sz w:val="21"/>
                <w:highlight w:val="none"/>
              </w:rPr>
            </w:pPr>
          </w:p>
        </w:tc>
      </w:tr>
    </w:tbl>
    <w:p w14:paraId="6C2287BE">
      <w:pPr>
        <w:spacing w:before="29" w:line="220" w:lineRule="auto"/>
        <w:ind w:left="3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备注：类似项目含义和近年具体要求见投标人须</w:t>
      </w:r>
      <w:r>
        <w:rPr>
          <w:rFonts w:ascii="宋体" w:hAnsi="宋体" w:eastAsia="宋体" w:cs="宋体"/>
          <w:color w:val="auto"/>
          <w:spacing w:val="-2"/>
          <w:sz w:val="21"/>
          <w:szCs w:val="21"/>
          <w:highlight w:val="none"/>
        </w:rPr>
        <w:t>知前附表。</w:t>
      </w:r>
    </w:p>
    <w:p w14:paraId="66825306">
      <w:pPr>
        <w:spacing w:line="220" w:lineRule="auto"/>
        <w:rPr>
          <w:rFonts w:ascii="宋体" w:hAnsi="宋体" w:eastAsia="宋体" w:cs="宋体"/>
          <w:color w:val="auto"/>
          <w:sz w:val="21"/>
          <w:szCs w:val="21"/>
          <w:highlight w:val="none"/>
        </w:rPr>
        <w:sectPr>
          <w:footerReference r:id="rId236" w:type="default"/>
          <w:pgSz w:w="11905" w:h="16839"/>
          <w:pgMar w:top="400" w:right="1785" w:bottom="1004" w:left="1785" w:header="0" w:footer="828" w:gutter="0"/>
          <w:pgNumType w:fmt="decimal"/>
          <w:cols w:space="720" w:num="1"/>
        </w:sectPr>
      </w:pPr>
    </w:p>
    <w:p w14:paraId="1AF4B30B">
      <w:pPr>
        <w:pStyle w:val="3"/>
        <w:spacing w:line="267" w:lineRule="auto"/>
        <w:rPr>
          <w:color w:val="auto"/>
          <w:highlight w:val="none"/>
        </w:rPr>
      </w:pPr>
    </w:p>
    <w:p w14:paraId="329CFDD7">
      <w:pPr>
        <w:pStyle w:val="3"/>
        <w:spacing w:line="267" w:lineRule="auto"/>
        <w:rPr>
          <w:color w:val="auto"/>
          <w:highlight w:val="none"/>
        </w:rPr>
      </w:pPr>
    </w:p>
    <w:p w14:paraId="08F99287">
      <w:pPr>
        <w:pStyle w:val="3"/>
        <w:spacing w:line="268" w:lineRule="auto"/>
        <w:rPr>
          <w:color w:val="auto"/>
          <w:highlight w:val="none"/>
        </w:rPr>
      </w:pPr>
    </w:p>
    <w:p w14:paraId="63396189">
      <w:pPr>
        <w:pStyle w:val="3"/>
        <w:spacing w:line="268" w:lineRule="auto"/>
        <w:rPr>
          <w:color w:val="auto"/>
          <w:highlight w:val="none"/>
        </w:rPr>
      </w:pPr>
    </w:p>
    <w:p w14:paraId="248B4436">
      <w:pPr>
        <w:spacing w:before="78" w:line="220" w:lineRule="auto"/>
        <w:ind w:left="3113"/>
        <w:rPr>
          <w:rFonts w:ascii="黑体" w:hAnsi="黑体" w:eastAsia="黑体" w:cs="黑体"/>
          <w:color w:val="auto"/>
          <w:sz w:val="24"/>
          <w:szCs w:val="24"/>
          <w:highlight w:val="none"/>
        </w:rPr>
      </w:pPr>
      <w:bookmarkStart w:id="1351" w:name="bookmark324"/>
      <w:bookmarkEnd w:id="1351"/>
      <w:r>
        <w:rPr>
          <w:rFonts w:ascii="黑体" w:hAnsi="黑体" w:eastAsia="黑体" w:cs="黑体"/>
          <w:color w:val="auto"/>
          <w:spacing w:val="-4"/>
          <w:sz w:val="24"/>
          <w:szCs w:val="24"/>
          <w:highlight w:val="none"/>
        </w:rPr>
        <w:t>（五）企业信誉情况</w:t>
      </w:r>
    </w:p>
    <w:p w14:paraId="1FE2D332">
      <w:pPr>
        <w:pStyle w:val="3"/>
        <w:spacing w:line="344" w:lineRule="auto"/>
        <w:rPr>
          <w:color w:val="auto"/>
          <w:highlight w:val="none"/>
        </w:rPr>
      </w:pPr>
    </w:p>
    <w:p w14:paraId="6625F95E">
      <w:pPr>
        <w:spacing w:before="78" w:line="587" w:lineRule="exact"/>
        <w:ind w:left="3272"/>
        <w:rPr>
          <w:rFonts w:ascii="黑体" w:hAnsi="黑体" w:eastAsia="黑体" w:cs="黑体"/>
          <w:color w:val="auto"/>
          <w:sz w:val="24"/>
          <w:szCs w:val="24"/>
          <w:highlight w:val="none"/>
        </w:rPr>
      </w:pPr>
      <w:r>
        <w:rPr>
          <w:rFonts w:ascii="Times New Roman" w:hAnsi="Times New Roman" w:eastAsia="Times New Roman" w:cs="Times New Roman"/>
          <w:color w:val="auto"/>
          <w:spacing w:val="-6"/>
          <w:position w:val="26"/>
          <w:sz w:val="24"/>
          <w:szCs w:val="24"/>
          <w:highlight w:val="none"/>
        </w:rPr>
        <w:t>5-</w:t>
      </w:r>
      <w:r>
        <w:rPr>
          <w:rFonts w:ascii="Times New Roman" w:hAnsi="Times New Roman" w:eastAsia="Times New Roman" w:cs="Times New Roman"/>
          <w:color w:val="auto"/>
          <w:spacing w:val="-22"/>
          <w:position w:val="26"/>
          <w:sz w:val="24"/>
          <w:szCs w:val="24"/>
          <w:highlight w:val="none"/>
        </w:rPr>
        <w:t xml:space="preserve"> </w:t>
      </w:r>
      <w:r>
        <w:rPr>
          <w:rFonts w:ascii="Times New Roman" w:hAnsi="Times New Roman" w:eastAsia="Times New Roman" w:cs="Times New Roman"/>
          <w:color w:val="auto"/>
          <w:spacing w:val="-6"/>
          <w:position w:val="26"/>
          <w:sz w:val="24"/>
          <w:szCs w:val="24"/>
          <w:highlight w:val="none"/>
        </w:rPr>
        <w:t xml:space="preserve">1 </w:t>
      </w:r>
      <w:r>
        <w:rPr>
          <w:rFonts w:ascii="黑体" w:hAnsi="黑体" w:eastAsia="黑体" w:cs="黑体"/>
          <w:color w:val="auto"/>
          <w:spacing w:val="-6"/>
          <w:position w:val="26"/>
          <w:sz w:val="24"/>
          <w:szCs w:val="24"/>
          <w:highlight w:val="none"/>
        </w:rPr>
        <w:t>企业信誉声明</w:t>
      </w:r>
    </w:p>
    <w:p w14:paraId="281356B6">
      <w:pPr>
        <w:tabs>
          <w:tab w:val="left" w:pos="2218"/>
        </w:tabs>
        <w:spacing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1AD06733">
      <w:pPr>
        <w:pStyle w:val="3"/>
        <w:spacing w:line="364" w:lineRule="auto"/>
        <w:rPr>
          <w:color w:val="auto"/>
          <w:highlight w:val="none"/>
        </w:rPr>
      </w:pPr>
    </w:p>
    <w:p w14:paraId="7CB1E7FC">
      <w:pPr>
        <w:spacing w:before="68" w:line="442" w:lineRule="exact"/>
        <w:ind w:left="442"/>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我方在此声明， 截止本招标项目投标截止时间， 我方处于正常的经营状态， 不存在下</w:t>
      </w:r>
    </w:p>
    <w:p w14:paraId="1E712420">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列任何一种情形。</w:t>
      </w:r>
    </w:p>
    <w:p w14:paraId="6C057904">
      <w:pPr>
        <w:spacing w:before="157"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被依法暂停或取消投标资格；</w:t>
      </w:r>
    </w:p>
    <w:p w14:paraId="45298290">
      <w:pPr>
        <w:spacing w:before="149" w:line="403"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被责令停产停业、暂扣或者吊销许可证、暂扣或者吊销执照；</w:t>
      </w:r>
    </w:p>
    <w:p w14:paraId="5EBE55D8">
      <w:pPr>
        <w:spacing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进入清算程序，或被宣告破产，或其他丧失履约能力的情形；</w:t>
      </w:r>
    </w:p>
    <w:p w14:paraId="6D3ACDB8">
      <w:pPr>
        <w:spacing w:before="149"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在最近三年内有骗取中标或严重违约或重大工程质量问题的；</w:t>
      </w:r>
    </w:p>
    <w:p w14:paraId="46867AF9">
      <w:pPr>
        <w:spacing w:before="148" w:line="213"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在“国家企业信用信息公示系统”（</w:t>
      </w:r>
      <w:r>
        <w:rPr>
          <w:rFonts w:ascii="Times New Roman" w:hAnsi="Times New Roman" w:eastAsia="Times New Roman" w:cs="Times New Roman"/>
          <w:color w:val="auto"/>
          <w:spacing w:val="-2"/>
          <w:sz w:val="21"/>
          <w:szCs w:val="21"/>
          <w:highlight w:val="none"/>
        </w:rPr>
        <w:t>www.gsxt.gov.cn</w:t>
      </w:r>
      <w:r>
        <w:rPr>
          <w:rFonts w:ascii="宋体" w:hAnsi="宋体" w:eastAsia="宋体" w:cs="宋体"/>
          <w:color w:val="auto"/>
          <w:spacing w:val="-2"/>
          <w:sz w:val="21"/>
          <w:szCs w:val="21"/>
          <w:highlight w:val="none"/>
        </w:rPr>
        <w:t>）被列入严重违法失信</w:t>
      </w:r>
      <w:r>
        <w:rPr>
          <w:rFonts w:ascii="宋体" w:hAnsi="宋体" w:eastAsia="宋体" w:cs="宋体"/>
          <w:color w:val="auto"/>
          <w:spacing w:val="-3"/>
          <w:sz w:val="21"/>
          <w:szCs w:val="21"/>
          <w:highlight w:val="none"/>
        </w:rPr>
        <w:t>企业名单；</w:t>
      </w:r>
    </w:p>
    <w:p w14:paraId="3B64688A">
      <w:pPr>
        <w:spacing w:before="17" w:line="345" w:lineRule="auto"/>
        <w:ind w:left="24" w:right="52" w:firstLine="41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在</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59"/>
          <w:sz w:val="21"/>
          <w:szCs w:val="21"/>
          <w:highlight w:val="none"/>
        </w:rPr>
        <w:t xml:space="preserve"> </w:t>
      </w:r>
      <w:r>
        <w:rPr>
          <w:rFonts w:ascii="宋体" w:hAnsi="宋体" w:eastAsia="宋体" w:cs="宋体"/>
          <w:color w:val="auto"/>
          <w:spacing w:val="-4"/>
          <w:sz w:val="21"/>
          <w:szCs w:val="21"/>
          <w:highlight w:val="none"/>
        </w:rPr>
        <w:t>信</w:t>
      </w:r>
      <w:r>
        <w:rPr>
          <w:rFonts w:ascii="宋体" w:hAnsi="宋体" w:eastAsia="宋体" w:cs="宋体"/>
          <w:color w:val="auto"/>
          <w:spacing w:val="-57"/>
          <w:sz w:val="21"/>
          <w:szCs w:val="21"/>
          <w:highlight w:val="none"/>
        </w:rPr>
        <w:t xml:space="preserve"> </w:t>
      </w:r>
      <w:r>
        <w:rPr>
          <w:rFonts w:ascii="宋体" w:hAnsi="宋体" w:eastAsia="宋体" w:cs="宋体"/>
          <w:color w:val="auto"/>
          <w:spacing w:val="-4"/>
          <w:sz w:val="21"/>
          <w:szCs w:val="21"/>
          <w:highlight w:val="none"/>
        </w:rPr>
        <w:t>用</w:t>
      </w:r>
      <w:r>
        <w:rPr>
          <w:rFonts w:ascii="宋体" w:hAnsi="宋体" w:eastAsia="宋体" w:cs="宋体"/>
          <w:color w:val="auto"/>
          <w:spacing w:val="-33"/>
          <w:sz w:val="21"/>
          <w:szCs w:val="21"/>
          <w:highlight w:val="none"/>
        </w:rPr>
        <w:t xml:space="preserve"> </w:t>
      </w:r>
      <w:r>
        <w:rPr>
          <w:rFonts w:ascii="宋体" w:hAnsi="宋体" w:eastAsia="宋体" w:cs="宋体"/>
          <w:color w:val="auto"/>
          <w:spacing w:val="-4"/>
          <w:sz w:val="21"/>
          <w:szCs w:val="21"/>
          <w:highlight w:val="none"/>
        </w:rPr>
        <w:t>中</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国</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69"/>
          <w:sz w:val="21"/>
          <w:szCs w:val="21"/>
          <w:highlight w:val="none"/>
        </w:rPr>
        <w:t xml:space="preserve"> </w:t>
      </w:r>
      <w:r>
        <w:rPr>
          <w:rFonts w:ascii="宋体" w:hAnsi="宋体" w:eastAsia="宋体" w:cs="宋体"/>
          <w:color w:val="auto"/>
          <w:spacing w:val="-4"/>
          <w:sz w:val="21"/>
          <w:szCs w:val="21"/>
          <w:highlight w:val="none"/>
        </w:rPr>
        <w:t>网</w:t>
      </w:r>
      <w:r>
        <w:rPr>
          <w:rFonts w:ascii="宋体" w:hAnsi="宋体" w:eastAsia="宋体" w:cs="宋体"/>
          <w:color w:val="auto"/>
          <w:spacing w:val="-58"/>
          <w:sz w:val="21"/>
          <w:szCs w:val="21"/>
          <w:highlight w:val="none"/>
        </w:rPr>
        <w:t xml:space="preserve"> </w:t>
      </w:r>
      <w:r>
        <w:rPr>
          <w:rFonts w:ascii="宋体" w:hAnsi="宋体" w:eastAsia="宋体" w:cs="宋体"/>
          <w:color w:val="auto"/>
          <w:spacing w:val="-4"/>
          <w:sz w:val="21"/>
          <w:szCs w:val="21"/>
          <w:highlight w:val="none"/>
        </w:rPr>
        <w:t>站</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www.creditchi</w:t>
      </w:r>
      <w:r>
        <w:rPr>
          <w:rFonts w:ascii="Times New Roman" w:hAnsi="Times New Roman" w:eastAsia="Times New Roman" w:cs="Times New Roman"/>
          <w:color w:val="auto"/>
          <w:spacing w:val="-5"/>
          <w:sz w:val="21"/>
          <w:szCs w:val="21"/>
          <w:highlight w:val="none"/>
        </w:rPr>
        <w:t>na.gov.cn</w:t>
      </w:r>
      <w:r>
        <w:rPr>
          <w:rFonts w:ascii="宋体" w:hAnsi="宋体" w:eastAsia="宋体" w:cs="宋体"/>
          <w:color w:val="auto"/>
          <w:spacing w:val="-5"/>
          <w:sz w:val="21"/>
          <w:szCs w:val="21"/>
          <w:highlight w:val="none"/>
        </w:rPr>
        <w:t>）</w:t>
      </w:r>
      <w:r>
        <w:rPr>
          <w:rFonts w:ascii="宋体" w:hAnsi="宋体" w:eastAsia="宋体" w:cs="宋体"/>
          <w:color w:val="auto"/>
          <w:spacing w:val="-5"/>
          <w:sz w:val="21"/>
          <w:szCs w:val="21"/>
          <w:highlight w:val="none"/>
        </w:rPr>
        <w:fldChar w:fldCharType="end"/>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或</w:t>
      </w:r>
      <w:r>
        <w:rPr>
          <w:rFonts w:ascii="宋体" w:hAnsi="宋体" w:eastAsia="宋体" w:cs="宋体"/>
          <w:color w:val="auto"/>
          <w:spacing w:val="-65"/>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34"/>
          <w:sz w:val="21"/>
          <w:szCs w:val="21"/>
          <w:highlight w:val="none"/>
        </w:rPr>
        <w:t xml:space="preserve"> </w:t>
      </w:r>
      <w:r>
        <w:rPr>
          <w:rFonts w:ascii="宋体" w:hAnsi="宋体" w:eastAsia="宋体" w:cs="宋体"/>
          <w:color w:val="auto"/>
          <w:spacing w:val="-5"/>
          <w:sz w:val="21"/>
          <w:szCs w:val="21"/>
          <w:highlight w:val="none"/>
        </w:rPr>
        <w:t>中</w:t>
      </w:r>
      <w:r>
        <w:rPr>
          <w:rFonts w:ascii="宋体" w:hAnsi="宋体" w:eastAsia="宋体" w:cs="宋体"/>
          <w:color w:val="auto"/>
          <w:spacing w:val="-38"/>
          <w:sz w:val="21"/>
          <w:szCs w:val="21"/>
          <w:highlight w:val="none"/>
        </w:rPr>
        <w:t xml:space="preserve"> </w:t>
      </w:r>
      <w:r>
        <w:rPr>
          <w:rFonts w:ascii="宋体" w:hAnsi="宋体" w:eastAsia="宋体" w:cs="宋体"/>
          <w:color w:val="auto"/>
          <w:spacing w:val="-5"/>
          <w:sz w:val="21"/>
          <w:szCs w:val="21"/>
          <w:highlight w:val="none"/>
        </w:rPr>
        <w:t>国</w:t>
      </w:r>
      <w:r>
        <w:rPr>
          <w:rFonts w:ascii="宋体" w:hAnsi="宋体" w:eastAsia="宋体" w:cs="宋体"/>
          <w:color w:val="auto"/>
          <w:spacing w:val="-58"/>
          <w:sz w:val="21"/>
          <w:szCs w:val="21"/>
          <w:highlight w:val="none"/>
        </w:rPr>
        <w:t xml:space="preserve"> </w:t>
      </w:r>
      <w:r>
        <w:rPr>
          <w:rFonts w:ascii="宋体" w:hAnsi="宋体" w:eastAsia="宋体" w:cs="宋体"/>
          <w:color w:val="auto"/>
          <w:spacing w:val="-5"/>
          <w:sz w:val="21"/>
          <w:szCs w:val="21"/>
          <w:highlight w:val="none"/>
        </w:rPr>
        <w:t>执</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行</w:t>
      </w:r>
      <w:r>
        <w:rPr>
          <w:rFonts w:ascii="宋体" w:hAnsi="宋体" w:eastAsia="宋体" w:cs="宋体"/>
          <w:color w:val="auto"/>
          <w:spacing w:val="-58"/>
          <w:sz w:val="21"/>
          <w:szCs w:val="21"/>
          <w:highlight w:val="none"/>
        </w:rPr>
        <w:t xml:space="preserve"> </w:t>
      </w:r>
      <w:r>
        <w:rPr>
          <w:rFonts w:ascii="宋体" w:hAnsi="宋体" w:eastAsia="宋体" w:cs="宋体"/>
          <w:color w:val="auto"/>
          <w:spacing w:val="-5"/>
          <w:sz w:val="21"/>
          <w:szCs w:val="21"/>
          <w:highlight w:val="none"/>
        </w:rPr>
        <w:t>信</w:t>
      </w:r>
      <w:r>
        <w:rPr>
          <w:rFonts w:ascii="宋体" w:hAnsi="宋体" w:eastAsia="宋体" w:cs="宋体"/>
          <w:color w:val="auto"/>
          <w:spacing w:val="-45"/>
          <w:sz w:val="21"/>
          <w:szCs w:val="21"/>
          <w:highlight w:val="none"/>
        </w:rPr>
        <w:t xml:space="preserve"> </w:t>
      </w:r>
      <w:r>
        <w:rPr>
          <w:rFonts w:ascii="宋体" w:hAnsi="宋体" w:eastAsia="宋体" w:cs="宋体"/>
          <w:color w:val="auto"/>
          <w:spacing w:val="-5"/>
          <w:sz w:val="21"/>
          <w:szCs w:val="21"/>
          <w:highlight w:val="none"/>
        </w:rPr>
        <w:t>息</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公</w:t>
      </w:r>
      <w:r>
        <w:rPr>
          <w:rFonts w:ascii="宋体" w:hAnsi="宋体" w:eastAsia="宋体" w:cs="宋体"/>
          <w:color w:val="auto"/>
          <w:spacing w:val="-57"/>
          <w:sz w:val="21"/>
          <w:szCs w:val="21"/>
          <w:highlight w:val="none"/>
        </w:rPr>
        <w:t xml:space="preserve"> </w:t>
      </w:r>
      <w:r>
        <w:rPr>
          <w:rFonts w:ascii="宋体" w:hAnsi="宋体" w:eastAsia="宋体" w:cs="宋体"/>
          <w:color w:val="auto"/>
          <w:spacing w:val="-5"/>
          <w:sz w:val="21"/>
          <w:szCs w:val="21"/>
          <w:highlight w:val="none"/>
        </w:rPr>
        <w:t>开</w:t>
      </w:r>
      <w:r>
        <w:rPr>
          <w:rFonts w:ascii="宋体" w:hAnsi="宋体" w:eastAsia="宋体" w:cs="宋体"/>
          <w:color w:val="auto"/>
          <w:spacing w:val="-38"/>
          <w:sz w:val="21"/>
          <w:szCs w:val="21"/>
          <w:highlight w:val="none"/>
        </w:rPr>
        <w:t xml:space="preserve"> </w:t>
      </w:r>
      <w:r>
        <w:rPr>
          <w:rFonts w:ascii="宋体" w:hAnsi="宋体" w:eastAsia="宋体" w:cs="宋体"/>
          <w:color w:val="auto"/>
          <w:spacing w:val="-5"/>
          <w:sz w:val="21"/>
          <w:szCs w:val="21"/>
          <w:highlight w:val="none"/>
        </w:rPr>
        <w:t>网</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）被列入失信被执行人名单；</w:t>
      </w:r>
    </w:p>
    <w:p w14:paraId="4183C78C">
      <w:pPr>
        <w:spacing w:before="156" w:line="403" w:lineRule="exact"/>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7.</w:t>
      </w:r>
      <w:r>
        <w:rPr>
          <w:rFonts w:ascii="宋体" w:hAnsi="宋体" w:eastAsia="宋体" w:cs="宋体"/>
          <w:color w:val="auto"/>
          <w:spacing w:val="3"/>
          <w:position w:val="14"/>
          <w:sz w:val="21"/>
          <w:szCs w:val="21"/>
          <w:highlight w:val="none"/>
        </w:rPr>
        <w:t>在辽宁省建设工程招投标监督平台</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辽宁建</w:t>
      </w:r>
      <w:r>
        <w:rPr>
          <w:rFonts w:ascii="宋体" w:hAnsi="宋体" w:eastAsia="宋体" w:cs="宋体"/>
          <w:color w:val="auto"/>
          <w:spacing w:val="2"/>
          <w:position w:val="14"/>
          <w:sz w:val="21"/>
          <w:szCs w:val="21"/>
          <w:highlight w:val="none"/>
        </w:rPr>
        <w:t>设工程信息网上被列入不良行为记录且在</w:t>
      </w:r>
    </w:p>
    <w:p w14:paraId="069262F0">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公布期内的；</w:t>
      </w:r>
    </w:p>
    <w:p w14:paraId="4C33000B">
      <w:pPr>
        <w:spacing w:before="148"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投标人须知前附表第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17</w:t>
      </w:r>
      <w:r>
        <w:rPr>
          <w:rFonts w:ascii="宋体" w:hAnsi="宋体" w:eastAsia="宋体" w:cs="宋体"/>
          <w:color w:val="auto"/>
          <w:spacing w:val="-1"/>
          <w:sz w:val="21"/>
          <w:szCs w:val="21"/>
          <w:highlight w:val="none"/>
        </w:rPr>
        <w:t>）目规</w:t>
      </w:r>
      <w:r>
        <w:rPr>
          <w:rFonts w:ascii="宋体" w:hAnsi="宋体" w:eastAsia="宋体" w:cs="宋体"/>
          <w:color w:val="auto"/>
          <w:spacing w:val="-2"/>
          <w:sz w:val="21"/>
          <w:szCs w:val="21"/>
          <w:highlight w:val="none"/>
        </w:rPr>
        <w:t>定的其他情形。</w:t>
      </w:r>
    </w:p>
    <w:p w14:paraId="0125F8E0">
      <w:pPr>
        <w:spacing w:before="182" w:line="442" w:lineRule="exact"/>
        <w:ind w:left="442"/>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我方对上述声明的真实性和准确性负责，并承担相应的</w:t>
      </w:r>
      <w:r>
        <w:rPr>
          <w:rFonts w:ascii="宋体" w:hAnsi="宋体" w:eastAsia="宋体" w:cs="宋体"/>
          <w:color w:val="auto"/>
          <w:spacing w:val="-1"/>
          <w:position w:val="17"/>
          <w:sz w:val="21"/>
          <w:szCs w:val="21"/>
          <w:highlight w:val="none"/>
        </w:rPr>
        <w:t>法律责任。</w:t>
      </w:r>
    </w:p>
    <w:p w14:paraId="4B04DC1F">
      <w:pPr>
        <w:spacing w:before="1" w:line="219"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后附：上述条款</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5、6、7</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网站查询结果截图。</w:t>
      </w:r>
    </w:p>
    <w:p w14:paraId="2E9F509B">
      <w:pPr>
        <w:pStyle w:val="3"/>
        <w:spacing w:line="278" w:lineRule="auto"/>
        <w:rPr>
          <w:color w:val="auto"/>
          <w:highlight w:val="none"/>
        </w:rPr>
      </w:pPr>
    </w:p>
    <w:p w14:paraId="542F1EF2">
      <w:pPr>
        <w:pStyle w:val="3"/>
        <w:spacing w:line="279" w:lineRule="auto"/>
        <w:rPr>
          <w:color w:val="auto"/>
          <w:highlight w:val="none"/>
        </w:rPr>
      </w:pPr>
    </w:p>
    <w:p w14:paraId="11B7D37B">
      <w:pPr>
        <w:spacing w:before="68" w:line="388" w:lineRule="auto"/>
        <w:ind w:left="4011"/>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pacing w:val="4"/>
          <w:sz w:val="21"/>
          <w:szCs w:val="21"/>
          <w:highlight w:val="none"/>
        </w:rPr>
        <w:t>：</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8"/>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23"/>
          <w:w w:val="98"/>
          <w:sz w:val="21"/>
          <w:szCs w:val="21"/>
          <w:highlight w:val="none"/>
        </w:rPr>
        <w:t>盖单位章）</w:t>
      </w:r>
    </w:p>
    <w:p w14:paraId="350B0B2B">
      <w:pPr>
        <w:spacing w:before="1" w:line="219" w:lineRule="auto"/>
        <w:ind w:left="275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3"/>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7"/>
          <w:sz w:val="21"/>
          <w:szCs w:val="21"/>
          <w:highlight w:val="none"/>
        </w:rPr>
        <w:t>签章）</w:t>
      </w:r>
    </w:p>
    <w:p w14:paraId="1F984979">
      <w:pPr>
        <w:pStyle w:val="3"/>
        <w:spacing w:line="278" w:lineRule="auto"/>
        <w:rPr>
          <w:color w:val="auto"/>
          <w:highlight w:val="none"/>
        </w:rPr>
      </w:pPr>
    </w:p>
    <w:p w14:paraId="5A4F2FD3">
      <w:pPr>
        <w:pStyle w:val="3"/>
        <w:spacing w:line="278" w:lineRule="auto"/>
        <w:rPr>
          <w:color w:val="auto"/>
          <w:highlight w:val="none"/>
        </w:rPr>
      </w:pPr>
    </w:p>
    <w:p w14:paraId="41AD6240">
      <w:pPr>
        <w:tabs>
          <w:tab w:val="left" w:pos="6107"/>
        </w:tabs>
        <w:spacing w:before="69" w:line="221" w:lineRule="auto"/>
        <w:ind w:left="526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 xml:space="preserve">年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 xml:space="preserve">月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日</w:t>
      </w:r>
    </w:p>
    <w:p w14:paraId="3461252C">
      <w:pPr>
        <w:pStyle w:val="3"/>
        <w:spacing w:line="284" w:lineRule="auto"/>
        <w:rPr>
          <w:color w:val="auto"/>
          <w:highlight w:val="none"/>
        </w:rPr>
      </w:pPr>
    </w:p>
    <w:p w14:paraId="643E1BA9">
      <w:pPr>
        <w:pStyle w:val="3"/>
        <w:spacing w:line="284" w:lineRule="auto"/>
        <w:rPr>
          <w:color w:val="auto"/>
          <w:highlight w:val="none"/>
        </w:rPr>
      </w:pPr>
    </w:p>
    <w:p w14:paraId="59F8D07F">
      <w:pPr>
        <w:pStyle w:val="3"/>
        <w:spacing w:line="284" w:lineRule="auto"/>
        <w:rPr>
          <w:color w:val="auto"/>
          <w:highlight w:val="none"/>
        </w:rPr>
      </w:pPr>
    </w:p>
    <w:p w14:paraId="1CF61191">
      <w:pPr>
        <w:spacing w:before="69" w:line="230" w:lineRule="auto"/>
        <w:ind w:left="857" w:right="160" w:hanging="83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1.投标人应针对第二章“投标人须知”第 1.4.1 项和第 1.4.3 项的要求</w:t>
      </w:r>
      <w:r>
        <w:rPr>
          <w:rFonts w:ascii="宋体" w:hAnsi="宋体" w:eastAsia="宋体" w:cs="宋体"/>
          <w:color w:val="auto"/>
          <w:spacing w:val="-5"/>
          <w:sz w:val="21"/>
          <w:szCs w:val="21"/>
          <w:highlight w:val="none"/>
        </w:rPr>
        <w:t>，在此对其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信誉情况做出说明。如上格式文件所示。</w:t>
      </w:r>
    </w:p>
    <w:p w14:paraId="193C34BC">
      <w:pPr>
        <w:spacing w:before="23" w:line="221" w:lineRule="auto"/>
        <w:ind w:left="6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2.联合体投标的，联合体各成员单位均应按要求做出说明。</w:t>
      </w:r>
    </w:p>
    <w:p w14:paraId="27C7F223">
      <w:pPr>
        <w:spacing w:line="221" w:lineRule="auto"/>
        <w:rPr>
          <w:rFonts w:ascii="宋体" w:hAnsi="宋体" w:eastAsia="宋体" w:cs="宋体"/>
          <w:color w:val="auto"/>
          <w:sz w:val="21"/>
          <w:szCs w:val="21"/>
          <w:highlight w:val="none"/>
        </w:rPr>
        <w:sectPr>
          <w:footerReference r:id="rId237" w:type="default"/>
          <w:pgSz w:w="11905" w:h="16839"/>
          <w:pgMar w:top="400" w:right="1631" w:bottom="1004" w:left="1785" w:header="0" w:footer="828" w:gutter="0"/>
          <w:pgNumType w:fmt="decimal"/>
          <w:cols w:space="720" w:num="1"/>
        </w:sectPr>
      </w:pPr>
    </w:p>
    <w:p w14:paraId="6E166D0F">
      <w:pPr>
        <w:pStyle w:val="3"/>
        <w:spacing w:line="267" w:lineRule="auto"/>
        <w:rPr>
          <w:color w:val="auto"/>
          <w:highlight w:val="none"/>
        </w:rPr>
      </w:pPr>
    </w:p>
    <w:p w14:paraId="204C49EA">
      <w:pPr>
        <w:pStyle w:val="3"/>
        <w:spacing w:line="268" w:lineRule="auto"/>
        <w:rPr>
          <w:color w:val="auto"/>
          <w:highlight w:val="none"/>
        </w:rPr>
      </w:pPr>
    </w:p>
    <w:p w14:paraId="3BAB3D35">
      <w:pPr>
        <w:pStyle w:val="3"/>
        <w:spacing w:line="268" w:lineRule="auto"/>
        <w:rPr>
          <w:color w:val="auto"/>
          <w:highlight w:val="none"/>
        </w:rPr>
      </w:pPr>
    </w:p>
    <w:p w14:paraId="664B209B">
      <w:pPr>
        <w:pStyle w:val="3"/>
        <w:spacing w:line="268" w:lineRule="auto"/>
        <w:rPr>
          <w:color w:val="auto"/>
          <w:highlight w:val="none"/>
        </w:rPr>
      </w:pPr>
    </w:p>
    <w:p w14:paraId="6121DF31">
      <w:pPr>
        <w:spacing w:before="78" w:line="217" w:lineRule="auto"/>
        <w:ind w:left="2547"/>
        <w:rPr>
          <w:rFonts w:ascii="黑体" w:hAnsi="黑体" w:eastAsia="黑体" w:cs="黑体"/>
          <w:color w:val="auto"/>
          <w:sz w:val="24"/>
          <w:szCs w:val="24"/>
          <w:highlight w:val="none"/>
        </w:rPr>
      </w:pPr>
      <w:bookmarkStart w:id="1352" w:name="bookmark325"/>
      <w:bookmarkEnd w:id="1352"/>
      <w:r>
        <w:rPr>
          <w:rFonts w:ascii="Times New Roman" w:hAnsi="Times New Roman" w:eastAsia="Times New Roman" w:cs="Times New Roman"/>
          <w:color w:val="auto"/>
          <w:spacing w:val="-1"/>
          <w:sz w:val="24"/>
          <w:szCs w:val="24"/>
          <w:highlight w:val="none"/>
        </w:rPr>
        <w:t xml:space="preserve">5-2 </w:t>
      </w:r>
      <w:r>
        <w:rPr>
          <w:rFonts w:ascii="黑体" w:hAnsi="黑体" w:eastAsia="黑体" w:cs="黑体"/>
          <w:color w:val="auto"/>
          <w:spacing w:val="-1"/>
          <w:sz w:val="24"/>
          <w:szCs w:val="24"/>
          <w:highlight w:val="none"/>
        </w:rPr>
        <w:t>近年发生的诉讼和仲裁情况</w:t>
      </w:r>
    </w:p>
    <w:tbl>
      <w:tblPr>
        <w:tblStyle w:val="10"/>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14:paraId="12CE5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14:paraId="1FFA8AFC">
            <w:pPr>
              <w:pStyle w:val="11"/>
              <w:spacing w:before="230" w:line="221" w:lineRule="auto"/>
              <w:ind w:left="252"/>
              <w:rPr>
                <w:color w:val="auto"/>
                <w:highlight w:val="none"/>
              </w:rPr>
            </w:pPr>
            <w:r>
              <w:rPr>
                <w:color w:val="auto"/>
                <w:spacing w:val="-2"/>
                <w:highlight w:val="none"/>
              </w:rPr>
              <w:t>类别</w:t>
            </w:r>
          </w:p>
        </w:tc>
        <w:tc>
          <w:tcPr>
            <w:tcW w:w="915" w:type="dxa"/>
            <w:tcBorders>
              <w:top w:val="single" w:color="000000" w:sz="6" w:space="0"/>
            </w:tcBorders>
            <w:vAlign w:val="top"/>
          </w:tcPr>
          <w:p w14:paraId="41D8C872">
            <w:pPr>
              <w:pStyle w:val="11"/>
              <w:spacing w:before="230" w:line="222" w:lineRule="auto"/>
              <w:ind w:left="248"/>
              <w:rPr>
                <w:color w:val="auto"/>
                <w:highlight w:val="none"/>
              </w:rPr>
            </w:pPr>
            <w:r>
              <w:rPr>
                <w:color w:val="auto"/>
                <w:spacing w:val="-2"/>
                <w:highlight w:val="none"/>
              </w:rPr>
              <w:t>序号</w:t>
            </w:r>
          </w:p>
        </w:tc>
        <w:tc>
          <w:tcPr>
            <w:tcW w:w="1203" w:type="dxa"/>
            <w:tcBorders>
              <w:top w:val="single" w:color="000000" w:sz="6" w:space="0"/>
            </w:tcBorders>
            <w:vAlign w:val="top"/>
          </w:tcPr>
          <w:p w14:paraId="2564CB36">
            <w:pPr>
              <w:pStyle w:val="11"/>
              <w:spacing w:before="231" w:line="221" w:lineRule="auto"/>
              <w:ind w:left="188"/>
              <w:rPr>
                <w:color w:val="auto"/>
                <w:highlight w:val="none"/>
              </w:rPr>
            </w:pPr>
            <w:r>
              <w:rPr>
                <w:color w:val="auto"/>
                <w:spacing w:val="-2"/>
                <w:highlight w:val="none"/>
              </w:rPr>
              <w:t>发生时间</w:t>
            </w:r>
          </w:p>
        </w:tc>
        <w:tc>
          <w:tcPr>
            <w:tcW w:w="3384" w:type="dxa"/>
            <w:tcBorders>
              <w:top w:val="single" w:color="000000" w:sz="6" w:space="0"/>
            </w:tcBorders>
            <w:vAlign w:val="top"/>
          </w:tcPr>
          <w:p w14:paraId="0D0D5AD1">
            <w:pPr>
              <w:pStyle w:val="11"/>
              <w:spacing w:before="230" w:line="220" w:lineRule="auto"/>
              <w:ind w:left="1282"/>
              <w:rPr>
                <w:color w:val="auto"/>
                <w:highlight w:val="none"/>
              </w:rPr>
            </w:pPr>
            <w:r>
              <w:rPr>
                <w:color w:val="auto"/>
                <w:spacing w:val="-1"/>
                <w:highlight w:val="none"/>
              </w:rPr>
              <w:t>情况简介</w:t>
            </w:r>
          </w:p>
        </w:tc>
        <w:tc>
          <w:tcPr>
            <w:tcW w:w="1855" w:type="dxa"/>
            <w:tcBorders>
              <w:top w:val="single" w:color="000000" w:sz="6" w:space="0"/>
              <w:right w:val="single" w:color="000000" w:sz="6" w:space="0"/>
            </w:tcBorders>
            <w:vAlign w:val="top"/>
          </w:tcPr>
          <w:p w14:paraId="24BBCDB4">
            <w:pPr>
              <w:pStyle w:val="11"/>
              <w:spacing w:before="230" w:line="220" w:lineRule="auto"/>
              <w:ind w:left="308"/>
              <w:rPr>
                <w:color w:val="auto"/>
                <w:highlight w:val="none"/>
              </w:rPr>
            </w:pPr>
            <w:r>
              <w:rPr>
                <w:color w:val="auto"/>
                <w:spacing w:val="-1"/>
                <w:highlight w:val="none"/>
              </w:rPr>
              <w:t>证明材料索引</w:t>
            </w:r>
          </w:p>
        </w:tc>
      </w:tr>
      <w:tr w14:paraId="053ED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14:paraId="556EAB3C">
            <w:pPr>
              <w:spacing w:line="275" w:lineRule="auto"/>
              <w:rPr>
                <w:rFonts w:ascii="Arial"/>
                <w:color w:val="auto"/>
                <w:sz w:val="21"/>
                <w:highlight w:val="none"/>
              </w:rPr>
            </w:pPr>
          </w:p>
          <w:p w14:paraId="3A648C23">
            <w:pPr>
              <w:pStyle w:val="11"/>
              <w:spacing w:before="70" w:line="210" w:lineRule="auto"/>
              <w:ind w:left="1529"/>
              <w:rPr>
                <w:color w:val="auto"/>
                <w:highlight w:val="none"/>
              </w:rPr>
            </w:pPr>
            <w:r>
              <w:rPr>
                <w:color w:val="auto"/>
                <w:spacing w:val="22"/>
                <w:highlight w:val="none"/>
              </w:rPr>
              <w:t>诉讼情况</w:t>
            </w:r>
          </w:p>
        </w:tc>
        <w:tc>
          <w:tcPr>
            <w:tcW w:w="915" w:type="dxa"/>
            <w:vAlign w:val="top"/>
          </w:tcPr>
          <w:p w14:paraId="74E6DCB0">
            <w:pPr>
              <w:rPr>
                <w:rFonts w:ascii="Arial"/>
                <w:color w:val="auto"/>
                <w:sz w:val="21"/>
                <w:highlight w:val="none"/>
              </w:rPr>
            </w:pPr>
          </w:p>
        </w:tc>
        <w:tc>
          <w:tcPr>
            <w:tcW w:w="1203" w:type="dxa"/>
            <w:vAlign w:val="top"/>
          </w:tcPr>
          <w:p w14:paraId="63DF2CBA">
            <w:pPr>
              <w:rPr>
                <w:rFonts w:ascii="Arial"/>
                <w:color w:val="auto"/>
                <w:sz w:val="21"/>
                <w:highlight w:val="none"/>
              </w:rPr>
            </w:pPr>
          </w:p>
        </w:tc>
        <w:tc>
          <w:tcPr>
            <w:tcW w:w="3384" w:type="dxa"/>
            <w:vAlign w:val="top"/>
          </w:tcPr>
          <w:p w14:paraId="44281720">
            <w:pPr>
              <w:rPr>
                <w:rFonts w:ascii="Arial"/>
                <w:color w:val="auto"/>
                <w:sz w:val="21"/>
                <w:highlight w:val="none"/>
              </w:rPr>
            </w:pPr>
          </w:p>
        </w:tc>
        <w:tc>
          <w:tcPr>
            <w:tcW w:w="1855" w:type="dxa"/>
            <w:tcBorders>
              <w:right w:val="single" w:color="000000" w:sz="6" w:space="0"/>
            </w:tcBorders>
            <w:vAlign w:val="top"/>
          </w:tcPr>
          <w:p w14:paraId="5F565EE3">
            <w:pPr>
              <w:rPr>
                <w:rFonts w:ascii="Arial"/>
                <w:color w:val="auto"/>
                <w:sz w:val="21"/>
                <w:highlight w:val="none"/>
              </w:rPr>
            </w:pPr>
          </w:p>
        </w:tc>
      </w:tr>
      <w:tr w14:paraId="69236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73BBB215">
            <w:pPr>
              <w:rPr>
                <w:rFonts w:ascii="Arial"/>
                <w:color w:val="auto"/>
                <w:sz w:val="21"/>
                <w:highlight w:val="none"/>
              </w:rPr>
            </w:pPr>
          </w:p>
        </w:tc>
        <w:tc>
          <w:tcPr>
            <w:tcW w:w="915" w:type="dxa"/>
            <w:vAlign w:val="top"/>
          </w:tcPr>
          <w:p w14:paraId="32B20F31">
            <w:pPr>
              <w:rPr>
                <w:rFonts w:ascii="Arial"/>
                <w:color w:val="auto"/>
                <w:sz w:val="21"/>
                <w:highlight w:val="none"/>
              </w:rPr>
            </w:pPr>
          </w:p>
        </w:tc>
        <w:tc>
          <w:tcPr>
            <w:tcW w:w="1203" w:type="dxa"/>
            <w:vAlign w:val="top"/>
          </w:tcPr>
          <w:p w14:paraId="4400D2CF">
            <w:pPr>
              <w:rPr>
                <w:rFonts w:ascii="Arial"/>
                <w:color w:val="auto"/>
                <w:sz w:val="21"/>
                <w:highlight w:val="none"/>
              </w:rPr>
            </w:pPr>
          </w:p>
        </w:tc>
        <w:tc>
          <w:tcPr>
            <w:tcW w:w="3384" w:type="dxa"/>
            <w:vAlign w:val="top"/>
          </w:tcPr>
          <w:p w14:paraId="4B364754">
            <w:pPr>
              <w:rPr>
                <w:rFonts w:ascii="Arial"/>
                <w:color w:val="auto"/>
                <w:sz w:val="21"/>
                <w:highlight w:val="none"/>
              </w:rPr>
            </w:pPr>
          </w:p>
        </w:tc>
        <w:tc>
          <w:tcPr>
            <w:tcW w:w="1855" w:type="dxa"/>
            <w:tcBorders>
              <w:right w:val="single" w:color="000000" w:sz="6" w:space="0"/>
            </w:tcBorders>
            <w:vAlign w:val="top"/>
          </w:tcPr>
          <w:p w14:paraId="107142C3">
            <w:pPr>
              <w:rPr>
                <w:rFonts w:ascii="Arial"/>
                <w:color w:val="auto"/>
                <w:sz w:val="21"/>
                <w:highlight w:val="none"/>
              </w:rPr>
            </w:pPr>
          </w:p>
        </w:tc>
      </w:tr>
      <w:tr w14:paraId="2F6B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continue"/>
            <w:tcBorders>
              <w:top w:val="nil"/>
              <w:left w:val="single" w:color="000000" w:sz="6" w:space="0"/>
            </w:tcBorders>
            <w:textDirection w:val="tbRlV"/>
            <w:vAlign w:val="top"/>
          </w:tcPr>
          <w:p w14:paraId="38CA6D8D">
            <w:pPr>
              <w:rPr>
                <w:rFonts w:ascii="Arial"/>
                <w:color w:val="auto"/>
                <w:sz w:val="21"/>
                <w:highlight w:val="none"/>
              </w:rPr>
            </w:pPr>
          </w:p>
        </w:tc>
        <w:tc>
          <w:tcPr>
            <w:tcW w:w="915" w:type="dxa"/>
            <w:vAlign w:val="top"/>
          </w:tcPr>
          <w:p w14:paraId="452511CB">
            <w:pPr>
              <w:rPr>
                <w:rFonts w:ascii="Arial"/>
                <w:color w:val="auto"/>
                <w:sz w:val="21"/>
                <w:highlight w:val="none"/>
              </w:rPr>
            </w:pPr>
          </w:p>
        </w:tc>
        <w:tc>
          <w:tcPr>
            <w:tcW w:w="1203" w:type="dxa"/>
            <w:vAlign w:val="top"/>
          </w:tcPr>
          <w:p w14:paraId="7958C9A5">
            <w:pPr>
              <w:rPr>
                <w:rFonts w:ascii="Arial"/>
                <w:color w:val="auto"/>
                <w:sz w:val="21"/>
                <w:highlight w:val="none"/>
              </w:rPr>
            </w:pPr>
          </w:p>
        </w:tc>
        <w:tc>
          <w:tcPr>
            <w:tcW w:w="3384" w:type="dxa"/>
            <w:vAlign w:val="top"/>
          </w:tcPr>
          <w:p w14:paraId="3A70CC19">
            <w:pPr>
              <w:rPr>
                <w:rFonts w:ascii="Arial"/>
                <w:color w:val="auto"/>
                <w:sz w:val="21"/>
                <w:highlight w:val="none"/>
              </w:rPr>
            </w:pPr>
          </w:p>
        </w:tc>
        <w:tc>
          <w:tcPr>
            <w:tcW w:w="1855" w:type="dxa"/>
            <w:tcBorders>
              <w:right w:val="single" w:color="000000" w:sz="6" w:space="0"/>
            </w:tcBorders>
            <w:vAlign w:val="top"/>
          </w:tcPr>
          <w:p w14:paraId="17D6BF20">
            <w:pPr>
              <w:rPr>
                <w:rFonts w:ascii="Arial"/>
                <w:color w:val="auto"/>
                <w:sz w:val="21"/>
                <w:highlight w:val="none"/>
              </w:rPr>
            </w:pPr>
          </w:p>
        </w:tc>
      </w:tr>
      <w:tr w14:paraId="23183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restart"/>
            <w:tcBorders>
              <w:left w:val="single" w:color="000000" w:sz="6" w:space="0"/>
              <w:bottom w:val="nil"/>
            </w:tcBorders>
            <w:textDirection w:val="tbRlV"/>
            <w:vAlign w:val="top"/>
          </w:tcPr>
          <w:p w14:paraId="6A1F4FD6">
            <w:pPr>
              <w:spacing w:line="274" w:lineRule="auto"/>
              <w:rPr>
                <w:rFonts w:ascii="Arial"/>
                <w:color w:val="auto"/>
                <w:sz w:val="21"/>
                <w:highlight w:val="none"/>
              </w:rPr>
            </w:pPr>
          </w:p>
          <w:p w14:paraId="774C297E">
            <w:pPr>
              <w:pStyle w:val="11"/>
              <w:spacing w:before="70" w:line="210" w:lineRule="auto"/>
              <w:ind w:left="1535"/>
              <w:rPr>
                <w:color w:val="auto"/>
                <w:highlight w:val="none"/>
              </w:rPr>
            </w:pPr>
            <w:r>
              <w:rPr>
                <w:color w:val="auto"/>
                <w:spacing w:val="22"/>
                <w:highlight w:val="none"/>
              </w:rPr>
              <w:t>仲裁情况</w:t>
            </w:r>
          </w:p>
        </w:tc>
        <w:tc>
          <w:tcPr>
            <w:tcW w:w="915" w:type="dxa"/>
            <w:vAlign w:val="top"/>
          </w:tcPr>
          <w:p w14:paraId="3ED9308D">
            <w:pPr>
              <w:rPr>
                <w:rFonts w:ascii="Arial"/>
                <w:color w:val="auto"/>
                <w:sz w:val="21"/>
                <w:highlight w:val="none"/>
              </w:rPr>
            </w:pPr>
          </w:p>
        </w:tc>
        <w:tc>
          <w:tcPr>
            <w:tcW w:w="1203" w:type="dxa"/>
            <w:vAlign w:val="top"/>
          </w:tcPr>
          <w:p w14:paraId="1052E4AF">
            <w:pPr>
              <w:rPr>
                <w:rFonts w:ascii="Arial"/>
                <w:color w:val="auto"/>
                <w:sz w:val="21"/>
                <w:highlight w:val="none"/>
              </w:rPr>
            </w:pPr>
          </w:p>
        </w:tc>
        <w:tc>
          <w:tcPr>
            <w:tcW w:w="3384" w:type="dxa"/>
            <w:vAlign w:val="top"/>
          </w:tcPr>
          <w:p w14:paraId="6CD1544A">
            <w:pPr>
              <w:rPr>
                <w:rFonts w:ascii="Arial"/>
                <w:color w:val="auto"/>
                <w:sz w:val="21"/>
                <w:highlight w:val="none"/>
              </w:rPr>
            </w:pPr>
          </w:p>
        </w:tc>
        <w:tc>
          <w:tcPr>
            <w:tcW w:w="1855" w:type="dxa"/>
            <w:tcBorders>
              <w:right w:val="single" w:color="000000" w:sz="6" w:space="0"/>
            </w:tcBorders>
            <w:vAlign w:val="top"/>
          </w:tcPr>
          <w:p w14:paraId="7231EC23">
            <w:pPr>
              <w:rPr>
                <w:rFonts w:ascii="Arial"/>
                <w:color w:val="auto"/>
                <w:sz w:val="21"/>
                <w:highlight w:val="none"/>
              </w:rPr>
            </w:pPr>
          </w:p>
        </w:tc>
      </w:tr>
      <w:tr w14:paraId="150A9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73043137">
            <w:pPr>
              <w:rPr>
                <w:rFonts w:ascii="Arial"/>
                <w:color w:val="auto"/>
                <w:sz w:val="21"/>
                <w:highlight w:val="none"/>
              </w:rPr>
            </w:pPr>
          </w:p>
        </w:tc>
        <w:tc>
          <w:tcPr>
            <w:tcW w:w="915" w:type="dxa"/>
            <w:vAlign w:val="top"/>
          </w:tcPr>
          <w:p w14:paraId="3F4E53D8">
            <w:pPr>
              <w:rPr>
                <w:rFonts w:ascii="Arial"/>
                <w:color w:val="auto"/>
                <w:sz w:val="21"/>
                <w:highlight w:val="none"/>
              </w:rPr>
            </w:pPr>
          </w:p>
        </w:tc>
        <w:tc>
          <w:tcPr>
            <w:tcW w:w="1203" w:type="dxa"/>
            <w:vAlign w:val="top"/>
          </w:tcPr>
          <w:p w14:paraId="285FE732">
            <w:pPr>
              <w:rPr>
                <w:rFonts w:ascii="Arial"/>
                <w:color w:val="auto"/>
                <w:sz w:val="21"/>
                <w:highlight w:val="none"/>
              </w:rPr>
            </w:pPr>
          </w:p>
        </w:tc>
        <w:tc>
          <w:tcPr>
            <w:tcW w:w="3384" w:type="dxa"/>
            <w:vAlign w:val="top"/>
          </w:tcPr>
          <w:p w14:paraId="0CD9E74F">
            <w:pPr>
              <w:rPr>
                <w:rFonts w:ascii="Arial"/>
                <w:color w:val="auto"/>
                <w:sz w:val="21"/>
                <w:highlight w:val="none"/>
              </w:rPr>
            </w:pPr>
          </w:p>
        </w:tc>
        <w:tc>
          <w:tcPr>
            <w:tcW w:w="1855" w:type="dxa"/>
            <w:tcBorders>
              <w:right w:val="single" w:color="000000" w:sz="6" w:space="0"/>
            </w:tcBorders>
            <w:vAlign w:val="top"/>
          </w:tcPr>
          <w:p w14:paraId="1A863E6F">
            <w:pPr>
              <w:rPr>
                <w:rFonts w:ascii="Arial"/>
                <w:color w:val="auto"/>
                <w:sz w:val="21"/>
                <w:highlight w:val="none"/>
              </w:rPr>
            </w:pPr>
          </w:p>
        </w:tc>
      </w:tr>
      <w:tr w14:paraId="0328B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14:paraId="128D7512">
            <w:pPr>
              <w:rPr>
                <w:rFonts w:ascii="Arial"/>
                <w:color w:val="auto"/>
                <w:sz w:val="21"/>
                <w:highlight w:val="none"/>
              </w:rPr>
            </w:pPr>
          </w:p>
        </w:tc>
        <w:tc>
          <w:tcPr>
            <w:tcW w:w="915" w:type="dxa"/>
            <w:tcBorders>
              <w:bottom w:val="single" w:color="000000" w:sz="6" w:space="0"/>
            </w:tcBorders>
            <w:vAlign w:val="top"/>
          </w:tcPr>
          <w:p w14:paraId="01E83F6F">
            <w:pPr>
              <w:rPr>
                <w:rFonts w:ascii="Arial"/>
                <w:color w:val="auto"/>
                <w:sz w:val="21"/>
                <w:highlight w:val="none"/>
              </w:rPr>
            </w:pPr>
          </w:p>
        </w:tc>
        <w:tc>
          <w:tcPr>
            <w:tcW w:w="1203" w:type="dxa"/>
            <w:tcBorders>
              <w:bottom w:val="single" w:color="000000" w:sz="6" w:space="0"/>
            </w:tcBorders>
            <w:vAlign w:val="top"/>
          </w:tcPr>
          <w:p w14:paraId="311024DE">
            <w:pPr>
              <w:rPr>
                <w:rFonts w:ascii="Arial"/>
                <w:color w:val="auto"/>
                <w:sz w:val="21"/>
                <w:highlight w:val="none"/>
              </w:rPr>
            </w:pPr>
          </w:p>
        </w:tc>
        <w:tc>
          <w:tcPr>
            <w:tcW w:w="3384" w:type="dxa"/>
            <w:tcBorders>
              <w:bottom w:val="single" w:color="000000" w:sz="6" w:space="0"/>
            </w:tcBorders>
            <w:vAlign w:val="top"/>
          </w:tcPr>
          <w:p w14:paraId="138F68C3">
            <w:pPr>
              <w:rPr>
                <w:rFonts w:ascii="Arial"/>
                <w:color w:val="auto"/>
                <w:sz w:val="21"/>
                <w:highlight w:val="none"/>
              </w:rPr>
            </w:pPr>
          </w:p>
        </w:tc>
        <w:tc>
          <w:tcPr>
            <w:tcW w:w="1855" w:type="dxa"/>
            <w:tcBorders>
              <w:bottom w:val="single" w:color="000000" w:sz="6" w:space="0"/>
              <w:right w:val="single" w:color="000000" w:sz="6" w:space="0"/>
            </w:tcBorders>
            <w:vAlign w:val="top"/>
          </w:tcPr>
          <w:p w14:paraId="2461305E">
            <w:pPr>
              <w:rPr>
                <w:rFonts w:ascii="Arial"/>
                <w:color w:val="auto"/>
                <w:sz w:val="21"/>
                <w:highlight w:val="none"/>
              </w:rPr>
            </w:pPr>
          </w:p>
        </w:tc>
      </w:tr>
    </w:tbl>
    <w:p w14:paraId="6CF63866">
      <w:pPr>
        <w:spacing w:before="140" w:line="398" w:lineRule="exact"/>
        <w:ind w:left="2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 xml:space="preserve">备注： </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招标文件将近年发生的诉讼和仲裁</w:t>
      </w:r>
      <w:r>
        <w:rPr>
          <w:rFonts w:ascii="宋体" w:hAnsi="宋体" w:eastAsia="宋体" w:cs="宋体"/>
          <w:color w:val="auto"/>
          <w:spacing w:val="1"/>
          <w:position w:val="14"/>
          <w:sz w:val="21"/>
          <w:szCs w:val="21"/>
          <w:highlight w:val="none"/>
        </w:rPr>
        <w:t>情况作为资格条件或评分项的，投标人应当如</w:t>
      </w:r>
    </w:p>
    <w:p w14:paraId="04F8988D">
      <w:pPr>
        <w:spacing w:line="220" w:lineRule="auto"/>
        <w:ind w:left="86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实填报相关情况。 没有可不填。</w:t>
      </w:r>
    </w:p>
    <w:p w14:paraId="610B8E47">
      <w:pPr>
        <w:spacing w:before="153" w:line="350" w:lineRule="auto"/>
        <w:ind w:left="857" w:right="11" w:hanging="214"/>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近年发生的诉讼和仲裁情况仅限于申请</w:t>
      </w:r>
      <w:r>
        <w:rPr>
          <w:rFonts w:ascii="宋体" w:hAnsi="宋体" w:eastAsia="宋体" w:cs="宋体"/>
          <w:color w:val="auto"/>
          <w:spacing w:val="4"/>
          <w:sz w:val="21"/>
          <w:szCs w:val="21"/>
          <w:highlight w:val="none"/>
        </w:rPr>
        <w:t>人败诉的，且与签订或履行合同有关的案</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件，不包括调解结案以及未终审判决的诉讼或未裁决的仲裁。附法院或仲裁机构</w:t>
      </w:r>
    </w:p>
    <w:p w14:paraId="57990A5D">
      <w:pPr>
        <w:spacing w:before="1" w:line="219" w:lineRule="auto"/>
        <w:ind w:left="859"/>
        <w:rPr>
          <w:rFonts w:ascii="宋体" w:hAnsi="宋体" w:eastAsia="宋体" w:cs="宋体"/>
          <w:color w:val="auto"/>
          <w:sz w:val="21"/>
          <w:szCs w:val="21"/>
          <w:highlight w:val="none"/>
        </w:rPr>
      </w:pPr>
      <w:r>
        <w:rPr>
          <w:rFonts w:ascii="宋体" w:hAnsi="宋体" w:eastAsia="宋体" w:cs="宋体"/>
          <w:color w:val="auto"/>
          <w:sz w:val="21"/>
          <w:szCs w:val="21"/>
          <w:highlight w:val="none"/>
        </w:rPr>
        <w:t>作出的判决或裁决等有关法律文书。以仲裁裁决或判决书的制发时间</w:t>
      </w:r>
      <w:r>
        <w:rPr>
          <w:rFonts w:ascii="宋体" w:hAnsi="宋体" w:eastAsia="宋体" w:cs="宋体"/>
          <w:color w:val="auto"/>
          <w:spacing w:val="-1"/>
          <w:sz w:val="21"/>
          <w:szCs w:val="21"/>
          <w:highlight w:val="none"/>
        </w:rPr>
        <w:t>为准。</w:t>
      </w:r>
    </w:p>
    <w:p w14:paraId="3CABBEED">
      <w:pPr>
        <w:spacing w:before="153" w:line="352" w:lineRule="auto"/>
        <w:ind w:left="857" w:right="11" w:hanging="206"/>
        <w:rPr>
          <w:rFonts w:ascii="宋体" w:hAnsi="宋体" w:eastAsia="宋体" w:cs="宋体"/>
          <w:color w:val="auto"/>
          <w:sz w:val="21"/>
          <w:szCs w:val="21"/>
          <w:highlight w:val="none"/>
        </w:rPr>
      </w:pPr>
      <w:r>
        <w:rPr>
          <w:rFonts w:ascii="宋体" w:hAnsi="宋体" w:eastAsia="宋体" w:cs="宋体"/>
          <w:color w:val="auto"/>
          <w:sz w:val="21"/>
          <w:szCs w:val="21"/>
          <w:highlight w:val="none"/>
        </w:rPr>
        <w:t>3.投标人应如实填写近年发生的诉讼及仲裁情况， 否则视为不响应招标文件实质性</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要求， 其投标文件将被否决。如投标人因故意隐瞒且查证属实存在影响履约的诉</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讼及仲裁情况， 将视为弄虚作假或以不正当手段骗取中标的行为，将依法依规予</w:t>
      </w:r>
    </w:p>
    <w:p w14:paraId="4A0559E9">
      <w:pPr>
        <w:spacing w:line="223" w:lineRule="auto"/>
        <w:ind w:left="88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以处理。</w:t>
      </w:r>
    </w:p>
    <w:p w14:paraId="2DE2E69C">
      <w:pPr>
        <w:spacing w:line="223" w:lineRule="auto"/>
        <w:rPr>
          <w:rFonts w:ascii="宋体" w:hAnsi="宋体" w:eastAsia="宋体" w:cs="宋体"/>
          <w:color w:val="auto"/>
          <w:sz w:val="21"/>
          <w:szCs w:val="21"/>
          <w:highlight w:val="none"/>
        </w:rPr>
        <w:sectPr>
          <w:footerReference r:id="rId238" w:type="default"/>
          <w:pgSz w:w="11905" w:h="16839"/>
          <w:pgMar w:top="400" w:right="1785" w:bottom="1004" w:left="1785" w:header="0" w:footer="828" w:gutter="0"/>
          <w:pgNumType w:fmt="decimal"/>
          <w:cols w:space="720" w:num="1"/>
        </w:sectPr>
      </w:pPr>
    </w:p>
    <w:p w14:paraId="2464753A">
      <w:pPr>
        <w:pStyle w:val="3"/>
        <w:spacing w:line="267" w:lineRule="auto"/>
        <w:rPr>
          <w:color w:val="auto"/>
          <w:highlight w:val="none"/>
        </w:rPr>
      </w:pPr>
    </w:p>
    <w:p w14:paraId="57D23C69">
      <w:pPr>
        <w:pStyle w:val="3"/>
        <w:spacing w:line="267" w:lineRule="auto"/>
        <w:rPr>
          <w:color w:val="auto"/>
          <w:highlight w:val="none"/>
        </w:rPr>
      </w:pPr>
    </w:p>
    <w:p w14:paraId="6F867068">
      <w:pPr>
        <w:pStyle w:val="3"/>
        <w:spacing w:line="268" w:lineRule="auto"/>
        <w:rPr>
          <w:color w:val="auto"/>
          <w:highlight w:val="none"/>
        </w:rPr>
      </w:pPr>
    </w:p>
    <w:p w14:paraId="7BA5A847">
      <w:pPr>
        <w:pStyle w:val="3"/>
        <w:spacing w:line="268" w:lineRule="auto"/>
        <w:rPr>
          <w:color w:val="auto"/>
          <w:highlight w:val="none"/>
        </w:rPr>
      </w:pPr>
    </w:p>
    <w:p w14:paraId="12DE6CB1">
      <w:pPr>
        <w:spacing w:before="78" w:line="219" w:lineRule="auto"/>
        <w:ind w:left="2547"/>
        <w:rPr>
          <w:rFonts w:ascii="黑体" w:hAnsi="黑体" w:eastAsia="黑体" w:cs="黑体"/>
          <w:color w:val="auto"/>
          <w:sz w:val="24"/>
          <w:szCs w:val="24"/>
          <w:highlight w:val="none"/>
        </w:rPr>
      </w:pPr>
      <w:bookmarkStart w:id="1353" w:name="bookmark326"/>
      <w:bookmarkEnd w:id="1353"/>
      <w:r>
        <w:rPr>
          <w:rFonts w:ascii="Times New Roman" w:hAnsi="Times New Roman" w:eastAsia="Times New Roman" w:cs="Times New Roman"/>
          <w:color w:val="auto"/>
          <w:spacing w:val="-1"/>
          <w:sz w:val="24"/>
          <w:szCs w:val="24"/>
          <w:highlight w:val="none"/>
        </w:rPr>
        <w:t xml:space="preserve">5-3 </w:t>
      </w:r>
      <w:r>
        <w:rPr>
          <w:rFonts w:ascii="黑体" w:hAnsi="黑体" w:eastAsia="黑体" w:cs="黑体"/>
          <w:color w:val="auto"/>
          <w:spacing w:val="-1"/>
          <w:sz w:val="24"/>
          <w:szCs w:val="24"/>
          <w:highlight w:val="none"/>
        </w:rPr>
        <w:t>近年投标人工程获奖情况表</w:t>
      </w:r>
    </w:p>
    <w:p w14:paraId="4505956E">
      <w:pPr>
        <w:spacing w:before="160"/>
        <w:rPr>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13E46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58C682CE">
            <w:pPr>
              <w:pStyle w:val="11"/>
              <w:spacing w:before="159" w:line="222" w:lineRule="auto"/>
              <w:ind w:left="185"/>
              <w:rPr>
                <w:color w:val="auto"/>
                <w:highlight w:val="none"/>
              </w:rPr>
            </w:pPr>
            <w:r>
              <w:rPr>
                <w:color w:val="auto"/>
                <w:spacing w:val="-2"/>
                <w:highlight w:val="none"/>
              </w:rPr>
              <w:t>序号</w:t>
            </w:r>
          </w:p>
        </w:tc>
        <w:tc>
          <w:tcPr>
            <w:tcW w:w="2399" w:type="dxa"/>
            <w:vAlign w:val="top"/>
          </w:tcPr>
          <w:p w14:paraId="0F4E8B0D">
            <w:pPr>
              <w:pStyle w:val="11"/>
              <w:spacing w:before="159" w:line="221" w:lineRule="auto"/>
              <w:ind w:left="789"/>
              <w:rPr>
                <w:color w:val="auto"/>
                <w:highlight w:val="none"/>
              </w:rPr>
            </w:pPr>
            <w:r>
              <w:rPr>
                <w:color w:val="auto"/>
                <w:spacing w:val="-2"/>
                <w:highlight w:val="none"/>
              </w:rPr>
              <w:t>项目名称</w:t>
            </w:r>
          </w:p>
        </w:tc>
        <w:tc>
          <w:tcPr>
            <w:tcW w:w="1799" w:type="dxa"/>
            <w:vAlign w:val="top"/>
          </w:tcPr>
          <w:p w14:paraId="74318034">
            <w:pPr>
              <w:pStyle w:val="11"/>
              <w:spacing w:before="158" w:line="221" w:lineRule="auto"/>
              <w:ind w:left="488"/>
              <w:rPr>
                <w:color w:val="auto"/>
                <w:highlight w:val="none"/>
              </w:rPr>
            </w:pPr>
            <w:r>
              <w:rPr>
                <w:color w:val="auto"/>
                <w:spacing w:val="-2"/>
                <w:highlight w:val="none"/>
              </w:rPr>
              <w:t>获奖名称</w:t>
            </w:r>
          </w:p>
        </w:tc>
        <w:tc>
          <w:tcPr>
            <w:tcW w:w="1440" w:type="dxa"/>
            <w:vAlign w:val="top"/>
          </w:tcPr>
          <w:p w14:paraId="50A4FFB0">
            <w:pPr>
              <w:pStyle w:val="11"/>
              <w:spacing w:before="158" w:line="221" w:lineRule="auto"/>
              <w:ind w:left="313"/>
              <w:rPr>
                <w:color w:val="auto"/>
                <w:highlight w:val="none"/>
              </w:rPr>
            </w:pPr>
            <w:r>
              <w:rPr>
                <w:color w:val="auto"/>
                <w:spacing w:val="-2"/>
                <w:highlight w:val="none"/>
              </w:rPr>
              <w:t>获奖日期</w:t>
            </w:r>
          </w:p>
        </w:tc>
        <w:tc>
          <w:tcPr>
            <w:tcW w:w="2164" w:type="dxa"/>
            <w:vAlign w:val="top"/>
          </w:tcPr>
          <w:p w14:paraId="437E68DD">
            <w:pPr>
              <w:pStyle w:val="11"/>
              <w:spacing w:before="159" w:line="221" w:lineRule="auto"/>
              <w:ind w:left="670"/>
              <w:rPr>
                <w:color w:val="auto"/>
                <w:highlight w:val="none"/>
              </w:rPr>
            </w:pPr>
            <w:r>
              <w:rPr>
                <w:color w:val="auto"/>
                <w:spacing w:val="-1"/>
                <w:highlight w:val="none"/>
              </w:rPr>
              <w:t>颁奖单位</w:t>
            </w:r>
          </w:p>
        </w:tc>
      </w:tr>
      <w:tr w14:paraId="4A1CA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C617519">
            <w:pPr>
              <w:rPr>
                <w:rFonts w:ascii="Arial"/>
                <w:color w:val="auto"/>
                <w:sz w:val="21"/>
                <w:highlight w:val="none"/>
              </w:rPr>
            </w:pPr>
          </w:p>
        </w:tc>
        <w:tc>
          <w:tcPr>
            <w:tcW w:w="2399" w:type="dxa"/>
            <w:vAlign w:val="top"/>
          </w:tcPr>
          <w:p w14:paraId="5DD52AE2">
            <w:pPr>
              <w:rPr>
                <w:rFonts w:ascii="Arial"/>
                <w:color w:val="auto"/>
                <w:sz w:val="21"/>
                <w:highlight w:val="none"/>
              </w:rPr>
            </w:pPr>
          </w:p>
        </w:tc>
        <w:tc>
          <w:tcPr>
            <w:tcW w:w="1799" w:type="dxa"/>
            <w:vAlign w:val="top"/>
          </w:tcPr>
          <w:p w14:paraId="38A62E61">
            <w:pPr>
              <w:rPr>
                <w:rFonts w:ascii="Arial"/>
                <w:color w:val="auto"/>
                <w:sz w:val="21"/>
                <w:highlight w:val="none"/>
              </w:rPr>
            </w:pPr>
          </w:p>
        </w:tc>
        <w:tc>
          <w:tcPr>
            <w:tcW w:w="1440" w:type="dxa"/>
            <w:vAlign w:val="top"/>
          </w:tcPr>
          <w:p w14:paraId="4B32B230">
            <w:pPr>
              <w:rPr>
                <w:rFonts w:ascii="Arial"/>
                <w:color w:val="auto"/>
                <w:sz w:val="21"/>
                <w:highlight w:val="none"/>
              </w:rPr>
            </w:pPr>
          </w:p>
        </w:tc>
        <w:tc>
          <w:tcPr>
            <w:tcW w:w="2164" w:type="dxa"/>
            <w:vAlign w:val="top"/>
          </w:tcPr>
          <w:p w14:paraId="743ACE55">
            <w:pPr>
              <w:rPr>
                <w:rFonts w:ascii="Arial"/>
                <w:color w:val="auto"/>
                <w:sz w:val="21"/>
                <w:highlight w:val="none"/>
              </w:rPr>
            </w:pPr>
          </w:p>
        </w:tc>
      </w:tr>
      <w:tr w14:paraId="1D0EB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E090B4C">
            <w:pPr>
              <w:rPr>
                <w:rFonts w:ascii="Arial"/>
                <w:color w:val="auto"/>
                <w:sz w:val="21"/>
                <w:highlight w:val="none"/>
              </w:rPr>
            </w:pPr>
          </w:p>
        </w:tc>
        <w:tc>
          <w:tcPr>
            <w:tcW w:w="2399" w:type="dxa"/>
            <w:vAlign w:val="top"/>
          </w:tcPr>
          <w:p w14:paraId="017E67B4">
            <w:pPr>
              <w:rPr>
                <w:rFonts w:ascii="Arial"/>
                <w:color w:val="auto"/>
                <w:sz w:val="21"/>
                <w:highlight w:val="none"/>
              </w:rPr>
            </w:pPr>
          </w:p>
        </w:tc>
        <w:tc>
          <w:tcPr>
            <w:tcW w:w="1799" w:type="dxa"/>
            <w:vAlign w:val="top"/>
          </w:tcPr>
          <w:p w14:paraId="63AB6B6D">
            <w:pPr>
              <w:rPr>
                <w:rFonts w:ascii="Arial"/>
                <w:color w:val="auto"/>
                <w:sz w:val="21"/>
                <w:highlight w:val="none"/>
              </w:rPr>
            </w:pPr>
          </w:p>
        </w:tc>
        <w:tc>
          <w:tcPr>
            <w:tcW w:w="1440" w:type="dxa"/>
            <w:vAlign w:val="top"/>
          </w:tcPr>
          <w:p w14:paraId="22556822">
            <w:pPr>
              <w:rPr>
                <w:rFonts w:ascii="Arial"/>
                <w:color w:val="auto"/>
                <w:sz w:val="21"/>
                <w:highlight w:val="none"/>
              </w:rPr>
            </w:pPr>
          </w:p>
        </w:tc>
        <w:tc>
          <w:tcPr>
            <w:tcW w:w="2164" w:type="dxa"/>
            <w:vAlign w:val="top"/>
          </w:tcPr>
          <w:p w14:paraId="6CEDB9A5">
            <w:pPr>
              <w:rPr>
                <w:rFonts w:ascii="Arial"/>
                <w:color w:val="auto"/>
                <w:sz w:val="21"/>
                <w:highlight w:val="none"/>
              </w:rPr>
            </w:pPr>
          </w:p>
        </w:tc>
      </w:tr>
      <w:tr w14:paraId="401C1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EB17ACC">
            <w:pPr>
              <w:rPr>
                <w:rFonts w:ascii="Arial"/>
                <w:color w:val="auto"/>
                <w:sz w:val="21"/>
                <w:highlight w:val="none"/>
              </w:rPr>
            </w:pPr>
          </w:p>
        </w:tc>
        <w:tc>
          <w:tcPr>
            <w:tcW w:w="2399" w:type="dxa"/>
            <w:vAlign w:val="top"/>
          </w:tcPr>
          <w:p w14:paraId="4B2C4846">
            <w:pPr>
              <w:rPr>
                <w:rFonts w:ascii="Arial"/>
                <w:color w:val="auto"/>
                <w:sz w:val="21"/>
                <w:highlight w:val="none"/>
              </w:rPr>
            </w:pPr>
          </w:p>
        </w:tc>
        <w:tc>
          <w:tcPr>
            <w:tcW w:w="1799" w:type="dxa"/>
            <w:vAlign w:val="top"/>
          </w:tcPr>
          <w:p w14:paraId="1A1C3997">
            <w:pPr>
              <w:rPr>
                <w:rFonts w:ascii="Arial"/>
                <w:color w:val="auto"/>
                <w:sz w:val="21"/>
                <w:highlight w:val="none"/>
              </w:rPr>
            </w:pPr>
          </w:p>
        </w:tc>
        <w:tc>
          <w:tcPr>
            <w:tcW w:w="1440" w:type="dxa"/>
            <w:vAlign w:val="top"/>
          </w:tcPr>
          <w:p w14:paraId="166705D1">
            <w:pPr>
              <w:rPr>
                <w:rFonts w:ascii="Arial"/>
                <w:color w:val="auto"/>
                <w:sz w:val="21"/>
                <w:highlight w:val="none"/>
              </w:rPr>
            </w:pPr>
          </w:p>
        </w:tc>
        <w:tc>
          <w:tcPr>
            <w:tcW w:w="2164" w:type="dxa"/>
            <w:vAlign w:val="top"/>
          </w:tcPr>
          <w:p w14:paraId="5D5D3848">
            <w:pPr>
              <w:rPr>
                <w:rFonts w:ascii="Arial"/>
                <w:color w:val="auto"/>
                <w:sz w:val="21"/>
                <w:highlight w:val="none"/>
              </w:rPr>
            </w:pPr>
          </w:p>
        </w:tc>
      </w:tr>
      <w:tr w14:paraId="6BF27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97D8050">
            <w:pPr>
              <w:rPr>
                <w:rFonts w:ascii="Arial"/>
                <w:color w:val="auto"/>
                <w:sz w:val="21"/>
                <w:highlight w:val="none"/>
              </w:rPr>
            </w:pPr>
          </w:p>
        </w:tc>
        <w:tc>
          <w:tcPr>
            <w:tcW w:w="2399" w:type="dxa"/>
            <w:vAlign w:val="top"/>
          </w:tcPr>
          <w:p w14:paraId="1FB40CA0">
            <w:pPr>
              <w:rPr>
                <w:rFonts w:ascii="Arial"/>
                <w:color w:val="auto"/>
                <w:sz w:val="21"/>
                <w:highlight w:val="none"/>
              </w:rPr>
            </w:pPr>
          </w:p>
        </w:tc>
        <w:tc>
          <w:tcPr>
            <w:tcW w:w="1799" w:type="dxa"/>
            <w:vAlign w:val="top"/>
          </w:tcPr>
          <w:p w14:paraId="13B7D057">
            <w:pPr>
              <w:rPr>
                <w:rFonts w:ascii="Arial"/>
                <w:color w:val="auto"/>
                <w:sz w:val="21"/>
                <w:highlight w:val="none"/>
              </w:rPr>
            </w:pPr>
          </w:p>
        </w:tc>
        <w:tc>
          <w:tcPr>
            <w:tcW w:w="1440" w:type="dxa"/>
            <w:vAlign w:val="top"/>
          </w:tcPr>
          <w:p w14:paraId="61C9D689">
            <w:pPr>
              <w:rPr>
                <w:rFonts w:ascii="Arial"/>
                <w:color w:val="auto"/>
                <w:sz w:val="21"/>
                <w:highlight w:val="none"/>
              </w:rPr>
            </w:pPr>
          </w:p>
        </w:tc>
        <w:tc>
          <w:tcPr>
            <w:tcW w:w="2164" w:type="dxa"/>
            <w:vAlign w:val="top"/>
          </w:tcPr>
          <w:p w14:paraId="0F75A5C3">
            <w:pPr>
              <w:rPr>
                <w:rFonts w:ascii="Arial"/>
                <w:color w:val="auto"/>
                <w:sz w:val="21"/>
                <w:highlight w:val="none"/>
              </w:rPr>
            </w:pPr>
          </w:p>
        </w:tc>
      </w:tr>
      <w:tr w14:paraId="1A44A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702FB1E">
            <w:pPr>
              <w:rPr>
                <w:rFonts w:ascii="Arial"/>
                <w:color w:val="auto"/>
                <w:sz w:val="21"/>
                <w:highlight w:val="none"/>
              </w:rPr>
            </w:pPr>
          </w:p>
        </w:tc>
        <w:tc>
          <w:tcPr>
            <w:tcW w:w="2399" w:type="dxa"/>
            <w:vAlign w:val="top"/>
          </w:tcPr>
          <w:p w14:paraId="4FB2ED85">
            <w:pPr>
              <w:rPr>
                <w:rFonts w:ascii="Arial"/>
                <w:color w:val="auto"/>
                <w:sz w:val="21"/>
                <w:highlight w:val="none"/>
              </w:rPr>
            </w:pPr>
          </w:p>
        </w:tc>
        <w:tc>
          <w:tcPr>
            <w:tcW w:w="1799" w:type="dxa"/>
            <w:vAlign w:val="top"/>
          </w:tcPr>
          <w:p w14:paraId="0BB59718">
            <w:pPr>
              <w:rPr>
                <w:rFonts w:ascii="Arial"/>
                <w:color w:val="auto"/>
                <w:sz w:val="21"/>
                <w:highlight w:val="none"/>
              </w:rPr>
            </w:pPr>
          </w:p>
        </w:tc>
        <w:tc>
          <w:tcPr>
            <w:tcW w:w="1440" w:type="dxa"/>
            <w:vAlign w:val="top"/>
          </w:tcPr>
          <w:p w14:paraId="2B393642">
            <w:pPr>
              <w:rPr>
                <w:rFonts w:ascii="Arial"/>
                <w:color w:val="auto"/>
                <w:sz w:val="21"/>
                <w:highlight w:val="none"/>
              </w:rPr>
            </w:pPr>
          </w:p>
        </w:tc>
        <w:tc>
          <w:tcPr>
            <w:tcW w:w="2164" w:type="dxa"/>
            <w:vAlign w:val="top"/>
          </w:tcPr>
          <w:p w14:paraId="0A66ADBF">
            <w:pPr>
              <w:rPr>
                <w:rFonts w:ascii="Arial"/>
                <w:color w:val="auto"/>
                <w:sz w:val="21"/>
                <w:highlight w:val="none"/>
              </w:rPr>
            </w:pPr>
          </w:p>
        </w:tc>
      </w:tr>
      <w:tr w14:paraId="3D5D5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27BBC3ED">
            <w:pPr>
              <w:rPr>
                <w:rFonts w:ascii="Arial"/>
                <w:color w:val="auto"/>
                <w:sz w:val="21"/>
                <w:highlight w:val="none"/>
              </w:rPr>
            </w:pPr>
          </w:p>
        </w:tc>
        <w:tc>
          <w:tcPr>
            <w:tcW w:w="2399" w:type="dxa"/>
            <w:vAlign w:val="top"/>
          </w:tcPr>
          <w:p w14:paraId="1A21E2A5">
            <w:pPr>
              <w:rPr>
                <w:rFonts w:ascii="Arial"/>
                <w:color w:val="auto"/>
                <w:sz w:val="21"/>
                <w:highlight w:val="none"/>
              </w:rPr>
            </w:pPr>
          </w:p>
        </w:tc>
        <w:tc>
          <w:tcPr>
            <w:tcW w:w="1799" w:type="dxa"/>
            <w:vAlign w:val="top"/>
          </w:tcPr>
          <w:p w14:paraId="3E6B12D2">
            <w:pPr>
              <w:rPr>
                <w:rFonts w:ascii="Arial"/>
                <w:color w:val="auto"/>
                <w:sz w:val="21"/>
                <w:highlight w:val="none"/>
              </w:rPr>
            </w:pPr>
          </w:p>
        </w:tc>
        <w:tc>
          <w:tcPr>
            <w:tcW w:w="1440" w:type="dxa"/>
            <w:vAlign w:val="top"/>
          </w:tcPr>
          <w:p w14:paraId="736C838E">
            <w:pPr>
              <w:rPr>
                <w:rFonts w:ascii="Arial"/>
                <w:color w:val="auto"/>
                <w:sz w:val="21"/>
                <w:highlight w:val="none"/>
              </w:rPr>
            </w:pPr>
          </w:p>
        </w:tc>
        <w:tc>
          <w:tcPr>
            <w:tcW w:w="2164" w:type="dxa"/>
            <w:vAlign w:val="top"/>
          </w:tcPr>
          <w:p w14:paraId="52428247">
            <w:pPr>
              <w:rPr>
                <w:rFonts w:ascii="Arial"/>
                <w:color w:val="auto"/>
                <w:sz w:val="21"/>
                <w:highlight w:val="none"/>
              </w:rPr>
            </w:pPr>
          </w:p>
        </w:tc>
      </w:tr>
      <w:tr w14:paraId="2399C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F0E60DB">
            <w:pPr>
              <w:rPr>
                <w:rFonts w:ascii="Arial"/>
                <w:color w:val="auto"/>
                <w:sz w:val="21"/>
                <w:highlight w:val="none"/>
              </w:rPr>
            </w:pPr>
          </w:p>
        </w:tc>
        <w:tc>
          <w:tcPr>
            <w:tcW w:w="2399" w:type="dxa"/>
            <w:vAlign w:val="top"/>
          </w:tcPr>
          <w:p w14:paraId="62D30D3D">
            <w:pPr>
              <w:rPr>
                <w:rFonts w:ascii="Arial"/>
                <w:color w:val="auto"/>
                <w:sz w:val="21"/>
                <w:highlight w:val="none"/>
              </w:rPr>
            </w:pPr>
          </w:p>
        </w:tc>
        <w:tc>
          <w:tcPr>
            <w:tcW w:w="1799" w:type="dxa"/>
            <w:vAlign w:val="top"/>
          </w:tcPr>
          <w:p w14:paraId="73201DCB">
            <w:pPr>
              <w:rPr>
                <w:rFonts w:ascii="Arial"/>
                <w:color w:val="auto"/>
                <w:sz w:val="21"/>
                <w:highlight w:val="none"/>
              </w:rPr>
            </w:pPr>
          </w:p>
        </w:tc>
        <w:tc>
          <w:tcPr>
            <w:tcW w:w="1440" w:type="dxa"/>
            <w:vAlign w:val="top"/>
          </w:tcPr>
          <w:p w14:paraId="5409D799">
            <w:pPr>
              <w:rPr>
                <w:rFonts w:ascii="Arial"/>
                <w:color w:val="auto"/>
                <w:sz w:val="21"/>
                <w:highlight w:val="none"/>
              </w:rPr>
            </w:pPr>
          </w:p>
        </w:tc>
        <w:tc>
          <w:tcPr>
            <w:tcW w:w="2164" w:type="dxa"/>
            <w:vAlign w:val="top"/>
          </w:tcPr>
          <w:p w14:paraId="710365BC">
            <w:pPr>
              <w:rPr>
                <w:rFonts w:ascii="Arial"/>
                <w:color w:val="auto"/>
                <w:sz w:val="21"/>
                <w:highlight w:val="none"/>
              </w:rPr>
            </w:pPr>
          </w:p>
        </w:tc>
      </w:tr>
      <w:tr w14:paraId="6202A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5146C38">
            <w:pPr>
              <w:rPr>
                <w:rFonts w:ascii="Arial"/>
                <w:color w:val="auto"/>
                <w:sz w:val="21"/>
                <w:highlight w:val="none"/>
              </w:rPr>
            </w:pPr>
          </w:p>
        </w:tc>
        <w:tc>
          <w:tcPr>
            <w:tcW w:w="2399" w:type="dxa"/>
            <w:vAlign w:val="top"/>
          </w:tcPr>
          <w:p w14:paraId="4B0C5F5E">
            <w:pPr>
              <w:rPr>
                <w:rFonts w:ascii="Arial"/>
                <w:color w:val="auto"/>
                <w:sz w:val="21"/>
                <w:highlight w:val="none"/>
              </w:rPr>
            </w:pPr>
          </w:p>
        </w:tc>
        <w:tc>
          <w:tcPr>
            <w:tcW w:w="1799" w:type="dxa"/>
            <w:vAlign w:val="top"/>
          </w:tcPr>
          <w:p w14:paraId="303B48FA">
            <w:pPr>
              <w:rPr>
                <w:rFonts w:ascii="Arial"/>
                <w:color w:val="auto"/>
                <w:sz w:val="21"/>
                <w:highlight w:val="none"/>
              </w:rPr>
            </w:pPr>
          </w:p>
        </w:tc>
        <w:tc>
          <w:tcPr>
            <w:tcW w:w="1440" w:type="dxa"/>
            <w:vAlign w:val="top"/>
          </w:tcPr>
          <w:p w14:paraId="310DED27">
            <w:pPr>
              <w:rPr>
                <w:rFonts w:ascii="Arial"/>
                <w:color w:val="auto"/>
                <w:sz w:val="21"/>
                <w:highlight w:val="none"/>
              </w:rPr>
            </w:pPr>
          </w:p>
        </w:tc>
        <w:tc>
          <w:tcPr>
            <w:tcW w:w="2164" w:type="dxa"/>
            <w:vAlign w:val="top"/>
          </w:tcPr>
          <w:p w14:paraId="53892E67">
            <w:pPr>
              <w:rPr>
                <w:rFonts w:ascii="Arial"/>
                <w:color w:val="auto"/>
                <w:sz w:val="21"/>
                <w:highlight w:val="none"/>
              </w:rPr>
            </w:pPr>
          </w:p>
        </w:tc>
      </w:tr>
      <w:tr w14:paraId="39029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5F5D83C">
            <w:pPr>
              <w:rPr>
                <w:rFonts w:ascii="Arial"/>
                <w:color w:val="auto"/>
                <w:sz w:val="21"/>
                <w:highlight w:val="none"/>
              </w:rPr>
            </w:pPr>
          </w:p>
        </w:tc>
        <w:tc>
          <w:tcPr>
            <w:tcW w:w="2399" w:type="dxa"/>
            <w:vAlign w:val="top"/>
          </w:tcPr>
          <w:p w14:paraId="11760E8C">
            <w:pPr>
              <w:rPr>
                <w:rFonts w:ascii="Arial"/>
                <w:color w:val="auto"/>
                <w:sz w:val="21"/>
                <w:highlight w:val="none"/>
              </w:rPr>
            </w:pPr>
          </w:p>
        </w:tc>
        <w:tc>
          <w:tcPr>
            <w:tcW w:w="1799" w:type="dxa"/>
            <w:vAlign w:val="top"/>
          </w:tcPr>
          <w:p w14:paraId="2DE24AED">
            <w:pPr>
              <w:rPr>
                <w:rFonts w:ascii="Arial"/>
                <w:color w:val="auto"/>
                <w:sz w:val="21"/>
                <w:highlight w:val="none"/>
              </w:rPr>
            </w:pPr>
          </w:p>
        </w:tc>
        <w:tc>
          <w:tcPr>
            <w:tcW w:w="1440" w:type="dxa"/>
            <w:vAlign w:val="top"/>
          </w:tcPr>
          <w:p w14:paraId="475D14F8">
            <w:pPr>
              <w:rPr>
                <w:rFonts w:ascii="Arial"/>
                <w:color w:val="auto"/>
                <w:sz w:val="21"/>
                <w:highlight w:val="none"/>
              </w:rPr>
            </w:pPr>
          </w:p>
        </w:tc>
        <w:tc>
          <w:tcPr>
            <w:tcW w:w="2164" w:type="dxa"/>
            <w:vAlign w:val="top"/>
          </w:tcPr>
          <w:p w14:paraId="436B117F">
            <w:pPr>
              <w:rPr>
                <w:rFonts w:ascii="Arial"/>
                <w:color w:val="auto"/>
                <w:sz w:val="21"/>
                <w:highlight w:val="none"/>
              </w:rPr>
            </w:pPr>
          </w:p>
        </w:tc>
      </w:tr>
      <w:tr w14:paraId="5DD4E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39A6DFE">
            <w:pPr>
              <w:rPr>
                <w:rFonts w:ascii="Arial"/>
                <w:color w:val="auto"/>
                <w:sz w:val="21"/>
                <w:highlight w:val="none"/>
              </w:rPr>
            </w:pPr>
          </w:p>
        </w:tc>
        <w:tc>
          <w:tcPr>
            <w:tcW w:w="2399" w:type="dxa"/>
            <w:vAlign w:val="top"/>
          </w:tcPr>
          <w:p w14:paraId="66D752F4">
            <w:pPr>
              <w:rPr>
                <w:rFonts w:ascii="Arial"/>
                <w:color w:val="auto"/>
                <w:sz w:val="21"/>
                <w:highlight w:val="none"/>
              </w:rPr>
            </w:pPr>
          </w:p>
        </w:tc>
        <w:tc>
          <w:tcPr>
            <w:tcW w:w="1799" w:type="dxa"/>
            <w:vAlign w:val="top"/>
          </w:tcPr>
          <w:p w14:paraId="176F1981">
            <w:pPr>
              <w:rPr>
                <w:rFonts w:ascii="Arial"/>
                <w:color w:val="auto"/>
                <w:sz w:val="21"/>
                <w:highlight w:val="none"/>
              </w:rPr>
            </w:pPr>
          </w:p>
        </w:tc>
        <w:tc>
          <w:tcPr>
            <w:tcW w:w="1440" w:type="dxa"/>
            <w:vAlign w:val="top"/>
          </w:tcPr>
          <w:p w14:paraId="525FD74B">
            <w:pPr>
              <w:rPr>
                <w:rFonts w:ascii="Arial"/>
                <w:color w:val="auto"/>
                <w:sz w:val="21"/>
                <w:highlight w:val="none"/>
              </w:rPr>
            </w:pPr>
          </w:p>
        </w:tc>
        <w:tc>
          <w:tcPr>
            <w:tcW w:w="2164" w:type="dxa"/>
            <w:vAlign w:val="top"/>
          </w:tcPr>
          <w:p w14:paraId="798C8888">
            <w:pPr>
              <w:rPr>
                <w:rFonts w:ascii="Arial"/>
                <w:color w:val="auto"/>
                <w:sz w:val="21"/>
                <w:highlight w:val="none"/>
              </w:rPr>
            </w:pPr>
          </w:p>
        </w:tc>
      </w:tr>
      <w:tr w14:paraId="6A817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1B7BC3F">
            <w:pPr>
              <w:rPr>
                <w:rFonts w:ascii="Arial"/>
                <w:color w:val="auto"/>
                <w:sz w:val="21"/>
                <w:highlight w:val="none"/>
              </w:rPr>
            </w:pPr>
          </w:p>
        </w:tc>
        <w:tc>
          <w:tcPr>
            <w:tcW w:w="2399" w:type="dxa"/>
            <w:vAlign w:val="top"/>
          </w:tcPr>
          <w:p w14:paraId="49F0BE2F">
            <w:pPr>
              <w:rPr>
                <w:rFonts w:ascii="Arial"/>
                <w:color w:val="auto"/>
                <w:sz w:val="21"/>
                <w:highlight w:val="none"/>
              </w:rPr>
            </w:pPr>
          </w:p>
        </w:tc>
        <w:tc>
          <w:tcPr>
            <w:tcW w:w="1799" w:type="dxa"/>
            <w:vAlign w:val="top"/>
          </w:tcPr>
          <w:p w14:paraId="412B945D">
            <w:pPr>
              <w:rPr>
                <w:rFonts w:ascii="Arial"/>
                <w:color w:val="auto"/>
                <w:sz w:val="21"/>
                <w:highlight w:val="none"/>
              </w:rPr>
            </w:pPr>
          </w:p>
        </w:tc>
        <w:tc>
          <w:tcPr>
            <w:tcW w:w="1440" w:type="dxa"/>
            <w:vAlign w:val="top"/>
          </w:tcPr>
          <w:p w14:paraId="41470FD2">
            <w:pPr>
              <w:rPr>
                <w:rFonts w:ascii="Arial"/>
                <w:color w:val="auto"/>
                <w:sz w:val="21"/>
                <w:highlight w:val="none"/>
              </w:rPr>
            </w:pPr>
          </w:p>
        </w:tc>
        <w:tc>
          <w:tcPr>
            <w:tcW w:w="2164" w:type="dxa"/>
            <w:vAlign w:val="top"/>
          </w:tcPr>
          <w:p w14:paraId="73F95986">
            <w:pPr>
              <w:rPr>
                <w:rFonts w:ascii="Arial"/>
                <w:color w:val="auto"/>
                <w:sz w:val="21"/>
                <w:highlight w:val="none"/>
              </w:rPr>
            </w:pPr>
          </w:p>
        </w:tc>
      </w:tr>
      <w:tr w14:paraId="3F449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7D58C43">
            <w:pPr>
              <w:rPr>
                <w:rFonts w:ascii="Arial"/>
                <w:color w:val="auto"/>
                <w:sz w:val="21"/>
                <w:highlight w:val="none"/>
              </w:rPr>
            </w:pPr>
          </w:p>
        </w:tc>
        <w:tc>
          <w:tcPr>
            <w:tcW w:w="2399" w:type="dxa"/>
            <w:vAlign w:val="top"/>
          </w:tcPr>
          <w:p w14:paraId="54050152">
            <w:pPr>
              <w:rPr>
                <w:rFonts w:ascii="Arial"/>
                <w:color w:val="auto"/>
                <w:sz w:val="21"/>
                <w:highlight w:val="none"/>
              </w:rPr>
            </w:pPr>
          </w:p>
        </w:tc>
        <w:tc>
          <w:tcPr>
            <w:tcW w:w="1799" w:type="dxa"/>
            <w:vAlign w:val="top"/>
          </w:tcPr>
          <w:p w14:paraId="59CACDF0">
            <w:pPr>
              <w:rPr>
                <w:rFonts w:ascii="Arial"/>
                <w:color w:val="auto"/>
                <w:sz w:val="21"/>
                <w:highlight w:val="none"/>
              </w:rPr>
            </w:pPr>
          </w:p>
        </w:tc>
        <w:tc>
          <w:tcPr>
            <w:tcW w:w="1440" w:type="dxa"/>
            <w:vAlign w:val="top"/>
          </w:tcPr>
          <w:p w14:paraId="3A244EE1">
            <w:pPr>
              <w:rPr>
                <w:rFonts w:ascii="Arial"/>
                <w:color w:val="auto"/>
                <w:sz w:val="21"/>
                <w:highlight w:val="none"/>
              </w:rPr>
            </w:pPr>
          </w:p>
        </w:tc>
        <w:tc>
          <w:tcPr>
            <w:tcW w:w="2164" w:type="dxa"/>
            <w:vAlign w:val="top"/>
          </w:tcPr>
          <w:p w14:paraId="308667B8">
            <w:pPr>
              <w:rPr>
                <w:rFonts w:ascii="Arial"/>
                <w:color w:val="auto"/>
                <w:sz w:val="21"/>
                <w:highlight w:val="none"/>
              </w:rPr>
            </w:pPr>
          </w:p>
        </w:tc>
      </w:tr>
      <w:tr w14:paraId="16D74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57007218">
            <w:pPr>
              <w:rPr>
                <w:rFonts w:ascii="Arial"/>
                <w:color w:val="auto"/>
                <w:sz w:val="21"/>
                <w:highlight w:val="none"/>
              </w:rPr>
            </w:pPr>
          </w:p>
        </w:tc>
        <w:tc>
          <w:tcPr>
            <w:tcW w:w="2399" w:type="dxa"/>
            <w:vAlign w:val="top"/>
          </w:tcPr>
          <w:p w14:paraId="4BDDD0F2">
            <w:pPr>
              <w:rPr>
                <w:rFonts w:ascii="Arial"/>
                <w:color w:val="auto"/>
                <w:sz w:val="21"/>
                <w:highlight w:val="none"/>
              </w:rPr>
            </w:pPr>
          </w:p>
        </w:tc>
        <w:tc>
          <w:tcPr>
            <w:tcW w:w="1799" w:type="dxa"/>
            <w:vAlign w:val="top"/>
          </w:tcPr>
          <w:p w14:paraId="1FB538B1">
            <w:pPr>
              <w:rPr>
                <w:rFonts w:ascii="Arial"/>
                <w:color w:val="auto"/>
                <w:sz w:val="21"/>
                <w:highlight w:val="none"/>
              </w:rPr>
            </w:pPr>
          </w:p>
        </w:tc>
        <w:tc>
          <w:tcPr>
            <w:tcW w:w="1440" w:type="dxa"/>
            <w:vAlign w:val="top"/>
          </w:tcPr>
          <w:p w14:paraId="75746E13">
            <w:pPr>
              <w:rPr>
                <w:rFonts w:ascii="Arial"/>
                <w:color w:val="auto"/>
                <w:sz w:val="21"/>
                <w:highlight w:val="none"/>
              </w:rPr>
            </w:pPr>
          </w:p>
        </w:tc>
        <w:tc>
          <w:tcPr>
            <w:tcW w:w="2164" w:type="dxa"/>
            <w:vAlign w:val="top"/>
          </w:tcPr>
          <w:p w14:paraId="27D59931">
            <w:pPr>
              <w:rPr>
                <w:rFonts w:ascii="Arial"/>
                <w:color w:val="auto"/>
                <w:sz w:val="21"/>
                <w:highlight w:val="none"/>
              </w:rPr>
            </w:pPr>
          </w:p>
        </w:tc>
      </w:tr>
    </w:tbl>
    <w:p w14:paraId="724514CA">
      <w:pPr>
        <w:spacing w:before="154" w:line="399" w:lineRule="exact"/>
        <w:ind w:left="2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 xml:space="preserve">备注： </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本表后应附表彰文件、获奖证书及其他证明材料等。以表彰文件、获奖证书的颁</w:t>
      </w:r>
    </w:p>
    <w:p w14:paraId="5AA0FC8E">
      <w:pPr>
        <w:spacing w:line="221" w:lineRule="auto"/>
        <w:ind w:left="86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发时间为准。</w:t>
      </w:r>
    </w:p>
    <w:p w14:paraId="37042521">
      <w:pPr>
        <w:spacing w:before="151"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2F7635B5">
      <w:pPr>
        <w:spacing w:line="220" w:lineRule="auto"/>
        <w:rPr>
          <w:rFonts w:ascii="宋体" w:hAnsi="宋体" w:eastAsia="宋体" w:cs="宋体"/>
          <w:color w:val="auto"/>
          <w:sz w:val="21"/>
          <w:szCs w:val="21"/>
          <w:highlight w:val="none"/>
        </w:rPr>
        <w:sectPr>
          <w:footerReference r:id="rId239" w:type="default"/>
          <w:pgSz w:w="11905" w:h="16839"/>
          <w:pgMar w:top="400" w:right="1527" w:bottom="1004" w:left="1785" w:header="0" w:footer="828" w:gutter="0"/>
          <w:pgNumType w:fmt="decimal"/>
          <w:cols w:space="720" w:num="1"/>
        </w:sectPr>
      </w:pPr>
    </w:p>
    <w:p w14:paraId="4C4F90BC">
      <w:pPr>
        <w:pStyle w:val="3"/>
        <w:spacing w:line="267" w:lineRule="auto"/>
        <w:rPr>
          <w:color w:val="auto"/>
          <w:highlight w:val="none"/>
        </w:rPr>
      </w:pPr>
    </w:p>
    <w:p w14:paraId="6A49FA78">
      <w:pPr>
        <w:pStyle w:val="3"/>
        <w:spacing w:line="267" w:lineRule="auto"/>
        <w:rPr>
          <w:color w:val="auto"/>
          <w:highlight w:val="none"/>
        </w:rPr>
      </w:pPr>
    </w:p>
    <w:p w14:paraId="201582EA">
      <w:pPr>
        <w:pStyle w:val="3"/>
        <w:spacing w:line="268" w:lineRule="auto"/>
        <w:rPr>
          <w:color w:val="auto"/>
          <w:highlight w:val="none"/>
        </w:rPr>
      </w:pPr>
    </w:p>
    <w:p w14:paraId="05322A3C">
      <w:pPr>
        <w:pStyle w:val="3"/>
        <w:spacing w:line="268" w:lineRule="auto"/>
        <w:rPr>
          <w:color w:val="auto"/>
          <w:highlight w:val="none"/>
        </w:rPr>
      </w:pPr>
    </w:p>
    <w:p w14:paraId="3950CA49">
      <w:pPr>
        <w:spacing w:before="78" w:line="219" w:lineRule="auto"/>
        <w:ind w:left="2427"/>
        <w:rPr>
          <w:rFonts w:ascii="黑体" w:hAnsi="黑体" w:eastAsia="黑体" w:cs="黑体"/>
          <w:color w:val="auto"/>
          <w:sz w:val="24"/>
          <w:szCs w:val="24"/>
          <w:highlight w:val="none"/>
        </w:rPr>
      </w:pPr>
      <w:bookmarkStart w:id="1354" w:name="bookmark327"/>
      <w:bookmarkEnd w:id="1354"/>
      <w:r>
        <w:rPr>
          <w:rFonts w:ascii="Times New Roman" w:hAnsi="Times New Roman" w:eastAsia="Times New Roman" w:cs="Times New Roman"/>
          <w:color w:val="auto"/>
          <w:spacing w:val="-1"/>
          <w:sz w:val="24"/>
          <w:szCs w:val="24"/>
          <w:highlight w:val="none"/>
        </w:rPr>
        <w:t xml:space="preserve">5-4 </w:t>
      </w:r>
      <w:r>
        <w:rPr>
          <w:rFonts w:ascii="黑体" w:hAnsi="黑体" w:eastAsia="黑体" w:cs="黑体"/>
          <w:color w:val="auto"/>
          <w:spacing w:val="-1"/>
          <w:sz w:val="24"/>
          <w:szCs w:val="24"/>
          <w:highlight w:val="none"/>
        </w:rPr>
        <w:t>近年项目经理工程获奖情况表</w:t>
      </w:r>
    </w:p>
    <w:p w14:paraId="7BAAF834">
      <w:pPr>
        <w:spacing w:before="160"/>
        <w:rPr>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61681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599211D4">
            <w:pPr>
              <w:pStyle w:val="11"/>
              <w:spacing w:before="159" w:line="222" w:lineRule="auto"/>
              <w:ind w:left="185"/>
              <w:rPr>
                <w:color w:val="auto"/>
                <w:highlight w:val="none"/>
              </w:rPr>
            </w:pPr>
            <w:r>
              <w:rPr>
                <w:color w:val="auto"/>
                <w:spacing w:val="-2"/>
                <w:highlight w:val="none"/>
              </w:rPr>
              <w:t>序号</w:t>
            </w:r>
          </w:p>
        </w:tc>
        <w:tc>
          <w:tcPr>
            <w:tcW w:w="2399" w:type="dxa"/>
            <w:vAlign w:val="top"/>
          </w:tcPr>
          <w:p w14:paraId="4F4056B5">
            <w:pPr>
              <w:pStyle w:val="11"/>
              <w:spacing w:before="159" w:line="221" w:lineRule="auto"/>
              <w:ind w:left="789"/>
              <w:rPr>
                <w:color w:val="auto"/>
                <w:highlight w:val="none"/>
              </w:rPr>
            </w:pPr>
            <w:r>
              <w:rPr>
                <w:color w:val="auto"/>
                <w:spacing w:val="-2"/>
                <w:highlight w:val="none"/>
              </w:rPr>
              <w:t>项目名称</w:t>
            </w:r>
          </w:p>
        </w:tc>
        <w:tc>
          <w:tcPr>
            <w:tcW w:w="1799" w:type="dxa"/>
            <w:vAlign w:val="top"/>
          </w:tcPr>
          <w:p w14:paraId="24359E91">
            <w:pPr>
              <w:pStyle w:val="11"/>
              <w:spacing w:before="158" w:line="221" w:lineRule="auto"/>
              <w:ind w:left="488"/>
              <w:rPr>
                <w:color w:val="auto"/>
                <w:highlight w:val="none"/>
              </w:rPr>
            </w:pPr>
            <w:r>
              <w:rPr>
                <w:color w:val="auto"/>
                <w:spacing w:val="-2"/>
                <w:highlight w:val="none"/>
              </w:rPr>
              <w:t>获奖名称</w:t>
            </w:r>
          </w:p>
        </w:tc>
        <w:tc>
          <w:tcPr>
            <w:tcW w:w="1440" w:type="dxa"/>
            <w:vAlign w:val="top"/>
          </w:tcPr>
          <w:p w14:paraId="576F51F4">
            <w:pPr>
              <w:pStyle w:val="11"/>
              <w:spacing w:before="158" w:line="221" w:lineRule="auto"/>
              <w:ind w:left="313"/>
              <w:rPr>
                <w:color w:val="auto"/>
                <w:highlight w:val="none"/>
              </w:rPr>
            </w:pPr>
            <w:r>
              <w:rPr>
                <w:color w:val="auto"/>
                <w:spacing w:val="-2"/>
                <w:highlight w:val="none"/>
              </w:rPr>
              <w:t>获奖日期</w:t>
            </w:r>
          </w:p>
        </w:tc>
        <w:tc>
          <w:tcPr>
            <w:tcW w:w="2164" w:type="dxa"/>
            <w:vAlign w:val="top"/>
          </w:tcPr>
          <w:p w14:paraId="679E1517">
            <w:pPr>
              <w:pStyle w:val="11"/>
              <w:spacing w:before="159" w:line="221" w:lineRule="auto"/>
              <w:ind w:left="670"/>
              <w:rPr>
                <w:color w:val="auto"/>
                <w:highlight w:val="none"/>
              </w:rPr>
            </w:pPr>
            <w:r>
              <w:rPr>
                <w:color w:val="auto"/>
                <w:spacing w:val="-1"/>
                <w:highlight w:val="none"/>
              </w:rPr>
              <w:t>颁奖单位</w:t>
            </w:r>
          </w:p>
        </w:tc>
      </w:tr>
      <w:tr w14:paraId="33456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37F574E">
            <w:pPr>
              <w:rPr>
                <w:rFonts w:ascii="Arial"/>
                <w:color w:val="auto"/>
                <w:sz w:val="21"/>
                <w:highlight w:val="none"/>
              </w:rPr>
            </w:pPr>
          </w:p>
        </w:tc>
        <w:tc>
          <w:tcPr>
            <w:tcW w:w="2399" w:type="dxa"/>
            <w:vAlign w:val="top"/>
          </w:tcPr>
          <w:p w14:paraId="779542F4">
            <w:pPr>
              <w:rPr>
                <w:rFonts w:ascii="Arial"/>
                <w:color w:val="auto"/>
                <w:sz w:val="21"/>
                <w:highlight w:val="none"/>
              </w:rPr>
            </w:pPr>
          </w:p>
        </w:tc>
        <w:tc>
          <w:tcPr>
            <w:tcW w:w="1799" w:type="dxa"/>
            <w:vAlign w:val="top"/>
          </w:tcPr>
          <w:p w14:paraId="04D17F71">
            <w:pPr>
              <w:rPr>
                <w:rFonts w:ascii="Arial"/>
                <w:color w:val="auto"/>
                <w:sz w:val="21"/>
                <w:highlight w:val="none"/>
              </w:rPr>
            </w:pPr>
          </w:p>
        </w:tc>
        <w:tc>
          <w:tcPr>
            <w:tcW w:w="1440" w:type="dxa"/>
            <w:vAlign w:val="top"/>
          </w:tcPr>
          <w:p w14:paraId="1E17B789">
            <w:pPr>
              <w:rPr>
                <w:rFonts w:ascii="Arial"/>
                <w:color w:val="auto"/>
                <w:sz w:val="21"/>
                <w:highlight w:val="none"/>
              </w:rPr>
            </w:pPr>
          </w:p>
        </w:tc>
        <w:tc>
          <w:tcPr>
            <w:tcW w:w="2164" w:type="dxa"/>
            <w:vAlign w:val="top"/>
          </w:tcPr>
          <w:p w14:paraId="1AA91C64">
            <w:pPr>
              <w:rPr>
                <w:rFonts w:ascii="Arial"/>
                <w:color w:val="auto"/>
                <w:sz w:val="21"/>
                <w:highlight w:val="none"/>
              </w:rPr>
            </w:pPr>
          </w:p>
        </w:tc>
      </w:tr>
      <w:tr w14:paraId="301FC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105BF0C">
            <w:pPr>
              <w:rPr>
                <w:rFonts w:ascii="Arial"/>
                <w:color w:val="auto"/>
                <w:sz w:val="21"/>
                <w:highlight w:val="none"/>
              </w:rPr>
            </w:pPr>
          </w:p>
        </w:tc>
        <w:tc>
          <w:tcPr>
            <w:tcW w:w="2399" w:type="dxa"/>
            <w:vAlign w:val="top"/>
          </w:tcPr>
          <w:p w14:paraId="50AC1382">
            <w:pPr>
              <w:rPr>
                <w:rFonts w:ascii="Arial"/>
                <w:color w:val="auto"/>
                <w:sz w:val="21"/>
                <w:highlight w:val="none"/>
              </w:rPr>
            </w:pPr>
          </w:p>
        </w:tc>
        <w:tc>
          <w:tcPr>
            <w:tcW w:w="1799" w:type="dxa"/>
            <w:vAlign w:val="top"/>
          </w:tcPr>
          <w:p w14:paraId="462B87E6">
            <w:pPr>
              <w:rPr>
                <w:rFonts w:ascii="Arial"/>
                <w:color w:val="auto"/>
                <w:sz w:val="21"/>
                <w:highlight w:val="none"/>
              </w:rPr>
            </w:pPr>
          </w:p>
        </w:tc>
        <w:tc>
          <w:tcPr>
            <w:tcW w:w="1440" w:type="dxa"/>
            <w:vAlign w:val="top"/>
          </w:tcPr>
          <w:p w14:paraId="75EC8758">
            <w:pPr>
              <w:rPr>
                <w:rFonts w:ascii="Arial"/>
                <w:color w:val="auto"/>
                <w:sz w:val="21"/>
                <w:highlight w:val="none"/>
              </w:rPr>
            </w:pPr>
          </w:p>
        </w:tc>
        <w:tc>
          <w:tcPr>
            <w:tcW w:w="2164" w:type="dxa"/>
            <w:vAlign w:val="top"/>
          </w:tcPr>
          <w:p w14:paraId="571023BB">
            <w:pPr>
              <w:rPr>
                <w:rFonts w:ascii="Arial"/>
                <w:color w:val="auto"/>
                <w:sz w:val="21"/>
                <w:highlight w:val="none"/>
              </w:rPr>
            </w:pPr>
          </w:p>
        </w:tc>
      </w:tr>
      <w:tr w14:paraId="2CFEB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536D56A">
            <w:pPr>
              <w:rPr>
                <w:rFonts w:ascii="Arial"/>
                <w:color w:val="auto"/>
                <w:sz w:val="21"/>
                <w:highlight w:val="none"/>
              </w:rPr>
            </w:pPr>
          </w:p>
        </w:tc>
        <w:tc>
          <w:tcPr>
            <w:tcW w:w="2399" w:type="dxa"/>
            <w:vAlign w:val="top"/>
          </w:tcPr>
          <w:p w14:paraId="78478F5B">
            <w:pPr>
              <w:rPr>
                <w:rFonts w:ascii="Arial"/>
                <w:color w:val="auto"/>
                <w:sz w:val="21"/>
                <w:highlight w:val="none"/>
              </w:rPr>
            </w:pPr>
          </w:p>
        </w:tc>
        <w:tc>
          <w:tcPr>
            <w:tcW w:w="1799" w:type="dxa"/>
            <w:vAlign w:val="top"/>
          </w:tcPr>
          <w:p w14:paraId="0FFCFF68">
            <w:pPr>
              <w:rPr>
                <w:rFonts w:ascii="Arial"/>
                <w:color w:val="auto"/>
                <w:sz w:val="21"/>
                <w:highlight w:val="none"/>
              </w:rPr>
            </w:pPr>
          </w:p>
        </w:tc>
        <w:tc>
          <w:tcPr>
            <w:tcW w:w="1440" w:type="dxa"/>
            <w:vAlign w:val="top"/>
          </w:tcPr>
          <w:p w14:paraId="641B080F">
            <w:pPr>
              <w:rPr>
                <w:rFonts w:ascii="Arial"/>
                <w:color w:val="auto"/>
                <w:sz w:val="21"/>
                <w:highlight w:val="none"/>
              </w:rPr>
            </w:pPr>
          </w:p>
        </w:tc>
        <w:tc>
          <w:tcPr>
            <w:tcW w:w="2164" w:type="dxa"/>
            <w:vAlign w:val="top"/>
          </w:tcPr>
          <w:p w14:paraId="721CC837">
            <w:pPr>
              <w:rPr>
                <w:rFonts w:ascii="Arial"/>
                <w:color w:val="auto"/>
                <w:sz w:val="21"/>
                <w:highlight w:val="none"/>
              </w:rPr>
            </w:pPr>
          </w:p>
        </w:tc>
      </w:tr>
      <w:tr w14:paraId="6FCFA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9DADC01">
            <w:pPr>
              <w:rPr>
                <w:rFonts w:ascii="Arial"/>
                <w:color w:val="auto"/>
                <w:sz w:val="21"/>
                <w:highlight w:val="none"/>
              </w:rPr>
            </w:pPr>
          </w:p>
        </w:tc>
        <w:tc>
          <w:tcPr>
            <w:tcW w:w="2399" w:type="dxa"/>
            <w:vAlign w:val="top"/>
          </w:tcPr>
          <w:p w14:paraId="252F44FA">
            <w:pPr>
              <w:rPr>
                <w:rFonts w:ascii="Arial"/>
                <w:color w:val="auto"/>
                <w:sz w:val="21"/>
                <w:highlight w:val="none"/>
              </w:rPr>
            </w:pPr>
          </w:p>
        </w:tc>
        <w:tc>
          <w:tcPr>
            <w:tcW w:w="1799" w:type="dxa"/>
            <w:vAlign w:val="top"/>
          </w:tcPr>
          <w:p w14:paraId="10401AAF">
            <w:pPr>
              <w:rPr>
                <w:rFonts w:ascii="Arial"/>
                <w:color w:val="auto"/>
                <w:sz w:val="21"/>
                <w:highlight w:val="none"/>
              </w:rPr>
            </w:pPr>
          </w:p>
        </w:tc>
        <w:tc>
          <w:tcPr>
            <w:tcW w:w="1440" w:type="dxa"/>
            <w:vAlign w:val="top"/>
          </w:tcPr>
          <w:p w14:paraId="74285F2D">
            <w:pPr>
              <w:rPr>
                <w:rFonts w:ascii="Arial"/>
                <w:color w:val="auto"/>
                <w:sz w:val="21"/>
                <w:highlight w:val="none"/>
              </w:rPr>
            </w:pPr>
          </w:p>
        </w:tc>
        <w:tc>
          <w:tcPr>
            <w:tcW w:w="2164" w:type="dxa"/>
            <w:vAlign w:val="top"/>
          </w:tcPr>
          <w:p w14:paraId="38A5BF17">
            <w:pPr>
              <w:rPr>
                <w:rFonts w:ascii="Arial"/>
                <w:color w:val="auto"/>
                <w:sz w:val="21"/>
                <w:highlight w:val="none"/>
              </w:rPr>
            </w:pPr>
          </w:p>
        </w:tc>
      </w:tr>
      <w:tr w14:paraId="514BA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38EFAB7C">
            <w:pPr>
              <w:rPr>
                <w:rFonts w:ascii="Arial"/>
                <w:color w:val="auto"/>
                <w:sz w:val="21"/>
                <w:highlight w:val="none"/>
              </w:rPr>
            </w:pPr>
          </w:p>
        </w:tc>
        <w:tc>
          <w:tcPr>
            <w:tcW w:w="2399" w:type="dxa"/>
            <w:vAlign w:val="top"/>
          </w:tcPr>
          <w:p w14:paraId="246CCC54">
            <w:pPr>
              <w:rPr>
                <w:rFonts w:ascii="Arial"/>
                <w:color w:val="auto"/>
                <w:sz w:val="21"/>
                <w:highlight w:val="none"/>
              </w:rPr>
            </w:pPr>
          </w:p>
        </w:tc>
        <w:tc>
          <w:tcPr>
            <w:tcW w:w="1799" w:type="dxa"/>
            <w:vAlign w:val="top"/>
          </w:tcPr>
          <w:p w14:paraId="4855C2BC">
            <w:pPr>
              <w:rPr>
                <w:rFonts w:ascii="Arial"/>
                <w:color w:val="auto"/>
                <w:sz w:val="21"/>
                <w:highlight w:val="none"/>
              </w:rPr>
            </w:pPr>
          </w:p>
        </w:tc>
        <w:tc>
          <w:tcPr>
            <w:tcW w:w="1440" w:type="dxa"/>
            <w:vAlign w:val="top"/>
          </w:tcPr>
          <w:p w14:paraId="27BC4434">
            <w:pPr>
              <w:rPr>
                <w:rFonts w:ascii="Arial"/>
                <w:color w:val="auto"/>
                <w:sz w:val="21"/>
                <w:highlight w:val="none"/>
              </w:rPr>
            </w:pPr>
          </w:p>
        </w:tc>
        <w:tc>
          <w:tcPr>
            <w:tcW w:w="2164" w:type="dxa"/>
            <w:vAlign w:val="top"/>
          </w:tcPr>
          <w:p w14:paraId="4A372B75">
            <w:pPr>
              <w:rPr>
                <w:rFonts w:ascii="Arial"/>
                <w:color w:val="auto"/>
                <w:sz w:val="21"/>
                <w:highlight w:val="none"/>
              </w:rPr>
            </w:pPr>
          </w:p>
        </w:tc>
      </w:tr>
      <w:tr w14:paraId="6A989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753EA7A2">
            <w:pPr>
              <w:rPr>
                <w:rFonts w:ascii="Arial"/>
                <w:color w:val="auto"/>
                <w:sz w:val="21"/>
                <w:highlight w:val="none"/>
              </w:rPr>
            </w:pPr>
          </w:p>
        </w:tc>
        <w:tc>
          <w:tcPr>
            <w:tcW w:w="2399" w:type="dxa"/>
            <w:vAlign w:val="top"/>
          </w:tcPr>
          <w:p w14:paraId="63B1E48A">
            <w:pPr>
              <w:rPr>
                <w:rFonts w:ascii="Arial"/>
                <w:color w:val="auto"/>
                <w:sz w:val="21"/>
                <w:highlight w:val="none"/>
              </w:rPr>
            </w:pPr>
          </w:p>
        </w:tc>
        <w:tc>
          <w:tcPr>
            <w:tcW w:w="1799" w:type="dxa"/>
            <w:vAlign w:val="top"/>
          </w:tcPr>
          <w:p w14:paraId="2446D8DD">
            <w:pPr>
              <w:rPr>
                <w:rFonts w:ascii="Arial"/>
                <w:color w:val="auto"/>
                <w:sz w:val="21"/>
                <w:highlight w:val="none"/>
              </w:rPr>
            </w:pPr>
          </w:p>
        </w:tc>
        <w:tc>
          <w:tcPr>
            <w:tcW w:w="1440" w:type="dxa"/>
            <w:vAlign w:val="top"/>
          </w:tcPr>
          <w:p w14:paraId="3D07BD07">
            <w:pPr>
              <w:rPr>
                <w:rFonts w:ascii="Arial"/>
                <w:color w:val="auto"/>
                <w:sz w:val="21"/>
                <w:highlight w:val="none"/>
              </w:rPr>
            </w:pPr>
          </w:p>
        </w:tc>
        <w:tc>
          <w:tcPr>
            <w:tcW w:w="2164" w:type="dxa"/>
            <w:vAlign w:val="top"/>
          </w:tcPr>
          <w:p w14:paraId="6FD6B818">
            <w:pPr>
              <w:rPr>
                <w:rFonts w:ascii="Arial"/>
                <w:color w:val="auto"/>
                <w:sz w:val="21"/>
                <w:highlight w:val="none"/>
              </w:rPr>
            </w:pPr>
          </w:p>
        </w:tc>
      </w:tr>
      <w:tr w14:paraId="1818C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F52C54E">
            <w:pPr>
              <w:rPr>
                <w:rFonts w:ascii="Arial"/>
                <w:color w:val="auto"/>
                <w:sz w:val="21"/>
                <w:highlight w:val="none"/>
              </w:rPr>
            </w:pPr>
          </w:p>
        </w:tc>
        <w:tc>
          <w:tcPr>
            <w:tcW w:w="2399" w:type="dxa"/>
            <w:vAlign w:val="top"/>
          </w:tcPr>
          <w:p w14:paraId="02209D44">
            <w:pPr>
              <w:rPr>
                <w:rFonts w:ascii="Arial"/>
                <w:color w:val="auto"/>
                <w:sz w:val="21"/>
                <w:highlight w:val="none"/>
              </w:rPr>
            </w:pPr>
          </w:p>
        </w:tc>
        <w:tc>
          <w:tcPr>
            <w:tcW w:w="1799" w:type="dxa"/>
            <w:vAlign w:val="top"/>
          </w:tcPr>
          <w:p w14:paraId="374D1A2E">
            <w:pPr>
              <w:rPr>
                <w:rFonts w:ascii="Arial"/>
                <w:color w:val="auto"/>
                <w:sz w:val="21"/>
                <w:highlight w:val="none"/>
              </w:rPr>
            </w:pPr>
          </w:p>
        </w:tc>
        <w:tc>
          <w:tcPr>
            <w:tcW w:w="1440" w:type="dxa"/>
            <w:vAlign w:val="top"/>
          </w:tcPr>
          <w:p w14:paraId="79A9DF3B">
            <w:pPr>
              <w:rPr>
                <w:rFonts w:ascii="Arial"/>
                <w:color w:val="auto"/>
                <w:sz w:val="21"/>
                <w:highlight w:val="none"/>
              </w:rPr>
            </w:pPr>
          </w:p>
        </w:tc>
        <w:tc>
          <w:tcPr>
            <w:tcW w:w="2164" w:type="dxa"/>
            <w:vAlign w:val="top"/>
          </w:tcPr>
          <w:p w14:paraId="6151647F">
            <w:pPr>
              <w:rPr>
                <w:rFonts w:ascii="Arial"/>
                <w:color w:val="auto"/>
                <w:sz w:val="21"/>
                <w:highlight w:val="none"/>
              </w:rPr>
            </w:pPr>
          </w:p>
        </w:tc>
      </w:tr>
      <w:tr w14:paraId="05B09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CF730F7">
            <w:pPr>
              <w:rPr>
                <w:rFonts w:ascii="Arial"/>
                <w:color w:val="auto"/>
                <w:sz w:val="21"/>
                <w:highlight w:val="none"/>
              </w:rPr>
            </w:pPr>
          </w:p>
        </w:tc>
        <w:tc>
          <w:tcPr>
            <w:tcW w:w="2399" w:type="dxa"/>
            <w:vAlign w:val="top"/>
          </w:tcPr>
          <w:p w14:paraId="55AB0B46">
            <w:pPr>
              <w:rPr>
                <w:rFonts w:ascii="Arial"/>
                <w:color w:val="auto"/>
                <w:sz w:val="21"/>
                <w:highlight w:val="none"/>
              </w:rPr>
            </w:pPr>
          </w:p>
        </w:tc>
        <w:tc>
          <w:tcPr>
            <w:tcW w:w="1799" w:type="dxa"/>
            <w:vAlign w:val="top"/>
          </w:tcPr>
          <w:p w14:paraId="419C601F">
            <w:pPr>
              <w:rPr>
                <w:rFonts w:ascii="Arial"/>
                <w:color w:val="auto"/>
                <w:sz w:val="21"/>
                <w:highlight w:val="none"/>
              </w:rPr>
            </w:pPr>
          </w:p>
        </w:tc>
        <w:tc>
          <w:tcPr>
            <w:tcW w:w="1440" w:type="dxa"/>
            <w:vAlign w:val="top"/>
          </w:tcPr>
          <w:p w14:paraId="57146BDE">
            <w:pPr>
              <w:rPr>
                <w:rFonts w:ascii="Arial"/>
                <w:color w:val="auto"/>
                <w:sz w:val="21"/>
                <w:highlight w:val="none"/>
              </w:rPr>
            </w:pPr>
          </w:p>
        </w:tc>
        <w:tc>
          <w:tcPr>
            <w:tcW w:w="2164" w:type="dxa"/>
            <w:vAlign w:val="top"/>
          </w:tcPr>
          <w:p w14:paraId="0AADCD9B">
            <w:pPr>
              <w:rPr>
                <w:rFonts w:ascii="Arial"/>
                <w:color w:val="auto"/>
                <w:sz w:val="21"/>
                <w:highlight w:val="none"/>
              </w:rPr>
            </w:pPr>
          </w:p>
        </w:tc>
      </w:tr>
      <w:tr w14:paraId="1D6F5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9466375">
            <w:pPr>
              <w:rPr>
                <w:rFonts w:ascii="Arial"/>
                <w:color w:val="auto"/>
                <w:sz w:val="21"/>
                <w:highlight w:val="none"/>
              </w:rPr>
            </w:pPr>
          </w:p>
        </w:tc>
        <w:tc>
          <w:tcPr>
            <w:tcW w:w="2399" w:type="dxa"/>
            <w:vAlign w:val="top"/>
          </w:tcPr>
          <w:p w14:paraId="3329FC4E">
            <w:pPr>
              <w:rPr>
                <w:rFonts w:ascii="Arial"/>
                <w:color w:val="auto"/>
                <w:sz w:val="21"/>
                <w:highlight w:val="none"/>
              </w:rPr>
            </w:pPr>
          </w:p>
        </w:tc>
        <w:tc>
          <w:tcPr>
            <w:tcW w:w="1799" w:type="dxa"/>
            <w:vAlign w:val="top"/>
          </w:tcPr>
          <w:p w14:paraId="793EA609">
            <w:pPr>
              <w:rPr>
                <w:rFonts w:ascii="Arial"/>
                <w:color w:val="auto"/>
                <w:sz w:val="21"/>
                <w:highlight w:val="none"/>
              </w:rPr>
            </w:pPr>
          </w:p>
        </w:tc>
        <w:tc>
          <w:tcPr>
            <w:tcW w:w="1440" w:type="dxa"/>
            <w:vAlign w:val="top"/>
          </w:tcPr>
          <w:p w14:paraId="4A3F22B3">
            <w:pPr>
              <w:rPr>
                <w:rFonts w:ascii="Arial"/>
                <w:color w:val="auto"/>
                <w:sz w:val="21"/>
                <w:highlight w:val="none"/>
              </w:rPr>
            </w:pPr>
          </w:p>
        </w:tc>
        <w:tc>
          <w:tcPr>
            <w:tcW w:w="2164" w:type="dxa"/>
            <w:vAlign w:val="top"/>
          </w:tcPr>
          <w:p w14:paraId="1B4D49CE">
            <w:pPr>
              <w:rPr>
                <w:rFonts w:ascii="Arial"/>
                <w:color w:val="auto"/>
                <w:sz w:val="21"/>
                <w:highlight w:val="none"/>
              </w:rPr>
            </w:pPr>
          </w:p>
        </w:tc>
      </w:tr>
      <w:tr w14:paraId="4C39B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684DD08">
            <w:pPr>
              <w:rPr>
                <w:rFonts w:ascii="Arial"/>
                <w:color w:val="auto"/>
                <w:sz w:val="21"/>
                <w:highlight w:val="none"/>
              </w:rPr>
            </w:pPr>
          </w:p>
        </w:tc>
        <w:tc>
          <w:tcPr>
            <w:tcW w:w="2399" w:type="dxa"/>
            <w:vAlign w:val="top"/>
          </w:tcPr>
          <w:p w14:paraId="039FC921">
            <w:pPr>
              <w:rPr>
                <w:rFonts w:ascii="Arial"/>
                <w:color w:val="auto"/>
                <w:sz w:val="21"/>
                <w:highlight w:val="none"/>
              </w:rPr>
            </w:pPr>
          </w:p>
        </w:tc>
        <w:tc>
          <w:tcPr>
            <w:tcW w:w="1799" w:type="dxa"/>
            <w:vAlign w:val="top"/>
          </w:tcPr>
          <w:p w14:paraId="36CDACA5">
            <w:pPr>
              <w:rPr>
                <w:rFonts w:ascii="Arial"/>
                <w:color w:val="auto"/>
                <w:sz w:val="21"/>
                <w:highlight w:val="none"/>
              </w:rPr>
            </w:pPr>
          </w:p>
        </w:tc>
        <w:tc>
          <w:tcPr>
            <w:tcW w:w="1440" w:type="dxa"/>
            <w:vAlign w:val="top"/>
          </w:tcPr>
          <w:p w14:paraId="236A3426">
            <w:pPr>
              <w:rPr>
                <w:rFonts w:ascii="Arial"/>
                <w:color w:val="auto"/>
                <w:sz w:val="21"/>
                <w:highlight w:val="none"/>
              </w:rPr>
            </w:pPr>
          </w:p>
        </w:tc>
        <w:tc>
          <w:tcPr>
            <w:tcW w:w="2164" w:type="dxa"/>
            <w:vAlign w:val="top"/>
          </w:tcPr>
          <w:p w14:paraId="06D309C2">
            <w:pPr>
              <w:rPr>
                <w:rFonts w:ascii="Arial"/>
                <w:color w:val="auto"/>
                <w:sz w:val="21"/>
                <w:highlight w:val="none"/>
              </w:rPr>
            </w:pPr>
          </w:p>
        </w:tc>
      </w:tr>
      <w:tr w14:paraId="3BD92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CAAC306">
            <w:pPr>
              <w:rPr>
                <w:rFonts w:ascii="Arial"/>
                <w:color w:val="auto"/>
                <w:sz w:val="21"/>
                <w:highlight w:val="none"/>
              </w:rPr>
            </w:pPr>
          </w:p>
        </w:tc>
        <w:tc>
          <w:tcPr>
            <w:tcW w:w="2399" w:type="dxa"/>
            <w:vAlign w:val="top"/>
          </w:tcPr>
          <w:p w14:paraId="54F22237">
            <w:pPr>
              <w:rPr>
                <w:rFonts w:ascii="Arial"/>
                <w:color w:val="auto"/>
                <w:sz w:val="21"/>
                <w:highlight w:val="none"/>
              </w:rPr>
            </w:pPr>
          </w:p>
        </w:tc>
        <w:tc>
          <w:tcPr>
            <w:tcW w:w="1799" w:type="dxa"/>
            <w:vAlign w:val="top"/>
          </w:tcPr>
          <w:p w14:paraId="2E9B0C33">
            <w:pPr>
              <w:rPr>
                <w:rFonts w:ascii="Arial"/>
                <w:color w:val="auto"/>
                <w:sz w:val="21"/>
                <w:highlight w:val="none"/>
              </w:rPr>
            </w:pPr>
          </w:p>
        </w:tc>
        <w:tc>
          <w:tcPr>
            <w:tcW w:w="1440" w:type="dxa"/>
            <w:vAlign w:val="top"/>
          </w:tcPr>
          <w:p w14:paraId="6D1B19A6">
            <w:pPr>
              <w:rPr>
                <w:rFonts w:ascii="Arial"/>
                <w:color w:val="auto"/>
                <w:sz w:val="21"/>
                <w:highlight w:val="none"/>
              </w:rPr>
            </w:pPr>
          </w:p>
        </w:tc>
        <w:tc>
          <w:tcPr>
            <w:tcW w:w="2164" w:type="dxa"/>
            <w:vAlign w:val="top"/>
          </w:tcPr>
          <w:p w14:paraId="1A9D112F">
            <w:pPr>
              <w:rPr>
                <w:rFonts w:ascii="Arial"/>
                <w:color w:val="auto"/>
                <w:sz w:val="21"/>
                <w:highlight w:val="none"/>
              </w:rPr>
            </w:pPr>
          </w:p>
        </w:tc>
      </w:tr>
      <w:tr w14:paraId="12A7E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FBB6971">
            <w:pPr>
              <w:rPr>
                <w:rFonts w:ascii="Arial"/>
                <w:color w:val="auto"/>
                <w:sz w:val="21"/>
                <w:highlight w:val="none"/>
              </w:rPr>
            </w:pPr>
          </w:p>
        </w:tc>
        <w:tc>
          <w:tcPr>
            <w:tcW w:w="2399" w:type="dxa"/>
            <w:vAlign w:val="top"/>
          </w:tcPr>
          <w:p w14:paraId="75098A2E">
            <w:pPr>
              <w:rPr>
                <w:rFonts w:ascii="Arial"/>
                <w:color w:val="auto"/>
                <w:sz w:val="21"/>
                <w:highlight w:val="none"/>
              </w:rPr>
            </w:pPr>
          </w:p>
        </w:tc>
        <w:tc>
          <w:tcPr>
            <w:tcW w:w="1799" w:type="dxa"/>
            <w:vAlign w:val="top"/>
          </w:tcPr>
          <w:p w14:paraId="46045662">
            <w:pPr>
              <w:rPr>
                <w:rFonts w:ascii="Arial"/>
                <w:color w:val="auto"/>
                <w:sz w:val="21"/>
                <w:highlight w:val="none"/>
              </w:rPr>
            </w:pPr>
          </w:p>
        </w:tc>
        <w:tc>
          <w:tcPr>
            <w:tcW w:w="1440" w:type="dxa"/>
            <w:vAlign w:val="top"/>
          </w:tcPr>
          <w:p w14:paraId="4910AAB9">
            <w:pPr>
              <w:rPr>
                <w:rFonts w:ascii="Arial"/>
                <w:color w:val="auto"/>
                <w:sz w:val="21"/>
                <w:highlight w:val="none"/>
              </w:rPr>
            </w:pPr>
          </w:p>
        </w:tc>
        <w:tc>
          <w:tcPr>
            <w:tcW w:w="2164" w:type="dxa"/>
            <w:vAlign w:val="top"/>
          </w:tcPr>
          <w:p w14:paraId="249D6F68">
            <w:pPr>
              <w:rPr>
                <w:rFonts w:ascii="Arial"/>
                <w:color w:val="auto"/>
                <w:sz w:val="21"/>
                <w:highlight w:val="none"/>
              </w:rPr>
            </w:pPr>
          </w:p>
        </w:tc>
      </w:tr>
      <w:tr w14:paraId="67C6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098155F2">
            <w:pPr>
              <w:rPr>
                <w:rFonts w:ascii="Arial"/>
                <w:color w:val="auto"/>
                <w:sz w:val="21"/>
                <w:highlight w:val="none"/>
              </w:rPr>
            </w:pPr>
          </w:p>
        </w:tc>
        <w:tc>
          <w:tcPr>
            <w:tcW w:w="2399" w:type="dxa"/>
            <w:vAlign w:val="top"/>
          </w:tcPr>
          <w:p w14:paraId="3E8C672C">
            <w:pPr>
              <w:rPr>
                <w:rFonts w:ascii="Arial"/>
                <w:color w:val="auto"/>
                <w:sz w:val="21"/>
                <w:highlight w:val="none"/>
              </w:rPr>
            </w:pPr>
          </w:p>
        </w:tc>
        <w:tc>
          <w:tcPr>
            <w:tcW w:w="1799" w:type="dxa"/>
            <w:vAlign w:val="top"/>
          </w:tcPr>
          <w:p w14:paraId="11070C68">
            <w:pPr>
              <w:rPr>
                <w:rFonts w:ascii="Arial"/>
                <w:color w:val="auto"/>
                <w:sz w:val="21"/>
                <w:highlight w:val="none"/>
              </w:rPr>
            </w:pPr>
          </w:p>
        </w:tc>
        <w:tc>
          <w:tcPr>
            <w:tcW w:w="1440" w:type="dxa"/>
            <w:vAlign w:val="top"/>
          </w:tcPr>
          <w:p w14:paraId="0144D29C">
            <w:pPr>
              <w:rPr>
                <w:rFonts w:ascii="Arial"/>
                <w:color w:val="auto"/>
                <w:sz w:val="21"/>
                <w:highlight w:val="none"/>
              </w:rPr>
            </w:pPr>
          </w:p>
        </w:tc>
        <w:tc>
          <w:tcPr>
            <w:tcW w:w="2164" w:type="dxa"/>
            <w:vAlign w:val="top"/>
          </w:tcPr>
          <w:p w14:paraId="58B204E8">
            <w:pPr>
              <w:rPr>
                <w:rFonts w:ascii="Arial"/>
                <w:color w:val="auto"/>
                <w:sz w:val="21"/>
                <w:highlight w:val="none"/>
              </w:rPr>
            </w:pPr>
          </w:p>
        </w:tc>
      </w:tr>
    </w:tbl>
    <w:p w14:paraId="712E24FE">
      <w:pPr>
        <w:spacing w:before="29" w:line="220"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备注： </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本表后应附表彰文件、获奖证书及其他证明材料等。</w:t>
      </w:r>
    </w:p>
    <w:p w14:paraId="1EF8C577">
      <w:pPr>
        <w:spacing w:before="148"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1A3E65BE">
      <w:pPr>
        <w:spacing w:line="220" w:lineRule="auto"/>
        <w:rPr>
          <w:rFonts w:ascii="宋体" w:hAnsi="宋体" w:eastAsia="宋体" w:cs="宋体"/>
          <w:color w:val="auto"/>
          <w:sz w:val="21"/>
          <w:szCs w:val="21"/>
          <w:highlight w:val="none"/>
        </w:rPr>
        <w:sectPr>
          <w:footerReference r:id="rId240" w:type="default"/>
          <w:pgSz w:w="11905" w:h="16839"/>
          <w:pgMar w:top="400" w:right="1527" w:bottom="1004" w:left="1785" w:header="0" w:footer="828" w:gutter="0"/>
          <w:pgNumType w:fmt="decimal"/>
          <w:cols w:space="720" w:num="1"/>
        </w:sectPr>
      </w:pPr>
    </w:p>
    <w:p w14:paraId="2DE89044">
      <w:pPr>
        <w:pStyle w:val="3"/>
        <w:spacing w:line="267" w:lineRule="auto"/>
        <w:rPr>
          <w:color w:val="auto"/>
          <w:highlight w:val="none"/>
        </w:rPr>
      </w:pPr>
    </w:p>
    <w:p w14:paraId="1E2E4A9E">
      <w:pPr>
        <w:pStyle w:val="3"/>
        <w:spacing w:line="267" w:lineRule="auto"/>
        <w:rPr>
          <w:color w:val="auto"/>
          <w:highlight w:val="none"/>
        </w:rPr>
      </w:pPr>
    </w:p>
    <w:p w14:paraId="10D34272">
      <w:pPr>
        <w:pStyle w:val="3"/>
        <w:spacing w:line="268" w:lineRule="auto"/>
        <w:rPr>
          <w:color w:val="auto"/>
          <w:highlight w:val="none"/>
        </w:rPr>
      </w:pPr>
    </w:p>
    <w:p w14:paraId="5A81517B">
      <w:pPr>
        <w:pStyle w:val="3"/>
        <w:spacing w:line="268" w:lineRule="auto"/>
        <w:rPr>
          <w:color w:val="auto"/>
          <w:highlight w:val="none"/>
        </w:rPr>
      </w:pPr>
    </w:p>
    <w:p w14:paraId="7B16E77D">
      <w:pPr>
        <w:spacing w:before="78" w:line="219" w:lineRule="auto"/>
        <w:ind w:left="2547"/>
        <w:rPr>
          <w:rFonts w:ascii="黑体" w:hAnsi="黑体" w:eastAsia="黑体" w:cs="黑体"/>
          <w:color w:val="auto"/>
          <w:sz w:val="24"/>
          <w:szCs w:val="24"/>
          <w:highlight w:val="none"/>
        </w:rPr>
      </w:pPr>
      <w:bookmarkStart w:id="1355" w:name="bookmark328"/>
      <w:bookmarkEnd w:id="1355"/>
      <w:r>
        <w:rPr>
          <w:rFonts w:ascii="Times New Roman" w:hAnsi="Times New Roman" w:eastAsia="Times New Roman" w:cs="Times New Roman"/>
          <w:color w:val="auto"/>
          <w:spacing w:val="-1"/>
          <w:sz w:val="24"/>
          <w:szCs w:val="24"/>
          <w:highlight w:val="none"/>
        </w:rPr>
        <w:t xml:space="preserve">5-5 </w:t>
      </w:r>
      <w:r>
        <w:rPr>
          <w:rFonts w:ascii="黑体" w:hAnsi="黑体" w:eastAsia="黑体" w:cs="黑体"/>
          <w:color w:val="auto"/>
          <w:spacing w:val="-1"/>
          <w:sz w:val="24"/>
          <w:szCs w:val="24"/>
          <w:highlight w:val="none"/>
        </w:rPr>
        <w:t>近年项目经理获表彰情况表</w:t>
      </w:r>
    </w:p>
    <w:p w14:paraId="3D24A3AD">
      <w:pPr>
        <w:spacing w:before="198"/>
        <w:rPr>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14:paraId="4B043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23FBF2EC">
            <w:pPr>
              <w:pStyle w:val="11"/>
              <w:spacing w:before="159" w:line="222" w:lineRule="auto"/>
              <w:ind w:left="185"/>
              <w:rPr>
                <w:color w:val="auto"/>
                <w:highlight w:val="none"/>
              </w:rPr>
            </w:pPr>
            <w:r>
              <w:rPr>
                <w:color w:val="auto"/>
                <w:spacing w:val="-2"/>
                <w:highlight w:val="none"/>
              </w:rPr>
              <w:t>序号</w:t>
            </w:r>
          </w:p>
        </w:tc>
        <w:tc>
          <w:tcPr>
            <w:tcW w:w="3479" w:type="dxa"/>
            <w:vAlign w:val="top"/>
          </w:tcPr>
          <w:p w14:paraId="378DCA93">
            <w:pPr>
              <w:pStyle w:val="11"/>
              <w:spacing w:before="159" w:line="221" w:lineRule="auto"/>
              <w:ind w:left="1327"/>
              <w:rPr>
                <w:color w:val="auto"/>
                <w:highlight w:val="none"/>
              </w:rPr>
            </w:pPr>
            <w:r>
              <w:rPr>
                <w:color w:val="auto"/>
                <w:spacing w:val="-2"/>
                <w:highlight w:val="none"/>
              </w:rPr>
              <w:t>获奖名称</w:t>
            </w:r>
          </w:p>
        </w:tc>
        <w:tc>
          <w:tcPr>
            <w:tcW w:w="1799" w:type="dxa"/>
            <w:vAlign w:val="top"/>
          </w:tcPr>
          <w:p w14:paraId="7305C776">
            <w:pPr>
              <w:pStyle w:val="11"/>
              <w:spacing w:before="159" w:line="221" w:lineRule="auto"/>
              <w:ind w:left="489"/>
              <w:rPr>
                <w:color w:val="auto"/>
                <w:highlight w:val="none"/>
              </w:rPr>
            </w:pPr>
            <w:r>
              <w:rPr>
                <w:color w:val="auto"/>
                <w:spacing w:val="-2"/>
                <w:highlight w:val="none"/>
              </w:rPr>
              <w:t>获奖日期</w:t>
            </w:r>
          </w:p>
        </w:tc>
        <w:tc>
          <w:tcPr>
            <w:tcW w:w="2524" w:type="dxa"/>
            <w:vAlign w:val="top"/>
          </w:tcPr>
          <w:p w14:paraId="284A2996">
            <w:pPr>
              <w:pStyle w:val="11"/>
              <w:spacing w:before="160" w:line="221" w:lineRule="auto"/>
              <w:ind w:left="847"/>
              <w:rPr>
                <w:color w:val="auto"/>
                <w:highlight w:val="none"/>
              </w:rPr>
            </w:pPr>
            <w:r>
              <w:rPr>
                <w:color w:val="auto"/>
                <w:spacing w:val="-1"/>
                <w:highlight w:val="none"/>
              </w:rPr>
              <w:t>颁奖单位</w:t>
            </w:r>
          </w:p>
        </w:tc>
      </w:tr>
      <w:tr w14:paraId="1677F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8510A00">
            <w:pPr>
              <w:rPr>
                <w:rFonts w:ascii="Arial"/>
                <w:color w:val="auto"/>
                <w:sz w:val="21"/>
                <w:highlight w:val="none"/>
              </w:rPr>
            </w:pPr>
          </w:p>
        </w:tc>
        <w:tc>
          <w:tcPr>
            <w:tcW w:w="3479" w:type="dxa"/>
            <w:vAlign w:val="top"/>
          </w:tcPr>
          <w:p w14:paraId="4BBD2C3B">
            <w:pPr>
              <w:rPr>
                <w:rFonts w:ascii="Arial"/>
                <w:color w:val="auto"/>
                <w:sz w:val="21"/>
                <w:highlight w:val="none"/>
              </w:rPr>
            </w:pPr>
          </w:p>
        </w:tc>
        <w:tc>
          <w:tcPr>
            <w:tcW w:w="1799" w:type="dxa"/>
            <w:vAlign w:val="top"/>
          </w:tcPr>
          <w:p w14:paraId="634C2AAF">
            <w:pPr>
              <w:rPr>
                <w:rFonts w:ascii="Arial"/>
                <w:color w:val="auto"/>
                <w:sz w:val="21"/>
                <w:highlight w:val="none"/>
              </w:rPr>
            </w:pPr>
          </w:p>
        </w:tc>
        <w:tc>
          <w:tcPr>
            <w:tcW w:w="2524" w:type="dxa"/>
            <w:vAlign w:val="top"/>
          </w:tcPr>
          <w:p w14:paraId="44D2D670">
            <w:pPr>
              <w:rPr>
                <w:rFonts w:ascii="Arial"/>
                <w:color w:val="auto"/>
                <w:sz w:val="21"/>
                <w:highlight w:val="none"/>
              </w:rPr>
            </w:pPr>
          </w:p>
        </w:tc>
      </w:tr>
      <w:tr w14:paraId="60711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B619504">
            <w:pPr>
              <w:rPr>
                <w:rFonts w:ascii="Arial"/>
                <w:color w:val="auto"/>
                <w:sz w:val="21"/>
                <w:highlight w:val="none"/>
              </w:rPr>
            </w:pPr>
          </w:p>
        </w:tc>
        <w:tc>
          <w:tcPr>
            <w:tcW w:w="3479" w:type="dxa"/>
            <w:vAlign w:val="top"/>
          </w:tcPr>
          <w:p w14:paraId="3CEDD03D">
            <w:pPr>
              <w:rPr>
                <w:rFonts w:ascii="Arial"/>
                <w:color w:val="auto"/>
                <w:sz w:val="21"/>
                <w:highlight w:val="none"/>
              </w:rPr>
            </w:pPr>
          </w:p>
        </w:tc>
        <w:tc>
          <w:tcPr>
            <w:tcW w:w="1799" w:type="dxa"/>
            <w:vAlign w:val="top"/>
          </w:tcPr>
          <w:p w14:paraId="5D9450E7">
            <w:pPr>
              <w:rPr>
                <w:rFonts w:ascii="Arial"/>
                <w:color w:val="auto"/>
                <w:sz w:val="21"/>
                <w:highlight w:val="none"/>
              </w:rPr>
            </w:pPr>
          </w:p>
        </w:tc>
        <w:tc>
          <w:tcPr>
            <w:tcW w:w="2524" w:type="dxa"/>
            <w:vAlign w:val="top"/>
          </w:tcPr>
          <w:p w14:paraId="062C440E">
            <w:pPr>
              <w:rPr>
                <w:rFonts w:ascii="Arial"/>
                <w:color w:val="auto"/>
                <w:sz w:val="21"/>
                <w:highlight w:val="none"/>
              </w:rPr>
            </w:pPr>
          </w:p>
        </w:tc>
      </w:tr>
      <w:tr w14:paraId="754EC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9" w:hRule="atLeast"/>
        </w:trPr>
        <w:tc>
          <w:tcPr>
            <w:tcW w:w="773" w:type="dxa"/>
            <w:vAlign w:val="top"/>
          </w:tcPr>
          <w:p w14:paraId="65FE0892">
            <w:pPr>
              <w:rPr>
                <w:rFonts w:ascii="Arial"/>
                <w:color w:val="auto"/>
                <w:sz w:val="21"/>
                <w:highlight w:val="none"/>
              </w:rPr>
            </w:pPr>
          </w:p>
        </w:tc>
        <w:tc>
          <w:tcPr>
            <w:tcW w:w="3479" w:type="dxa"/>
            <w:vAlign w:val="top"/>
          </w:tcPr>
          <w:p w14:paraId="01EAE5BE">
            <w:pPr>
              <w:rPr>
                <w:rFonts w:ascii="Arial"/>
                <w:color w:val="auto"/>
                <w:sz w:val="21"/>
                <w:highlight w:val="none"/>
              </w:rPr>
            </w:pPr>
          </w:p>
        </w:tc>
        <w:tc>
          <w:tcPr>
            <w:tcW w:w="1799" w:type="dxa"/>
            <w:vAlign w:val="top"/>
          </w:tcPr>
          <w:p w14:paraId="44E78A00">
            <w:pPr>
              <w:rPr>
                <w:rFonts w:ascii="Arial"/>
                <w:color w:val="auto"/>
                <w:sz w:val="21"/>
                <w:highlight w:val="none"/>
              </w:rPr>
            </w:pPr>
          </w:p>
        </w:tc>
        <w:tc>
          <w:tcPr>
            <w:tcW w:w="2524" w:type="dxa"/>
            <w:vAlign w:val="top"/>
          </w:tcPr>
          <w:p w14:paraId="3F9035C0">
            <w:pPr>
              <w:rPr>
                <w:rFonts w:ascii="Arial"/>
                <w:color w:val="auto"/>
                <w:sz w:val="21"/>
                <w:highlight w:val="none"/>
              </w:rPr>
            </w:pPr>
          </w:p>
        </w:tc>
      </w:tr>
      <w:tr w14:paraId="7D14E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7E33906">
            <w:pPr>
              <w:rPr>
                <w:rFonts w:ascii="Arial"/>
                <w:color w:val="auto"/>
                <w:sz w:val="21"/>
                <w:highlight w:val="none"/>
              </w:rPr>
            </w:pPr>
          </w:p>
        </w:tc>
        <w:tc>
          <w:tcPr>
            <w:tcW w:w="3479" w:type="dxa"/>
            <w:vAlign w:val="top"/>
          </w:tcPr>
          <w:p w14:paraId="7166E7C6">
            <w:pPr>
              <w:rPr>
                <w:rFonts w:ascii="Arial"/>
                <w:color w:val="auto"/>
                <w:sz w:val="21"/>
                <w:highlight w:val="none"/>
              </w:rPr>
            </w:pPr>
          </w:p>
        </w:tc>
        <w:tc>
          <w:tcPr>
            <w:tcW w:w="1799" w:type="dxa"/>
            <w:vAlign w:val="top"/>
          </w:tcPr>
          <w:p w14:paraId="5ECF3203">
            <w:pPr>
              <w:rPr>
                <w:rFonts w:ascii="Arial"/>
                <w:color w:val="auto"/>
                <w:sz w:val="21"/>
                <w:highlight w:val="none"/>
              </w:rPr>
            </w:pPr>
          </w:p>
        </w:tc>
        <w:tc>
          <w:tcPr>
            <w:tcW w:w="2524" w:type="dxa"/>
            <w:vAlign w:val="top"/>
          </w:tcPr>
          <w:p w14:paraId="6C015E8B">
            <w:pPr>
              <w:rPr>
                <w:rFonts w:ascii="Arial"/>
                <w:color w:val="auto"/>
                <w:sz w:val="21"/>
                <w:highlight w:val="none"/>
              </w:rPr>
            </w:pPr>
          </w:p>
        </w:tc>
      </w:tr>
      <w:tr w14:paraId="790DE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254B51F">
            <w:pPr>
              <w:rPr>
                <w:rFonts w:ascii="Arial"/>
                <w:color w:val="auto"/>
                <w:sz w:val="21"/>
                <w:highlight w:val="none"/>
              </w:rPr>
            </w:pPr>
          </w:p>
        </w:tc>
        <w:tc>
          <w:tcPr>
            <w:tcW w:w="3479" w:type="dxa"/>
            <w:vAlign w:val="top"/>
          </w:tcPr>
          <w:p w14:paraId="383D42FD">
            <w:pPr>
              <w:rPr>
                <w:rFonts w:ascii="Arial"/>
                <w:color w:val="auto"/>
                <w:sz w:val="21"/>
                <w:highlight w:val="none"/>
              </w:rPr>
            </w:pPr>
          </w:p>
        </w:tc>
        <w:tc>
          <w:tcPr>
            <w:tcW w:w="1799" w:type="dxa"/>
            <w:vAlign w:val="top"/>
          </w:tcPr>
          <w:p w14:paraId="615B879B">
            <w:pPr>
              <w:rPr>
                <w:rFonts w:ascii="Arial"/>
                <w:color w:val="auto"/>
                <w:sz w:val="21"/>
                <w:highlight w:val="none"/>
              </w:rPr>
            </w:pPr>
          </w:p>
        </w:tc>
        <w:tc>
          <w:tcPr>
            <w:tcW w:w="2524" w:type="dxa"/>
            <w:vAlign w:val="top"/>
          </w:tcPr>
          <w:p w14:paraId="1DC80497">
            <w:pPr>
              <w:rPr>
                <w:rFonts w:ascii="Arial"/>
                <w:color w:val="auto"/>
                <w:sz w:val="21"/>
                <w:highlight w:val="none"/>
              </w:rPr>
            </w:pPr>
          </w:p>
        </w:tc>
      </w:tr>
      <w:tr w14:paraId="20AB3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552BB4A">
            <w:pPr>
              <w:rPr>
                <w:rFonts w:ascii="Arial"/>
                <w:color w:val="auto"/>
                <w:sz w:val="21"/>
                <w:highlight w:val="none"/>
              </w:rPr>
            </w:pPr>
          </w:p>
        </w:tc>
        <w:tc>
          <w:tcPr>
            <w:tcW w:w="3479" w:type="dxa"/>
            <w:vAlign w:val="top"/>
          </w:tcPr>
          <w:p w14:paraId="28A6E402">
            <w:pPr>
              <w:rPr>
                <w:rFonts w:ascii="Arial"/>
                <w:color w:val="auto"/>
                <w:sz w:val="21"/>
                <w:highlight w:val="none"/>
              </w:rPr>
            </w:pPr>
          </w:p>
        </w:tc>
        <w:tc>
          <w:tcPr>
            <w:tcW w:w="1799" w:type="dxa"/>
            <w:vAlign w:val="top"/>
          </w:tcPr>
          <w:p w14:paraId="71D72C52">
            <w:pPr>
              <w:rPr>
                <w:rFonts w:ascii="Arial"/>
                <w:color w:val="auto"/>
                <w:sz w:val="21"/>
                <w:highlight w:val="none"/>
              </w:rPr>
            </w:pPr>
          </w:p>
        </w:tc>
        <w:tc>
          <w:tcPr>
            <w:tcW w:w="2524" w:type="dxa"/>
            <w:vAlign w:val="top"/>
          </w:tcPr>
          <w:p w14:paraId="71B0A0D0">
            <w:pPr>
              <w:rPr>
                <w:rFonts w:ascii="Arial"/>
                <w:color w:val="auto"/>
                <w:sz w:val="21"/>
                <w:highlight w:val="none"/>
              </w:rPr>
            </w:pPr>
          </w:p>
        </w:tc>
      </w:tr>
      <w:tr w14:paraId="201A5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C0EF3BC">
            <w:pPr>
              <w:rPr>
                <w:rFonts w:ascii="Arial"/>
                <w:color w:val="auto"/>
                <w:sz w:val="21"/>
                <w:highlight w:val="none"/>
              </w:rPr>
            </w:pPr>
          </w:p>
        </w:tc>
        <w:tc>
          <w:tcPr>
            <w:tcW w:w="3479" w:type="dxa"/>
            <w:vAlign w:val="top"/>
          </w:tcPr>
          <w:p w14:paraId="001D21B2">
            <w:pPr>
              <w:rPr>
                <w:rFonts w:ascii="Arial"/>
                <w:color w:val="auto"/>
                <w:sz w:val="21"/>
                <w:highlight w:val="none"/>
              </w:rPr>
            </w:pPr>
          </w:p>
        </w:tc>
        <w:tc>
          <w:tcPr>
            <w:tcW w:w="1799" w:type="dxa"/>
            <w:vAlign w:val="top"/>
          </w:tcPr>
          <w:p w14:paraId="6686BA7F">
            <w:pPr>
              <w:rPr>
                <w:rFonts w:ascii="Arial"/>
                <w:color w:val="auto"/>
                <w:sz w:val="21"/>
                <w:highlight w:val="none"/>
              </w:rPr>
            </w:pPr>
          </w:p>
        </w:tc>
        <w:tc>
          <w:tcPr>
            <w:tcW w:w="2524" w:type="dxa"/>
            <w:vAlign w:val="top"/>
          </w:tcPr>
          <w:p w14:paraId="0426726D">
            <w:pPr>
              <w:rPr>
                <w:rFonts w:ascii="Arial"/>
                <w:color w:val="auto"/>
                <w:sz w:val="21"/>
                <w:highlight w:val="none"/>
              </w:rPr>
            </w:pPr>
          </w:p>
        </w:tc>
      </w:tr>
      <w:tr w14:paraId="6C789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1A1932C">
            <w:pPr>
              <w:rPr>
                <w:rFonts w:ascii="Arial"/>
                <w:color w:val="auto"/>
                <w:sz w:val="21"/>
                <w:highlight w:val="none"/>
              </w:rPr>
            </w:pPr>
          </w:p>
        </w:tc>
        <w:tc>
          <w:tcPr>
            <w:tcW w:w="3479" w:type="dxa"/>
            <w:vAlign w:val="top"/>
          </w:tcPr>
          <w:p w14:paraId="62E9DEF6">
            <w:pPr>
              <w:rPr>
                <w:rFonts w:ascii="Arial"/>
                <w:color w:val="auto"/>
                <w:sz w:val="21"/>
                <w:highlight w:val="none"/>
              </w:rPr>
            </w:pPr>
          </w:p>
        </w:tc>
        <w:tc>
          <w:tcPr>
            <w:tcW w:w="1799" w:type="dxa"/>
            <w:vAlign w:val="top"/>
          </w:tcPr>
          <w:p w14:paraId="4170D00A">
            <w:pPr>
              <w:rPr>
                <w:rFonts w:ascii="Arial"/>
                <w:color w:val="auto"/>
                <w:sz w:val="21"/>
                <w:highlight w:val="none"/>
              </w:rPr>
            </w:pPr>
          </w:p>
        </w:tc>
        <w:tc>
          <w:tcPr>
            <w:tcW w:w="2524" w:type="dxa"/>
            <w:vAlign w:val="top"/>
          </w:tcPr>
          <w:p w14:paraId="512E8F03">
            <w:pPr>
              <w:rPr>
                <w:rFonts w:ascii="Arial"/>
                <w:color w:val="auto"/>
                <w:sz w:val="21"/>
                <w:highlight w:val="none"/>
              </w:rPr>
            </w:pPr>
          </w:p>
        </w:tc>
      </w:tr>
      <w:tr w14:paraId="0C643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DB53CD7">
            <w:pPr>
              <w:rPr>
                <w:rFonts w:ascii="Arial"/>
                <w:color w:val="auto"/>
                <w:sz w:val="21"/>
                <w:highlight w:val="none"/>
              </w:rPr>
            </w:pPr>
          </w:p>
        </w:tc>
        <w:tc>
          <w:tcPr>
            <w:tcW w:w="3479" w:type="dxa"/>
            <w:vAlign w:val="top"/>
          </w:tcPr>
          <w:p w14:paraId="11CAFD66">
            <w:pPr>
              <w:rPr>
                <w:rFonts w:ascii="Arial"/>
                <w:color w:val="auto"/>
                <w:sz w:val="21"/>
                <w:highlight w:val="none"/>
              </w:rPr>
            </w:pPr>
          </w:p>
        </w:tc>
        <w:tc>
          <w:tcPr>
            <w:tcW w:w="1799" w:type="dxa"/>
            <w:vAlign w:val="top"/>
          </w:tcPr>
          <w:p w14:paraId="7A2CD2C4">
            <w:pPr>
              <w:rPr>
                <w:rFonts w:ascii="Arial"/>
                <w:color w:val="auto"/>
                <w:sz w:val="21"/>
                <w:highlight w:val="none"/>
              </w:rPr>
            </w:pPr>
          </w:p>
        </w:tc>
        <w:tc>
          <w:tcPr>
            <w:tcW w:w="2524" w:type="dxa"/>
            <w:vAlign w:val="top"/>
          </w:tcPr>
          <w:p w14:paraId="2EACF440">
            <w:pPr>
              <w:rPr>
                <w:rFonts w:ascii="Arial"/>
                <w:color w:val="auto"/>
                <w:sz w:val="21"/>
                <w:highlight w:val="none"/>
              </w:rPr>
            </w:pPr>
          </w:p>
        </w:tc>
      </w:tr>
    </w:tbl>
    <w:p w14:paraId="1C542FF1">
      <w:pPr>
        <w:spacing w:before="154"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备注： </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本表后应附表彰文件、获奖证书及其他证明材料等。</w:t>
      </w:r>
    </w:p>
    <w:p w14:paraId="5BFD3F7E">
      <w:pPr>
        <w:spacing w:before="152"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1FE0721A">
      <w:pPr>
        <w:spacing w:line="220" w:lineRule="auto"/>
        <w:rPr>
          <w:rFonts w:ascii="宋体" w:hAnsi="宋体" w:eastAsia="宋体" w:cs="宋体"/>
          <w:color w:val="auto"/>
          <w:sz w:val="21"/>
          <w:szCs w:val="21"/>
          <w:highlight w:val="none"/>
        </w:rPr>
        <w:sectPr>
          <w:footerReference r:id="rId241" w:type="default"/>
          <w:pgSz w:w="11905" w:h="16839"/>
          <w:pgMar w:top="400" w:right="1527" w:bottom="1004" w:left="1785" w:header="0" w:footer="828" w:gutter="0"/>
          <w:pgNumType w:fmt="decimal"/>
          <w:cols w:space="720" w:num="1"/>
        </w:sectPr>
      </w:pPr>
    </w:p>
    <w:p w14:paraId="085DE2BA">
      <w:pPr>
        <w:pStyle w:val="3"/>
        <w:spacing w:line="255" w:lineRule="auto"/>
        <w:rPr>
          <w:color w:val="auto"/>
          <w:highlight w:val="none"/>
        </w:rPr>
      </w:pPr>
    </w:p>
    <w:p w14:paraId="4B29F80E">
      <w:pPr>
        <w:pStyle w:val="3"/>
        <w:spacing w:line="256" w:lineRule="auto"/>
        <w:rPr>
          <w:color w:val="auto"/>
          <w:highlight w:val="none"/>
        </w:rPr>
      </w:pPr>
    </w:p>
    <w:p w14:paraId="02AEBF5D">
      <w:pPr>
        <w:pStyle w:val="3"/>
        <w:spacing w:line="256" w:lineRule="auto"/>
        <w:rPr>
          <w:color w:val="auto"/>
          <w:highlight w:val="none"/>
        </w:rPr>
      </w:pPr>
    </w:p>
    <w:p w14:paraId="75D18591">
      <w:pPr>
        <w:pStyle w:val="3"/>
        <w:spacing w:line="256" w:lineRule="auto"/>
        <w:rPr>
          <w:color w:val="auto"/>
          <w:highlight w:val="none"/>
        </w:rPr>
      </w:pPr>
    </w:p>
    <w:p w14:paraId="550A00C8">
      <w:pPr>
        <w:spacing w:before="88" w:line="225" w:lineRule="auto"/>
        <w:ind w:left="2777"/>
        <w:rPr>
          <w:rFonts w:ascii="黑体" w:hAnsi="黑体" w:eastAsia="黑体" w:cs="黑体"/>
          <w:color w:val="auto"/>
          <w:sz w:val="27"/>
          <w:szCs w:val="27"/>
          <w:highlight w:val="none"/>
        </w:rPr>
      </w:pPr>
      <w:bookmarkStart w:id="1356" w:name="bookmark329"/>
      <w:bookmarkEnd w:id="1356"/>
      <w:r>
        <w:rPr>
          <w:rFonts w:ascii="黑体" w:hAnsi="黑体" w:eastAsia="黑体" w:cs="黑体"/>
          <w:color w:val="auto"/>
          <w:spacing w:val="8"/>
          <w:sz w:val="27"/>
          <w:szCs w:val="27"/>
          <w:highlight w:val="none"/>
        </w:rPr>
        <w:t>八、已标价工程量清单</w:t>
      </w:r>
    </w:p>
    <w:p w14:paraId="05DD722E">
      <w:pPr>
        <w:pStyle w:val="3"/>
        <w:spacing w:line="285" w:lineRule="auto"/>
        <w:rPr>
          <w:color w:val="auto"/>
          <w:highlight w:val="none"/>
        </w:rPr>
      </w:pPr>
    </w:p>
    <w:p w14:paraId="6878C322">
      <w:pPr>
        <w:pStyle w:val="3"/>
        <w:spacing w:line="285" w:lineRule="auto"/>
        <w:rPr>
          <w:color w:val="auto"/>
          <w:highlight w:val="none"/>
        </w:rPr>
      </w:pPr>
    </w:p>
    <w:p w14:paraId="5FE7FC88">
      <w:pPr>
        <w:spacing w:before="68"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说明：已标价工程量清单按第五章“工程量清单”中的相关清单表格式填写。</w:t>
      </w:r>
    </w:p>
    <w:p w14:paraId="26ACC2D9">
      <w:pPr>
        <w:spacing w:before="211" w:line="461" w:lineRule="exact"/>
        <w:ind w:right="19"/>
        <w:jc w:val="right"/>
        <w:rPr>
          <w:rFonts w:ascii="宋体" w:hAnsi="宋体" w:eastAsia="宋体" w:cs="宋体"/>
          <w:color w:val="auto"/>
          <w:sz w:val="21"/>
          <w:szCs w:val="21"/>
          <w:highlight w:val="none"/>
        </w:rPr>
      </w:pPr>
      <w:r>
        <w:rPr>
          <w:rFonts w:ascii="宋体" w:hAnsi="宋体" w:eastAsia="宋体" w:cs="宋体"/>
          <w:color w:val="auto"/>
          <w:spacing w:val="3"/>
          <w:position w:val="19"/>
          <w:sz w:val="21"/>
          <w:szCs w:val="21"/>
          <w:highlight w:val="none"/>
        </w:rPr>
        <w:t>构成合同文件的已标价工程量清单包括第五章“工程量清单”有关工</w:t>
      </w:r>
      <w:r>
        <w:rPr>
          <w:rFonts w:ascii="宋体" w:hAnsi="宋体" w:eastAsia="宋体" w:cs="宋体"/>
          <w:color w:val="auto"/>
          <w:spacing w:val="2"/>
          <w:position w:val="19"/>
          <w:sz w:val="21"/>
          <w:szCs w:val="21"/>
          <w:highlight w:val="none"/>
        </w:rPr>
        <w:t>程量清单、投</w:t>
      </w:r>
    </w:p>
    <w:p w14:paraId="776B6FFB">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标报价以及其他说明的内容。</w:t>
      </w:r>
    </w:p>
    <w:p w14:paraId="285F37BD">
      <w:pPr>
        <w:spacing w:line="219" w:lineRule="auto"/>
        <w:rPr>
          <w:rFonts w:ascii="宋体" w:hAnsi="宋体" w:eastAsia="宋体" w:cs="宋体"/>
          <w:color w:val="auto"/>
          <w:sz w:val="21"/>
          <w:szCs w:val="21"/>
          <w:highlight w:val="none"/>
        </w:rPr>
        <w:sectPr>
          <w:footerReference r:id="rId242" w:type="default"/>
          <w:pgSz w:w="11905" w:h="16839"/>
          <w:pgMar w:top="400" w:right="1785" w:bottom="1004" w:left="1785" w:header="0" w:footer="828" w:gutter="0"/>
          <w:pgNumType w:fmt="decimal"/>
          <w:cols w:space="720" w:num="1"/>
        </w:sectPr>
      </w:pPr>
    </w:p>
    <w:p w14:paraId="15E1A069">
      <w:pPr>
        <w:pStyle w:val="3"/>
        <w:spacing w:line="267" w:lineRule="auto"/>
        <w:rPr>
          <w:color w:val="auto"/>
          <w:highlight w:val="none"/>
        </w:rPr>
      </w:pPr>
    </w:p>
    <w:p w14:paraId="2F2EBF01">
      <w:pPr>
        <w:pStyle w:val="3"/>
        <w:spacing w:line="267" w:lineRule="auto"/>
        <w:rPr>
          <w:color w:val="auto"/>
          <w:highlight w:val="none"/>
        </w:rPr>
      </w:pPr>
    </w:p>
    <w:p w14:paraId="1C870A14">
      <w:pPr>
        <w:pStyle w:val="3"/>
        <w:spacing w:line="268" w:lineRule="auto"/>
        <w:rPr>
          <w:color w:val="auto"/>
          <w:highlight w:val="none"/>
        </w:rPr>
      </w:pPr>
    </w:p>
    <w:p w14:paraId="29FDE816">
      <w:pPr>
        <w:pStyle w:val="3"/>
        <w:spacing w:line="268" w:lineRule="auto"/>
        <w:rPr>
          <w:color w:val="auto"/>
          <w:highlight w:val="none"/>
        </w:rPr>
      </w:pPr>
    </w:p>
    <w:p w14:paraId="26157038">
      <w:pPr>
        <w:spacing w:before="78" w:line="219" w:lineRule="auto"/>
        <w:ind w:left="3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已标价工程量清单（投标总价）封面</w:t>
      </w:r>
    </w:p>
    <w:p w14:paraId="42D2AFF5">
      <w:pPr>
        <w:pStyle w:val="3"/>
        <w:spacing w:line="244" w:lineRule="auto"/>
        <w:rPr>
          <w:color w:val="auto"/>
          <w:highlight w:val="none"/>
        </w:rPr>
      </w:pPr>
    </w:p>
    <w:p w14:paraId="04E7D926">
      <w:pPr>
        <w:pStyle w:val="3"/>
        <w:spacing w:line="244" w:lineRule="auto"/>
        <w:rPr>
          <w:color w:val="auto"/>
          <w:highlight w:val="none"/>
        </w:rPr>
      </w:pPr>
    </w:p>
    <w:p w14:paraId="37F6046D">
      <w:pPr>
        <w:pStyle w:val="3"/>
        <w:spacing w:line="244" w:lineRule="auto"/>
        <w:rPr>
          <w:color w:val="auto"/>
          <w:highlight w:val="none"/>
        </w:rPr>
      </w:pPr>
    </w:p>
    <w:p w14:paraId="51A9BCE6">
      <w:pPr>
        <w:pStyle w:val="3"/>
        <w:spacing w:line="244" w:lineRule="auto"/>
        <w:rPr>
          <w:color w:val="auto"/>
          <w:highlight w:val="none"/>
        </w:rPr>
      </w:pPr>
    </w:p>
    <w:p w14:paraId="034876B6">
      <w:pPr>
        <w:pStyle w:val="3"/>
        <w:spacing w:line="244" w:lineRule="auto"/>
        <w:rPr>
          <w:color w:val="auto"/>
          <w:highlight w:val="none"/>
        </w:rPr>
      </w:pPr>
    </w:p>
    <w:p w14:paraId="5CA8532F">
      <w:pPr>
        <w:pStyle w:val="3"/>
        <w:spacing w:line="244" w:lineRule="auto"/>
        <w:rPr>
          <w:color w:val="auto"/>
          <w:highlight w:val="none"/>
        </w:rPr>
      </w:pPr>
    </w:p>
    <w:p w14:paraId="64D41410">
      <w:pPr>
        <w:pStyle w:val="3"/>
        <w:spacing w:line="244" w:lineRule="auto"/>
        <w:rPr>
          <w:color w:val="auto"/>
          <w:highlight w:val="none"/>
        </w:rPr>
      </w:pPr>
    </w:p>
    <w:p w14:paraId="75A6EDF1">
      <w:pPr>
        <w:pStyle w:val="3"/>
        <w:spacing w:line="244" w:lineRule="auto"/>
        <w:rPr>
          <w:color w:val="auto"/>
          <w:highlight w:val="none"/>
        </w:rPr>
      </w:pPr>
    </w:p>
    <w:p w14:paraId="0D9D8B59">
      <w:pPr>
        <w:pStyle w:val="3"/>
        <w:spacing w:line="245" w:lineRule="auto"/>
        <w:rPr>
          <w:color w:val="auto"/>
          <w:highlight w:val="none"/>
        </w:rPr>
      </w:pPr>
    </w:p>
    <w:p w14:paraId="449D2891">
      <w:pPr>
        <w:pStyle w:val="3"/>
        <w:spacing w:line="245" w:lineRule="auto"/>
        <w:rPr>
          <w:color w:val="auto"/>
          <w:highlight w:val="none"/>
        </w:rPr>
      </w:pPr>
    </w:p>
    <w:p w14:paraId="64C88AA8">
      <w:pPr>
        <w:pStyle w:val="3"/>
        <w:spacing w:line="245" w:lineRule="auto"/>
        <w:rPr>
          <w:color w:val="auto"/>
          <w:highlight w:val="none"/>
        </w:rPr>
      </w:pPr>
    </w:p>
    <w:p w14:paraId="7B5E9FEC">
      <w:pPr>
        <w:pStyle w:val="3"/>
        <w:spacing w:line="245" w:lineRule="auto"/>
        <w:rPr>
          <w:color w:val="auto"/>
          <w:highlight w:val="none"/>
        </w:rPr>
      </w:pPr>
    </w:p>
    <w:p w14:paraId="46FE97EA">
      <w:pPr>
        <w:pStyle w:val="3"/>
        <w:spacing w:line="245" w:lineRule="auto"/>
        <w:rPr>
          <w:color w:val="auto"/>
          <w:highlight w:val="none"/>
        </w:rPr>
      </w:pPr>
    </w:p>
    <w:p w14:paraId="38817779">
      <w:pPr>
        <w:pStyle w:val="3"/>
        <w:spacing w:line="245" w:lineRule="auto"/>
        <w:rPr>
          <w:color w:val="auto"/>
          <w:highlight w:val="none"/>
        </w:rPr>
      </w:pPr>
    </w:p>
    <w:p w14:paraId="766A599A">
      <w:pPr>
        <w:spacing w:before="143" w:line="219" w:lineRule="auto"/>
        <w:ind w:left="3298"/>
        <w:rPr>
          <w:rFonts w:ascii="黑体" w:hAnsi="黑体" w:eastAsia="黑体" w:cs="黑体"/>
          <w:color w:val="auto"/>
          <w:sz w:val="44"/>
          <w:szCs w:val="44"/>
          <w:highlight w:val="none"/>
        </w:rPr>
      </w:pPr>
      <w:r>
        <w:rPr>
          <w:rFonts w:ascii="黑体" w:hAnsi="黑体" w:eastAsia="黑体" w:cs="黑体"/>
          <w:color w:val="auto"/>
          <w:spacing w:val="-2"/>
          <w:sz w:val="44"/>
          <w:szCs w:val="44"/>
          <w:highlight w:val="none"/>
        </w:rPr>
        <w:t>投标总价</w:t>
      </w:r>
    </w:p>
    <w:p w14:paraId="44043068">
      <w:pPr>
        <w:pStyle w:val="3"/>
        <w:spacing w:line="249" w:lineRule="auto"/>
        <w:rPr>
          <w:color w:val="auto"/>
          <w:highlight w:val="none"/>
        </w:rPr>
      </w:pPr>
    </w:p>
    <w:p w14:paraId="77B5A4AD">
      <w:pPr>
        <w:pStyle w:val="3"/>
        <w:spacing w:line="249" w:lineRule="auto"/>
        <w:rPr>
          <w:color w:val="auto"/>
          <w:highlight w:val="none"/>
        </w:rPr>
      </w:pPr>
    </w:p>
    <w:p w14:paraId="0BF7AB86">
      <w:pPr>
        <w:pStyle w:val="3"/>
        <w:spacing w:line="249" w:lineRule="auto"/>
        <w:rPr>
          <w:color w:val="auto"/>
          <w:highlight w:val="none"/>
        </w:rPr>
      </w:pPr>
    </w:p>
    <w:p w14:paraId="03D19F60">
      <w:pPr>
        <w:pStyle w:val="3"/>
        <w:spacing w:line="249" w:lineRule="auto"/>
        <w:rPr>
          <w:color w:val="auto"/>
          <w:highlight w:val="none"/>
        </w:rPr>
      </w:pPr>
    </w:p>
    <w:p w14:paraId="242F827B">
      <w:pPr>
        <w:pStyle w:val="3"/>
        <w:spacing w:line="249" w:lineRule="auto"/>
        <w:rPr>
          <w:color w:val="auto"/>
          <w:highlight w:val="none"/>
        </w:rPr>
      </w:pPr>
    </w:p>
    <w:p w14:paraId="4B2EA88D">
      <w:pPr>
        <w:pStyle w:val="3"/>
        <w:spacing w:line="249" w:lineRule="auto"/>
        <w:rPr>
          <w:color w:val="auto"/>
          <w:highlight w:val="none"/>
        </w:rPr>
      </w:pPr>
    </w:p>
    <w:p w14:paraId="1EB54ABF">
      <w:pPr>
        <w:pStyle w:val="3"/>
        <w:spacing w:line="250" w:lineRule="auto"/>
        <w:rPr>
          <w:color w:val="auto"/>
          <w:highlight w:val="none"/>
        </w:rPr>
      </w:pPr>
    </w:p>
    <w:p w14:paraId="5C82192C">
      <w:pPr>
        <w:pStyle w:val="3"/>
        <w:spacing w:line="250" w:lineRule="auto"/>
        <w:rPr>
          <w:color w:val="auto"/>
          <w:highlight w:val="none"/>
        </w:rPr>
      </w:pPr>
    </w:p>
    <w:p w14:paraId="43A6C444">
      <w:pPr>
        <w:pStyle w:val="3"/>
        <w:spacing w:line="250" w:lineRule="auto"/>
        <w:rPr>
          <w:color w:val="auto"/>
          <w:highlight w:val="none"/>
        </w:rPr>
      </w:pPr>
    </w:p>
    <w:p w14:paraId="410AB0F7">
      <w:pPr>
        <w:pStyle w:val="3"/>
        <w:spacing w:line="250" w:lineRule="auto"/>
        <w:rPr>
          <w:color w:val="auto"/>
          <w:highlight w:val="none"/>
        </w:rPr>
      </w:pPr>
    </w:p>
    <w:p w14:paraId="79903B16">
      <w:pPr>
        <w:pStyle w:val="3"/>
        <w:spacing w:line="250" w:lineRule="auto"/>
        <w:rPr>
          <w:color w:val="auto"/>
          <w:highlight w:val="none"/>
        </w:rPr>
      </w:pPr>
    </w:p>
    <w:p w14:paraId="5284FB8A">
      <w:pPr>
        <w:pStyle w:val="3"/>
        <w:spacing w:line="250" w:lineRule="auto"/>
        <w:rPr>
          <w:color w:val="auto"/>
          <w:highlight w:val="none"/>
        </w:rPr>
      </w:pPr>
    </w:p>
    <w:p w14:paraId="6957939E">
      <w:pPr>
        <w:pStyle w:val="3"/>
        <w:spacing w:line="250" w:lineRule="auto"/>
        <w:rPr>
          <w:color w:val="auto"/>
          <w:highlight w:val="none"/>
        </w:rPr>
      </w:pPr>
    </w:p>
    <w:p w14:paraId="6B16DBC3">
      <w:pPr>
        <w:pStyle w:val="3"/>
        <w:spacing w:line="250" w:lineRule="auto"/>
        <w:rPr>
          <w:color w:val="auto"/>
          <w:highlight w:val="none"/>
        </w:rPr>
      </w:pPr>
    </w:p>
    <w:p w14:paraId="78583231">
      <w:pPr>
        <w:pStyle w:val="3"/>
        <w:spacing w:line="250" w:lineRule="auto"/>
        <w:rPr>
          <w:color w:val="auto"/>
          <w:highlight w:val="none"/>
        </w:rPr>
      </w:pPr>
    </w:p>
    <w:p w14:paraId="6305B3BC">
      <w:pPr>
        <w:pStyle w:val="3"/>
        <w:spacing w:line="250" w:lineRule="auto"/>
        <w:rPr>
          <w:color w:val="auto"/>
          <w:highlight w:val="none"/>
        </w:rPr>
      </w:pPr>
    </w:p>
    <w:p w14:paraId="07B082DD">
      <w:pPr>
        <w:spacing w:before="88" w:line="222" w:lineRule="auto"/>
        <w:ind w:left="4234" w:right="1321" w:hanging="2529"/>
        <w:rPr>
          <w:rFonts w:ascii="宋体" w:hAnsi="宋体" w:eastAsia="宋体" w:cs="宋体"/>
          <w:color w:val="auto"/>
          <w:sz w:val="27"/>
          <w:szCs w:val="27"/>
          <w:highlight w:val="none"/>
        </w:rPr>
      </w:pPr>
      <w:r>
        <w:rPr>
          <w:rFonts w:ascii="宋体" w:hAnsi="宋体" w:eastAsia="宋体" w:cs="宋体"/>
          <w:color w:val="auto"/>
          <w:spacing w:val="-27"/>
          <w:sz w:val="27"/>
          <w:szCs w:val="27"/>
          <w:highlight w:val="none"/>
        </w:rPr>
        <w:t>投</w:t>
      </w:r>
      <w:r>
        <w:rPr>
          <w:rFonts w:ascii="宋体" w:hAnsi="宋体" w:eastAsia="宋体" w:cs="宋体"/>
          <w:color w:val="auto"/>
          <w:spacing w:val="16"/>
          <w:sz w:val="27"/>
          <w:szCs w:val="27"/>
          <w:highlight w:val="none"/>
        </w:rPr>
        <w:t xml:space="preserve"> </w:t>
      </w:r>
      <w:r>
        <w:rPr>
          <w:rFonts w:ascii="宋体" w:hAnsi="宋体" w:eastAsia="宋体" w:cs="宋体"/>
          <w:color w:val="auto"/>
          <w:spacing w:val="-27"/>
          <w:sz w:val="27"/>
          <w:szCs w:val="27"/>
          <w:highlight w:val="none"/>
        </w:rPr>
        <w:t>标</w:t>
      </w:r>
      <w:r>
        <w:rPr>
          <w:rFonts w:ascii="宋体" w:hAnsi="宋体" w:eastAsia="宋体" w:cs="宋体"/>
          <w:color w:val="auto"/>
          <w:spacing w:val="18"/>
          <w:sz w:val="27"/>
          <w:szCs w:val="27"/>
          <w:highlight w:val="none"/>
        </w:rPr>
        <w:t xml:space="preserve"> </w:t>
      </w:r>
      <w:r>
        <w:rPr>
          <w:rFonts w:ascii="宋体" w:hAnsi="宋体" w:eastAsia="宋体" w:cs="宋体"/>
          <w:color w:val="auto"/>
          <w:spacing w:val="-27"/>
          <w:sz w:val="27"/>
          <w:szCs w:val="27"/>
          <w:highlight w:val="none"/>
        </w:rPr>
        <w:t>人：</w:t>
      </w:r>
      <w:r>
        <w:rPr>
          <w:rFonts w:ascii="宋体" w:hAnsi="宋体" w:eastAsia="宋体" w:cs="宋体"/>
          <w:color w:val="auto"/>
          <w:spacing w:val="-29"/>
          <w:sz w:val="27"/>
          <w:szCs w:val="27"/>
          <w:highlight w:val="none"/>
        </w:rPr>
        <w:t xml:space="preserve"> </w:t>
      </w:r>
      <w:r>
        <w:rPr>
          <w:rFonts w:ascii="宋体" w:hAnsi="宋体" w:eastAsia="宋体" w:cs="宋体"/>
          <w:color w:val="auto"/>
          <w:sz w:val="27"/>
          <w:szCs w:val="27"/>
          <w:highlight w:val="none"/>
          <w:u w:val="single" w:color="auto"/>
        </w:rPr>
        <w:t xml:space="preserve">                             </w:t>
      </w:r>
      <w:r>
        <w:rPr>
          <w:rFonts w:ascii="宋体" w:hAnsi="宋体" w:eastAsia="宋体" w:cs="宋体"/>
          <w:color w:val="auto"/>
          <w:spacing w:val="8"/>
          <w:sz w:val="27"/>
          <w:szCs w:val="27"/>
          <w:highlight w:val="none"/>
        </w:rPr>
        <w:t xml:space="preserve"> </w:t>
      </w:r>
      <w:r>
        <w:rPr>
          <w:rFonts w:ascii="宋体" w:hAnsi="宋体" w:eastAsia="宋体" w:cs="宋体"/>
          <w:color w:val="auto"/>
          <w:spacing w:val="3"/>
          <w:sz w:val="27"/>
          <w:szCs w:val="27"/>
          <w:highlight w:val="none"/>
        </w:rPr>
        <w:t>（单位盖章）</w:t>
      </w:r>
    </w:p>
    <w:p w14:paraId="6AFAFBF1">
      <w:pPr>
        <w:pStyle w:val="3"/>
        <w:spacing w:line="351" w:lineRule="auto"/>
        <w:rPr>
          <w:color w:val="auto"/>
          <w:highlight w:val="none"/>
        </w:rPr>
      </w:pPr>
    </w:p>
    <w:p w14:paraId="0CCF8335">
      <w:pPr>
        <w:pStyle w:val="3"/>
        <w:spacing w:line="352" w:lineRule="auto"/>
        <w:rPr>
          <w:color w:val="auto"/>
          <w:highlight w:val="none"/>
        </w:rPr>
      </w:pPr>
    </w:p>
    <w:p w14:paraId="03C29147">
      <w:pPr>
        <w:spacing w:before="88" w:line="225" w:lineRule="auto"/>
        <w:ind w:left="3383"/>
        <w:rPr>
          <w:rFonts w:ascii="宋体" w:hAnsi="宋体" w:eastAsia="宋体" w:cs="宋体"/>
          <w:color w:val="auto"/>
          <w:sz w:val="27"/>
          <w:szCs w:val="27"/>
          <w:highlight w:val="none"/>
        </w:rPr>
      </w:pPr>
      <w:r>
        <w:rPr>
          <w:rFonts w:ascii="宋体" w:hAnsi="宋体" w:eastAsia="宋体" w:cs="宋体"/>
          <w:color w:val="auto"/>
          <w:spacing w:val="-5"/>
          <w:sz w:val="27"/>
          <w:szCs w:val="27"/>
          <w:highlight w:val="none"/>
        </w:rPr>
        <w:t>年</w:t>
      </w:r>
      <w:r>
        <w:rPr>
          <w:rFonts w:ascii="宋体" w:hAnsi="宋体" w:eastAsia="宋体" w:cs="宋体"/>
          <w:color w:val="auto"/>
          <w:spacing w:val="8"/>
          <w:sz w:val="27"/>
          <w:szCs w:val="27"/>
          <w:highlight w:val="none"/>
        </w:rPr>
        <w:t xml:space="preserve">      </w:t>
      </w:r>
      <w:r>
        <w:rPr>
          <w:rFonts w:ascii="宋体" w:hAnsi="宋体" w:eastAsia="宋体" w:cs="宋体"/>
          <w:color w:val="auto"/>
          <w:spacing w:val="-5"/>
          <w:sz w:val="27"/>
          <w:szCs w:val="27"/>
          <w:highlight w:val="none"/>
        </w:rPr>
        <w:t>月</w:t>
      </w:r>
      <w:r>
        <w:rPr>
          <w:rFonts w:ascii="宋体" w:hAnsi="宋体" w:eastAsia="宋体" w:cs="宋体"/>
          <w:color w:val="auto"/>
          <w:spacing w:val="15"/>
          <w:sz w:val="27"/>
          <w:szCs w:val="27"/>
          <w:highlight w:val="none"/>
        </w:rPr>
        <w:t xml:space="preserve">      </w:t>
      </w:r>
      <w:r>
        <w:rPr>
          <w:rFonts w:ascii="宋体" w:hAnsi="宋体" w:eastAsia="宋体" w:cs="宋体"/>
          <w:color w:val="auto"/>
          <w:spacing w:val="-5"/>
          <w:sz w:val="27"/>
          <w:szCs w:val="27"/>
          <w:highlight w:val="none"/>
        </w:rPr>
        <w:t>日</w:t>
      </w:r>
    </w:p>
    <w:p w14:paraId="0BDDA74C">
      <w:pPr>
        <w:spacing w:line="225" w:lineRule="auto"/>
        <w:rPr>
          <w:rFonts w:ascii="宋体" w:hAnsi="宋体" w:eastAsia="宋体" w:cs="宋体"/>
          <w:color w:val="auto"/>
          <w:sz w:val="27"/>
          <w:szCs w:val="27"/>
          <w:highlight w:val="none"/>
        </w:rPr>
        <w:sectPr>
          <w:footerReference r:id="rId243" w:type="default"/>
          <w:pgSz w:w="11905" w:h="16839"/>
          <w:pgMar w:top="400" w:right="1785" w:bottom="1004" w:left="1785" w:header="0" w:footer="828" w:gutter="0"/>
          <w:pgNumType w:fmt="decimal"/>
          <w:cols w:space="720" w:num="1"/>
        </w:sectPr>
      </w:pPr>
    </w:p>
    <w:p w14:paraId="73D9ED0F">
      <w:pPr>
        <w:pStyle w:val="3"/>
        <w:spacing w:line="254" w:lineRule="auto"/>
        <w:rPr>
          <w:color w:val="auto"/>
          <w:highlight w:val="none"/>
        </w:rPr>
      </w:pPr>
    </w:p>
    <w:p w14:paraId="508A0DB1">
      <w:pPr>
        <w:pStyle w:val="3"/>
        <w:spacing w:line="254" w:lineRule="auto"/>
        <w:rPr>
          <w:color w:val="auto"/>
          <w:highlight w:val="none"/>
        </w:rPr>
      </w:pPr>
    </w:p>
    <w:p w14:paraId="6991BBF1">
      <w:pPr>
        <w:pStyle w:val="3"/>
        <w:spacing w:line="255" w:lineRule="auto"/>
        <w:rPr>
          <w:color w:val="auto"/>
          <w:highlight w:val="none"/>
        </w:rPr>
      </w:pPr>
    </w:p>
    <w:p w14:paraId="750F429C">
      <w:pPr>
        <w:pStyle w:val="3"/>
        <w:spacing w:line="255" w:lineRule="auto"/>
        <w:rPr>
          <w:color w:val="auto"/>
          <w:highlight w:val="none"/>
        </w:rPr>
      </w:pPr>
    </w:p>
    <w:p w14:paraId="5A183C47">
      <w:pPr>
        <w:pStyle w:val="3"/>
        <w:spacing w:line="255" w:lineRule="auto"/>
        <w:rPr>
          <w:color w:val="auto"/>
          <w:highlight w:val="none"/>
        </w:rPr>
      </w:pPr>
    </w:p>
    <w:p w14:paraId="0ACCD15E">
      <w:pPr>
        <w:pStyle w:val="3"/>
        <w:spacing w:line="255" w:lineRule="auto"/>
        <w:rPr>
          <w:color w:val="auto"/>
          <w:highlight w:val="none"/>
        </w:rPr>
      </w:pPr>
    </w:p>
    <w:p w14:paraId="5748692D">
      <w:pPr>
        <w:spacing w:before="78" w:line="219"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投标总价扉页</w:t>
      </w:r>
    </w:p>
    <w:p w14:paraId="19E4A515">
      <w:pPr>
        <w:pStyle w:val="3"/>
        <w:spacing w:line="264" w:lineRule="auto"/>
        <w:rPr>
          <w:color w:val="auto"/>
          <w:highlight w:val="none"/>
        </w:rPr>
      </w:pPr>
    </w:p>
    <w:p w14:paraId="3562658D">
      <w:pPr>
        <w:pStyle w:val="3"/>
        <w:spacing w:line="264" w:lineRule="auto"/>
        <w:rPr>
          <w:color w:val="auto"/>
          <w:highlight w:val="none"/>
        </w:rPr>
      </w:pPr>
    </w:p>
    <w:p w14:paraId="0765D531">
      <w:pPr>
        <w:pStyle w:val="3"/>
        <w:spacing w:line="264" w:lineRule="auto"/>
        <w:rPr>
          <w:color w:val="auto"/>
          <w:highlight w:val="none"/>
        </w:rPr>
      </w:pPr>
    </w:p>
    <w:p w14:paraId="21928D07">
      <w:pPr>
        <w:pStyle w:val="3"/>
        <w:spacing w:line="264" w:lineRule="auto"/>
        <w:rPr>
          <w:color w:val="auto"/>
          <w:highlight w:val="none"/>
        </w:rPr>
      </w:pPr>
    </w:p>
    <w:p w14:paraId="189AF74B">
      <w:pPr>
        <w:spacing w:before="104" w:line="220" w:lineRule="auto"/>
        <w:ind w:left="3837"/>
        <w:rPr>
          <w:rFonts w:ascii="黑体" w:hAnsi="黑体" w:eastAsia="黑体" w:cs="黑体"/>
          <w:color w:val="auto"/>
          <w:sz w:val="32"/>
          <w:szCs w:val="32"/>
          <w:highlight w:val="none"/>
        </w:rPr>
      </w:pPr>
      <w:r>
        <w:rPr>
          <w:rFonts w:ascii="黑体" w:hAnsi="黑体" w:eastAsia="黑体" w:cs="黑体"/>
          <w:color w:val="auto"/>
          <w:spacing w:val="13"/>
          <w:sz w:val="32"/>
          <w:szCs w:val="32"/>
          <w:highlight w:val="none"/>
        </w:rPr>
        <w:t>投标总价</w:t>
      </w:r>
    </w:p>
    <w:p w14:paraId="42EE8D6C">
      <w:pPr>
        <w:pStyle w:val="3"/>
        <w:spacing w:line="339" w:lineRule="auto"/>
        <w:rPr>
          <w:color w:val="auto"/>
          <w:highlight w:val="none"/>
        </w:rPr>
      </w:pPr>
    </w:p>
    <w:p w14:paraId="0CACEC6F">
      <w:pPr>
        <w:pStyle w:val="3"/>
        <w:spacing w:line="340" w:lineRule="auto"/>
        <w:rPr>
          <w:color w:val="auto"/>
          <w:highlight w:val="none"/>
        </w:rPr>
      </w:pPr>
    </w:p>
    <w:p w14:paraId="1A5ED3FB">
      <w:pPr>
        <w:spacing w:before="68" w:line="221" w:lineRule="auto"/>
        <w:ind w:left="44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招</w:t>
      </w:r>
      <w:r>
        <w:rPr>
          <w:rFonts w:ascii="宋体" w:hAnsi="宋体" w:eastAsia="宋体" w:cs="宋体"/>
          <w:color w:val="auto"/>
          <w:spacing w:val="12"/>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6C956AA6">
      <w:pPr>
        <w:pStyle w:val="3"/>
        <w:spacing w:line="278" w:lineRule="auto"/>
        <w:rPr>
          <w:color w:val="auto"/>
          <w:highlight w:val="none"/>
        </w:rPr>
      </w:pPr>
    </w:p>
    <w:p w14:paraId="42139C49">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5"/>
          <w:w w:val="99"/>
          <w:sz w:val="21"/>
          <w:szCs w:val="21"/>
          <w:highlight w:val="none"/>
        </w:rPr>
        <w:t>工程名称：</w:t>
      </w:r>
      <w:r>
        <w:rPr>
          <w:rFonts w:ascii="宋体" w:hAnsi="宋体" w:eastAsia="宋体" w:cs="宋体"/>
          <w:color w:val="auto"/>
          <w:spacing w:val="25"/>
          <w:sz w:val="21"/>
          <w:szCs w:val="21"/>
          <w:highlight w:val="none"/>
        </w:rPr>
        <w:t xml:space="preserve"> </w:t>
      </w:r>
      <w:r>
        <w:rPr>
          <w:rFonts w:ascii="宋体" w:hAnsi="宋体" w:eastAsia="宋体" w:cs="宋体"/>
          <w:color w:val="auto"/>
          <w:sz w:val="21"/>
          <w:szCs w:val="21"/>
          <w:highlight w:val="none"/>
          <w:u w:val="single" w:color="auto"/>
        </w:rPr>
        <w:t xml:space="preserve">                                                               </w:t>
      </w:r>
    </w:p>
    <w:p w14:paraId="1AA969BC">
      <w:pPr>
        <w:pStyle w:val="3"/>
        <w:spacing w:line="278" w:lineRule="auto"/>
        <w:rPr>
          <w:color w:val="auto"/>
          <w:highlight w:val="none"/>
        </w:rPr>
      </w:pPr>
    </w:p>
    <w:p w14:paraId="7DCB2597">
      <w:pPr>
        <w:spacing w:before="69" w:line="528"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投标总价（小写</w:t>
      </w:r>
      <w:r>
        <w:rPr>
          <w:rFonts w:ascii="宋体" w:hAnsi="宋体" w:eastAsia="宋体" w:cs="宋体"/>
          <w:color w:val="auto"/>
          <w:spacing w:val="-1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1"/>
          <w:sz w:val="21"/>
          <w:szCs w:val="21"/>
          <w:highlight w:val="none"/>
        </w:rPr>
        <w:t>元</w:t>
      </w:r>
    </w:p>
    <w:p w14:paraId="5B0EA957">
      <w:pPr>
        <w:spacing w:line="221" w:lineRule="auto"/>
        <w:ind w:left="128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（大写</w:t>
      </w:r>
      <w:r>
        <w:rPr>
          <w:rFonts w:ascii="宋体" w:hAnsi="宋体" w:eastAsia="宋体" w:cs="宋体"/>
          <w:color w:val="auto"/>
          <w:spacing w:val="-1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元</w:t>
      </w:r>
    </w:p>
    <w:p w14:paraId="6737232A">
      <w:pPr>
        <w:pStyle w:val="3"/>
        <w:spacing w:line="327" w:lineRule="auto"/>
        <w:rPr>
          <w:color w:val="auto"/>
          <w:highlight w:val="none"/>
        </w:rPr>
      </w:pPr>
    </w:p>
    <w:p w14:paraId="58A9D3B6">
      <w:pPr>
        <w:pStyle w:val="3"/>
        <w:spacing w:line="328" w:lineRule="auto"/>
        <w:rPr>
          <w:color w:val="auto"/>
          <w:highlight w:val="none"/>
        </w:rPr>
      </w:pPr>
    </w:p>
    <w:p w14:paraId="36B2F625">
      <w:pPr>
        <w:spacing w:before="69" w:line="249" w:lineRule="auto"/>
        <w:ind w:left="4225" w:right="231" w:hanging="378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（单位盖章）</w:t>
      </w:r>
    </w:p>
    <w:p w14:paraId="20A29E54">
      <w:pPr>
        <w:pStyle w:val="3"/>
        <w:spacing w:line="422" w:lineRule="auto"/>
        <w:rPr>
          <w:color w:val="auto"/>
          <w:highlight w:val="none"/>
        </w:rPr>
      </w:pPr>
    </w:p>
    <w:p w14:paraId="20C04C48">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p>
    <w:p w14:paraId="66F228BD">
      <w:pPr>
        <w:spacing w:before="158" w:line="251" w:lineRule="auto"/>
        <w:ind w:left="4014" w:right="231" w:hanging="3571"/>
        <w:rPr>
          <w:rFonts w:ascii="宋体" w:hAnsi="宋体" w:eastAsia="宋体" w:cs="宋体"/>
          <w:color w:val="auto"/>
          <w:sz w:val="21"/>
          <w:szCs w:val="21"/>
          <w:highlight w:val="none"/>
        </w:rPr>
      </w:pPr>
      <w:r>
        <w:rPr>
          <w:rFonts w:ascii="宋体" w:hAnsi="宋体" w:eastAsia="宋体" w:cs="宋体"/>
          <w:color w:val="auto"/>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（签字或盖章）</w:t>
      </w:r>
    </w:p>
    <w:p w14:paraId="70DC9E58">
      <w:pPr>
        <w:pStyle w:val="3"/>
        <w:spacing w:line="318" w:lineRule="auto"/>
        <w:rPr>
          <w:color w:val="auto"/>
          <w:highlight w:val="none"/>
        </w:rPr>
      </w:pPr>
    </w:p>
    <w:p w14:paraId="57CE0C10">
      <w:pPr>
        <w:pStyle w:val="3"/>
        <w:spacing w:line="319" w:lineRule="auto"/>
        <w:rPr>
          <w:color w:val="auto"/>
          <w:highlight w:val="none"/>
        </w:rPr>
      </w:pPr>
    </w:p>
    <w:p w14:paraId="1A1DA6A4">
      <w:pPr>
        <w:spacing w:before="69" w:line="251" w:lineRule="auto"/>
        <w:ind w:left="3596" w:right="231" w:hanging="3154"/>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编制人：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（造价人员签字或盖章）</w:t>
      </w:r>
    </w:p>
    <w:p w14:paraId="605FB0A0">
      <w:pPr>
        <w:pStyle w:val="3"/>
        <w:spacing w:line="266" w:lineRule="auto"/>
        <w:rPr>
          <w:color w:val="auto"/>
          <w:highlight w:val="none"/>
        </w:rPr>
      </w:pPr>
    </w:p>
    <w:p w14:paraId="0A5CF994">
      <w:pPr>
        <w:pStyle w:val="3"/>
        <w:spacing w:line="267" w:lineRule="auto"/>
        <w:rPr>
          <w:color w:val="auto"/>
          <w:highlight w:val="none"/>
        </w:rPr>
      </w:pPr>
    </w:p>
    <w:p w14:paraId="3ED451B4">
      <w:pPr>
        <w:pStyle w:val="3"/>
        <w:spacing w:line="267" w:lineRule="auto"/>
        <w:rPr>
          <w:color w:val="auto"/>
          <w:highlight w:val="none"/>
        </w:rPr>
      </w:pPr>
    </w:p>
    <w:p w14:paraId="676DAB0C">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4"/>
          <w:sz w:val="21"/>
          <w:szCs w:val="21"/>
          <w:highlight w:val="none"/>
        </w:rPr>
        <w:t>月       日</w:t>
      </w:r>
    </w:p>
    <w:p w14:paraId="740A8F10">
      <w:pPr>
        <w:pStyle w:val="3"/>
        <w:spacing w:line="271" w:lineRule="auto"/>
        <w:rPr>
          <w:color w:val="auto"/>
          <w:highlight w:val="none"/>
        </w:rPr>
      </w:pPr>
    </w:p>
    <w:p w14:paraId="57C00E67">
      <w:pPr>
        <w:pStyle w:val="3"/>
        <w:spacing w:line="271" w:lineRule="auto"/>
        <w:rPr>
          <w:color w:val="auto"/>
          <w:highlight w:val="none"/>
        </w:rPr>
      </w:pPr>
    </w:p>
    <w:p w14:paraId="29B1BF43">
      <w:pPr>
        <w:pStyle w:val="3"/>
        <w:spacing w:line="271" w:lineRule="auto"/>
        <w:rPr>
          <w:color w:val="auto"/>
          <w:highlight w:val="none"/>
        </w:rPr>
      </w:pPr>
    </w:p>
    <w:p w14:paraId="400030A5">
      <w:pPr>
        <w:spacing w:before="69" w:line="219" w:lineRule="auto"/>
        <w:ind w:left="44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备注： 1.投标总价可按四舍五入精确到小数点后两位。</w:t>
      </w:r>
    </w:p>
    <w:p w14:paraId="422E53A6">
      <w:pPr>
        <w:spacing w:before="135" w:line="380" w:lineRule="exact"/>
        <w:ind w:right="10"/>
        <w:jc w:val="right"/>
        <w:rPr>
          <w:rFonts w:ascii="宋体" w:hAnsi="宋体" w:eastAsia="宋体" w:cs="宋体"/>
          <w:color w:val="auto"/>
          <w:sz w:val="21"/>
          <w:szCs w:val="21"/>
          <w:highlight w:val="none"/>
        </w:rPr>
      </w:pPr>
      <w:r>
        <w:rPr>
          <w:rFonts w:ascii="宋体" w:hAnsi="宋体" w:eastAsia="宋体" w:cs="宋体"/>
          <w:color w:val="auto"/>
          <w:spacing w:val="3"/>
          <w:position w:val="12"/>
          <w:sz w:val="21"/>
          <w:szCs w:val="21"/>
          <w:highlight w:val="none"/>
        </w:rPr>
        <w:t>2.已标价工程量清单的内容和制作按第五章“工程量清单”和第二章“投</w:t>
      </w:r>
      <w:r>
        <w:rPr>
          <w:rFonts w:ascii="宋体" w:hAnsi="宋体" w:eastAsia="宋体" w:cs="宋体"/>
          <w:color w:val="auto"/>
          <w:spacing w:val="2"/>
          <w:position w:val="12"/>
          <w:sz w:val="21"/>
          <w:szCs w:val="21"/>
          <w:highlight w:val="none"/>
        </w:rPr>
        <w:t>标人</w:t>
      </w:r>
    </w:p>
    <w:p w14:paraId="463FFEC7">
      <w:pPr>
        <w:spacing w:line="220" w:lineRule="auto"/>
        <w:ind w:left="1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须知”</w:t>
      </w:r>
      <w:r>
        <w:rPr>
          <w:rFonts w:ascii="宋体" w:hAnsi="宋体" w:eastAsia="宋体" w:cs="宋体"/>
          <w:color w:val="auto"/>
          <w:spacing w:val="-44"/>
          <w:sz w:val="21"/>
          <w:szCs w:val="21"/>
          <w:highlight w:val="none"/>
        </w:rPr>
        <w:t xml:space="preserve"> </w:t>
      </w:r>
      <w:r>
        <w:rPr>
          <w:rFonts w:ascii="宋体" w:hAnsi="宋体" w:eastAsia="宋体" w:cs="宋体"/>
          <w:color w:val="auto"/>
          <w:spacing w:val="-4"/>
          <w:sz w:val="21"/>
          <w:szCs w:val="21"/>
          <w:highlight w:val="none"/>
        </w:rPr>
        <w:t>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3.7.3（5）</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目的要求填报和制作。</w:t>
      </w:r>
    </w:p>
    <w:p w14:paraId="5825A815">
      <w:pPr>
        <w:spacing w:line="220" w:lineRule="auto"/>
        <w:rPr>
          <w:rFonts w:ascii="宋体" w:hAnsi="宋体" w:eastAsia="宋体" w:cs="宋体"/>
          <w:color w:val="auto"/>
          <w:sz w:val="21"/>
          <w:szCs w:val="21"/>
          <w:highlight w:val="none"/>
        </w:rPr>
        <w:sectPr>
          <w:footerReference r:id="rId244" w:type="default"/>
          <w:pgSz w:w="11905" w:h="16839"/>
          <w:pgMar w:top="400" w:right="1785" w:bottom="1004" w:left="1785" w:header="0" w:footer="828" w:gutter="0"/>
          <w:pgNumType w:fmt="decimal"/>
          <w:cols w:space="720" w:num="1"/>
        </w:sectPr>
      </w:pPr>
    </w:p>
    <w:p w14:paraId="44AAD7FD">
      <w:pPr>
        <w:pStyle w:val="3"/>
        <w:spacing w:line="255" w:lineRule="auto"/>
        <w:rPr>
          <w:color w:val="auto"/>
          <w:highlight w:val="none"/>
        </w:rPr>
      </w:pPr>
    </w:p>
    <w:p w14:paraId="438BD996">
      <w:pPr>
        <w:pStyle w:val="3"/>
        <w:spacing w:line="256" w:lineRule="auto"/>
        <w:rPr>
          <w:color w:val="auto"/>
          <w:highlight w:val="none"/>
        </w:rPr>
      </w:pPr>
    </w:p>
    <w:p w14:paraId="4E27EF73">
      <w:pPr>
        <w:pStyle w:val="3"/>
        <w:spacing w:line="256" w:lineRule="auto"/>
        <w:rPr>
          <w:color w:val="auto"/>
          <w:highlight w:val="none"/>
        </w:rPr>
      </w:pPr>
    </w:p>
    <w:p w14:paraId="7E8FDC21">
      <w:pPr>
        <w:pStyle w:val="3"/>
        <w:spacing w:line="256" w:lineRule="auto"/>
        <w:rPr>
          <w:color w:val="auto"/>
          <w:highlight w:val="none"/>
        </w:rPr>
      </w:pPr>
    </w:p>
    <w:p w14:paraId="08D6684A">
      <w:pPr>
        <w:spacing w:before="88" w:line="225" w:lineRule="auto"/>
        <w:ind w:left="3062"/>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九、施工组织设计</w:t>
      </w:r>
    </w:p>
    <w:p w14:paraId="5FDB72CD">
      <w:pPr>
        <w:spacing w:before="152" w:line="369" w:lineRule="auto"/>
        <w:ind w:left="20" w:right="196" w:firstLine="436"/>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1．投标人应根据招标文件和对现场的勘察情况，</w:t>
      </w:r>
      <w:r>
        <w:rPr>
          <w:rFonts w:ascii="宋体" w:hAnsi="宋体" w:eastAsia="宋体" w:cs="宋体"/>
          <w:color w:val="auto"/>
          <w:spacing w:val="50"/>
          <w:sz w:val="21"/>
          <w:szCs w:val="21"/>
          <w:highlight w:val="none"/>
        </w:rPr>
        <w:t xml:space="preserve"> </w:t>
      </w:r>
      <w:r>
        <w:rPr>
          <w:rFonts w:ascii="宋体" w:hAnsi="宋体" w:eastAsia="宋体" w:cs="宋体"/>
          <w:color w:val="auto"/>
          <w:spacing w:val="-4"/>
          <w:sz w:val="21"/>
          <w:szCs w:val="21"/>
          <w:highlight w:val="none"/>
        </w:rPr>
        <w:t>采用文</w:t>
      </w:r>
      <w:r>
        <w:rPr>
          <w:rFonts w:ascii="宋体" w:hAnsi="宋体" w:eastAsia="宋体" w:cs="宋体"/>
          <w:color w:val="auto"/>
          <w:spacing w:val="-5"/>
          <w:sz w:val="21"/>
          <w:szCs w:val="21"/>
          <w:highlight w:val="none"/>
        </w:rPr>
        <w:t>字并结合图表形式，按照中华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人民共和国家标准《建筑施工组织设计规范》（</w:t>
      </w:r>
      <w:r>
        <w:rPr>
          <w:rFonts w:hint="eastAsia" w:ascii="宋体" w:hAnsi="宋体" w:eastAsia="宋体" w:cs="宋体"/>
          <w:color w:val="auto"/>
          <w:spacing w:val="-2"/>
          <w:sz w:val="21"/>
          <w:szCs w:val="21"/>
          <w:highlight w:val="none"/>
          <w:lang w:eastAsia="zh-CN"/>
        </w:rPr>
        <w:t>GB/T50502-2025</w:t>
      </w:r>
      <w:r>
        <w:rPr>
          <w:rFonts w:ascii="宋体" w:hAnsi="宋体" w:eastAsia="宋体" w:cs="宋体"/>
          <w:color w:val="auto"/>
          <w:spacing w:val="-2"/>
          <w:sz w:val="21"/>
          <w:szCs w:val="21"/>
          <w:highlight w:val="none"/>
        </w:rPr>
        <w:t>）的要求编制本工程</w:t>
      </w:r>
      <w:r>
        <w:rPr>
          <w:rFonts w:ascii="宋体" w:hAnsi="宋体" w:eastAsia="宋体" w:cs="宋体"/>
          <w:color w:val="auto"/>
          <w:spacing w:val="-3"/>
          <w:sz w:val="21"/>
          <w:szCs w:val="21"/>
          <w:highlight w:val="none"/>
        </w:rPr>
        <w:t>的施工</w:t>
      </w:r>
    </w:p>
    <w:p w14:paraId="0D6A5B42">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组织设计，</w:t>
      </w:r>
      <w:r>
        <w:rPr>
          <w:rFonts w:ascii="宋体" w:hAnsi="宋体" w:eastAsia="宋体" w:cs="宋体"/>
          <w:color w:val="auto"/>
          <w:spacing w:val="61"/>
          <w:sz w:val="21"/>
          <w:szCs w:val="21"/>
          <w:highlight w:val="none"/>
        </w:rPr>
        <w:t xml:space="preserve"> </w:t>
      </w:r>
      <w:r>
        <w:rPr>
          <w:rFonts w:ascii="宋体" w:hAnsi="宋体" w:eastAsia="宋体" w:cs="宋体"/>
          <w:color w:val="auto"/>
          <w:spacing w:val="-18"/>
          <w:sz w:val="21"/>
          <w:szCs w:val="21"/>
          <w:highlight w:val="none"/>
        </w:rPr>
        <w:t>其要点如下：</w:t>
      </w:r>
    </w:p>
    <w:p w14:paraId="4E8E2732">
      <w:pPr>
        <w:spacing w:before="165"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工程概况</w:t>
      </w:r>
    </w:p>
    <w:p w14:paraId="4D9C165E">
      <w:pPr>
        <w:spacing w:before="171" w:line="418" w:lineRule="exact"/>
        <w:ind w:left="964"/>
        <w:rPr>
          <w:rFonts w:ascii="宋体" w:hAnsi="宋体" w:eastAsia="宋体" w:cs="宋体"/>
          <w:color w:val="auto"/>
          <w:sz w:val="21"/>
          <w:szCs w:val="21"/>
          <w:highlight w:val="none"/>
        </w:rPr>
      </w:pPr>
      <w:r>
        <w:rPr>
          <w:rFonts w:ascii="宋体" w:hAnsi="宋体" w:eastAsia="宋体" w:cs="宋体"/>
          <w:color w:val="auto"/>
          <w:spacing w:val="-2"/>
          <w:position w:val="15"/>
          <w:sz w:val="21"/>
          <w:szCs w:val="21"/>
          <w:highlight w:val="none"/>
        </w:rPr>
        <w:t>包括工程主要情况、各专业设计简介、工程施工条件等；</w:t>
      </w:r>
    </w:p>
    <w:p w14:paraId="5E2705B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施工部署</w:t>
      </w:r>
    </w:p>
    <w:p w14:paraId="2F3CFBC8">
      <w:pPr>
        <w:spacing w:before="170" w:line="369" w:lineRule="auto"/>
        <w:ind w:left="978" w:right="19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包括工程施工目标、主要施工内容及其进度安排、施工流水段划</w:t>
      </w:r>
      <w:r>
        <w:rPr>
          <w:rFonts w:ascii="宋体" w:hAnsi="宋体" w:eastAsia="宋体" w:cs="宋体"/>
          <w:color w:val="auto"/>
          <w:spacing w:val="-1"/>
          <w:sz w:val="21"/>
          <w:szCs w:val="21"/>
          <w:highlight w:val="none"/>
        </w:rPr>
        <w:t>分、施工的重点</w:t>
      </w:r>
      <w:r>
        <w:rPr>
          <w:rFonts w:ascii="宋体" w:hAnsi="宋体" w:eastAsia="宋体" w:cs="宋体"/>
          <w:color w:val="auto"/>
          <w:sz w:val="21"/>
          <w:szCs w:val="21"/>
          <w:highlight w:val="none"/>
        </w:rPr>
        <w:t xml:space="preserve"> 和难点分析、工程管理的组织机构形式、项目经理部的工作岗位</w:t>
      </w:r>
      <w:r>
        <w:rPr>
          <w:rFonts w:ascii="宋体" w:hAnsi="宋体" w:eastAsia="宋体" w:cs="宋体"/>
          <w:color w:val="auto"/>
          <w:spacing w:val="-1"/>
          <w:sz w:val="21"/>
          <w:szCs w:val="21"/>
          <w:highlight w:val="none"/>
        </w:rPr>
        <w:t>设置及其职责划</w:t>
      </w:r>
      <w:r>
        <w:rPr>
          <w:rFonts w:ascii="宋体" w:hAnsi="宋体" w:eastAsia="宋体" w:cs="宋体"/>
          <w:color w:val="auto"/>
          <w:sz w:val="21"/>
          <w:szCs w:val="21"/>
          <w:highlight w:val="none"/>
        </w:rPr>
        <w:t xml:space="preserve"> 分、新技术、新工艺部署及其技术和管理要求（如有）、主</w:t>
      </w:r>
      <w:r>
        <w:rPr>
          <w:rFonts w:ascii="宋体" w:hAnsi="宋体" w:eastAsia="宋体" w:cs="宋体"/>
          <w:color w:val="auto"/>
          <w:spacing w:val="-1"/>
          <w:sz w:val="21"/>
          <w:szCs w:val="21"/>
          <w:highlight w:val="none"/>
        </w:rPr>
        <w:t>要分包工程施工单位</w:t>
      </w:r>
    </w:p>
    <w:p w14:paraId="0F8F7639">
      <w:pPr>
        <w:spacing w:before="1" w:line="220" w:lineRule="auto"/>
        <w:ind w:left="99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的选择要求及管理方式（如有</w:t>
      </w:r>
      <w:r>
        <w:rPr>
          <w:rFonts w:ascii="宋体" w:hAnsi="宋体" w:eastAsia="宋体" w:cs="宋体"/>
          <w:color w:val="auto"/>
          <w:spacing w:val="-12"/>
          <w:sz w:val="21"/>
          <w:szCs w:val="21"/>
          <w:highlight w:val="none"/>
        </w:rPr>
        <w:t>）；</w:t>
      </w:r>
    </w:p>
    <w:p w14:paraId="6E60B772">
      <w:pPr>
        <w:spacing w:before="17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施工进度计划</w:t>
      </w:r>
    </w:p>
    <w:p w14:paraId="2C0874E6">
      <w:pPr>
        <w:spacing w:before="166" w:line="423" w:lineRule="exact"/>
        <w:ind w:left="966"/>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可采用网络图或横道图表示，并附必要说明，对于规模较大或较复杂的工程，宜</w:t>
      </w:r>
    </w:p>
    <w:p w14:paraId="56CD05D8">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采用网络图表示；</w:t>
      </w:r>
    </w:p>
    <w:p w14:paraId="6660FBFE">
      <w:pPr>
        <w:spacing w:before="167" w:line="222"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施工准备与资源配置计划</w:t>
      </w:r>
    </w:p>
    <w:p w14:paraId="38EE28A5">
      <w:pPr>
        <w:spacing w:before="170" w:line="418" w:lineRule="exact"/>
        <w:ind w:left="963"/>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施工准备包括技术准备、现场准备和资金准备；资源配置计划包括劳动力配置计</w:t>
      </w:r>
    </w:p>
    <w:p w14:paraId="7F8D37CA">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z w:val="21"/>
          <w:szCs w:val="21"/>
          <w:highlight w:val="none"/>
        </w:rPr>
        <w:t>划、主要工程材料和设备配置计划、主要周转材料和施工机具配置</w:t>
      </w:r>
      <w:r>
        <w:rPr>
          <w:rFonts w:ascii="宋体" w:hAnsi="宋体" w:eastAsia="宋体" w:cs="宋体"/>
          <w:color w:val="auto"/>
          <w:spacing w:val="-1"/>
          <w:sz w:val="21"/>
          <w:szCs w:val="21"/>
          <w:highlight w:val="none"/>
        </w:rPr>
        <w:t>计划等；</w:t>
      </w:r>
    </w:p>
    <w:p w14:paraId="042A442B">
      <w:pPr>
        <w:spacing w:before="173"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主要施工方案</w:t>
      </w:r>
    </w:p>
    <w:p w14:paraId="416F2F3C">
      <w:pPr>
        <w:spacing w:before="166" w:line="370" w:lineRule="auto"/>
        <w:ind w:left="965" w:hanging="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对主要分部、分项工程制定施工方案；对脚手架工程、起重吊装工程、临时用水</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用电工程、季节性施工等专项工程所采用的施工方案进行必要的验算和说明；对</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易发生质量通病、易出现安全问题、施工难度大、技术含量高的分</w:t>
      </w:r>
      <w:r>
        <w:rPr>
          <w:rFonts w:ascii="宋体" w:hAnsi="宋体" w:eastAsia="宋体" w:cs="宋体"/>
          <w:color w:val="auto"/>
          <w:spacing w:val="-1"/>
          <w:sz w:val="21"/>
          <w:szCs w:val="21"/>
          <w:highlight w:val="none"/>
        </w:rPr>
        <w:t>项工程（工序）</w:t>
      </w:r>
    </w:p>
    <w:p w14:paraId="257D0295">
      <w:pPr>
        <w:spacing w:line="220" w:lineRule="auto"/>
        <w:ind w:left="96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等做出重点说明；</w:t>
      </w:r>
    </w:p>
    <w:p w14:paraId="7303933D">
      <w:pPr>
        <w:spacing w:before="16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施工现场平面布置</w:t>
      </w:r>
    </w:p>
    <w:p w14:paraId="7102323E">
      <w:pPr>
        <w:spacing w:before="174" w:line="369" w:lineRule="auto"/>
        <w:ind w:left="915" w:right="206" w:firstLine="2"/>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按不同施工阶段绘制施工现场平面布置图并附文字说明，说明施工场地状况；拟</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建建（构）筑物的位置轮廓、尺寸、层数；</w:t>
      </w:r>
      <w:r>
        <w:rPr>
          <w:rFonts w:ascii="宋体" w:hAnsi="宋体" w:eastAsia="宋体" w:cs="宋体"/>
          <w:color w:val="auto"/>
          <w:spacing w:val="62"/>
          <w:sz w:val="21"/>
          <w:szCs w:val="21"/>
          <w:highlight w:val="none"/>
        </w:rPr>
        <w:t xml:space="preserve"> </w:t>
      </w:r>
      <w:r>
        <w:rPr>
          <w:rFonts w:ascii="宋体" w:hAnsi="宋体" w:eastAsia="宋体" w:cs="宋体"/>
          <w:color w:val="auto"/>
          <w:spacing w:val="-4"/>
          <w:sz w:val="21"/>
          <w:szCs w:val="21"/>
          <w:highlight w:val="none"/>
        </w:rPr>
        <w:t>加工设施、存储设施、</w:t>
      </w:r>
      <w:r>
        <w:rPr>
          <w:rFonts w:ascii="宋体" w:hAnsi="宋体" w:eastAsia="宋体" w:cs="宋体"/>
          <w:color w:val="auto"/>
          <w:spacing w:val="-5"/>
          <w:sz w:val="21"/>
          <w:szCs w:val="21"/>
          <w:highlight w:val="none"/>
        </w:rPr>
        <w:t>办公和生活用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房的位置和面积；布置垂直运输设施、供电设施、供水、供热设施、排水排污设</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施和临时施工道路；必备的安全、消防、保卫和环境保护设施；相邻的地上地下</w:t>
      </w:r>
    </w:p>
    <w:p w14:paraId="63AB7F11">
      <w:pPr>
        <w:spacing w:line="220" w:lineRule="auto"/>
        <w:ind w:left="9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既有建（构）筑物及相关环境等；</w:t>
      </w:r>
    </w:p>
    <w:p w14:paraId="54890338">
      <w:pPr>
        <w:spacing w:before="16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主要施工管理计划</w:t>
      </w:r>
    </w:p>
    <w:p w14:paraId="7F73F0B8">
      <w:pPr>
        <w:spacing w:before="170" w:line="369" w:lineRule="auto"/>
        <w:ind w:left="963" w:right="33"/>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包括进度管理计划、质量管理计划、安全管理计划、环境管理计划、成本管理计  </w:t>
      </w:r>
      <w:r>
        <w:rPr>
          <w:rFonts w:ascii="宋体" w:hAnsi="宋体" w:eastAsia="宋体" w:cs="宋体"/>
          <w:color w:val="auto"/>
          <w:spacing w:val="-5"/>
          <w:sz w:val="21"/>
          <w:szCs w:val="21"/>
          <w:highlight w:val="none"/>
        </w:rPr>
        <w:t>划和其他管理计划，</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其中其他管理计划宜包括治</w:t>
      </w:r>
      <w:r>
        <w:rPr>
          <w:rFonts w:ascii="宋体" w:hAnsi="宋体" w:eastAsia="宋体" w:cs="宋体"/>
          <w:color w:val="auto"/>
          <w:spacing w:val="-6"/>
          <w:sz w:val="21"/>
          <w:szCs w:val="21"/>
          <w:highlight w:val="none"/>
        </w:rPr>
        <w:t>安保卫管理计划、合同管理计划，</w:t>
      </w:r>
      <w:r>
        <w:rPr>
          <w:rFonts w:ascii="宋体" w:hAnsi="宋体" w:eastAsia="宋体" w:cs="宋体"/>
          <w:color w:val="auto"/>
          <w:sz w:val="21"/>
          <w:szCs w:val="21"/>
          <w:highlight w:val="none"/>
        </w:rPr>
        <w:t xml:space="preserve"> 组织协调管理计划、创优质工程管理计划、成品保护管理计划、质量保修管理计</w:t>
      </w:r>
    </w:p>
    <w:p w14:paraId="6465F058">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划、对施工现场人力资源、施工机具、材料设备等管理计</w:t>
      </w:r>
      <w:r>
        <w:rPr>
          <w:rFonts w:ascii="宋体" w:hAnsi="宋体" w:eastAsia="宋体" w:cs="宋体"/>
          <w:color w:val="auto"/>
          <w:spacing w:val="-2"/>
          <w:sz w:val="21"/>
          <w:szCs w:val="21"/>
          <w:highlight w:val="none"/>
        </w:rPr>
        <w:t>划。</w:t>
      </w:r>
    </w:p>
    <w:p w14:paraId="0F6ABCE9">
      <w:pPr>
        <w:spacing w:line="219" w:lineRule="auto"/>
        <w:rPr>
          <w:rFonts w:ascii="宋体" w:hAnsi="宋体" w:eastAsia="宋体" w:cs="宋体"/>
          <w:color w:val="auto"/>
          <w:sz w:val="21"/>
          <w:szCs w:val="21"/>
          <w:highlight w:val="none"/>
        </w:rPr>
        <w:sectPr>
          <w:footerReference r:id="rId245" w:type="default"/>
          <w:pgSz w:w="11905" w:h="16839"/>
          <w:pgMar w:top="400" w:right="1597" w:bottom="1004" w:left="1785" w:header="0" w:footer="828" w:gutter="0"/>
          <w:pgNumType w:fmt="decimal"/>
          <w:cols w:space="720" w:num="1"/>
        </w:sectPr>
      </w:pPr>
    </w:p>
    <w:p w14:paraId="59C0025E">
      <w:pPr>
        <w:pStyle w:val="3"/>
        <w:spacing w:line="281" w:lineRule="auto"/>
        <w:rPr>
          <w:color w:val="auto"/>
          <w:highlight w:val="none"/>
        </w:rPr>
      </w:pPr>
    </w:p>
    <w:p w14:paraId="2BB5DF85">
      <w:pPr>
        <w:pStyle w:val="3"/>
        <w:spacing w:line="281" w:lineRule="auto"/>
        <w:rPr>
          <w:color w:val="auto"/>
          <w:highlight w:val="none"/>
        </w:rPr>
      </w:pPr>
    </w:p>
    <w:p w14:paraId="24788770">
      <w:pPr>
        <w:pStyle w:val="3"/>
        <w:spacing w:line="281" w:lineRule="auto"/>
        <w:rPr>
          <w:color w:val="auto"/>
          <w:highlight w:val="none"/>
        </w:rPr>
      </w:pPr>
    </w:p>
    <w:p w14:paraId="2D1C631A">
      <w:pPr>
        <w:pStyle w:val="3"/>
        <w:spacing w:line="281" w:lineRule="auto"/>
        <w:rPr>
          <w:color w:val="auto"/>
          <w:highlight w:val="none"/>
        </w:rPr>
      </w:pPr>
    </w:p>
    <w:p w14:paraId="4A433E8F">
      <w:pPr>
        <w:spacing w:before="68" w:line="418" w:lineRule="exact"/>
        <w:ind w:right="8"/>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2．施工组织设计除采用文字表述外可附下列图表，图表及格式要求附后。下述表格应</w:t>
      </w:r>
    </w:p>
    <w:p w14:paraId="7FC989AE">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按照章节内容，严格按给定的格式附在相应的章节中。</w:t>
      </w:r>
    </w:p>
    <w:p w14:paraId="34B58CA5">
      <w:pPr>
        <w:spacing w:line="172" w:lineRule="exact"/>
        <w:rPr>
          <w:color w:val="auto"/>
          <w:highlight w:val="none"/>
        </w:rPr>
      </w:pPr>
    </w:p>
    <w:tbl>
      <w:tblPr>
        <w:tblStyle w:val="10"/>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14:paraId="0B9FA2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14:paraId="746FDFA3">
            <w:pPr>
              <w:pStyle w:val="11"/>
              <w:spacing w:line="219" w:lineRule="auto"/>
              <w:rPr>
                <w:color w:val="auto"/>
                <w:highlight w:val="none"/>
              </w:rPr>
            </w:pPr>
            <w:r>
              <w:rPr>
                <w:color w:val="auto"/>
                <w:spacing w:val="-4"/>
                <w:highlight w:val="none"/>
              </w:rPr>
              <w:t>附表一</w:t>
            </w:r>
          </w:p>
        </w:tc>
        <w:tc>
          <w:tcPr>
            <w:tcW w:w="3673" w:type="dxa"/>
            <w:vAlign w:val="top"/>
          </w:tcPr>
          <w:p w14:paraId="4A77410F">
            <w:pPr>
              <w:pStyle w:val="11"/>
              <w:spacing w:line="219" w:lineRule="auto"/>
              <w:ind w:left="110"/>
              <w:rPr>
                <w:color w:val="auto"/>
                <w:highlight w:val="none"/>
              </w:rPr>
            </w:pPr>
            <w:r>
              <w:rPr>
                <w:color w:val="auto"/>
                <w:spacing w:val="-1"/>
                <w:highlight w:val="none"/>
              </w:rPr>
              <w:t>拟投入本工程的主要施工设备表</w:t>
            </w:r>
          </w:p>
        </w:tc>
      </w:tr>
      <w:tr w14:paraId="4443BF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0836E81F">
            <w:pPr>
              <w:pStyle w:val="11"/>
              <w:spacing w:before="103" w:line="220" w:lineRule="auto"/>
              <w:rPr>
                <w:color w:val="auto"/>
                <w:highlight w:val="none"/>
              </w:rPr>
            </w:pPr>
            <w:r>
              <w:rPr>
                <w:color w:val="auto"/>
                <w:spacing w:val="-5"/>
                <w:highlight w:val="none"/>
              </w:rPr>
              <w:t>附表二</w:t>
            </w:r>
          </w:p>
        </w:tc>
        <w:tc>
          <w:tcPr>
            <w:tcW w:w="3673" w:type="dxa"/>
            <w:vAlign w:val="top"/>
          </w:tcPr>
          <w:p w14:paraId="7661407A">
            <w:pPr>
              <w:pStyle w:val="11"/>
              <w:spacing w:before="103" w:line="220" w:lineRule="auto"/>
              <w:jc w:val="right"/>
              <w:rPr>
                <w:color w:val="auto"/>
                <w:highlight w:val="none"/>
              </w:rPr>
            </w:pPr>
            <w:r>
              <w:rPr>
                <w:color w:val="auto"/>
                <w:spacing w:val="-1"/>
                <w:highlight w:val="none"/>
              </w:rPr>
              <w:t>拟配备本工程的试验和检测仪器设备表</w:t>
            </w:r>
          </w:p>
        </w:tc>
      </w:tr>
      <w:tr w14:paraId="259F79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5386DE02">
            <w:pPr>
              <w:pStyle w:val="11"/>
              <w:spacing w:before="105" w:line="220" w:lineRule="auto"/>
              <w:rPr>
                <w:color w:val="auto"/>
                <w:highlight w:val="none"/>
              </w:rPr>
            </w:pPr>
            <w:r>
              <w:rPr>
                <w:color w:val="auto"/>
                <w:spacing w:val="-5"/>
                <w:highlight w:val="none"/>
              </w:rPr>
              <w:t>附表三</w:t>
            </w:r>
          </w:p>
        </w:tc>
        <w:tc>
          <w:tcPr>
            <w:tcW w:w="3673" w:type="dxa"/>
            <w:vAlign w:val="top"/>
          </w:tcPr>
          <w:p w14:paraId="33B43E69">
            <w:pPr>
              <w:pStyle w:val="11"/>
              <w:spacing w:before="105" w:line="221" w:lineRule="auto"/>
              <w:ind w:left="115"/>
              <w:rPr>
                <w:color w:val="auto"/>
                <w:highlight w:val="none"/>
              </w:rPr>
            </w:pPr>
            <w:r>
              <w:rPr>
                <w:color w:val="auto"/>
                <w:spacing w:val="-3"/>
                <w:highlight w:val="none"/>
              </w:rPr>
              <w:t>劳动力计划表</w:t>
            </w:r>
          </w:p>
        </w:tc>
      </w:tr>
      <w:tr w14:paraId="2F2A80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423ADB6">
            <w:pPr>
              <w:pStyle w:val="11"/>
              <w:spacing w:before="103" w:line="220" w:lineRule="auto"/>
              <w:rPr>
                <w:color w:val="auto"/>
                <w:highlight w:val="none"/>
              </w:rPr>
            </w:pPr>
            <w:r>
              <w:rPr>
                <w:color w:val="auto"/>
                <w:spacing w:val="-5"/>
                <w:highlight w:val="none"/>
              </w:rPr>
              <w:t>附表四</w:t>
            </w:r>
          </w:p>
        </w:tc>
        <w:tc>
          <w:tcPr>
            <w:tcW w:w="3673" w:type="dxa"/>
            <w:vAlign w:val="top"/>
          </w:tcPr>
          <w:p w14:paraId="26E5DBC6">
            <w:pPr>
              <w:pStyle w:val="11"/>
              <w:spacing w:before="103" w:line="221" w:lineRule="auto"/>
              <w:ind w:left="110"/>
              <w:rPr>
                <w:color w:val="auto"/>
                <w:highlight w:val="none"/>
              </w:rPr>
            </w:pPr>
            <w:r>
              <w:rPr>
                <w:color w:val="auto"/>
                <w:spacing w:val="-1"/>
                <w:highlight w:val="none"/>
              </w:rPr>
              <w:t>计划开、竣工日期和施工进度网络图</w:t>
            </w:r>
          </w:p>
        </w:tc>
      </w:tr>
      <w:tr w14:paraId="488DD1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1B23CC18">
            <w:pPr>
              <w:pStyle w:val="11"/>
              <w:spacing w:before="105" w:line="220" w:lineRule="auto"/>
              <w:rPr>
                <w:color w:val="auto"/>
                <w:highlight w:val="none"/>
              </w:rPr>
            </w:pPr>
            <w:r>
              <w:rPr>
                <w:color w:val="auto"/>
                <w:spacing w:val="-5"/>
                <w:highlight w:val="none"/>
              </w:rPr>
              <w:t>附表五</w:t>
            </w:r>
          </w:p>
        </w:tc>
        <w:tc>
          <w:tcPr>
            <w:tcW w:w="3673" w:type="dxa"/>
            <w:vAlign w:val="top"/>
          </w:tcPr>
          <w:p w14:paraId="0D79F5FD">
            <w:pPr>
              <w:pStyle w:val="11"/>
              <w:spacing w:before="106" w:line="222" w:lineRule="auto"/>
              <w:ind w:left="109"/>
              <w:rPr>
                <w:color w:val="auto"/>
                <w:highlight w:val="none"/>
              </w:rPr>
            </w:pPr>
            <w:r>
              <w:rPr>
                <w:color w:val="auto"/>
                <w:spacing w:val="-2"/>
                <w:highlight w:val="none"/>
              </w:rPr>
              <w:t>施工总平面图</w:t>
            </w:r>
          </w:p>
        </w:tc>
      </w:tr>
      <w:tr w14:paraId="53BFB3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14:paraId="7A48EC0D">
            <w:pPr>
              <w:pStyle w:val="11"/>
              <w:spacing w:before="103" w:line="177" w:lineRule="auto"/>
              <w:rPr>
                <w:color w:val="auto"/>
                <w:highlight w:val="none"/>
              </w:rPr>
            </w:pPr>
            <w:r>
              <w:rPr>
                <w:color w:val="auto"/>
                <w:spacing w:val="-5"/>
                <w:highlight w:val="none"/>
              </w:rPr>
              <w:t>附表六</w:t>
            </w:r>
          </w:p>
        </w:tc>
        <w:tc>
          <w:tcPr>
            <w:tcW w:w="3673" w:type="dxa"/>
            <w:vAlign w:val="top"/>
          </w:tcPr>
          <w:p w14:paraId="225E9AE4">
            <w:pPr>
              <w:pStyle w:val="11"/>
              <w:spacing w:before="103" w:line="177" w:lineRule="auto"/>
              <w:ind w:left="122"/>
              <w:rPr>
                <w:color w:val="auto"/>
                <w:highlight w:val="none"/>
              </w:rPr>
            </w:pPr>
            <w:r>
              <w:rPr>
                <w:color w:val="auto"/>
                <w:spacing w:val="-4"/>
                <w:highlight w:val="none"/>
              </w:rPr>
              <w:t>临时用地表</w:t>
            </w:r>
          </w:p>
        </w:tc>
      </w:tr>
    </w:tbl>
    <w:p w14:paraId="2C368E41">
      <w:pPr>
        <w:pStyle w:val="3"/>
        <w:rPr>
          <w:color w:val="auto"/>
          <w:highlight w:val="none"/>
        </w:rPr>
      </w:pPr>
    </w:p>
    <w:p w14:paraId="00664351">
      <w:pPr>
        <w:rPr>
          <w:color w:val="auto"/>
          <w:highlight w:val="none"/>
        </w:rPr>
        <w:sectPr>
          <w:footerReference r:id="rId246" w:type="default"/>
          <w:pgSz w:w="11905" w:h="16839"/>
          <w:pgMar w:top="400" w:right="1785" w:bottom="1004" w:left="1785" w:header="0" w:footer="828" w:gutter="0"/>
          <w:pgNumType w:fmt="decimal"/>
          <w:cols w:space="720" w:num="1"/>
        </w:sectPr>
      </w:pPr>
    </w:p>
    <w:p w14:paraId="186DDABA">
      <w:pPr>
        <w:pStyle w:val="3"/>
        <w:spacing w:line="267" w:lineRule="auto"/>
        <w:rPr>
          <w:color w:val="auto"/>
          <w:highlight w:val="none"/>
        </w:rPr>
      </w:pPr>
    </w:p>
    <w:p w14:paraId="60938D7D">
      <w:pPr>
        <w:pStyle w:val="3"/>
        <w:spacing w:line="267" w:lineRule="auto"/>
        <w:rPr>
          <w:color w:val="auto"/>
          <w:highlight w:val="none"/>
        </w:rPr>
      </w:pPr>
    </w:p>
    <w:p w14:paraId="1568C17C">
      <w:pPr>
        <w:pStyle w:val="3"/>
        <w:spacing w:line="268" w:lineRule="auto"/>
        <w:rPr>
          <w:color w:val="auto"/>
          <w:highlight w:val="none"/>
        </w:rPr>
      </w:pPr>
    </w:p>
    <w:p w14:paraId="032D0AD7">
      <w:pPr>
        <w:pStyle w:val="3"/>
        <w:spacing w:line="268" w:lineRule="auto"/>
        <w:rPr>
          <w:color w:val="auto"/>
          <w:highlight w:val="none"/>
        </w:rPr>
      </w:pPr>
    </w:p>
    <w:p w14:paraId="4E8FCC35">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附表一：拟投入本工程的主要施工设备表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14:paraId="19262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14:paraId="0A23BB3A">
            <w:pPr>
              <w:pStyle w:val="11"/>
              <w:spacing w:before="210" w:line="211" w:lineRule="auto"/>
              <w:ind w:left="7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032" w:type="dxa"/>
            <w:vAlign w:val="top"/>
          </w:tcPr>
          <w:p w14:paraId="0FD00638">
            <w:pPr>
              <w:pStyle w:val="11"/>
              <w:spacing w:before="71" w:line="232" w:lineRule="auto"/>
              <w:ind w:left="415" w:right="195" w:hanging="206"/>
              <w:rPr>
                <w:color w:val="auto"/>
                <w:highlight w:val="none"/>
              </w:rPr>
            </w:pPr>
            <w:r>
              <w:rPr>
                <w:color w:val="auto"/>
                <w:spacing w:val="-3"/>
                <w:highlight w:val="none"/>
              </w:rPr>
              <w:t>设备名</w:t>
            </w:r>
            <w:r>
              <w:rPr>
                <w:color w:val="auto"/>
                <w:highlight w:val="none"/>
              </w:rPr>
              <w:t xml:space="preserve"> 称</w:t>
            </w:r>
          </w:p>
        </w:tc>
        <w:tc>
          <w:tcPr>
            <w:tcW w:w="657" w:type="dxa"/>
            <w:vAlign w:val="top"/>
          </w:tcPr>
          <w:p w14:paraId="5E5637B1">
            <w:pPr>
              <w:pStyle w:val="11"/>
              <w:spacing w:before="71" w:line="231" w:lineRule="auto"/>
              <w:ind w:left="125" w:right="113"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989" w:type="dxa"/>
            <w:vAlign w:val="top"/>
          </w:tcPr>
          <w:p w14:paraId="12EA4774">
            <w:pPr>
              <w:pStyle w:val="11"/>
              <w:spacing w:before="211" w:line="221" w:lineRule="auto"/>
              <w:ind w:left="189"/>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696" w:type="dxa"/>
            <w:vAlign w:val="top"/>
          </w:tcPr>
          <w:p w14:paraId="40F2C7D9">
            <w:pPr>
              <w:pStyle w:val="11"/>
              <w:spacing w:before="71" w:line="231" w:lineRule="auto"/>
              <w:ind w:left="144" w:right="132" w:firstLine="20"/>
              <w:rPr>
                <w:color w:val="auto"/>
                <w:highlight w:val="none"/>
              </w:rPr>
            </w:pPr>
            <w:r>
              <w:rPr>
                <w:color w:val="auto"/>
                <w:spacing w:val="-14"/>
                <w:highlight w:val="none"/>
              </w:rPr>
              <w:t>国别</w:t>
            </w:r>
            <w:r>
              <w:rPr>
                <w:color w:val="auto"/>
                <w:highlight w:val="none"/>
              </w:rPr>
              <w:t xml:space="preserve"> </w:t>
            </w:r>
            <w:r>
              <w:rPr>
                <w:color w:val="auto"/>
                <w:spacing w:val="-3"/>
                <w:highlight w:val="none"/>
              </w:rPr>
              <w:t>产地</w:t>
            </w:r>
          </w:p>
        </w:tc>
        <w:tc>
          <w:tcPr>
            <w:tcW w:w="691" w:type="dxa"/>
            <w:vAlign w:val="top"/>
          </w:tcPr>
          <w:p w14:paraId="1869553B">
            <w:pPr>
              <w:pStyle w:val="11"/>
              <w:spacing w:before="71" w:line="231" w:lineRule="auto"/>
              <w:ind w:left="146" w:right="126"/>
              <w:rPr>
                <w:color w:val="auto"/>
                <w:highlight w:val="none"/>
              </w:rPr>
            </w:pPr>
            <w:r>
              <w:rPr>
                <w:color w:val="auto"/>
                <w:spacing w:val="-4"/>
                <w:highlight w:val="none"/>
              </w:rPr>
              <w:t>制造</w:t>
            </w:r>
            <w:r>
              <w:rPr>
                <w:color w:val="auto"/>
                <w:highlight w:val="none"/>
              </w:rPr>
              <w:t xml:space="preserve"> </w:t>
            </w:r>
            <w:r>
              <w:rPr>
                <w:color w:val="auto"/>
                <w:spacing w:val="-4"/>
                <w:highlight w:val="none"/>
              </w:rPr>
              <w:t>年份</w:t>
            </w:r>
          </w:p>
        </w:tc>
        <w:tc>
          <w:tcPr>
            <w:tcW w:w="1161" w:type="dxa"/>
            <w:vAlign w:val="top"/>
          </w:tcPr>
          <w:p w14:paraId="17B9E843">
            <w:pPr>
              <w:pStyle w:val="11"/>
              <w:spacing w:before="72" w:line="237" w:lineRule="auto"/>
              <w:ind w:left="276" w:right="154" w:hanging="112"/>
              <w:rPr>
                <w:color w:val="auto"/>
                <w:highlight w:val="none"/>
              </w:rPr>
            </w:pPr>
            <w:r>
              <w:rPr>
                <w:color w:val="auto"/>
                <w:spacing w:val="-1"/>
                <w:highlight w:val="none"/>
              </w:rPr>
              <w:t>额定功率</w:t>
            </w:r>
            <w:r>
              <w:rPr>
                <w:color w:val="auto"/>
                <w:highlight w:val="none"/>
              </w:rPr>
              <w:t xml:space="preserve"> </w:t>
            </w:r>
            <w:r>
              <w:rPr>
                <w:color w:val="auto"/>
                <w:spacing w:val="-4"/>
                <w:highlight w:val="none"/>
              </w:rPr>
              <w:t>（KW）</w:t>
            </w:r>
          </w:p>
        </w:tc>
        <w:tc>
          <w:tcPr>
            <w:tcW w:w="845" w:type="dxa"/>
            <w:vAlign w:val="top"/>
          </w:tcPr>
          <w:p w14:paraId="3646C7B4">
            <w:pPr>
              <w:pStyle w:val="11"/>
              <w:spacing w:before="72" w:line="241" w:lineRule="auto"/>
              <w:ind w:left="224"/>
              <w:rPr>
                <w:color w:val="auto"/>
                <w:highlight w:val="none"/>
              </w:rPr>
            </w:pPr>
            <w:r>
              <w:rPr>
                <w:color w:val="auto"/>
                <w:spacing w:val="-2"/>
                <w:highlight w:val="none"/>
              </w:rPr>
              <w:t>生产</w:t>
            </w:r>
          </w:p>
          <w:p w14:paraId="7DE24416">
            <w:pPr>
              <w:pStyle w:val="11"/>
              <w:spacing w:line="220" w:lineRule="auto"/>
              <w:ind w:left="231"/>
              <w:rPr>
                <w:color w:val="auto"/>
                <w:highlight w:val="none"/>
              </w:rPr>
            </w:pPr>
            <w:r>
              <w:rPr>
                <w:color w:val="auto"/>
                <w:spacing w:val="-4"/>
                <w:highlight w:val="none"/>
              </w:rPr>
              <w:t>能力</w:t>
            </w:r>
          </w:p>
        </w:tc>
        <w:tc>
          <w:tcPr>
            <w:tcW w:w="849" w:type="dxa"/>
            <w:vAlign w:val="top"/>
          </w:tcPr>
          <w:p w14:paraId="698C054D">
            <w:pPr>
              <w:pStyle w:val="11"/>
              <w:spacing w:before="71" w:line="231" w:lineRule="auto"/>
              <w:ind w:left="119" w:right="100"/>
              <w:rPr>
                <w:color w:val="auto"/>
                <w:highlight w:val="none"/>
              </w:rPr>
            </w:pPr>
            <w:r>
              <w:rPr>
                <w:color w:val="auto"/>
                <w:spacing w:val="-3"/>
                <w:highlight w:val="none"/>
              </w:rPr>
              <w:t>用于施</w:t>
            </w:r>
            <w:r>
              <w:rPr>
                <w:color w:val="auto"/>
                <w:spacing w:val="1"/>
                <w:highlight w:val="none"/>
              </w:rPr>
              <w:t xml:space="preserve"> </w:t>
            </w:r>
            <w:r>
              <w:rPr>
                <w:color w:val="auto"/>
                <w:spacing w:val="-3"/>
                <w:highlight w:val="none"/>
              </w:rPr>
              <w:t>工部位</w:t>
            </w:r>
          </w:p>
        </w:tc>
        <w:tc>
          <w:tcPr>
            <w:tcW w:w="753" w:type="dxa"/>
            <w:vAlign w:val="top"/>
          </w:tcPr>
          <w:p w14:paraId="6B25CEF3">
            <w:pPr>
              <w:pStyle w:val="11"/>
              <w:spacing w:before="211" w:line="222" w:lineRule="auto"/>
              <w:ind w:left="179"/>
              <w:rPr>
                <w:color w:val="auto"/>
                <w:highlight w:val="none"/>
              </w:rPr>
            </w:pPr>
            <w:r>
              <w:rPr>
                <w:color w:val="auto"/>
                <w:spacing w:val="-3"/>
                <w:highlight w:val="none"/>
              </w:rPr>
              <w:t>备注</w:t>
            </w:r>
          </w:p>
        </w:tc>
      </w:tr>
      <w:tr w14:paraId="26E7B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9856E3E">
            <w:pPr>
              <w:rPr>
                <w:rFonts w:ascii="Arial"/>
                <w:color w:val="auto"/>
                <w:sz w:val="21"/>
                <w:highlight w:val="none"/>
              </w:rPr>
            </w:pPr>
          </w:p>
        </w:tc>
        <w:tc>
          <w:tcPr>
            <w:tcW w:w="1032" w:type="dxa"/>
            <w:vAlign w:val="top"/>
          </w:tcPr>
          <w:p w14:paraId="55217CAE">
            <w:pPr>
              <w:rPr>
                <w:rFonts w:ascii="Arial"/>
                <w:color w:val="auto"/>
                <w:sz w:val="21"/>
                <w:highlight w:val="none"/>
              </w:rPr>
            </w:pPr>
          </w:p>
        </w:tc>
        <w:tc>
          <w:tcPr>
            <w:tcW w:w="657" w:type="dxa"/>
            <w:vAlign w:val="top"/>
          </w:tcPr>
          <w:p w14:paraId="1C3AEFC6">
            <w:pPr>
              <w:rPr>
                <w:rFonts w:ascii="Arial"/>
                <w:color w:val="auto"/>
                <w:sz w:val="21"/>
                <w:highlight w:val="none"/>
              </w:rPr>
            </w:pPr>
          </w:p>
        </w:tc>
        <w:tc>
          <w:tcPr>
            <w:tcW w:w="989" w:type="dxa"/>
            <w:vAlign w:val="top"/>
          </w:tcPr>
          <w:p w14:paraId="3DC44078">
            <w:pPr>
              <w:rPr>
                <w:rFonts w:ascii="Arial"/>
                <w:color w:val="auto"/>
                <w:sz w:val="21"/>
                <w:highlight w:val="none"/>
              </w:rPr>
            </w:pPr>
          </w:p>
        </w:tc>
        <w:tc>
          <w:tcPr>
            <w:tcW w:w="696" w:type="dxa"/>
            <w:vAlign w:val="top"/>
          </w:tcPr>
          <w:p w14:paraId="276E8363">
            <w:pPr>
              <w:rPr>
                <w:rFonts w:ascii="Arial"/>
                <w:color w:val="auto"/>
                <w:sz w:val="21"/>
                <w:highlight w:val="none"/>
              </w:rPr>
            </w:pPr>
          </w:p>
        </w:tc>
        <w:tc>
          <w:tcPr>
            <w:tcW w:w="691" w:type="dxa"/>
            <w:vAlign w:val="top"/>
          </w:tcPr>
          <w:p w14:paraId="2FCFB54F">
            <w:pPr>
              <w:rPr>
                <w:rFonts w:ascii="Arial"/>
                <w:color w:val="auto"/>
                <w:sz w:val="21"/>
                <w:highlight w:val="none"/>
              </w:rPr>
            </w:pPr>
          </w:p>
        </w:tc>
        <w:tc>
          <w:tcPr>
            <w:tcW w:w="1161" w:type="dxa"/>
            <w:vAlign w:val="top"/>
          </w:tcPr>
          <w:p w14:paraId="0D20B631">
            <w:pPr>
              <w:rPr>
                <w:rFonts w:ascii="Arial"/>
                <w:color w:val="auto"/>
                <w:sz w:val="21"/>
                <w:highlight w:val="none"/>
              </w:rPr>
            </w:pPr>
          </w:p>
        </w:tc>
        <w:tc>
          <w:tcPr>
            <w:tcW w:w="845" w:type="dxa"/>
            <w:vAlign w:val="top"/>
          </w:tcPr>
          <w:p w14:paraId="2395EE18">
            <w:pPr>
              <w:rPr>
                <w:rFonts w:ascii="Arial"/>
                <w:color w:val="auto"/>
                <w:sz w:val="21"/>
                <w:highlight w:val="none"/>
              </w:rPr>
            </w:pPr>
          </w:p>
        </w:tc>
        <w:tc>
          <w:tcPr>
            <w:tcW w:w="849" w:type="dxa"/>
            <w:vAlign w:val="top"/>
          </w:tcPr>
          <w:p w14:paraId="7C746698">
            <w:pPr>
              <w:rPr>
                <w:rFonts w:ascii="Arial"/>
                <w:color w:val="auto"/>
                <w:sz w:val="21"/>
                <w:highlight w:val="none"/>
              </w:rPr>
            </w:pPr>
          </w:p>
        </w:tc>
        <w:tc>
          <w:tcPr>
            <w:tcW w:w="753" w:type="dxa"/>
            <w:vAlign w:val="top"/>
          </w:tcPr>
          <w:p w14:paraId="5671D45C">
            <w:pPr>
              <w:rPr>
                <w:rFonts w:ascii="Arial"/>
                <w:color w:val="auto"/>
                <w:sz w:val="21"/>
                <w:highlight w:val="none"/>
              </w:rPr>
            </w:pPr>
          </w:p>
        </w:tc>
      </w:tr>
      <w:tr w14:paraId="580B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0535893C">
            <w:pPr>
              <w:rPr>
                <w:rFonts w:ascii="Arial"/>
                <w:color w:val="auto"/>
                <w:sz w:val="21"/>
                <w:highlight w:val="none"/>
              </w:rPr>
            </w:pPr>
          </w:p>
        </w:tc>
        <w:tc>
          <w:tcPr>
            <w:tcW w:w="1032" w:type="dxa"/>
            <w:vAlign w:val="top"/>
          </w:tcPr>
          <w:p w14:paraId="78E1C7B2">
            <w:pPr>
              <w:rPr>
                <w:rFonts w:ascii="Arial"/>
                <w:color w:val="auto"/>
                <w:sz w:val="21"/>
                <w:highlight w:val="none"/>
              </w:rPr>
            </w:pPr>
          </w:p>
        </w:tc>
        <w:tc>
          <w:tcPr>
            <w:tcW w:w="657" w:type="dxa"/>
            <w:vAlign w:val="top"/>
          </w:tcPr>
          <w:p w14:paraId="6365466D">
            <w:pPr>
              <w:rPr>
                <w:rFonts w:ascii="Arial"/>
                <w:color w:val="auto"/>
                <w:sz w:val="21"/>
                <w:highlight w:val="none"/>
              </w:rPr>
            </w:pPr>
          </w:p>
        </w:tc>
        <w:tc>
          <w:tcPr>
            <w:tcW w:w="989" w:type="dxa"/>
            <w:vAlign w:val="top"/>
          </w:tcPr>
          <w:p w14:paraId="42B62DEF">
            <w:pPr>
              <w:rPr>
                <w:rFonts w:ascii="Arial"/>
                <w:color w:val="auto"/>
                <w:sz w:val="21"/>
                <w:highlight w:val="none"/>
              </w:rPr>
            </w:pPr>
          </w:p>
        </w:tc>
        <w:tc>
          <w:tcPr>
            <w:tcW w:w="696" w:type="dxa"/>
            <w:vAlign w:val="top"/>
          </w:tcPr>
          <w:p w14:paraId="23F4F0A0">
            <w:pPr>
              <w:rPr>
                <w:rFonts w:ascii="Arial"/>
                <w:color w:val="auto"/>
                <w:sz w:val="21"/>
                <w:highlight w:val="none"/>
              </w:rPr>
            </w:pPr>
          </w:p>
        </w:tc>
        <w:tc>
          <w:tcPr>
            <w:tcW w:w="691" w:type="dxa"/>
            <w:vAlign w:val="top"/>
          </w:tcPr>
          <w:p w14:paraId="3A2DFA9E">
            <w:pPr>
              <w:rPr>
                <w:rFonts w:ascii="Arial"/>
                <w:color w:val="auto"/>
                <w:sz w:val="21"/>
                <w:highlight w:val="none"/>
              </w:rPr>
            </w:pPr>
          </w:p>
        </w:tc>
        <w:tc>
          <w:tcPr>
            <w:tcW w:w="1161" w:type="dxa"/>
            <w:vAlign w:val="top"/>
          </w:tcPr>
          <w:p w14:paraId="5CB48297">
            <w:pPr>
              <w:rPr>
                <w:rFonts w:ascii="Arial"/>
                <w:color w:val="auto"/>
                <w:sz w:val="21"/>
                <w:highlight w:val="none"/>
              </w:rPr>
            </w:pPr>
          </w:p>
        </w:tc>
        <w:tc>
          <w:tcPr>
            <w:tcW w:w="845" w:type="dxa"/>
            <w:vAlign w:val="top"/>
          </w:tcPr>
          <w:p w14:paraId="3518BF85">
            <w:pPr>
              <w:rPr>
                <w:rFonts w:ascii="Arial"/>
                <w:color w:val="auto"/>
                <w:sz w:val="21"/>
                <w:highlight w:val="none"/>
              </w:rPr>
            </w:pPr>
          </w:p>
        </w:tc>
        <w:tc>
          <w:tcPr>
            <w:tcW w:w="849" w:type="dxa"/>
            <w:vAlign w:val="top"/>
          </w:tcPr>
          <w:p w14:paraId="20F71F93">
            <w:pPr>
              <w:rPr>
                <w:rFonts w:ascii="Arial"/>
                <w:color w:val="auto"/>
                <w:sz w:val="21"/>
                <w:highlight w:val="none"/>
              </w:rPr>
            </w:pPr>
          </w:p>
        </w:tc>
        <w:tc>
          <w:tcPr>
            <w:tcW w:w="753" w:type="dxa"/>
            <w:vAlign w:val="top"/>
          </w:tcPr>
          <w:p w14:paraId="33B5C96F">
            <w:pPr>
              <w:rPr>
                <w:rFonts w:ascii="Arial"/>
                <w:color w:val="auto"/>
                <w:sz w:val="21"/>
                <w:highlight w:val="none"/>
              </w:rPr>
            </w:pPr>
          </w:p>
        </w:tc>
      </w:tr>
      <w:tr w14:paraId="13F0B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4F1D103">
            <w:pPr>
              <w:rPr>
                <w:rFonts w:ascii="Arial"/>
                <w:color w:val="auto"/>
                <w:sz w:val="21"/>
                <w:highlight w:val="none"/>
              </w:rPr>
            </w:pPr>
          </w:p>
        </w:tc>
        <w:tc>
          <w:tcPr>
            <w:tcW w:w="1032" w:type="dxa"/>
            <w:vAlign w:val="top"/>
          </w:tcPr>
          <w:p w14:paraId="4A322258">
            <w:pPr>
              <w:rPr>
                <w:rFonts w:ascii="Arial"/>
                <w:color w:val="auto"/>
                <w:sz w:val="21"/>
                <w:highlight w:val="none"/>
              </w:rPr>
            </w:pPr>
          </w:p>
        </w:tc>
        <w:tc>
          <w:tcPr>
            <w:tcW w:w="657" w:type="dxa"/>
            <w:vAlign w:val="top"/>
          </w:tcPr>
          <w:p w14:paraId="66963B76">
            <w:pPr>
              <w:rPr>
                <w:rFonts w:ascii="Arial"/>
                <w:color w:val="auto"/>
                <w:sz w:val="21"/>
                <w:highlight w:val="none"/>
              </w:rPr>
            </w:pPr>
          </w:p>
        </w:tc>
        <w:tc>
          <w:tcPr>
            <w:tcW w:w="989" w:type="dxa"/>
            <w:vAlign w:val="top"/>
          </w:tcPr>
          <w:p w14:paraId="2478FA38">
            <w:pPr>
              <w:rPr>
                <w:rFonts w:ascii="Arial"/>
                <w:color w:val="auto"/>
                <w:sz w:val="21"/>
                <w:highlight w:val="none"/>
              </w:rPr>
            </w:pPr>
          </w:p>
        </w:tc>
        <w:tc>
          <w:tcPr>
            <w:tcW w:w="696" w:type="dxa"/>
            <w:vAlign w:val="top"/>
          </w:tcPr>
          <w:p w14:paraId="556ADB87">
            <w:pPr>
              <w:rPr>
                <w:rFonts w:ascii="Arial"/>
                <w:color w:val="auto"/>
                <w:sz w:val="21"/>
                <w:highlight w:val="none"/>
              </w:rPr>
            </w:pPr>
          </w:p>
        </w:tc>
        <w:tc>
          <w:tcPr>
            <w:tcW w:w="691" w:type="dxa"/>
            <w:vAlign w:val="top"/>
          </w:tcPr>
          <w:p w14:paraId="3038364C">
            <w:pPr>
              <w:rPr>
                <w:rFonts w:ascii="Arial"/>
                <w:color w:val="auto"/>
                <w:sz w:val="21"/>
                <w:highlight w:val="none"/>
              </w:rPr>
            </w:pPr>
          </w:p>
        </w:tc>
        <w:tc>
          <w:tcPr>
            <w:tcW w:w="1161" w:type="dxa"/>
            <w:vAlign w:val="top"/>
          </w:tcPr>
          <w:p w14:paraId="5E2D6413">
            <w:pPr>
              <w:rPr>
                <w:rFonts w:ascii="Arial"/>
                <w:color w:val="auto"/>
                <w:sz w:val="21"/>
                <w:highlight w:val="none"/>
              </w:rPr>
            </w:pPr>
          </w:p>
        </w:tc>
        <w:tc>
          <w:tcPr>
            <w:tcW w:w="845" w:type="dxa"/>
            <w:vAlign w:val="top"/>
          </w:tcPr>
          <w:p w14:paraId="28FC7B01">
            <w:pPr>
              <w:rPr>
                <w:rFonts w:ascii="Arial"/>
                <w:color w:val="auto"/>
                <w:sz w:val="21"/>
                <w:highlight w:val="none"/>
              </w:rPr>
            </w:pPr>
          </w:p>
        </w:tc>
        <w:tc>
          <w:tcPr>
            <w:tcW w:w="849" w:type="dxa"/>
            <w:vAlign w:val="top"/>
          </w:tcPr>
          <w:p w14:paraId="0158CBBB">
            <w:pPr>
              <w:rPr>
                <w:rFonts w:ascii="Arial"/>
                <w:color w:val="auto"/>
                <w:sz w:val="21"/>
                <w:highlight w:val="none"/>
              </w:rPr>
            </w:pPr>
          </w:p>
        </w:tc>
        <w:tc>
          <w:tcPr>
            <w:tcW w:w="753" w:type="dxa"/>
            <w:vAlign w:val="top"/>
          </w:tcPr>
          <w:p w14:paraId="48725F4F">
            <w:pPr>
              <w:rPr>
                <w:rFonts w:ascii="Arial"/>
                <w:color w:val="auto"/>
                <w:sz w:val="21"/>
                <w:highlight w:val="none"/>
              </w:rPr>
            </w:pPr>
          </w:p>
        </w:tc>
      </w:tr>
      <w:tr w14:paraId="25338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8CD9544">
            <w:pPr>
              <w:rPr>
                <w:rFonts w:ascii="Arial"/>
                <w:color w:val="auto"/>
                <w:sz w:val="21"/>
                <w:highlight w:val="none"/>
              </w:rPr>
            </w:pPr>
          </w:p>
        </w:tc>
        <w:tc>
          <w:tcPr>
            <w:tcW w:w="1032" w:type="dxa"/>
            <w:vAlign w:val="top"/>
          </w:tcPr>
          <w:p w14:paraId="6C341FBF">
            <w:pPr>
              <w:rPr>
                <w:rFonts w:ascii="Arial"/>
                <w:color w:val="auto"/>
                <w:sz w:val="21"/>
                <w:highlight w:val="none"/>
              </w:rPr>
            </w:pPr>
          </w:p>
        </w:tc>
        <w:tc>
          <w:tcPr>
            <w:tcW w:w="657" w:type="dxa"/>
            <w:vAlign w:val="top"/>
          </w:tcPr>
          <w:p w14:paraId="4835D266">
            <w:pPr>
              <w:rPr>
                <w:rFonts w:ascii="Arial"/>
                <w:color w:val="auto"/>
                <w:sz w:val="21"/>
                <w:highlight w:val="none"/>
              </w:rPr>
            </w:pPr>
          </w:p>
        </w:tc>
        <w:tc>
          <w:tcPr>
            <w:tcW w:w="989" w:type="dxa"/>
            <w:vAlign w:val="top"/>
          </w:tcPr>
          <w:p w14:paraId="468B9A81">
            <w:pPr>
              <w:rPr>
                <w:rFonts w:ascii="Arial"/>
                <w:color w:val="auto"/>
                <w:sz w:val="21"/>
                <w:highlight w:val="none"/>
              </w:rPr>
            </w:pPr>
          </w:p>
        </w:tc>
        <w:tc>
          <w:tcPr>
            <w:tcW w:w="696" w:type="dxa"/>
            <w:vAlign w:val="top"/>
          </w:tcPr>
          <w:p w14:paraId="21EE5B75">
            <w:pPr>
              <w:rPr>
                <w:rFonts w:ascii="Arial"/>
                <w:color w:val="auto"/>
                <w:sz w:val="21"/>
                <w:highlight w:val="none"/>
              </w:rPr>
            </w:pPr>
          </w:p>
        </w:tc>
        <w:tc>
          <w:tcPr>
            <w:tcW w:w="691" w:type="dxa"/>
            <w:vAlign w:val="top"/>
          </w:tcPr>
          <w:p w14:paraId="45987A84">
            <w:pPr>
              <w:rPr>
                <w:rFonts w:ascii="Arial"/>
                <w:color w:val="auto"/>
                <w:sz w:val="21"/>
                <w:highlight w:val="none"/>
              </w:rPr>
            </w:pPr>
          </w:p>
        </w:tc>
        <w:tc>
          <w:tcPr>
            <w:tcW w:w="1161" w:type="dxa"/>
            <w:vAlign w:val="top"/>
          </w:tcPr>
          <w:p w14:paraId="65947BC3">
            <w:pPr>
              <w:rPr>
                <w:rFonts w:ascii="Arial"/>
                <w:color w:val="auto"/>
                <w:sz w:val="21"/>
                <w:highlight w:val="none"/>
              </w:rPr>
            </w:pPr>
          </w:p>
        </w:tc>
        <w:tc>
          <w:tcPr>
            <w:tcW w:w="845" w:type="dxa"/>
            <w:vAlign w:val="top"/>
          </w:tcPr>
          <w:p w14:paraId="793BEEEC">
            <w:pPr>
              <w:rPr>
                <w:rFonts w:ascii="Arial"/>
                <w:color w:val="auto"/>
                <w:sz w:val="21"/>
                <w:highlight w:val="none"/>
              </w:rPr>
            </w:pPr>
          </w:p>
        </w:tc>
        <w:tc>
          <w:tcPr>
            <w:tcW w:w="849" w:type="dxa"/>
            <w:vAlign w:val="top"/>
          </w:tcPr>
          <w:p w14:paraId="6F9A0A68">
            <w:pPr>
              <w:rPr>
                <w:rFonts w:ascii="Arial"/>
                <w:color w:val="auto"/>
                <w:sz w:val="21"/>
                <w:highlight w:val="none"/>
              </w:rPr>
            </w:pPr>
          </w:p>
        </w:tc>
        <w:tc>
          <w:tcPr>
            <w:tcW w:w="753" w:type="dxa"/>
            <w:vAlign w:val="top"/>
          </w:tcPr>
          <w:p w14:paraId="377FA44D">
            <w:pPr>
              <w:rPr>
                <w:rFonts w:ascii="Arial"/>
                <w:color w:val="auto"/>
                <w:sz w:val="21"/>
                <w:highlight w:val="none"/>
              </w:rPr>
            </w:pPr>
          </w:p>
        </w:tc>
      </w:tr>
      <w:tr w14:paraId="3DB5E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BF1EE26">
            <w:pPr>
              <w:rPr>
                <w:rFonts w:ascii="Arial"/>
                <w:color w:val="auto"/>
                <w:sz w:val="21"/>
                <w:highlight w:val="none"/>
              </w:rPr>
            </w:pPr>
          </w:p>
        </w:tc>
        <w:tc>
          <w:tcPr>
            <w:tcW w:w="1032" w:type="dxa"/>
            <w:vAlign w:val="top"/>
          </w:tcPr>
          <w:p w14:paraId="569AB8DB">
            <w:pPr>
              <w:rPr>
                <w:rFonts w:ascii="Arial"/>
                <w:color w:val="auto"/>
                <w:sz w:val="21"/>
                <w:highlight w:val="none"/>
              </w:rPr>
            </w:pPr>
          </w:p>
        </w:tc>
        <w:tc>
          <w:tcPr>
            <w:tcW w:w="657" w:type="dxa"/>
            <w:vAlign w:val="top"/>
          </w:tcPr>
          <w:p w14:paraId="68FB98E8">
            <w:pPr>
              <w:rPr>
                <w:rFonts w:ascii="Arial"/>
                <w:color w:val="auto"/>
                <w:sz w:val="21"/>
                <w:highlight w:val="none"/>
              </w:rPr>
            </w:pPr>
          </w:p>
        </w:tc>
        <w:tc>
          <w:tcPr>
            <w:tcW w:w="989" w:type="dxa"/>
            <w:vAlign w:val="top"/>
          </w:tcPr>
          <w:p w14:paraId="782F192C">
            <w:pPr>
              <w:rPr>
                <w:rFonts w:ascii="Arial"/>
                <w:color w:val="auto"/>
                <w:sz w:val="21"/>
                <w:highlight w:val="none"/>
              </w:rPr>
            </w:pPr>
          </w:p>
        </w:tc>
        <w:tc>
          <w:tcPr>
            <w:tcW w:w="696" w:type="dxa"/>
            <w:vAlign w:val="top"/>
          </w:tcPr>
          <w:p w14:paraId="38C84D94">
            <w:pPr>
              <w:rPr>
                <w:rFonts w:ascii="Arial"/>
                <w:color w:val="auto"/>
                <w:sz w:val="21"/>
                <w:highlight w:val="none"/>
              </w:rPr>
            </w:pPr>
          </w:p>
        </w:tc>
        <w:tc>
          <w:tcPr>
            <w:tcW w:w="691" w:type="dxa"/>
            <w:vAlign w:val="top"/>
          </w:tcPr>
          <w:p w14:paraId="4D4B4A83">
            <w:pPr>
              <w:rPr>
                <w:rFonts w:ascii="Arial"/>
                <w:color w:val="auto"/>
                <w:sz w:val="21"/>
                <w:highlight w:val="none"/>
              </w:rPr>
            </w:pPr>
          </w:p>
        </w:tc>
        <w:tc>
          <w:tcPr>
            <w:tcW w:w="1161" w:type="dxa"/>
            <w:vAlign w:val="top"/>
          </w:tcPr>
          <w:p w14:paraId="42913E9D">
            <w:pPr>
              <w:rPr>
                <w:rFonts w:ascii="Arial"/>
                <w:color w:val="auto"/>
                <w:sz w:val="21"/>
                <w:highlight w:val="none"/>
              </w:rPr>
            </w:pPr>
          </w:p>
        </w:tc>
        <w:tc>
          <w:tcPr>
            <w:tcW w:w="845" w:type="dxa"/>
            <w:vAlign w:val="top"/>
          </w:tcPr>
          <w:p w14:paraId="6C048B55">
            <w:pPr>
              <w:rPr>
                <w:rFonts w:ascii="Arial"/>
                <w:color w:val="auto"/>
                <w:sz w:val="21"/>
                <w:highlight w:val="none"/>
              </w:rPr>
            </w:pPr>
          </w:p>
        </w:tc>
        <w:tc>
          <w:tcPr>
            <w:tcW w:w="849" w:type="dxa"/>
            <w:vAlign w:val="top"/>
          </w:tcPr>
          <w:p w14:paraId="73CC29D6">
            <w:pPr>
              <w:rPr>
                <w:rFonts w:ascii="Arial"/>
                <w:color w:val="auto"/>
                <w:sz w:val="21"/>
                <w:highlight w:val="none"/>
              </w:rPr>
            </w:pPr>
          </w:p>
        </w:tc>
        <w:tc>
          <w:tcPr>
            <w:tcW w:w="753" w:type="dxa"/>
            <w:vAlign w:val="top"/>
          </w:tcPr>
          <w:p w14:paraId="2C46D367">
            <w:pPr>
              <w:rPr>
                <w:rFonts w:ascii="Arial"/>
                <w:color w:val="auto"/>
                <w:sz w:val="21"/>
                <w:highlight w:val="none"/>
              </w:rPr>
            </w:pPr>
          </w:p>
        </w:tc>
      </w:tr>
      <w:tr w14:paraId="08D08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0E6A7950">
            <w:pPr>
              <w:rPr>
                <w:rFonts w:ascii="Arial"/>
                <w:color w:val="auto"/>
                <w:sz w:val="21"/>
                <w:highlight w:val="none"/>
              </w:rPr>
            </w:pPr>
          </w:p>
        </w:tc>
        <w:tc>
          <w:tcPr>
            <w:tcW w:w="1032" w:type="dxa"/>
            <w:vAlign w:val="top"/>
          </w:tcPr>
          <w:p w14:paraId="3E5FF277">
            <w:pPr>
              <w:rPr>
                <w:rFonts w:ascii="Arial"/>
                <w:color w:val="auto"/>
                <w:sz w:val="21"/>
                <w:highlight w:val="none"/>
              </w:rPr>
            </w:pPr>
          </w:p>
        </w:tc>
        <w:tc>
          <w:tcPr>
            <w:tcW w:w="657" w:type="dxa"/>
            <w:vAlign w:val="top"/>
          </w:tcPr>
          <w:p w14:paraId="57ED78CF">
            <w:pPr>
              <w:rPr>
                <w:rFonts w:ascii="Arial"/>
                <w:color w:val="auto"/>
                <w:sz w:val="21"/>
                <w:highlight w:val="none"/>
              </w:rPr>
            </w:pPr>
          </w:p>
        </w:tc>
        <w:tc>
          <w:tcPr>
            <w:tcW w:w="989" w:type="dxa"/>
            <w:vAlign w:val="top"/>
          </w:tcPr>
          <w:p w14:paraId="3B7E83C7">
            <w:pPr>
              <w:rPr>
                <w:rFonts w:ascii="Arial"/>
                <w:color w:val="auto"/>
                <w:sz w:val="21"/>
                <w:highlight w:val="none"/>
              </w:rPr>
            </w:pPr>
          </w:p>
        </w:tc>
        <w:tc>
          <w:tcPr>
            <w:tcW w:w="696" w:type="dxa"/>
            <w:vAlign w:val="top"/>
          </w:tcPr>
          <w:p w14:paraId="0DFCD987">
            <w:pPr>
              <w:rPr>
                <w:rFonts w:ascii="Arial"/>
                <w:color w:val="auto"/>
                <w:sz w:val="21"/>
                <w:highlight w:val="none"/>
              </w:rPr>
            </w:pPr>
          </w:p>
        </w:tc>
        <w:tc>
          <w:tcPr>
            <w:tcW w:w="691" w:type="dxa"/>
            <w:vAlign w:val="top"/>
          </w:tcPr>
          <w:p w14:paraId="1E10AAB0">
            <w:pPr>
              <w:rPr>
                <w:rFonts w:ascii="Arial"/>
                <w:color w:val="auto"/>
                <w:sz w:val="21"/>
                <w:highlight w:val="none"/>
              </w:rPr>
            </w:pPr>
          </w:p>
        </w:tc>
        <w:tc>
          <w:tcPr>
            <w:tcW w:w="1161" w:type="dxa"/>
            <w:vAlign w:val="top"/>
          </w:tcPr>
          <w:p w14:paraId="2F77ADB2">
            <w:pPr>
              <w:rPr>
                <w:rFonts w:ascii="Arial"/>
                <w:color w:val="auto"/>
                <w:sz w:val="21"/>
                <w:highlight w:val="none"/>
              </w:rPr>
            </w:pPr>
          </w:p>
        </w:tc>
        <w:tc>
          <w:tcPr>
            <w:tcW w:w="845" w:type="dxa"/>
            <w:vAlign w:val="top"/>
          </w:tcPr>
          <w:p w14:paraId="08371B68">
            <w:pPr>
              <w:rPr>
                <w:rFonts w:ascii="Arial"/>
                <w:color w:val="auto"/>
                <w:sz w:val="21"/>
                <w:highlight w:val="none"/>
              </w:rPr>
            </w:pPr>
          </w:p>
        </w:tc>
        <w:tc>
          <w:tcPr>
            <w:tcW w:w="849" w:type="dxa"/>
            <w:vAlign w:val="top"/>
          </w:tcPr>
          <w:p w14:paraId="626943CF">
            <w:pPr>
              <w:rPr>
                <w:rFonts w:ascii="Arial"/>
                <w:color w:val="auto"/>
                <w:sz w:val="21"/>
                <w:highlight w:val="none"/>
              </w:rPr>
            </w:pPr>
          </w:p>
        </w:tc>
        <w:tc>
          <w:tcPr>
            <w:tcW w:w="753" w:type="dxa"/>
            <w:vAlign w:val="top"/>
          </w:tcPr>
          <w:p w14:paraId="1D435849">
            <w:pPr>
              <w:rPr>
                <w:rFonts w:ascii="Arial"/>
                <w:color w:val="auto"/>
                <w:sz w:val="21"/>
                <w:highlight w:val="none"/>
              </w:rPr>
            </w:pPr>
          </w:p>
        </w:tc>
      </w:tr>
      <w:tr w14:paraId="1B7AA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52C8B391">
            <w:pPr>
              <w:rPr>
                <w:rFonts w:ascii="Arial"/>
                <w:color w:val="auto"/>
                <w:sz w:val="21"/>
                <w:highlight w:val="none"/>
              </w:rPr>
            </w:pPr>
          </w:p>
        </w:tc>
        <w:tc>
          <w:tcPr>
            <w:tcW w:w="1032" w:type="dxa"/>
            <w:vAlign w:val="top"/>
          </w:tcPr>
          <w:p w14:paraId="56FD52F5">
            <w:pPr>
              <w:rPr>
                <w:rFonts w:ascii="Arial"/>
                <w:color w:val="auto"/>
                <w:sz w:val="21"/>
                <w:highlight w:val="none"/>
              </w:rPr>
            </w:pPr>
          </w:p>
        </w:tc>
        <w:tc>
          <w:tcPr>
            <w:tcW w:w="657" w:type="dxa"/>
            <w:vAlign w:val="top"/>
          </w:tcPr>
          <w:p w14:paraId="37446957">
            <w:pPr>
              <w:rPr>
                <w:rFonts w:ascii="Arial"/>
                <w:color w:val="auto"/>
                <w:sz w:val="21"/>
                <w:highlight w:val="none"/>
              </w:rPr>
            </w:pPr>
          </w:p>
        </w:tc>
        <w:tc>
          <w:tcPr>
            <w:tcW w:w="989" w:type="dxa"/>
            <w:vAlign w:val="top"/>
          </w:tcPr>
          <w:p w14:paraId="4B61CCFC">
            <w:pPr>
              <w:rPr>
                <w:rFonts w:ascii="Arial"/>
                <w:color w:val="auto"/>
                <w:sz w:val="21"/>
                <w:highlight w:val="none"/>
              </w:rPr>
            </w:pPr>
          </w:p>
        </w:tc>
        <w:tc>
          <w:tcPr>
            <w:tcW w:w="696" w:type="dxa"/>
            <w:vAlign w:val="top"/>
          </w:tcPr>
          <w:p w14:paraId="49157D30">
            <w:pPr>
              <w:rPr>
                <w:rFonts w:ascii="Arial"/>
                <w:color w:val="auto"/>
                <w:sz w:val="21"/>
                <w:highlight w:val="none"/>
              </w:rPr>
            </w:pPr>
          </w:p>
        </w:tc>
        <w:tc>
          <w:tcPr>
            <w:tcW w:w="691" w:type="dxa"/>
            <w:vAlign w:val="top"/>
          </w:tcPr>
          <w:p w14:paraId="1F4F0E44">
            <w:pPr>
              <w:rPr>
                <w:rFonts w:ascii="Arial"/>
                <w:color w:val="auto"/>
                <w:sz w:val="21"/>
                <w:highlight w:val="none"/>
              </w:rPr>
            </w:pPr>
          </w:p>
        </w:tc>
        <w:tc>
          <w:tcPr>
            <w:tcW w:w="1161" w:type="dxa"/>
            <w:vAlign w:val="top"/>
          </w:tcPr>
          <w:p w14:paraId="76A87ADC">
            <w:pPr>
              <w:rPr>
                <w:rFonts w:ascii="Arial"/>
                <w:color w:val="auto"/>
                <w:sz w:val="21"/>
                <w:highlight w:val="none"/>
              </w:rPr>
            </w:pPr>
          </w:p>
        </w:tc>
        <w:tc>
          <w:tcPr>
            <w:tcW w:w="845" w:type="dxa"/>
            <w:vAlign w:val="top"/>
          </w:tcPr>
          <w:p w14:paraId="37E5C73F">
            <w:pPr>
              <w:rPr>
                <w:rFonts w:ascii="Arial"/>
                <w:color w:val="auto"/>
                <w:sz w:val="21"/>
                <w:highlight w:val="none"/>
              </w:rPr>
            </w:pPr>
          </w:p>
        </w:tc>
        <w:tc>
          <w:tcPr>
            <w:tcW w:w="849" w:type="dxa"/>
            <w:vAlign w:val="top"/>
          </w:tcPr>
          <w:p w14:paraId="0F7D153C">
            <w:pPr>
              <w:rPr>
                <w:rFonts w:ascii="Arial"/>
                <w:color w:val="auto"/>
                <w:sz w:val="21"/>
                <w:highlight w:val="none"/>
              </w:rPr>
            </w:pPr>
          </w:p>
        </w:tc>
        <w:tc>
          <w:tcPr>
            <w:tcW w:w="753" w:type="dxa"/>
            <w:vAlign w:val="top"/>
          </w:tcPr>
          <w:p w14:paraId="2C7FFE90">
            <w:pPr>
              <w:rPr>
                <w:rFonts w:ascii="Arial"/>
                <w:color w:val="auto"/>
                <w:sz w:val="21"/>
                <w:highlight w:val="none"/>
              </w:rPr>
            </w:pPr>
          </w:p>
        </w:tc>
      </w:tr>
      <w:tr w14:paraId="67825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912D42D">
            <w:pPr>
              <w:rPr>
                <w:rFonts w:ascii="Arial"/>
                <w:color w:val="auto"/>
                <w:sz w:val="21"/>
                <w:highlight w:val="none"/>
              </w:rPr>
            </w:pPr>
          </w:p>
        </w:tc>
        <w:tc>
          <w:tcPr>
            <w:tcW w:w="1032" w:type="dxa"/>
            <w:vAlign w:val="top"/>
          </w:tcPr>
          <w:p w14:paraId="389BC50E">
            <w:pPr>
              <w:rPr>
                <w:rFonts w:ascii="Arial"/>
                <w:color w:val="auto"/>
                <w:sz w:val="21"/>
                <w:highlight w:val="none"/>
              </w:rPr>
            </w:pPr>
          </w:p>
        </w:tc>
        <w:tc>
          <w:tcPr>
            <w:tcW w:w="657" w:type="dxa"/>
            <w:vAlign w:val="top"/>
          </w:tcPr>
          <w:p w14:paraId="1E7DB459">
            <w:pPr>
              <w:rPr>
                <w:rFonts w:ascii="Arial"/>
                <w:color w:val="auto"/>
                <w:sz w:val="21"/>
                <w:highlight w:val="none"/>
              </w:rPr>
            </w:pPr>
          </w:p>
        </w:tc>
        <w:tc>
          <w:tcPr>
            <w:tcW w:w="989" w:type="dxa"/>
            <w:vAlign w:val="top"/>
          </w:tcPr>
          <w:p w14:paraId="7AF1BF9D">
            <w:pPr>
              <w:rPr>
                <w:rFonts w:ascii="Arial"/>
                <w:color w:val="auto"/>
                <w:sz w:val="21"/>
                <w:highlight w:val="none"/>
              </w:rPr>
            </w:pPr>
          </w:p>
        </w:tc>
        <w:tc>
          <w:tcPr>
            <w:tcW w:w="696" w:type="dxa"/>
            <w:vAlign w:val="top"/>
          </w:tcPr>
          <w:p w14:paraId="52FFB5EF">
            <w:pPr>
              <w:rPr>
                <w:rFonts w:ascii="Arial"/>
                <w:color w:val="auto"/>
                <w:sz w:val="21"/>
                <w:highlight w:val="none"/>
              </w:rPr>
            </w:pPr>
          </w:p>
        </w:tc>
        <w:tc>
          <w:tcPr>
            <w:tcW w:w="691" w:type="dxa"/>
            <w:vAlign w:val="top"/>
          </w:tcPr>
          <w:p w14:paraId="1E132BF0">
            <w:pPr>
              <w:rPr>
                <w:rFonts w:ascii="Arial"/>
                <w:color w:val="auto"/>
                <w:sz w:val="21"/>
                <w:highlight w:val="none"/>
              </w:rPr>
            </w:pPr>
          </w:p>
        </w:tc>
        <w:tc>
          <w:tcPr>
            <w:tcW w:w="1161" w:type="dxa"/>
            <w:vAlign w:val="top"/>
          </w:tcPr>
          <w:p w14:paraId="5D6951F3">
            <w:pPr>
              <w:rPr>
                <w:rFonts w:ascii="Arial"/>
                <w:color w:val="auto"/>
                <w:sz w:val="21"/>
                <w:highlight w:val="none"/>
              </w:rPr>
            </w:pPr>
          </w:p>
        </w:tc>
        <w:tc>
          <w:tcPr>
            <w:tcW w:w="845" w:type="dxa"/>
            <w:vAlign w:val="top"/>
          </w:tcPr>
          <w:p w14:paraId="1DE90904">
            <w:pPr>
              <w:rPr>
                <w:rFonts w:ascii="Arial"/>
                <w:color w:val="auto"/>
                <w:sz w:val="21"/>
                <w:highlight w:val="none"/>
              </w:rPr>
            </w:pPr>
          </w:p>
        </w:tc>
        <w:tc>
          <w:tcPr>
            <w:tcW w:w="849" w:type="dxa"/>
            <w:vAlign w:val="top"/>
          </w:tcPr>
          <w:p w14:paraId="1857F266">
            <w:pPr>
              <w:rPr>
                <w:rFonts w:ascii="Arial"/>
                <w:color w:val="auto"/>
                <w:sz w:val="21"/>
                <w:highlight w:val="none"/>
              </w:rPr>
            </w:pPr>
          </w:p>
        </w:tc>
        <w:tc>
          <w:tcPr>
            <w:tcW w:w="753" w:type="dxa"/>
            <w:vAlign w:val="top"/>
          </w:tcPr>
          <w:p w14:paraId="5DB71B95">
            <w:pPr>
              <w:rPr>
                <w:rFonts w:ascii="Arial"/>
                <w:color w:val="auto"/>
                <w:sz w:val="21"/>
                <w:highlight w:val="none"/>
              </w:rPr>
            </w:pPr>
          </w:p>
        </w:tc>
      </w:tr>
      <w:tr w14:paraId="73C4A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D2B837E">
            <w:pPr>
              <w:rPr>
                <w:rFonts w:ascii="Arial"/>
                <w:color w:val="auto"/>
                <w:sz w:val="21"/>
                <w:highlight w:val="none"/>
              </w:rPr>
            </w:pPr>
          </w:p>
        </w:tc>
        <w:tc>
          <w:tcPr>
            <w:tcW w:w="1032" w:type="dxa"/>
            <w:vAlign w:val="top"/>
          </w:tcPr>
          <w:p w14:paraId="14BFE9C8">
            <w:pPr>
              <w:rPr>
                <w:rFonts w:ascii="Arial"/>
                <w:color w:val="auto"/>
                <w:sz w:val="21"/>
                <w:highlight w:val="none"/>
              </w:rPr>
            </w:pPr>
          </w:p>
        </w:tc>
        <w:tc>
          <w:tcPr>
            <w:tcW w:w="657" w:type="dxa"/>
            <w:vAlign w:val="top"/>
          </w:tcPr>
          <w:p w14:paraId="1C7C05CD">
            <w:pPr>
              <w:rPr>
                <w:rFonts w:ascii="Arial"/>
                <w:color w:val="auto"/>
                <w:sz w:val="21"/>
                <w:highlight w:val="none"/>
              </w:rPr>
            </w:pPr>
          </w:p>
        </w:tc>
        <w:tc>
          <w:tcPr>
            <w:tcW w:w="989" w:type="dxa"/>
            <w:vAlign w:val="top"/>
          </w:tcPr>
          <w:p w14:paraId="5D8A785F">
            <w:pPr>
              <w:rPr>
                <w:rFonts w:ascii="Arial"/>
                <w:color w:val="auto"/>
                <w:sz w:val="21"/>
                <w:highlight w:val="none"/>
              </w:rPr>
            </w:pPr>
          </w:p>
        </w:tc>
        <w:tc>
          <w:tcPr>
            <w:tcW w:w="696" w:type="dxa"/>
            <w:vAlign w:val="top"/>
          </w:tcPr>
          <w:p w14:paraId="6659D8CD">
            <w:pPr>
              <w:rPr>
                <w:rFonts w:ascii="Arial"/>
                <w:color w:val="auto"/>
                <w:sz w:val="21"/>
                <w:highlight w:val="none"/>
              </w:rPr>
            </w:pPr>
          </w:p>
        </w:tc>
        <w:tc>
          <w:tcPr>
            <w:tcW w:w="691" w:type="dxa"/>
            <w:vAlign w:val="top"/>
          </w:tcPr>
          <w:p w14:paraId="76147F08">
            <w:pPr>
              <w:rPr>
                <w:rFonts w:ascii="Arial"/>
                <w:color w:val="auto"/>
                <w:sz w:val="21"/>
                <w:highlight w:val="none"/>
              </w:rPr>
            </w:pPr>
          </w:p>
        </w:tc>
        <w:tc>
          <w:tcPr>
            <w:tcW w:w="1161" w:type="dxa"/>
            <w:vAlign w:val="top"/>
          </w:tcPr>
          <w:p w14:paraId="5DAD3D6E">
            <w:pPr>
              <w:rPr>
                <w:rFonts w:ascii="Arial"/>
                <w:color w:val="auto"/>
                <w:sz w:val="21"/>
                <w:highlight w:val="none"/>
              </w:rPr>
            </w:pPr>
          </w:p>
        </w:tc>
        <w:tc>
          <w:tcPr>
            <w:tcW w:w="845" w:type="dxa"/>
            <w:vAlign w:val="top"/>
          </w:tcPr>
          <w:p w14:paraId="245C0696">
            <w:pPr>
              <w:rPr>
                <w:rFonts w:ascii="Arial"/>
                <w:color w:val="auto"/>
                <w:sz w:val="21"/>
                <w:highlight w:val="none"/>
              </w:rPr>
            </w:pPr>
          </w:p>
        </w:tc>
        <w:tc>
          <w:tcPr>
            <w:tcW w:w="849" w:type="dxa"/>
            <w:vAlign w:val="top"/>
          </w:tcPr>
          <w:p w14:paraId="1B3D2EA9">
            <w:pPr>
              <w:rPr>
                <w:rFonts w:ascii="Arial"/>
                <w:color w:val="auto"/>
                <w:sz w:val="21"/>
                <w:highlight w:val="none"/>
              </w:rPr>
            </w:pPr>
          </w:p>
        </w:tc>
        <w:tc>
          <w:tcPr>
            <w:tcW w:w="753" w:type="dxa"/>
            <w:vAlign w:val="top"/>
          </w:tcPr>
          <w:p w14:paraId="4F4CC6C2">
            <w:pPr>
              <w:rPr>
                <w:rFonts w:ascii="Arial"/>
                <w:color w:val="auto"/>
                <w:sz w:val="21"/>
                <w:highlight w:val="none"/>
              </w:rPr>
            </w:pPr>
          </w:p>
        </w:tc>
      </w:tr>
      <w:tr w14:paraId="7420F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A094D4A">
            <w:pPr>
              <w:rPr>
                <w:rFonts w:ascii="Arial"/>
                <w:color w:val="auto"/>
                <w:sz w:val="21"/>
                <w:highlight w:val="none"/>
              </w:rPr>
            </w:pPr>
          </w:p>
        </w:tc>
        <w:tc>
          <w:tcPr>
            <w:tcW w:w="1032" w:type="dxa"/>
            <w:vAlign w:val="top"/>
          </w:tcPr>
          <w:p w14:paraId="0082A30F">
            <w:pPr>
              <w:rPr>
                <w:rFonts w:ascii="Arial"/>
                <w:color w:val="auto"/>
                <w:sz w:val="21"/>
                <w:highlight w:val="none"/>
              </w:rPr>
            </w:pPr>
          </w:p>
        </w:tc>
        <w:tc>
          <w:tcPr>
            <w:tcW w:w="657" w:type="dxa"/>
            <w:vAlign w:val="top"/>
          </w:tcPr>
          <w:p w14:paraId="5ADB7C86">
            <w:pPr>
              <w:rPr>
                <w:rFonts w:ascii="Arial"/>
                <w:color w:val="auto"/>
                <w:sz w:val="21"/>
                <w:highlight w:val="none"/>
              </w:rPr>
            </w:pPr>
          </w:p>
        </w:tc>
        <w:tc>
          <w:tcPr>
            <w:tcW w:w="989" w:type="dxa"/>
            <w:vAlign w:val="top"/>
          </w:tcPr>
          <w:p w14:paraId="1C51BDA8">
            <w:pPr>
              <w:rPr>
                <w:rFonts w:ascii="Arial"/>
                <w:color w:val="auto"/>
                <w:sz w:val="21"/>
                <w:highlight w:val="none"/>
              </w:rPr>
            </w:pPr>
          </w:p>
        </w:tc>
        <w:tc>
          <w:tcPr>
            <w:tcW w:w="696" w:type="dxa"/>
            <w:vAlign w:val="top"/>
          </w:tcPr>
          <w:p w14:paraId="689EA260">
            <w:pPr>
              <w:rPr>
                <w:rFonts w:ascii="Arial"/>
                <w:color w:val="auto"/>
                <w:sz w:val="21"/>
                <w:highlight w:val="none"/>
              </w:rPr>
            </w:pPr>
          </w:p>
        </w:tc>
        <w:tc>
          <w:tcPr>
            <w:tcW w:w="691" w:type="dxa"/>
            <w:vAlign w:val="top"/>
          </w:tcPr>
          <w:p w14:paraId="3AEB71A5">
            <w:pPr>
              <w:rPr>
                <w:rFonts w:ascii="Arial"/>
                <w:color w:val="auto"/>
                <w:sz w:val="21"/>
                <w:highlight w:val="none"/>
              </w:rPr>
            </w:pPr>
          </w:p>
        </w:tc>
        <w:tc>
          <w:tcPr>
            <w:tcW w:w="1161" w:type="dxa"/>
            <w:vAlign w:val="top"/>
          </w:tcPr>
          <w:p w14:paraId="647A2E49">
            <w:pPr>
              <w:rPr>
                <w:rFonts w:ascii="Arial"/>
                <w:color w:val="auto"/>
                <w:sz w:val="21"/>
                <w:highlight w:val="none"/>
              </w:rPr>
            </w:pPr>
          </w:p>
        </w:tc>
        <w:tc>
          <w:tcPr>
            <w:tcW w:w="845" w:type="dxa"/>
            <w:vAlign w:val="top"/>
          </w:tcPr>
          <w:p w14:paraId="2D143270">
            <w:pPr>
              <w:rPr>
                <w:rFonts w:ascii="Arial"/>
                <w:color w:val="auto"/>
                <w:sz w:val="21"/>
                <w:highlight w:val="none"/>
              </w:rPr>
            </w:pPr>
          </w:p>
        </w:tc>
        <w:tc>
          <w:tcPr>
            <w:tcW w:w="849" w:type="dxa"/>
            <w:vAlign w:val="top"/>
          </w:tcPr>
          <w:p w14:paraId="7D036F5C">
            <w:pPr>
              <w:rPr>
                <w:rFonts w:ascii="Arial"/>
                <w:color w:val="auto"/>
                <w:sz w:val="21"/>
                <w:highlight w:val="none"/>
              </w:rPr>
            </w:pPr>
          </w:p>
        </w:tc>
        <w:tc>
          <w:tcPr>
            <w:tcW w:w="753" w:type="dxa"/>
            <w:vAlign w:val="top"/>
          </w:tcPr>
          <w:p w14:paraId="618AB12C">
            <w:pPr>
              <w:rPr>
                <w:rFonts w:ascii="Arial"/>
                <w:color w:val="auto"/>
                <w:sz w:val="21"/>
                <w:highlight w:val="none"/>
              </w:rPr>
            </w:pPr>
          </w:p>
        </w:tc>
      </w:tr>
      <w:tr w14:paraId="5490C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1763B2">
            <w:pPr>
              <w:rPr>
                <w:rFonts w:ascii="Arial"/>
                <w:color w:val="auto"/>
                <w:sz w:val="21"/>
                <w:highlight w:val="none"/>
              </w:rPr>
            </w:pPr>
          </w:p>
        </w:tc>
        <w:tc>
          <w:tcPr>
            <w:tcW w:w="1032" w:type="dxa"/>
            <w:vAlign w:val="top"/>
          </w:tcPr>
          <w:p w14:paraId="57533A64">
            <w:pPr>
              <w:rPr>
                <w:rFonts w:ascii="Arial"/>
                <w:color w:val="auto"/>
                <w:sz w:val="21"/>
                <w:highlight w:val="none"/>
              </w:rPr>
            </w:pPr>
          </w:p>
        </w:tc>
        <w:tc>
          <w:tcPr>
            <w:tcW w:w="657" w:type="dxa"/>
            <w:vAlign w:val="top"/>
          </w:tcPr>
          <w:p w14:paraId="292D2B66">
            <w:pPr>
              <w:rPr>
                <w:rFonts w:ascii="Arial"/>
                <w:color w:val="auto"/>
                <w:sz w:val="21"/>
                <w:highlight w:val="none"/>
              </w:rPr>
            </w:pPr>
          </w:p>
        </w:tc>
        <w:tc>
          <w:tcPr>
            <w:tcW w:w="989" w:type="dxa"/>
            <w:vAlign w:val="top"/>
          </w:tcPr>
          <w:p w14:paraId="37B6A121">
            <w:pPr>
              <w:rPr>
                <w:rFonts w:ascii="Arial"/>
                <w:color w:val="auto"/>
                <w:sz w:val="21"/>
                <w:highlight w:val="none"/>
              </w:rPr>
            </w:pPr>
          </w:p>
        </w:tc>
        <w:tc>
          <w:tcPr>
            <w:tcW w:w="696" w:type="dxa"/>
            <w:vAlign w:val="top"/>
          </w:tcPr>
          <w:p w14:paraId="12783FFF">
            <w:pPr>
              <w:rPr>
                <w:rFonts w:ascii="Arial"/>
                <w:color w:val="auto"/>
                <w:sz w:val="21"/>
                <w:highlight w:val="none"/>
              </w:rPr>
            </w:pPr>
          </w:p>
        </w:tc>
        <w:tc>
          <w:tcPr>
            <w:tcW w:w="691" w:type="dxa"/>
            <w:vAlign w:val="top"/>
          </w:tcPr>
          <w:p w14:paraId="7B490AAA">
            <w:pPr>
              <w:rPr>
                <w:rFonts w:ascii="Arial"/>
                <w:color w:val="auto"/>
                <w:sz w:val="21"/>
                <w:highlight w:val="none"/>
              </w:rPr>
            </w:pPr>
          </w:p>
        </w:tc>
        <w:tc>
          <w:tcPr>
            <w:tcW w:w="1161" w:type="dxa"/>
            <w:vAlign w:val="top"/>
          </w:tcPr>
          <w:p w14:paraId="5C6B8D37">
            <w:pPr>
              <w:rPr>
                <w:rFonts w:ascii="Arial"/>
                <w:color w:val="auto"/>
                <w:sz w:val="21"/>
                <w:highlight w:val="none"/>
              </w:rPr>
            </w:pPr>
          </w:p>
        </w:tc>
        <w:tc>
          <w:tcPr>
            <w:tcW w:w="845" w:type="dxa"/>
            <w:vAlign w:val="top"/>
          </w:tcPr>
          <w:p w14:paraId="7CEC72CC">
            <w:pPr>
              <w:rPr>
                <w:rFonts w:ascii="Arial"/>
                <w:color w:val="auto"/>
                <w:sz w:val="21"/>
                <w:highlight w:val="none"/>
              </w:rPr>
            </w:pPr>
          </w:p>
        </w:tc>
        <w:tc>
          <w:tcPr>
            <w:tcW w:w="849" w:type="dxa"/>
            <w:vAlign w:val="top"/>
          </w:tcPr>
          <w:p w14:paraId="2657AE73">
            <w:pPr>
              <w:rPr>
                <w:rFonts w:ascii="Arial"/>
                <w:color w:val="auto"/>
                <w:sz w:val="21"/>
                <w:highlight w:val="none"/>
              </w:rPr>
            </w:pPr>
          </w:p>
        </w:tc>
        <w:tc>
          <w:tcPr>
            <w:tcW w:w="753" w:type="dxa"/>
            <w:vAlign w:val="top"/>
          </w:tcPr>
          <w:p w14:paraId="40A0CE65">
            <w:pPr>
              <w:rPr>
                <w:rFonts w:ascii="Arial"/>
                <w:color w:val="auto"/>
                <w:sz w:val="21"/>
                <w:highlight w:val="none"/>
              </w:rPr>
            </w:pPr>
          </w:p>
        </w:tc>
      </w:tr>
      <w:tr w14:paraId="4370F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987560">
            <w:pPr>
              <w:rPr>
                <w:rFonts w:ascii="Arial"/>
                <w:color w:val="auto"/>
                <w:sz w:val="21"/>
                <w:highlight w:val="none"/>
              </w:rPr>
            </w:pPr>
          </w:p>
        </w:tc>
        <w:tc>
          <w:tcPr>
            <w:tcW w:w="1032" w:type="dxa"/>
            <w:vAlign w:val="top"/>
          </w:tcPr>
          <w:p w14:paraId="27E8C280">
            <w:pPr>
              <w:rPr>
                <w:rFonts w:ascii="Arial"/>
                <w:color w:val="auto"/>
                <w:sz w:val="21"/>
                <w:highlight w:val="none"/>
              </w:rPr>
            </w:pPr>
          </w:p>
        </w:tc>
        <w:tc>
          <w:tcPr>
            <w:tcW w:w="657" w:type="dxa"/>
            <w:vAlign w:val="top"/>
          </w:tcPr>
          <w:p w14:paraId="31AC7972">
            <w:pPr>
              <w:rPr>
                <w:rFonts w:ascii="Arial"/>
                <w:color w:val="auto"/>
                <w:sz w:val="21"/>
                <w:highlight w:val="none"/>
              </w:rPr>
            </w:pPr>
          </w:p>
        </w:tc>
        <w:tc>
          <w:tcPr>
            <w:tcW w:w="989" w:type="dxa"/>
            <w:vAlign w:val="top"/>
          </w:tcPr>
          <w:p w14:paraId="01C42665">
            <w:pPr>
              <w:rPr>
                <w:rFonts w:ascii="Arial"/>
                <w:color w:val="auto"/>
                <w:sz w:val="21"/>
                <w:highlight w:val="none"/>
              </w:rPr>
            </w:pPr>
          </w:p>
        </w:tc>
        <w:tc>
          <w:tcPr>
            <w:tcW w:w="696" w:type="dxa"/>
            <w:vAlign w:val="top"/>
          </w:tcPr>
          <w:p w14:paraId="64D46857">
            <w:pPr>
              <w:rPr>
                <w:rFonts w:ascii="Arial"/>
                <w:color w:val="auto"/>
                <w:sz w:val="21"/>
                <w:highlight w:val="none"/>
              </w:rPr>
            </w:pPr>
          </w:p>
        </w:tc>
        <w:tc>
          <w:tcPr>
            <w:tcW w:w="691" w:type="dxa"/>
            <w:vAlign w:val="top"/>
          </w:tcPr>
          <w:p w14:paraId="3B9DD0DD">
            <w:pPr>
              <w:rPr>
                <w:rFonts w:ascii="Arial"/>
                <w:color w:val="auto"/>
                <w:sz w:val="21"/>
                <w:highlight w:val="none"/>
              </w:rPr>
            </w:pPr>
          </w:p>
        </w:tc>
        <w:tc>
          <w:tcPr>
            <w:tcW w:w="1161" w:type="dxa"/>
            <w:vAlign w:val="top"/>
          </w:tcPr>
          <w:p w14:paraId="0FF0A337">
            <w:pPr>
              <w:rPr>
                <w:rFonts w:ascii="Arial"/>
                <w:color w:val="auto"/>
                <w:sz w:val="21"/>
                <w:highlight w:val="none"/>
              </w:rPr>
            </w:pPr>
          </w:p>
        </w:tc>
        <w:tc>
          <w:tcPr>
            <w:tcW w:w="845" w:type="dxa"/>
            <w:vAlign w:val="top"/>
          </w:tcPr>
          <w:p w14:paraId="476A1547">
            <w:pPr>
              <w:rPr>
                <w:rFonts w:ascii="Arial"/>
                <w:color w:val="auto"/>
                <w:sz w:val="21"/>
                <w:highlight w:val="none"/>
              </w:rPr>
            </w:pPr>
          </w:p>
        </w:tc>
        <w:tc>
          <w:tcPr>
            <w:tcW w:w="849" w:type="dxa"/>
            <w:vAlign w:val="top"/>
          </w:tcPr>
          <w:p w14:paraId="67D30EAD">
            <w:pPr>
              <w:rPr>
                <w:rFonts w:ascii="Arial"/>
                <w:color w:val="auto"/>
                <w:sz w:val="21"/>
                <w:highlight w:val="none"/>
              </w:rPr>
            </w:pPr>
          </w:p>
        </w:tc>
        <w:tc>
          <w:tcPr>
            <w:tcW w:w="753" w:type="dxa"/>
            <w:vAlign w:val="top"/>
          </w:tcPr>
          <w:p w14:paraId="7CD4EEA9">
            <w:pPr>
              <w:rPr>
                <w:rFonts w:ascii="Arial"/>
                <w:color w:val="auto"/>
                <w:sz w:val="21"/>
                <w:highlight w:val="none"/>
              </w:rPr>
            </w:pPr>
          </w:p>
        </w:tc>
      </w:tr>
      <w:tr w14:paraId="0D55F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D3016D0">
            <w:pPr>
              <w:rPr>
                <w:rFonts w:ascii="Arial"/>
                <w:color w:val="auto"/>
                <w:sz w:val="21"/>
                <w:highlight w:val="none"/>
              </w:rPr>
            </w:pPr>
          </w:p>
        </w:tc>
        <w:tc>
          <w:tcPr>
            <w:tcW w:w="1032" w:type="dxa"/>
            <w:vAlign w:val="top"/>
          </w:tcPr>
          <w:p w14:paraId="430B9B3F">
            <w:pPr>
              <w:rPr>
                <w:rFonts w:ascii="Arial"/>
                <w:color w:val="auto"/>
                <w:sz w:val="21"/>
                <w:highlight w:val="none"/>
              </w:rPr>
            </w:pPr>
          </w:p>
        </w:tc>
        <w:tc>
          <w:tcPr>
            <w:tcW w:w="657" w:type="dxa"/>
            <w:vAlign w:val="top"/>
          </w:tcPr>
          <w:p w14:paraId="61AD9AC1">
            <w:pPr>
              <w:rPr>
                <w:rFonts w:ascii="Arial"/>
                <w:color w:val="auto"/>
                <w:sz w:val="21"/>
                <w:highlight w:val="none"/>
              </w:rPr>
            </w:pPr>
          </w:p>
        </w:tc>
        <w:tc>
          <w:tcPr>
            <w:tcW w:w="989" w:type="dxa"/>
            <w:vAlign w:val="top"/>
          </w:tcPr>
          <w:p w14:paraId="7E7C754C">
            <w:pPr>
              <w:rPr>
                <w:rFonts w:ascii="Arial"/>
                <w:color w:val="auto"/>
                <w:sz w:val="21"/>
                <w:highlight w:val="none"/>
              </w:rPr>
            </w:pPr>
          </w:p>
        </w:tc>
        <w:tc>
          <w:tcPr>
            <w:tcW w:w="696" w:type="dxa"/>
            <w:vAlign w:val="top"/>
          </w:tcPr>
          <w:p w14:paraId="545564C6">
            <w:pPr>
              <w:rPr>
                <w:rFonts w:ascii="Arial"/>
                <w:color w:val="auto"/>
                <w:sz w:val="21"/>
                <w:highlight w:val="none"/>
              </w:rPr>
            </w:pPr>
          </w:p>
        </w:tc>
        <w:tc>
          <w:tcPr>
            <w:tcW w:w="691" w:type="dxa"/>
            <w:vAlign w:val="top"/>
          </w:tcPr>
          <w:p w14:paraId="38D0458F">
            <w:pPr>
              <w:rPr>
                <w:rFonts w:ascii="Arial"/>
                <w:color w:val="auto"/>
                <w:sz w:val="21"/>
                <w:highlight w:val="none"/>
              </w:rPr>
            </w:pPr>
          </w:p>
        </w:tc>
        <w:tc>
          <w:tcPr>
            <w:tcW w:w="1161" w:type="dxa"/>
            <w:vAlign w:val="top"/>
          </w:tcPr>
          <w:p w14:paraId="57EFA0A1">
            <w:pPr>
              <w:rPr>
                <w:rFonts w:ascii="Arial"/>
                <w:color w:val="auto"/>
                <w:sz w:val="21"/>
                <w:highlight w:val="none"/>
              </w:rPr>
            </w:pPr>
          </w:p>
        </w:tc>
        <w:tc>
          <w:tcPr>
            <w:tcW w:w="845" w:type="dxa"/>
            <w:vAlign w:val="top"/>
          </w:tcPr>
          <w:p w14:paraId="6BFDA0D6">
            <w:pPr>
              <w:rPr>
                <w:rFonts w:ascii="Arial"/>
                <w:color w:val="auto"/>
                <w:sz w:val="21"/>
                <w:highlight w:val="none"/>
              </w:rPr>
            </w:pPr>
          </w:p>
        </w:tc>
        <w:tc>
          <w:tcPr>
            <w:tcW w:w="849" w:type="dxa"/>
            <w:vAlign w:val="top"/>
          </w:tcPr>
          <w:p w14:paraId="1BE51D35">
            <w:pPr>
              <w:rPr>
                <w:rFonts w:ascii="Arial"/>
                <w:color w:val="auto"/>
                <w:sz w:val="21"/>
                <w:highlight w:val="none"/>
              </w:rPr>
            </w:pPr>
          </w:p>
        </w:tc>
        <w:tc>
          <w:tcPr>
            <w:tcW w:w="753" w:type="dxa"/>
            <w:vAlign w:val="top"/>
          </w:tcPr>
          <w:p w14:paraId="6EB0B8C2">
            <w:pPr>
              <w:rPr>
                <w:rFonts w:ascii="Arial"/>
                <w:color w:val="auto"/>
                <w:sz w:val="21"/>
                <w:highlight w:val="none"/>
              </w:rPr>
            </w:pPr>
          </w:p>
        </w:tc>
      </w:tr>
      <w:tr w14:paraId="5B951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14A12B4D">
            <w:pPr>
              <w:rPr>
                <w:rFonts w:ascii="Arial"/>
                <w:color w:val="auto"/>
                <w:sz w:val="21"/>
                <w:highlight w:val="none"/>
              </w:rPr>
            </w:pPr>
          </w:p>
        </w:tc>
        <w:tc>
          <w:tcPr>
            <w:tcW w:w="1032" w:type="dxa"/>
            <w:vAlign w:val="top"/>
          </w:tcPr>
          <w:p w14:paraId="00FC9025">
            <w:pPr>
              <w:rPr>
                <w:rFonts w:ascii="Arial"/>
                <w:color w:val="auto"/>
                <w:sz w:val="21"/>
                <w:highlight w:val="none"/>
              </w:rPr>
            </w:pPr>
          </w:p>
        </w:tc>
        <w:tc>
          <w:tcPr>
            <w:tcW w:w="657" w:type="dxa"/>
            <w:vAlign w:val="top"/>
          </w:tcPr>
          <w:p w14:paraId="02ED9D01">
            <w:pPr>
              <w:rPr>
                <w:rFonts w:ascii="Arial"/>
                <w:color w:val="auto"/>
                <w:sz w:val="21"/>
                <w:highlight w:val="none"/>
              </w:rPr>
            </w:pPr>
          </w:p>
        </w:tc>
        <w:tc>
          <w:tcPr>
            <w:tcW w:w="989" w:type="dxa"/>
            <w:vAlign w:val="top"/>
          </w:tcPr>
          <w:p w14:paraId="6DAF69CB">
            <w:pPr>
              <w:rPr>
                <w:rFonts w:ascii="Arial"/>
                <w:color w:val="auto"/>
                <w:sz w:val="21"/>
                <w:highlight w:val="none"/>
              </w:rPr>
            </w:pPr>
          </w:p>
        </w:tc>
        <w:tc>
          <w:tcPr>
            <w:tcW w:w="696" w:type="dxa"/>
            <w:vAlign w:val="top"/>
          </w:tcPr>
          <w:p w14:paraId="2573F6F4">
            <w:pPr>
              <w:rPr>
                <w:rFonts w:ascii="Arial"/>
                <w:color w:val="auto"/>
                <w:sz w:val="21"/>
                <w:highlight w:val="none"/>
              </w:rPr>
            </w:pPr>
          </w:p>
        </w:tc>
        <w:tc>
          <w:tcPr>
            <w:tcW w:w="691" w:type="dxa"/>
            <w:vAlign w:val="top"/>
          </w:tcPr>
          <w:p w14:paraId="62A785EB">
            <w:pPr>
              <w:rPr>
                <w:rFonts w:ascii="Arial"/>
                <w:color w:val="auto"/>
                <w:sz w:val="21"/>
                <w:highlight w:val="none"/>
              </w:rPr>
            </w:pPr>
          </w:p>
        </w:tc>
        <w:tc>
          <w:tcPr>
            <w:tcW w:w="1161" w:type="dxa"/>
            <w:vAlign w:val="top"/>
          </w:tcPr>
          <w:p w14:paraId="040B379C">
            <w:pPr>
              <w:rPr>
                <w:rFonts w:ascii="Arial"/>
                <w:color w:val="auto"/>
                <w:sz w:val="21"/>
                <w:highlight w:val="none"/>
              </w:rPr>
            </w:pPr>
          </w:p>
        </w:tc>
        <w:tc>
          <w:tcPr>
            <w:tcW w:w="845" w:type="dxa"/>
            <w:vAlign w:val="top"/>
          </w:tcPr>
          <w:p w14:paraId="5EB652AC">
            <w:pPr>
              <w:rPr>
                <w:rFonts w:ascii="Arial"/>
                <w:color w:val="auto"/>
                <w:sz w:val="21"/>
                <w:highlight w:val="none"/>
              </w:rPr>
            </w:pPr>
          </w:p>
        </w:tc>
        <w:tc>
          <w:tcPr>
            <w:tcW w:w="849" w:type="dxa"/>
            <w:vAlign w:val="top"/>
          </w:tcPr>
          <w:p w14:paraId="3F50D549">
            <w:pPr>
              <w:rPr>
                <w:rFonts w:ascii="Arial"/>
                <w:color w:val="auto"/>
                <w:sz w:val="21"/>
                <w:highlight w:val="none"/>
              </w:rPr>
            </w:pPr>
          </w:p>
        </w:tc>
        <w:tc>
          <w:tcPr>
            <w:tcW w:w="753" w:type="dxa"/>
            <w:vAlign w:val="top"/>
          </w:tcPr>
          <w:p w14:paraId="0BD31735">
            <w:pPr>
              <w:rPr>
                <w:rFonts w:ascii="Arial"/>
                <w:color w:val="auto"/>
                <w:sz w:val="21"/>
                <w:highlight w:val="none"/>
              </w:rPr>
            </w:pPr>
          </w:p>
        </w:tc>
      </w:tr>
      <w:tr w14:paraId="6C220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6542EF7">
            <w:pPr>
              <w:rPr>
                <w:rFonts w:ascii="Arial"/>
                <w:color w:val="auto"/>
                <w:sz w:val="21"/>
                <w:highlight w:val="none"/>
              </w:rPr>
            </w:pPr>
          </w:p>
        </w:tc>
        <w:tc>
          <w:tcPr>
            <w:tcW w:w="1032" w:type="dxa"/>
            <w:vAlign w:val="top"/>
          </w:tcPr>
          <w:p w14:paraId="4C4CA041">
            <w:pPr>
              <w:rPr>
                <w:rFonts w:ascii="Arial"/>
                <w:color w:val="auto"/>
                <w:sz w:val="21"/>
                <w:highlight w:val="none"/>
              </w:rPr>
            </w:pPr>
          </w:p>
        </w:tc>
        <w:tc>
          <w:tcPr>
            <w:tcW w:w="657" w:type="dxa"/>
            <w:vAlign w:val="top"/>
          </w:tcPr>
          <w:p w14:paraId="17B4B112">
            <w:pPr>
              <w:rPr>
                <w:rFonts w:ascii="Arial"/>
                <w:color w:val="auto"/>
                <w:sz w:val="21"/>
                <w:highlight w:val="none"/>
              </w:rPr>
            </w:pPr>
          </w:p>
        </w:tc>
        <w:tc>
          <w:tcPr>
            <w:tcW w:w="989" w:type="dxa"/>
            <w:vAlign w:val="top"/>
          </w:tcPr>
          <w:p w14:paraId="7C591714">
            <w:pPr>
              <w:rPr>
                <w:rFonts w:ascii="Arial"/>
                <w:color w:val="auto"/>
                <w:sz w:val="21"/>
                <w:highlight w:val="none"/>
              </w:rPr>
            </w:pPr>
          </w:p>
        </w:tc>
        <w:tc>
          <w:tcPr>
            <w:tcW w:w="696" w:type="dxa"/>
            <w:vAlign w:val="top"/>
          </w:tcPr>
          <w:p w14:paraId="198822C4">
            <w:pPr>
              <w:rPr>
                <w:rFonts w:ascii="Arial"/>
                <w:color w:val="auto"/>
                <w:sz w:val="21"/>
                <w:highlight w:val="none"/>
              </w:rPr>
            </w:pPr>
          </w:p>
        </w:tc>
        <w:tc>
          <w:tcPr>
            <w:tcW w:w="691" w:type="dxa"/>
            <w:vAlign w:val="top"/>
          </w:tcPr>
          <w:p w14:paraId="50BE9A37">
            <w:pPr>
              <w:rPr>
                <w:rFonts w:ascii="Arial"/>
                <w:color w:val="auto"/>
                <w:sz w:val="21"/>
                <w:highlight w:val="none"/>
              </w:rPr>
            </w:pPr>
          </w:p>
        </w:tc>
        <w:tc>
          <w:tcPr>
            <w:tcW w:w="1161" w:type="dxa"/>
            <w:vAlign w:val="top"/>
          </w:tcPr>
          <w:p w14:paraId="57196BB4">
            <w:pPr>
              <w:rPr>
                <w:rFonts w:ascii="Arial"/>
                <w:color w:val="auto"/>
                <w:sz w:val="21"/>
                <w:highlight w:val="none"/>
              </w:rPr>
            </w:pPr>
          </w:p>
        </w:tc>
        <w:tc>
          <w:tcPr>
            <w:tcW w:w="845" w:type="dxa"/>
            <w:vAlign w:val="top"/>
          </w:tcPr>
          <w:p w14:paraId="059603E1">
            <w:pPr>
              <w:rPr>
                <w:rFonts w:ascii="Arial"/>
                <w:color w:val="auto"/>
                <w:sz w:val="21"/>
                <w:highlight w:val="none"/>
              </w:rPr>
            </w:pPr>
          </w:p>
        </w:tc>
        <w:tc>
          <w:tcPr>
            <w:tcW w:w="849" w:type="dxa"/>
            <w:vAlign w:val="top"/>
          </w:tcPr>
          <w:p w14:paraId="597FE956">
            <w:pPr>
              <w:rPr>
                <w:rFonts w:ascii="Arial"/>
                <w:color w:val="auto"/>
                <w:sz w:val="21"/>
                <w:highlight w:val="none"/>
              </w:rPr>
            </w:pPr>
          </w:p>
        </w:tc>
        <w:tc>
          <w:tcPr>
            <w:tcW w:w="753" w:type="dxa"/>
            <w:vAlign w:val="top"/>
          </w:tcPr>
          <w:p w14:paraId="142CBBAD">
            <w:pPr>
              <w:rPr>
                <w:rFonts w:ascii="Arial"/>
                <w:color w:val="auto"/>
                <w:sz w:val="21"/>
                <w:highlight w:val="none"/>
              </w:rPr>
            </w:pPr>
          </w:p>
        </w:tc>
      </w:tr>
      <w:tr w14:paraId="4DE32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768FD0D5">
            <w:pPr>
              <w:rPr>
                <w:rFonts w:ascii="Arial"/>
                <w:color w:val="auto"/>
                <w:sz w:val="21"/>
                <w:highlight w:val="none"/>
              </w:rPr>
            </w:pPr>
          </w:p>
        </w:tc>
        <w:tc>
          <w:tcPr>
            <w:tcW w:w="1032" w:type="dxa"/>
            <w:vAlign w:val="top"/>
          </w:tcPr>
          <w:p w14:paraId="0E2531AA">
            <w:pPr>
              <w:rPr>
                <w:rFonts w:ascii="Arial"/>
                <w:color w:val="auto"/>
                <w:sz w:val="21"/>
                <w:highlight w:val="none"/>
              </w:rPr>
            </w:pPr>
          </w:p>
        </w:tc>
        <w:tc>
          <w:tcPr>
            <w:tcW w:w="657" w:type="dxa"/>
            <w:vAlign w:val="top"/>
          </w:tcPr>
          <w:p w14:paraId="05FD9FDF">
            <w:pPr>
              <w:rPr>
                <w:rFonts w:ascii="Arial"/>
                <w:color w:val="auto"/>
                <w:sz w:val="21"/>
                <w:highlight w:val="none"/>
              </w:rPr>
            </w:pPr>
          </w:p>
        </w:tc>
        <w:tc>
          <w:tcPr>
            <w:tcW w:w="989" w:type="dxa"/>
            <w:vAlign w:val="top"/>
          </w:tcPr>
          <w:p w14:paraId="5CEDEA78">
            <w:pPr>
              <w:rPr>
                <w:rFonts w:ascii="Arial"/>
                <w:color w:val="auto"/>
                <w:sz w:val="21"/>
                <w:highlight w:val="none"/>
              </w:rPr>
            </w:pPr>
          </w:p>
        </w:tc>
        <w:tc>
          <w:tcPr>
            <w:tcW w:w="696" w:type="dxa"/>
            <w:vAlign w:val="top"/>
          </w:tcPr>
          <w:p w14:paraId="2F216902">
            <w:pPr>
              <w:rPr>
                <w:rFonts w:ascii="Arial"/>
                <w:color w:val="auto"/>
                <w:sz w:val="21"/>
                <w:highlight w:val="none"/>
              </w:rPr>
            </w:pPr>
          </w:p>
        </w:tc>
        <w:tc>
          <w:tcPr>
            <w:tcW w:w="691" w:type="dxa"/>
            <w:vAlign w:val="top"/>
          </w:tcPr>
          <w:p w14:paraId="36BD188F">
            <w:pPr>
              <w:rPr>
                <w:rFonts w:ascii="Arial"/>
                <w:color w:val="auto"/>
                <w:sz w:val="21"/>
                <w:highlight w:val="none"/>
              </w:rPr>
            </w:pPr>
          </w:p>
        </w:tc>
        <w:tc>
          <w:tcPr>
            <w:tcW w:w="1161" w:type="dxa"/>
            <w:vAlign w:val="top"/>
          </w:tcPr>
          <w:p w14:paraId="1F979B05">
            <w:pPr>
              <w:rPr>
                <w:rFonts w:ascii="Arial"/>
                <w:color w:val="auto"/>
                <w:sz w:val="21"/>
                <w:highlight w:val="none"/>
              </w:rPr>
            </w:pPr>
          </w:p>
        </w:tc>
        <w:tc>
          <w:tcPr>
            <w:tcW w:w="845" w:type="dxa"/>
            <w:vAlign w:val="top"/>
          </w:tcPr>
          <w:p w14:paraId="45DCFC14">
            <w:pPr>
              <w:rPr>
                <w:rFonts w:ascii="Arial"/>
                <w:color w:val="auto"/>
                <w:sz w:val="21"/>
                <w:highlight w:val="none"/>
              </w:rPr>
            </w:pPr>
          </w:p>
        </w:tc>
        <w:tc>
          <w:tcPr>
            <w:tcW w:w="849" w:type="dxa"/>
            <w:vAlign w:val="top"/>
          </w:tcPr>
          <w:p w14:paraId="7CE798DF">
            <w:pPr>
              <w:rPr>
                <w:rFonts w:ascii="Arial"/>
                <w:color w:val="auto"/>
                <w:sz w:val="21"/>
                <w:highlight w:val="none"/>
              </w:rPr>
            </w:pPr>
          </w:p>
        </w:tc>
        <w:tc>
          <w:tcPr>
            <w:tcW w:w="753" w:type="dxa"/>
            <w:vAlign w:val="top"/>
          </w:tcPr>
          <w:p w14:paraId="24A1D8B7">
            <w:pPr>
              <w:rPr>
                <w:rFonts w:ascii="Arial"/>
                <w:color w:val="auto"/>
                <w:sz w:val="21"/>
                <w:highlight w:val="none"/>
              </w:rPr>
            </w:pPr>
          </w:p>
        </w:tc>
      </w:tr>
      <w:tr w14:paraId="1C891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50ED11D">
            <w:pPr>
              <w:rPr>
                <w:rFonts w:ascii="Arial"/>
                <w:color w:val="auto"/>
                <w:sz w:val="21"/>
                <w:highlight w:val="none"/>
              </w:rPr>
            </w:pPr>
          </w:p>
        </w:tc>
        <w:tc>
          <w:tcPr>
            <w:tcW w:w="1032" w:type="dxa"/>
            <w:vAlign w:val="top"/>
          </w:tcPr>
          <w:p w14:paraId="7A88C153">
            <w:pPr>
              <w:rPr>
                <w:rFonts w:ascii="Arial"/>
                <w:color w:val="auto"/>
                <w:sz w:val="21"/>
                <w:highlight w:val="none"/>
              </w:rPr>
            </w:pPr>
          </w:p>
        </w:tc>
        <w:tc>
          <w:tcPr>
            <w:tcW w:w="657" w:type="dxa"/>
            <w:vAlign w:val="top"/>
          </w:tcPr>
          <w:p w14:paraId="1EEDFB6A">
            <w:pPr>
              <w:rPr>
                <w:rFonts w:ascii="Arial"/>
                <w:color w:val="auto"/>
                <w:sz w:val="21"/>
                <w:highlight w:val="none"/>
              </w:rPr>
            </w:pPr>
          </w:p>
        </w:tc>
        <w:tc>
          <w:tcPr>
            <w:tcW w:w="989" w:type="dxa"/>
            <w:vAlign w:val="top"/>
          </w:tcPr>
          <w:p w14:paraId="09F6BBDD">
            <w:pPr>
              <w:rPr>
                <w:rFonts w:ascii="Arial"/>
                <w:color w:val="auto"/>
                <w:sz w:val="21"/>
                <w:highlight w:val="none"/>
              </w:rPr>
            </w:pPr>
          </w:p>
        </w:tc>
        <w:tc>
          <w:tcPr>
            <w:tcW w:w="696" w:type="dxa"/>
            <w:vAlign w:val="top"/>
          </w:tcPr>
          <w:p w14:paraId="021DFBE0">
            <w:pPr>
              <w:rPr>
                <w:rFonts w:ascii="Arial"/>
                <w:color w:val="auto"/>
                <w:sz w:val="21"/>
                <w:highlight w:val="none"/>
              </w:rPr>
            </w:pPr>
          </w:p>
        </w:tc>
        <w:tc>
          <w:tcPr>
            <w:tcW w:w="691" w:type="dxa"/>
            <w:vAlign w:val="top"/>
          </w:tcPr>
          <w:p w14:paraId="10548DAD">
            <w:pPr>
              <w:rPr>
                <w:rFonts w:ascii="Arial"/>
                <w:color w:val="auto"/>
                <w:sz w:val="21"/>
                <w:highlight w:val="none"/>
              </w:rPr>
            </w:pPr>
          </w:p>
        </w:tc>
        <w:tc>
          <w:tcPr>
            <w:tcW w:w="1161" w:type="dxa"/>
            <w:vAlign w:val="top"/>
          </w:tcPr>
          <w:p w14:paraId="0072CDC2">
            <w:pPr>
              <w:rPr>
                <w:rFonts w:ascii="Arial"/>
                <w:color w:val="auto"/>
                <w:sz w:val="21"/>
                <w:highlight w:val="none"/>
              </w:rPr>
            </w:pPr>
          </w:p>
        </w:tc>
        <w:tc>
          <w:tcPr>
            <w:tcW w:w="845" w:type="dxa"/>
            <w:vAlign w:val="top"/>
          </w:tcPr>
          <w:p w14:paraId="350082D8">
            <w:pPr>
              <w:rPr>
                <w:rFonts w:ascii="Arial"/>
                <w:color w:val="auto"/>
                <w:sz w:val="21"/>
                <w:highlight w:val="none"/>
              </w:rPr>
            </w:pPr>
          </w:p>
        </w:tc>
        <w:tc>
          <w:tcPr>
            <w:tcW w:w="849" w:type="dxa"/>
            <w:vAlign w:val="top"/>
          </w:tcPr>
          <w:p w14:paraId="220D09F3">
            <w:pPr>
              <w:rPr>
                <w:rFonts w:ascii="Arial"/>
                <w:color w:val="auto"/>
                <w:sz w:val="21"/>
                <w:highlight w:val="none"/>
              </w:rPr>
            </w:pPr>
          </w:p>
        </w:tc>
        <w:tc>
          <w:tcPr>
            <w:tcW w:w="753" w:type="dxa"/>
            <w:vAlign w:val="top"/>
          </w:tcPr>
          <w:p w14:paraId="125EBD7B">
            <w:pPr>
              <w:rPr>
                <w:rFonts w:ascii="Arial"/>
                <w:color w:val="auto"/>
                <w:sz w:val="21"/>
                <w:highlight w:val="none"/>
              </w:rPr>
            </w:pPr>
          </w:p>
        </w:tc>
      </w:tr>
      <w:tr w14:paraId="78A7B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64C477D">
            <w:pPr>
              <w:rPr>
                <w:rFonts w:ascii="Arial"/>
                <w:color w:val="auto"/>
                <w:sz w:val="21"/>
                <w:highlight w:val="none"/>
              </w:rPr>
            </w:pPr>
          </w:p>
        </w:tc>
        <w:tc>
          <w:tcPr>
            <w:tcW w:w="1032" w:type="dxa"/>
            <w:vAlign w:val="top"/>
          </w:tcPr>
          <w:p w14:paraId="5F1EF8F0">
            <w:pPr>
              <w:rPr>
                <w:rFonts w:ascii="Arial"/>
                <w:color w:val="auto"/>
                <w:sz w:val="21"/>
                <w:highlight w:val="none"/>
              </w:rPr>
            </w:pPr>
          </w:p>
        </w:tc>
        <w:tc>
          <w:tcPr>
            <w:tcW w:w="657" w:type="dxa"/>
            <w:vAlign w:val="top"/>
          </w:tcPr>
          <w:p w14:paraId="5318787D">
            <w:pPr>
              <w:rPr>
                <w:rFonts w:ascii="Arial"/>
                <w:color w:val="auto"/>
                <w:sz w:val="21"/>
                <w:highlight w:val="none"/>
              </w:rPr>
            </w:pPr>
          </w:p>
        </w:tc>
        <w:tc>
          <w:tcPr>
            <w:tcW w:w="989" w:type="dxa"/>
            <w:vAlign w:val="top"/>
          </w:tcPr>
          <w:p w14:paraId="75790112">
            <w:pPr>
              <w:rPr>
                <w:rFonts w:ascii="Arial"/>
                <w:color w:val="auto"/>
                <w:sz w:val="21"/>
                <w:highlight w:val="none"/>
              </w:rPr>
            </w:pPr>
          </w:p>
        </w:tc>
        <w:tc>
          <w:tcPr>
            <w:tcW w:w="696" w:type="dxa"/>
            <w:vAlign w:val="top"/>
          </w:tcPr>
          <w:p w14:paraId="01106508">
            <w:pPr>
              <w:rPr>
                <w:rFonts w:ascii="Arial"/>
                <w:color w:val="auto"/>
                <w:sz w:val="21"/>
                <w:highlight w:val="none"/>
              </w:rPr>
            </w:pPr>
          </w:p>
        </w:tc>
        <w:tc>
          <w:tcPr>
            <w:tcW w:w="691" w:type="dxa"/>
            <w:vAlign w:val="top"/>
          </w:tcPr>
          <w:p w14:paraId="6E8CC299">
            <w:pPr>
              <w:rPr>
                <w:rFonts w:ascii="Arial"/>
                <w:color w:val="auto"/>
                <w:sz w:val="21"/>
                <w:highlight w:val="none"/>
              </w:rPr>
            </w:pPr>
          </w:p>
        </w:tc>
        <w:tc>
          <w:tcPr>
            <w:tcW w:w="1161" w:type="dxa"/>
            <w:vAlign w:val="top"/>
          </w:tcPr>
          <w:p w14:paraId="6A82C6DB">
            <w:pPr>
              <w:rPr>
                <w:rFonts w:ascii="Arial"/>
                <w:color w:val="auto"/>
                <w:sz w:val="21"/>
                <w:highlight w:val="none"/>
              </w:rPr>
            </w:pPr>
          </w:p>
        </w:tc>
        <w:tc>
          <w:tcPr>
            <w:tcW w:w="845" w:type="dxa"/>
            <w:vAlign w:val="top"/>
          </w:tcPr>
          <w:p w14:paraId="4651E3C6">
            <w:pPr>
              <w:rPr>
                <w:rFonts w:ascii="Arial"/>
                <w:color w:val="auto"/>
                <w:sz w:val="21"/>
                <w:highlight w:val="none"/>
              </w:rPr>
            </w:pPr>
          </w:p>
        </w:tc>
        <w:tc>
          <w:tcPr>
            <w:tcW w:w="849" w:type="dxa"/>
            <w:vAlign w:val="top"/>
          </w:tcPr>
          <w:p w14:paraId="2FFB4912">
            <w:pPr>
              <w:rPr>
                <w:rFonts w:ascii="Arial"/>
                <w:color w:val="auto"/>
                <w:sz w:val="21"/>
                <w:highlight w:val="none"/>
              </w:rPr>
            </w:pPr>
          </w:p>
        </w:tc>
        <w:tc>
          <w:tcPr>
            <w:tcW w:w="753" w:type="dxa"/>
            <w:vAlign w:val="top"/>
          </w:tcPr>
          <w:p w14:paraId="06EA52B0">
            <w:pPr>
              <w:rPr>
                <w:rFonts w:ascii="Arial"/>
                <w:color w:val="auto"/>
                <w:sz w:val="21"/>
                <w:highlight w:val="none"/>
              </w:rPr>
            </w:pPr>
          </w:p>
        </w:tc>
      </w:tr>
      <w:tr w14:paraId="066EB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EE31960">
            <w:pPr>
              <w:rPr>
                <w:rFonts w:ascii="Arial"/>
                <w:color w:val="auto"/>
                <w:sz w:val="21"/>
                <w:highlight w:val="none"/>
              </w:rPr>
            </w:pPr>
          </w:p>
        </w:tc>
        <w:tc>
          <w:tcPr>
            <w:tcW w:w="1032" w:type="dxa"/>
            <w:vAlign w:val="top"/>
          </w:tcPr>
          <w:p w14:paraId="493FA32F">
            <w:pPr>
              <w:rPr>
                <w:rFonts w:ascii="Arial"/>
                <w:color w:val="auto"/>
                <w:sz w:val="21"/>
                <w:highlight w:val="none"/>
              </w:rPr>
            </w:pPr>
          </w:p>
        </w:tc>
        <w:tc>
          <w:tcPr>
            <w:tcW w:w="657" w:type="dxa"/>
            <w:vAlign w:val="top"/>
          </w:tcPr>
          <w:p w14:paraId="04815439">
            <w:pPr>
              <w:rPr>
                <w:rFonts w:ascii="Arial"/>
                <w:color w:val="auto"/>
                <w:sz w:val="21"/>
                <w:highlight w:val="none"/>
              </w:rPr>
            </w:pPr>
          </w:p>
        </w:tc>
        <w:tc>
          <w:tcPr>
            <w:tcW w:w="989" w:type="dxa"/>
            <w:vAlign w:val="top"/>
          </w:tcPr>
          <w:p w14:paraId="0A6DD054">
            <w:pPr>
              <w:rPr>
                <w:rFonts w:ascii="Arial"/>
                <w:color w:val="auto"/>
                <w:sz w:val="21"/>
                <w:highlight w:val="none"/>
              </w:rPr>
            </w:pPr>
          </w:p>
        </w:tc>
        <w:tc>
          <w:tcPr>
            <w:tcW w:w="696" w:type="dxa"/>
            <w:vAlign w:val="top"/>
          </w:tcPr>
          <w:p w14:paraId="5853D2E9">
            <w:pPr>
              <w:rPr>
                <w:rFonts w:ascii="Arial"/>
                <w:color w:val="auto"/>
                <w:sz w:val="21"/>
                <w:highlight w:val="none"/>
              </w:rPr>
            </w:pPr>
          </w:p>
        </w:tc>
        <w:tc>
          <w:tcPr>
            <w:tcW w:w="691" w:type="dxa"/>
            <w:vAlign w:val="top"/>
          </w:tcPr>
          <w:p w14:paraId="6FD13C0B">
            <w:pPr>
              <w:rPr>
                <w:rFonts w:ascii="Arial"/>
                <w:color w:val="auto"/>
                <w:sz w:val="21"/>
                <w:highlight w:val="none"/>
              </w:rPr>
            </w:pPr>
          </w:p>
        </w:tc>
        <w:tc>
          <w:tcPr>
            <w:tcW w:w="1161" w:type="dxa"/>
            <w:vAlign w:val="top"/>
          </w:tcPr>
          <w:p w14:paraId="178E643C">
            <w:pPr>
              <w:rPr>
                <w:rFonts w:ascii="Arial"/>
                <w:color w:val="auto"/>
                <w:sz w:val="21"/>
                <w:highlight w:val="none"/>
              </w:rPr>
            </w:pPr>
          </w:p>
        </w:tc>
        <w:tc>
          <w:tcPr>
            <w:tcW w:w="845" w:type="dxa"/>
            <w:vAlign w:val="top"/>
          </w:tcPr>
          <w:p w14:paraId="0DF0162B">
            <w:pPr>
              <w:rPr>
                <w:rFonts w:ascii="Arial"/>
                <w:color w:val="auto"/>
                <w:sz w:val="21"/>
                <w:highlight w:val="none"/>
              </w:rPr>
            </w:pPr>
          </w:p>
        </w:tc>
        <w:tc>
          <w:tcPr>
            <w:tcW w:w="849" w:type="dxa"/>
            <w:vAlign w:val="top"/>
          </w:tcPr>
          <w:p w14:paraId="44553578">
            <w:pPr>
              <w:rPr>
                <w:rFonts w:ascii="Arial"/>
                <w:color w:val="auto"/>
                <w:sz w:val="21"/>
                <w:highlight w:val="none"/>
              </w:rPr>
            </w:pPr>
          </w:p>
        </w:tc>
        <w:tc>
          <w:tcPr>
            <w:tcW w:w="753" w:type="dxa"/>
            <w:vAlign w:val="top"/>
          </w:tcPr>
          <w:p w14:paraId="608D4038">
            <w:pPr>
              <w:rPr>
                <w:rFonts w:ascii="Arial"/>
                <w:color w:val="auto"/>
                <w:sz w:val="21"/>
                <w:highlight w:val="none"/>
              </w:rPr>
            </w:pPr>
          </w:p>
        </w:tc>
      </w:tr>
      <w:tr w14:paraId="63732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7EB9C320">
            <w:pPr>
              <w:rPr>
                <w:rFonts w:ascii="Arial"/>
                <w:color w:val="auto"/>
                <w:sz w:val="21"/>
                <w:highlight w:val="none"/>
              </w:rPr>
            </w:pPr>
          </w:p>
        </w:tc>
        <w:tc>
          <w:tcPr>
            <w:tcW w:w="1032" w:type="dxa"/>
            <w:vAlign w:val="top"/>
          </w:tcPr>
          <w:p w14:paraId="77DAB0FF">
            <w:pPr>
              <w:rPr>
                <w:rFonts w:ascii="Arial"/>
                <w:color w:val="auto"/>
                <w:sz w:val="21"/>
                <w:highlight w:val="none"/>
              </w:rPr>
            </w:pPr>
          </w:p>
        </w:tc>
        <w:tc>
          <w:tcPr>
            <w:tcW w:w="657" w:type="dxa"/>
            <w:vAlign w:val="top"/>
          </w:tcPr>
          <w:p w14:paraId="3ECFBB48">
            <w:pPr>
              <w:rPr>
                <w:rFonts w:ascii="Arial"/>
                <w:color w:val="auto"/>
                <w:sz w:val="21"/>
                <w:highlight w:val="none"/>
              </w:rPr>
            </w:pPr>
          </w:p>
        </w:tc>
        <w:tc>
          <w:tcPr>
            <w:tcW w:w="989" w:type="dxa"/>
            <w:vAlign w:val="top"/>
          </w:tcPr>
          <w:p w14:paraId="56B118E0">
            <w:pPr>
              <w:rPr>
                <w:rFonts w:ascii="Arial"/>
                <w:color w:val="auto"/>
                <w:sz w:val="21"/>
                <w:highlight w:val="none"/>
              </w:rPr>
            </w:pPr>
          </w:p>
        </w:tc>
        <w:tc>
          <w:tcPr>
            <w:tcW w:w="696" w:type="dxa"/>
            <w:vAlign w:val="top"/>
          </w:tcPr>
          <w:p w14:paraId="028B2A4C">
            <w:pPr>
              <w:rPr>
                <w:rFonts w:ascii="Arial"/>
                <w:color w:val="auto"/>
                <w:sz w:val="21"/>
                <w:highlight w:val="none"/>
              </w:rPr>
            </w:pPr>
          </w:p>
        </w:tc>
        <w:tc>
          <w:tcPr>
            <w:tcW w:w="691" w:type="dxa"/>
            <w:vAlign w:val="top"/>
          </w:tcPr>
          <w:p w14:paraId="1FA03553">
            <w:pPr>
              <w:rPr>
                <w:rFonts w:ascii="Arial"/>
                <w:color w:val="auto"/>
                <w:sz w:val="21"/>
                <w:highlight w:val="none"/>
              </w:rPr>
            </w:pPr>
          </w:p>
        </w:tc>
        <w:tc>
          <w:tcPr>
            <w:tcW w:w="1161" w:type="dxa"/>
            <w:vAlign w:val="top"/>
          </w:tcPr>
          <w:p w14:paraId="07ABCCF1">
            <w:pPr>
              <w:rPr>
                <w:rFonts w:ascii="Arial"/>
                <w:color w:val="auto"/>
                <w:sz w:val="21"/>
                <w:highlight w:val="none"/>
              </w:rPr>
            </w:pPr>
          </w:p>
        </w:tc>
        <w:tc>
          <w:tcPr>
            <w:tcW w:w="845" w:type="dxa"/>
            <w:vAlign w:val="top"/>
          </w:tcPr>
          <w:p w14:paraId="0BD8DB5E">
            <w:pPr>
              <w:rPr>
                <w:rFonts w:ascii="Arial"/>
                <w:color w:val="auto"/>
                <w:sz w:val="21"/>
                <w:highlight w:val="none"/>
              </w:rPr>
            </w:pPr>
          </w:p>
        </w:tc>
        <w:tc>
          <w:tcPr>
            <w:tcW w:w="849" w:type="dxa"/>
            <w:vAlign w:val="top"/>
          </w:tcPr>
          <w:p w14:paraId="5D4F8D91">
            <w:pPr>
              <w:rPr>
                <w:rFonts w:ascii="Arial"/>
                <w:color w:val="auto"/>
                <w:sz w:val="21"/>
                <w:highlight w:val="none"/>
              </w:rPr>
            </w:pPr>
          </w:p>
        </w:tc>
        <w:tc>
          <w:tcPr>
            <w:tcW w:w="753" w:type="dxa"/>
            <w:vAlign w:val="top"/>
          </w:tcPr>
          <w:p w14:paraId="1823A5F1">
            <w:pPr>
              <w:rPr>
                <w:rFonts w:ascii="Arial"/>
                <w:color w:val="auto"/>
                <w:sz w:val="21"/>
                <w:highlight w:val="none"/>
              </w:rPr>
            </w:pPr>
          </w:p>
        </w:tc>
      </w:tr>
      <w:tr w14:paraId="2BFD5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BA5BA53">
            <w:pPr>
              <w:rPr>
                <w:rFonts w:ascii="Arial"/>
                <w:color w:val="auto"/>
                <w:sz w:val="21"/>
                <w:highlight w:val="none"/>
              </w:rPr>
            </w:pPr>
          </w:p>
        </w:tc>
        <w:tc>
          <w:tcPr>
            <w:tcW w:w="1032" w:type="dxa"/>
            <w:vAlign w:val="top"/>
          </w:tcPr>
          <w:p w14:paraId="005BA6C9">
            <w:pPr>
              <w:rPr>
                <w:rFonts w:ascii="Arial"/>
                <w:color w:val="auto"/>
                <w:sz w:val="21"/>
                <w:highlight w:val="none"/>
              </w:rPr>
            </w:pPr>
          </w:p>
        </w:tc>
        <w:tc>
          <w:tcPr>
            <w:tcW w:w="657" w:type="dxa"/>
            <w:vAlign w:val="top"/>
          </w:tcPr>
          <w:p w14:paraId="47F7C0D4">
            <w:pPr>
              <w:rPr>
                <w:rFonts w:ascii="Arial"/>
                <w:color w:val="auto"/>
                <w:sz w:val="21"/>
                <w:highlight w:val="none"/>
              </w:rPr>
            </w:pPr>
          </w:p>
        </w:tc>
        <w:tc>
          <w:tcPr>
            <w:tcW w:w="989" w:type="dxa"/>
            <w:vAlign w:val="top"/>
          </w:tcPr>
          <w:p w14:paraId="61607785">
            <w:pPr>
              <w:rPr>
                <w:rFonts w:ascii="Arial"/>
                <w:color w:val="auto"/>
                <w:sz w:val="21"/>
                <w:highlight w:val="none"/>
              </w:rPr>
            </w:pPr>
          </w:p>
        </w:tc>
        <w:tc>
          <w:tcPr>
            <w:tcW w:w="696" w:type="dxa"/>
            <w:vAlign w:val="top"/>
          </w:tcPr>
          <w:p w14:paraId="5614023A">
            <w:pPr>
              <w:rPr>
                <w:rFonts w:ascii="Arial"/>
                <w:color w:val="auto"/>
                <w:sz w:val="21"/>
                <w:highlight w:val="none"/>
              </w:rPr>
            </w:pPr>
          </w:p>
        </w:tc>
        <w:tc>
          <w:tcPr>
            <w:tcW w:w="691" w:type="dxa"/>
            <w:vAlign w:val="top"/>
          </w:tcPr>
          <w:p w14:paraId="6CB028C2">
            <w:pPr>
              <w:rPr>
                <w:rFonts w:ascii="Arial"/>
                <w:color w:val="auto"/>
                <w:sz w:val="21"/>
                <w:highlight w:val="none"/>
              </w:rPr>
            </w:pPr>
          </w:p>
        </w:tc>
        <w:tc>
          <w:tcPr>
            <w:tcW w:w="1161" w:type="dxa"/>
            <w:vAlign w:val="top"/>
          </w:tcPr>
          <w:p w14:paraId="03DF52F5">
            <w:pPr>
              <w:rPr>
                <w:rFonts w:ascii="Arial"/>
                <w:color w:val="auto"/>
                <w:sz w:val="21"/>
                <w:highlight w:val="none"/>
              </w:rPr>
            </w:pPr>
          </w:p>
        </w:tc>
        <w:tc>
          <w:tcPr>
            <w:tcW w:w="845" w:type="dxa"/>
            <w:vAlign w:val="top"/>
          </w:tcPr>
          <w:p w14:paraId="573E9551">
            <w:pPr>
              <w:rPr>
                <w:rFonts w:ascii="Arial"/>
                <w:color w:val="auto"/>
                <w:sz w:val="21"/>
                <w:highlight w:val="none"/>
              </w:rPr>
            </w:pPr>
          </w:p>
        </w:tc>
        <w:tc>
          <w:tcPr>
            <w:tcW w:w="849" w:type="dxa"/>
            <w:vAlign w:val="top"/>
          </w:tcPr>
          <w:p w14:paraId="66C2F25F">
            <w:pPr>
              <w:rPr>
                <w:rFonts w:ascii="Arial"/>
                <w:color w:val="auto"/>
                <w:sz w:val="21"/>
                <w:highlight w:val="none"/>
              </w:rPr>
            </w:pPr>
          </w:p>
        </w:tc>
        <w:tc>
          <w:tcPr>
            <w:tcW w:w="753" w:type="dxa"/>
            <w:vAlign w:val="top"/>
          </w:tcPr>
          <w:p w14:paraId="3459FCC1">
            <w:pPr>
              <w:rPr>
                <w:rFonts w:ascii="Arial"/>
                <w:color w:val="auto"/>
                <w:sz w:val="21"/>
                <w:highlight w:val="none"/>
              </w:rPr>
            </w:pPr>
          </w:p>
        </w:tc>
      </w:tr>
      <w:tr w14:paraId="25CD5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009A1F02">
            <w:pPr>
              <w:rPr>
                <w:rFonts w:ascii="Arial"/>
                <w:color w:val="auto"/>
                <w:sz w:val="21"/>
                <w:highlight w:val="none"/>
              </w:rPr>
            </w:pPr>
          </w:p>
        </w:tc>
        <w:tc>
          <w:tcPr>
            <w:tcW w:w="1032" w:type="dxa"/>
            <w:vAlign w:val="top"/>
          </w:tcPr>
          <w:p w14:paraId="31E962C8">
            <w:pPr>
              <w:rPr>
                <w:rFonts w:ascii="Arial"/>
                <w:color w:val="auto"/>
                <w:sz w:val="21"/>
                <w:highlight w:val="none"/>
              </w:rPr>
            </w:pPr>
          </w:p>
        </w:tc>
        <w:tc>
          <w:tcPr>
            <w:tcW w:w="657" w:type="dxa"/>
            <w:vAlign w:val="top"/>
          </w:tcPr>
          <w:p w14:paraId="64FB3E38">
            <w:pPr>
              <w:rPr>
                <w:rFonts w:ascii="Arial"/>
                <w:color w:val="auto"/>
                <w:sz w:val="21"/>
                <w:highlight w:val="none"/>
              </w:rPr>
            </w:pPr>
          </w:p>
        </w:tc>
        <w:tc>
          <w:tcPr>
            <w:tcW w:w="989" w:type="dxa"/>
            <w:vAlign w:val="top"/>
          </w:tcPr>
          <w:p w14:paraId="2DB9D1C4">
            <w:pPr>
              <w:rPr>
                <w:rFonts w:ascii="Arial"/>
                <w:color w:val="auto"/>
                <w:sz w:val="21"/>
                <w:highlight w:val="none"/>
              </w:rPr>
            </w:pPr>
          </w:p>
        </w:tc>
        <w:tc>
          <w:tcPr>
            <w:tcW w:w="696" w:type="dxa"/>
            <w:vAlign w:val="top"/>
          </w:tcPr>
          <w:p w14:paraId="4FC1F084">
            <w:pPr>
              <w:rPr>
                <w:rFonts w:ascii="Arial"/>
                <w:color w:val="auto"/>
                <w:sz w:val="21"/>
                <w:highlight w:val="none"/>
              </w:rPr>
            </w:pPr>
          </w:p>
        </w:tc>
        <w:tc>
          <w:tcPr>
            <w:tcW w:w="691" w:type="dxa"/>
            <w:vAlign w:val="top"/>
          </w:tcPr>
          <w:p w14:paraId="47F7A912">
            <w:pPr>
              <w:rPr>
                <w:rFonts w:ascii="Arial"/>
                <w:color w:val="auto"/>
                <w:sz w:val="21"/>
                <w:highlight w:val="none"/>
              </w:rPr>
            </w:pPr>
          </w:p>
        </w:tc>
        <w:tc>
          <w:tcPr>
            <w:tcW w:w="1161" w:type="dxa"/>
            <w:vAlign w:val="top"/>
          </w:tcPr>
          <w:p w14:paraId="3E42DFF7">
            <w:pPr>
              <w:rPr>
                <w:rFonts w:ascii="Arial"/>
                <w:color w:val="auto"/>
                <w:sz w:val="21"/>
                <w:highlight w:val="none"/>
              </w:rPr>
            </w:pPr>
          </w:p>
        </w:tc>
        <w:tc>
          <w:tcPr>
            <w:tcW w:w="845" w:type="dxa"/>
            <w:vAlign w:val="top"/>
          </w:tcPr>
          <w:p w14:paraId="05863B2E">
            <w:pPr>
              <w:rPr>
                <w:rFonts w:ascii="Arial"/>
                <w:color w:val="auto"/>
                <w:sz w:val="21"/>
                <w:highlight w:val="none"/>
              </w:rPr>
            </w:pPr>
          </w:p>
        </w:tc>
        <w:tc>
          <w:tcPr>
            <w:tcW w:w="849" w:type="dxa"/>
            <w:vAlign w:val="top"/>
          </w:tcPr>
          <w:p w14:paraId="6EC6092D">
            <w:pPr>
              <w:rPr>
                <w:rFonts w:ascii="Arial"/>
                <w:color w:val="auto"/>
                <w:sz w:val="21"/>
                <w:highlight w:val="none"/>
              </w:rPr>
            </w:pPr>
          </w:p>
        </w:tc>
        <w:tc>
          <w:tcPr>
            <w:tcW w:w="753" w:type="dxa"/>
            <w:vAlign w:val="top"/>
          </w:tcPr>
          <w:p w14:paraId="54610795">
            <w:pPr>
              <w:rPr>
                <w:rFonts w:ascii="Arial"/>
                <w:color w:val="auto"/>
                <w:sz w:val="21"/>
                <w:highlight w:val="none"/>
              </w:rPr>
            </w:pPr>
          </w:p>
        </w:tc>
      </w:tr>
      <w:tr w14:paraId="47A36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3EE17AB6">
            <w:pPr>
              <w:rPr>
                <w:rFonts w:ascii="Arial"/>
                <w:color w:val="auto"/>
                <w:sz w:val="21"/>
                <w:highlight w:val="none"/>
              </w:rPr>
            </w:pPr>
          </w:p>
        </w:tc>
        <w:tc>
          <w:tcPr>
            <w:tcW w:w="1032" w:type="dxa"/>
            <w:vAlign w:val="top"/>
          </w:tcPr>
          <w:p w14:paraId="349CE112">
            <w:pPr>
              <w:rPr>
                <w:rFonts w:ascii="Arial"/>
                <w:color w:val="auto"/>
                <w:sz w:val="21"/>
                <w:highlight w:val="none"/>
              </w:rPr>
            </w:pPr>
          </w:p>
        </w:tc>
        <w:tc>
          <w:tcPr>
            <w:tcW w:w="657" w:type="dxa"/>
            <w:vAlign w:val="top"/>
          </w:tcPr>
          <w:p w14:paraId="33DAA046">
            <w:pPr>
              <w:rPr>
                <w:rFonts w:ascii="Arial"/>
                <w:color w:val="auto"/>
                <w:sz w:val="21"/>
                <w:highlight w:val="none"/>
              </w:rPr>
            </w:pPr>
          </w:p>
        </w:tc>
        <w:tc>
          <w:tcPr>
            <w:tcW w:w="989" w:type="dxa"/>
            <w:vAlign w:val="top"/>
          </w:tcPr>
          <w:p w14:paraId="748B6101">
            <w:pPr>
              <w:rPr>
                <w:rFonts w:ascii="Arial"/>
                <w:color w:val="auto"/>
                <w:sz w:val="21"/>
                <w:highlight w:val="none"/>
              </w:rPr>
            </w:pPr>
          </w:p>
        </w:tc>
        <w:tc>
          <w:tcPr>
            <w:tcW w:w="696" w:type="dxa"/>
            <w:vAlign w:val="top"/>
          </w:tcPr>
          <w:p w14:paraId="7426D9C9">
            <w:pPr>
              <w:rPr>
                <w:rFonts w:ascii="Arial"/>
                <w:color w:val="auto"/>
                <w:sz w:val="21"/>
                <w:highlight w:val="none"/>
              </w:rPr>
            </w:pPr>
          </w:p>
        </w:tc>
        <w:tc>
          <w:tcPr>
            <w:tcW w:w="691" w:type="dxa"/>
            <w:vAlign w:val="top"/>
          </w:tcPr>
          <w:p w14:paraId="2E3195D0">
            <w:pPr>
              <w:rPr>
                <w:rFonts w:ascii="Arial"/>
                <w:color w:val="auto"/>
                <w:sz w:val="21"/>
                <w:highlight w:val="none"/>
              </w:rPr>
            </w:pPr>
          </w:p>
        </w:tc>
        <w:tc>
          <w:tcPr>
            <w:tcW w:w="1161" w:type="dxa"/>
            <w:vAlign w:val="top"/>
          </w:tcPr>
          <w:p w14:paraId="7A88B076">
            <w:pPr>
              <w:rPr>
                <w:rFonts w:ascii="Arial"/>
                <w:color w:val="auto"/>
                <w:sz w:val="21"/>
                <w:highlight w:val="none"/>
              </w:rPr>
            </w:pPr>
          </w:p>
        </w:tc>
        <w:tc>
          <w:tcPr>
            <w:tcW w:w="845" w:type="dxa"/>
            <w:vAlign w:val="top"/>
          </w:tcPr>
          <w:p w14:paraId="0145C639">
            <w:pPr>
              <w:rPr>
                <w:rFonts w:ascii="Arial"/>
                <w:color w:val="auto"/>
                <w:sz w:val="21"/>
                <w:highlight w:val="none"/>
              </w:rPr>
            </w:pPr>
          </w:p>
        </w:tc>
        <w:tc>
          <w:tcPr>
            <w:tcW w:w="849" w:type="dxa"/>
            <w:vAlign w:val="top"/>
          </w:tcPr>
          <w:p w14:paraId="19420302">
            <w:pPr>
              <w:rPr>
                <w:rFonts w:ascii="Arial"/>
                <w:color w:val="auto"/>
                <w:sz w:val="21"/>
                <w:highlight w:val="none"/>
              </w:rPr>
            </w:pPr>
          </w:p>
        </w:tc>
        <w:tc>
          <w:tcPr>
            <w:tcW w:w="753" w:type="dxa"/>
            <w:vAlign w:val="top"/>
          </w:tcPr>
          <w:p w14:paraId="77CD80C2">
            <w:pPr>
              <w:rPr>
                <w:rFonts w:ascii="Arial"/>
                <w:color w:val="auto"/>
                <w:sz w:val="21"/>
                <w:highlight w:val="none"/>
              </w:rPr>
            </w:pPr>
          </w:p>
        </w:tc>
      </w:tr>
    </w:tbl>
    <w:p w14:paraId="60AF7341">
      <w:pPr>
        <w:pStyle w:val="3"/>
        <w:rPr>
          <w:color w:val="auto"/>
          <w:highlight w:val="none"/>
        </w:rPr>
      </w:pPr>
    </w:p>
    <w:p w14:paraId="30CF42B9">
      <w:pPr>
        <w:rPr>
          <w:color w:val="auto"/>
          <w:highlight w:val="none"/>
        </w:rPr>
        <w:sectPr>
          <w:footerReference r:id="rId247" w:type="default"/>
          <w:pgSz w:w="11905" w:h="16839"/>
          <w:pgMar w:top="400" w:right="1785" w:bottom="1004" w:left="1785" w:header="0" w:footer="828" w:gutter="0"/>
          <w:pgNumType w:fmt="decimal"/>
          <w:cols w:space="720" w:num="1"/>
        </w:sectPr>
      </w:pPr>
    </w:p>
    <w:p w14:paraId="77ED1048">
      <w:pPr>
        <w:pStyle w:val="3"/>
        <w:spacing w:line="267" w:lineRule="auto"/>
        <w:rPr>
          <w:color w:val="auto"/>
          <w:highlight w:val="none"/>
        </w:rPr>
      </w:pPr>
    </w:p>
    <w:p w14:paraId="3096635F">
      <w:pPr>
        <w:pStyle w:val="3"/>
        <w:spacing w:line="267" w:lineRule="auto"/>
        <w:rPr>
          <w:color w:val="auto"/>
          <w:highlight w:val="none"/>
        </w:rPr>
      </w:pPr>
    </w:p>
    <w:p w14:paraId="060AA45A">
      <w:pPr>
        <w:pStyle w:val="3"/>
        <w:spacing w:line="268" w:lineRule="auto"/>
        <w:rPr>
          <w:color w:val="auto"/>
          <w:highlight w:val="none"/>
        </w:rPr>
      </w:pPr>
    </w:p>
    <w:p w14:paraId="3C27E030">
      <w:pPr>
        <w:pStyle w:val="3"/>
        <w:spacing w:line="268" w:lineRule="auto"/>
        <w:rPr>
          <w:color w:val="auto"/>
          <w:highlight w:val="none"/>
        </w:rPr>
      </w:pPr>
    </w:p>
    <w:p w14:paraId="603AAD26">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附表二：拟配备本工程的试验和检测仪器设</w:t>
      </w:r>
      <w:r>
        <w:rPr>
          <w:rFonts w:ascii="黑体" w:hAnsi="黑体" w:eastAsia="黑体" w:cs="黑体"/>
          <w:color w:val="auto"/>
          <w:spacing w:val="-2"/>
          <w:sz w:val="24"/>
          <w:szCs w:val="24"/>
          <w:highlight w:val="none"/>
        </w:rPr>
        <w:t>备表</w:t>
      </w:r>
    </w:p>
    <w:tbl>
      <w:tblPr>
        <w:tblStyle w:val="10"/>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14:paraId="72514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749" w:type="dxa"/>
            <w:vAlign w:val="top"/>
          </w:tcPr>
          <w:p w14:paraId="3053A8D8">
            <w:pPr>
              <w:pStyle w:val="11"/>
              <w:spacing w:before="211" w:line="222" w:lineRule="auto"/>
              <w:ind w:left="170"/>
              <w:rPr>
                <w:color w:val="auto"/>
                <w:highlight w:val="none"/>
              </w:rPr>
            </w:pPr>
            <w:r>
              <w:rPr>
                <w:color w:val="auto"/>
                <w:spacing w:val="-2"/>
                <w:highlight w:val="none"/>
              </w:rPr>
              <w:t>序号</w:t>
            </w:r>
          </w:p>
        </w:tc>
        <w:tc>
          <w:tcPr>
            <w:tcW w:w="1022" w:type="dxa"/>
            <w:vAlign w:val="top"/>
          </w:tcPr>
          <w:p w14:paraId="0E6C724F">
            <w:pPr>
              <w:pStyle w:val="11"/>
              <w:spacing w:before="73" w:line="231" w:lineRule="auto"/>
              <w:ind w:left="197" w:right="196" w:hanging="1"/>
              <w:rPr>
                <w:color w:val="auto"/>
                <w:highlight w:val="none"/>
              </w:rPr>
            </w:pPr>
            <w:r>
              <w:rPr>
                <w:color w:val="auto"/>
                <w:spacing w:val="-2"/>
                <w:highlight w:val="none"/>
              </w:rPr>
              <w:t>仪器设</w:t>
            </w:r>
            <w:r>
              <w:rPr>
                <w:color w:val="auto"/>
                <w:highlight w:val="none"/>
              </w:rPr>
              <w:t xml:space="preserve"> </w:t>
            </w:r>
            <w:r>
              <w:rPr>
                <w:color w:val="auto"/>
                <w:spacing w:val="-3"/>
                <w:highlight w:val="none"/>
              </w:rPr>
              <w:t>备名称</w:t>
            </w:r>
          </w:p>
        </w:tc>
        <w:tc>
          <w:tcPr>
            <w:tcW w:w="652" w:type="dxa"/>
            <w:vAlign w:val="top"/>
          </w:tcPr>
          <w:p w14:paraId="3EFA6D62">
            <w:pPr>
              <w:pStyle w:val="11"/>
              <w:spacing w:before="71" w:line="231" w:lineRule="auto"/>
              <w:ind w:left="120" w:right="113"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984" w:type="dxa"/>
            <w:vAlign w:val="top"/>
          </w:tcPr>
          <w:p w14:paraId="454A5AF9">
            <w:pPr>
              <w:pStyle w:val="11"/>
              <w:spacing w:before="211" w:line="221" w:lineRule="auto"/>
              <w:ind w:left="185"/>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691" w:type="dxa"/>
            <w:vAlign w:val="top"/>
          </w:tcPr>
          <w:p w14:paraId="01EF052C">
            <w:pPr>
              <w:pStyle w:val="11"/>
              <w:spacing w:before="71" w:line="231" w:lineRule="auto"/>
              <w:ind w:left="144" w:right="126" w:firstLine="20"/>
              <w:rPr>
                <w:color w:val="auto"/>
                <w:highlight w:val="none"/>
              </w:rPr>
            </w:pPr>
            <w:r>
              <w:rPr>
                <w:color w:val="auto"/>
                <w:spacing w:val="-14"/>
                <w:highlight w:val="none"/>
              </w:rPr>
              <w:t>国别</w:t>
            </w:r>
            <w:r>
              <w:rPr>
                <w:color w:val="auto"/>
                <w:highlight w:val="none"/>
              </w:rPr>
              <w:t xml:space="preserve"> </w:t>
            </w:r>
            <w:r>
              <w:rPr>
                <w:color w:val="auto"/>
                <w:spacing w:val="-3"/>
                <w:highlight w:val="none"/>
              </w:rPr>
              <w:t>产地</w:t>
            </w:r>
          </w:p>
        </w:tc>
        <w:tc>
          <w:tcPr>
            <w:tcW w:w="686" w:type="dxa"/>
            <w:vAlign w:val="top"/>
          </w:tcPr>
          <w:p w14:paraId="2541A6C7">
            <w:pPr>
              <w:pStyle w:val="11"/>
              <w:spacing w:before="71" w:line="231" w:lineRule="auto"/>
              <w:ind w:left="141" w:right="126"/>
              <w:rPr>
                <w:color w:val="auto"/>
                <w:highlight w:val="none"/>
              </w:rPr>
            </w:pPr>
            <w:r>
              <w:rPr>
                <w:color w:val="auto"/>
                <w:spacing w:val="-4"/>
                <w:highlight w:val="none"/>
              </w:rPr>
              <w:t>制造</w:t>
            </w:r>
            <w:r>
              <w:rPr>
                <w:color w:val="auto"/>
                <w:highlight w:val="none"/>
              </w:rPr>
              <w:t xml:space="preserve"> </w:t>
            </w:r>
            <w:r>
              <w:rPr>
                <w:color w:val="auto"/>
                <w:spacing w:val="-4"/>
                <w:highlight w:val="none"/>
              </w:rPr>
              <w:t>年份</w:t>
            </w:r>
          </w:p>
        </w:tc>
        <w:tc>
          <w:tcPr>
            <w:tcW w:w="1128" w:type="dxa"/>
            <w:vAlign w:val="top"/>
          </w:tcPr>
          <w:p w14:paraId="5CCAF558">
            <w:pPr>
              <w:pStyle w:val="11"/>
              <w:spacing w:before="71" w:line="231" w:lineRule="auto"/>
              <w:ind w:left="160" w:right="135" w:firstLine="13"/>
              <w:rPr>
                <w:color w:val="auto"/>
                <w:highlight w:val="none"/>
              </w:rPr>
            </w:pPr>
            <w:r>
              <w:rPr>
                <w:color w:val="auto"/>
                <w:spacing w:val="-7"/>
                <w:highlight w:val="none"/>
              </w:rPr>
              <w:t>已使用台</w:t>
            </w:r>
            <w:r>
              <w:rPr>
                <w:color w:val="auto"/>
                <w:highlight w:val="none"/>
              </w:rPr>
              <w:t xml:space="preserve"> </w:t>
            </w:r>
            <w:r>
              <w:rPr>
                <w:color w:val="auto"/>
                <w:spacing w:val="-13"/>
                <w:highlight w:val="none"/>
              </w:rPr>
              <w:t>时</w:t>
            </w:r>
            <w:r>
              <w:rPr>
                <w:color w:val="auto"/>
                <w:spacing w:val="3"/>
                <w:highlight w:val="none"/>
              </w:rPr>
              <w:t xml:space="preserve">    </w:t>
            </w:r>
            <w:r>
              <w:rPr>
                <w:color w:val="auto"/>
                <w:spacing w:val="-13"/>
                <w:highlight w:val="none"/>
              </w:rPr>
              <w:t>数</w:t>
            </w:r>
          </w:p>
        </w:tc>
        <w:tc>
          <w:tcPr>
            <w:tcW w:w="1574" w:type="dxa"/>
            <w:vAlign w:val="top"/>
          </w:tcPr>
          <w:p w14:paraId="3BBD6E60">
            <w:pPr>
              <w:pStyle w:val="11"/>
              <w:spacing w:before="211" w:line="222" w:lineRule="auto"/>
              <w:ind w:left="484"/>
              <w:rPr>
                <w:color w:val="auto"/>
                <w:highlight w:val="none"/>
              </w:rPr>
            </w:pPr>
            <w:r>
              <w:rPr>
                <w:color w:val="auto"/>
                <w:spacing w:val="-5"/>
                <w:highlight w:val="none"/>
              </w:rPr>
              <w:t>用</w:t>
            </w:r>
            <w:r>
              <w:rPr>
                <w:color w:val="auto"/>
                <w:spacing w:val="4"/>
                <w:highlight w:val="none"/>
              </w:rPr>
              <w:t xml:space="preserve">  </w:t>
            </w:r>
            <w:r>
              <w:rPr>
                <w:color w:val="auto"/>
                <w:spacing w:val="-5"/>
                <w:highlight w:val="none"/>
              </w:rPr>
              <w:t>途</w:t>
            </w:r>
          </w:p>
        </w:tc>
        <w:tc>
          <w:tcPr>
            <w:tcW w:w="830" w:type="dxa"/>
            <w:vAlign w:val="top"/>
          </w:tcPr>
          <w:p w14:paraId="6AB2753E">
            <w:pPr>
              <w:pStyle w:val="11"/>
              <w:spacing w:before="211" w:line="222" w:lineRule="auto"/>
              <w:ind w:left="212"/>
              <w:rPr>
                <w:color w:val="auto"/>
                <w:highlight w:val="none"/>
              </w:rPr>
            </w:pPr>
            <w:r>
              <w:rPr>
                <w:color w:val="auto"/>
                <w:spacing w:val="-3"/>
                <w:highlight w:val="none"/>
              </w:rPr>
              <w:t>备注</w:t>
            </w:r>
          </w:p>
        </w:tc>
      </w:tr>
      <w:tr w14:paraId="5FCAD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6CBB0D4">
            <w:pPr>
              <w:rPr>
                <w:rFonts w:ascii="Arial"/>
                <w:color w:val="auto"/>
                <w:sz w:val="21"/>
                <w:highlight w:val="none"/>
              </w:rPr>
            </w:pPr>
          </w:p>
        </w:tc>
        <w:tc>
          <w:tcPr>
            <w:tcW w:w="1022" w:type="dxa"/>
            <w:vAlign w:val="top"/>
          </w:tcPr>
          <w:p w14:paraId="45003862">
            <w:pPr>
              <w:rPr>
                <w:rFonts w:ascii="Arial"/>
                <w:color w:val="auto"/>
                <w:sz w:val="21"/>
                <w:highlight w:val="none"/>
              </w:rPr>
            </w:pPr>
          </w:p>
        </w:tc>
        <w:tc>
          <w:tcPr>
            <w:tcW w:w="652" w:type="dxa"/>
            <w:vAlign w:val="top"/>
          </w:tcPr>
          <w:p w14:paraId="2C305353">
            <w:pPr>
              <w:rPr>
                <w:rFonts w:ascii="Arial"/>
                <w:color w:val="auto"/>
                <w:sz w:val="21"/>
                <w:highlight w:val="none"/>
              </w:rPr>
            </w:pPr>
          </w:p>
        </w:tc>
        <w:tc>
          <w:tcPr>
            <w:tcW w:w="984" w:type="dxa"/>
            <w:vAlign w:val="top"/>
          </w:tcPr>
          <w:p w14:paraId="298983EC">
            <w:pPr>
              <w:rPr>
                <w:rFonts w:ascii="Arial"/>
                <w:color w:val="auto"/>
                <w:sz w:val="21"/>
                <w:highlight w:val="none"/>
              </w:rPr>
            </w:pPr>
          </w:p>
        </w:tc>
        <w:tc>
          <w:tcPr>
            <w:tcW w:w="691" w:type="dxa"/>
            <w:vAlign w:val="top"/>
          </w:tcPr>
          <w:p w14:paraId="189706F4">
            <w:pPr>
              <w:rPr>
                <w:rFonts w:ascii="Arial"/>
                <w:color w:val="auto"/>
                <w:sz w:val="21"/>
                <w:highlight w:val="none"/>
              </w:rPr>
            </w:pPr>
          </w:p>
        </w:tc>
        <w:tc>
          <w:tcPr>
            <w:tcW w:w="686" w:type="dxa"/>
            <w:vAlign w:val="top"/>
          </w:tcPr>
          <w:p w14:paraId="4B3A018B">
            <w:pPr>
              <w:rPr>
                <w:rFonts w:ascii="Arial"/>
                <w:color w:val="auto"/>
                <w:sz w:val="21"/>
                <w:highlight w:val="none"/>
              </w:rPr>
            </w:pPr>
          </w:p>
        </w:tc>
        <w:tc>
          <w:tcPr>
            <w:tcW w:w="1128" w:type="dxa"/>
            <w:vAlign w:val="top"/>
          </w:tcPr>
          <w:p w14:paraId="2A64CBD4">
            <w:pPr>
              <w:rPr>
                <w:rFonts w:ascii="Arial"/>
                <w:color w:val="auto"/>
                <w:sz w:val="21"/>
                <w:highlight w:val="none"/>
              </w:rPr>
            </w:pPr>
          </w:p>
        </w:tc>
        <w:tc>
          <w:tcPr>
            <w:tcW w:w="1574" w:type="dxa"/>
            <w:vAlign w:val="top"/>
          </w:tcPr>
          <w:p w14:paraId="39495C14">
            <w:pPr>
              <w:rPr>
                <w:rFonts w:ascii="Arial"/>
                <w:color w:val="auto"/>
                <w:sz w:val="21"/>
                <w:highlight w:val="none"/>
              </w:rPr>
            </w:pPr>
          </w:p>
        </w:tc>
        <w:tc>
          <w:tcPr>
            <w:tcW w:w="830" w:type="dxa"/>
            <w:vAlign w:val="top"/>
          </w:tcPr>
          <w:p w14:paraId="57DC8922">
            <w:pPr>
              <w:rPr>
                <w:rFonts w:ascii="Arial"/>
                <w:color w:val="auto"/>
                <w:sz w:val="21"/>
                <w:highlight w:val="none"/>
              </w:rPr>
            </w:pPr>
          </w:p>
        </w:tc>
      </w:tr>
      <w:tr w14:paraId="7BA61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40AAB2F">
            <w:pPr>
              <w:rPr>
                <w:rFonts w:ascii="Arial"/>
                <w:color w:val="auto"/>
                <w:sz w:val="21"/>
                <w:highlight w:val="none"/>
              </w:rPr>
            </w:pPr>
          </w:p>
        </w:tc>
        <w:tc>
          <w:tcPr>
            <w:tcW w:w="1022" w:type="dxa"/>
            <w:vAlign w:val="top"/>
          </w:tcPr>
          <w:p w14:paraId="416BF8DE">
            <w:pPr>
              <w:rPr>
                <w:rFonts w:ascii="Arial"/>
                <w:color w:val="auto"/>
                <w:sz w:val="21"/>
                <w:highlight w:val="none"/>
              </w:rPr>
            </w:pPr>
          </w:p>
        </w:tc>
        <w:tc>
          <w:tcPr>
            <w:tcW w:w="652" w:type="dxa"/>
            <w:vAlign w:val="top"/>
          </w:tcPr>
          <w:p w14:paraId="6A769202">
            <w:pPr>
              <w:rPr>
                <w:rFonts w:ascii="Arial"/>
                <w:color w:val="auto"/>
                <w:sz w:val="21"/>
                <w:highlight w:val="none"/>
              </w:rPr>
            </w:pPr>
          </w:p>
        </w:tc>
        <w:tc>
          <w:tcPr>
            <w:tcW w:w="984" w:type="dxa"/>
            <w:vAlign w:val="top"/>
          </w:tcPr>
          <w:p w14:paraId="21F1465C">
            <w:pPr>
              <w:rPr>
                <w:rFonts w:ascii="Arial"/>
                <w:color w:val="auto"/>
                <w:sz w:val="21"/>
                <w:highlight w:val="none"/>
              </w:rPr>
            </w:pPr>
          </w:p>
        </w:tc>
        <w:tc>
          <w:tcPr>
            <w:tcW w:w="691" w:type="dxa"/>
            <w:vAlign w:val="top"/>
          </w:tcPr>
          <w:p w14:paraId="07206ED8">
            <w:pPr>
              <w:rPr>
                <w:rFonts w:ascii="Arial"/>
                <w:color w:val="auto"/>
                <w:sz w:val="21"/>
                <w:highlight w:val="none"/>
              </w:rPr>
            </w:pPr>
          </w:p>
        </w:tc>
        <w:tc>
          <w:tcPr>
            <w:tcW w:w="686" w:type="dxa"/>
            <w:vAlign w:val="top"/>
          </w:tcPr>
          <w:p w14:paraId="1AF97F40">
            <w:pPr>
              <w:rPr>
                <w:rFonts w:ascii="Arial"/>
                <w:color w:val="auto"/>
                <w:sz w:val="21"/>
                <w:highlight w:val="none"/>
              </w:rPr>
            </w:pPr>
          </w:p>
        </w:tc>
        <w:tc>
          <w:tcPr>
            <w:tcW w:w="1128" w:type="dxa"/>
            <w:vAlign w:val="top"/>
          </w:tcPr>
          <w:p w14:paraId="254D04F2">
            <w:pPr>
              <w:rPr>
                <w:rFonts w:ascii="Arial"/>
                <w:color w:val="auto"/>
                <w:sz w:val="21"/>
                <w:highlight w:val="none"/>
              </w:rPr>
            </w:pPr>
          </w:p>
        </w:tc>
        <w:tc>
          <w:tcPr>
            <w:tcW w:w="1574" w:type="dxa"/>
            <w:vAlign w:val="top"/>
          </w:tcPr>
          <w:p w14:paraId="66E09353">
            <w:pPr>
              <w:rPr>
                <w:rFonts w:ascii="Arial"/>
                <w:color w:val="auto"/>
                <w:sz w:val="21"/>
                <w:highlight w:val="none"/>
              </w:rPr>
            </w:pPr>
          </w:p>
        </w:tc>
        <w:tc>
          <w:tcPr>
            <w:tcW w:w="830" w:type="dxa"/>
            <w:vAlign w:val="top"/>
          </w:tcPr>
          <w:p w14:paraId="1E7F34B1">
            <w:pPr>
              <w:rPr>
                <w:rFonts w:ascii="Arial"/>
                <w:color w:val="auto"/>
                <w:sz w:val="21"/>
                <w:highlight w:val="none"/>
              </w:rPr>
            </w:pPr>
          </w:p>
        </w:tc>
      </w:tr>
      <w:tr w14:paraId="50D90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4331DE55">
            <w:pPr>
              <w:rPr>
                <w:rFonts w:ascii="Arial"/>
                <w:color w:val="auto"/>
                <w:sz w:val="21"/>
                <w:highlight w:val="none"/>
              </w:rPr>
            </w:pPr>
          </w:p>
        </w:tc>
        <w:tc>
          <w:tcPr>
            <w:tcW w:w="1022" w:type="dxa"/>
            <w:vAlign w:val="top"/>
          </w:tcPr>
          <w:p w14:paraId="21739697">
            <w:pPr>
              <w:rPr>
                <w:rFonts w:ascii="Arial"/>
                <w:color w:val="auto"/>
                <w:sz w:val="21"/>
                <w:highlight w:val="none"/>
              </w:rPr>
            </w:pPr>
          </w:p>
        </w:tc>
        <w:tc>
          <w:tcPr>
            <w:tcW w:w="652" w:type="dxa"/>
            <w:vAlign w:val="top"/>
          </w:tcPr>
          <w:p w14:paraId="16C9B30C">
            <w:pPr>
              <w:rPr>
                <w:rFonts w:ascii="Arial"/>
                <w:color w:val="auto"/>
                <w:sz w:val="21"/>
                <w:highlight w:val="none"/>
              </w:rPr>
            </w:pPr>
          </w:p>
        </w:tc>
        <w:tc>
          <w:tcPr>
            <w:tcW w:w="984" w:type="dxa"/>
            <w:vAlign w:val="top"/>
          </w:tcPr>
          <w:p w14:paraId="4AFCCE0F">
            <w:pPr>
              <w:rPr>
                <w:rFonts w:ascii="Arial"/>
                <w:color w:val="auto"/>
                <w:sz w:val="21"/>
                <w:highlight w:val="none"/>
              </w:rPr>
            </w:pPr>
          </w:p>
        </w:tc>
        <w:tc>
          <w:tcPr>
            <w:tcW w:w="691" w:type="dxa"/>
            <w:vAlign w:val="top"/>
          </w:tcPr>
          <w:p w14:paraId="48EC0E63">
            <w:pPr>
              <w:rPr>
                <w:rFonts w:ascii="Arial"/>
                <w:color w:val="auto"/>
                <w:sz w:val="21"/>
                <w:highlight w:val="none"/>
              </w:rPr>
            </w:pPr>
          </w:p>
        </w:tc>
        <w:tc>
          <w:tcPr>
            <w:tcW w:w="686" w:type="dxa"/>
            <w:vAlign w:val="top"/>
          </w:tcPr>
          <w:p w14:paraId="5C0846C4">
            <w:pPr>
              <w:rPr>
                <w:rFonts w:ascii="Arial"/>
                <w:color w:val="auto"/>
                <w:sz w:val="21"/>
                <w:highlight w:val="none"/>
              </w:rPr>
            </w:pPr>
          </w:p>
        </w:tc>
        <w:tc>
          <w:tcPr>
            <w:tcW w:w="1128" w:type="dxa"/>
            <w:vAlign w:val="top"/>
          </w:tcPr>
          <w:p w14:paraId="00E8D6E7">
            <w:pPr>
              <w:rPr>
                <w:rFonts w:ascii="Arial"/>
                <w:color w:val="auto"/>
                <w:sz w:val="21"/>
                <w:highlight w:val="none"/>
              </w:rPr>
            </w:pPr>
          </w:p>
        </w:tc>
        <w:tc>
          <w:tcPr>
            <w:tcW w:w="1574" w:type="dxa"/>
            <w:vAlign w:val="top"/>
          </w:tcPr>
          <w:p w14:paraId="737D5838">
            <w:pPr>
              <w:rPr>
                <w:rFonts w:ascii="Arial"/>
                <w:color w:val="auto"/>
                <w:sz w:val="21"/>
                <w:highlight w:val="none"/>
              </w:rPr>
            </w:pPr>
          </w:p>
        </w:tc>
        <w:tc>
          <w:tcPr>
            <w:tcW w:w="830" w:type="dxa"/>
            <w:vAlign w:val="top"/>
          </w:tcPr>
          <w:p w14:paraId="108AF24C">
            <w:pPr>
              <w:rPr>
                <w:rFonts w:ascii="Arial"/>
                <w:color w:val="auto"/>
                <w:sz w:val="21"/>
                <w:highlight w:val="none"/>
              </w:rPr>
            </w:pPr>
          </w:p>
        </w:tc>
      </w:tr>
      <w:tr w14:paraId="73E83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1349AA8">
            <w:pPr>
              <w:rPr>
                <w:rFonts w:ascii="Arial"/>
                <w:color w:val="auto"/>
                <w:sz w:val="21"/>
                <w:highlight w:val="none"/>
              </w:rPr>
            </w:pPr>
          </w:p>
        </w:tc>
        <w:tc>
          <w:tcPr>
            <w:tcW w:w="1022" w:type="dxa"/>
            <w:vAlign w:val="top"/>
          </w:tcPr>
          <w:p w14:paraId="26FF372B">
            <w:pPr>
              <w:rPr>
                <w:rFonts w:ascii="Arial"/>
                <w:color w:val="auto"/>
                <w:sz w:val="21"/>
                <w:highlight w:val="none"/>
              </w:rPr>
            </w:pPr>
          </w:p>
        </w:tc>
        <w:tc>
          <w:tcPr>
            <w:tcW w:w="652" w:type="dxa"/>
            <w:vAlign w:val="top"/>
          </w:tcPr>
          <w:p w14:paraId="2004EDFD">
            <w:pPr>
              <w:rPr>
                <w:rFonts w:ascii="Arial"/>
                <w:color w:val="auto"/>
                <w:sz w:val="21"/>
                <w:highlight w:val="none"/>
              </w:rPr>
            </w:pPr>
          </w:p>
        </w:tc>
        <w:tc>
          <w:tcPr>
            <w:tcW w:w="984" w:type="dxa"/>
            <w:vAlign w:val="top"/>
          </w:tcPr>
          <w:p w14:paraId="4D385787">
            <w:pPr>
              <w:rPr>
                <w:rFonts w:ascii="Arial"/>
                <w:color w:val="auto"/>
                <w:sz w:val="21"/>
                <w:highlight w:val="none"/>
              </w:rPr>
            </w:pPr>
          </w:p>
        </w:tc>
        <w:tc>
          <w:tcPr>
            <w:tcW w:w="691" w:type="dxa"/>
            <w:vAlign w:val="top"/>
          </w:tcPr>
          <w:p w14:paraId="6B99DEBE">
            <w:pPr>
              <w:rPr>
                <w:rFonts w:ascii="Arial"/>
                <w:color w:val="auto"/>
                <w:sz w:val="21"/>
                <w:highlight w:val="none"/>
              </w:rPr>
            </w:pPr>
          </w:p>
        </w:tc>
        <w:tc>
          <w:tcPr>
            <w:tcW w:w="686" w:type="dxa"/>
            <w:vAlign w:val="top"/>
          </w:tcPr>
          <w:p w14:paraId="05A59DFD">
            <w:pPr>
              <w:rPr>
                <w:rFonts w:ascii="Arial"/>
                <w:color w:val="auto"/>
                <w:sz w:val="21"/>
                <w:highlight w:val="none"/>
              </w:rPr>
            </w:pPr>
          </w:p>
        </w:tc>
        <w:tc>
          <w:tcPr>
            <w:tcW w:w="1128" w:type="dxa"/>
            <w:vAlign w:val="top"/>
          </w:tcPr>
          <w:p w14:paraId="6BFD8E99">
            <w:pPr>
              <w:rPr>
                <w:rFonts w:ascii="Arial"/>
                <w:color w:val="auto"/>
                <w:sz w:val="21"/>
                <w:highlight w:val="none"/>
              </w:rPr>
            </w:pPr>
          </w:p>
        </w:tc>
        <w:tc>
          <w:tcPr>
            <w:tcW w:w="1574" w:type="dxa"/>
            <w:vAlign w:val="top"/>
          </w:tcPr>
          <w:p w14:paraId="6B3D3384">
            <w:pPr>
              <w:rPr>
                <w:rFonts w:ascii="Arial"/>
                <w:color w:val="auto"/>
                <w:sz w:val="21"/>
                <w:highlight w:val="none"/>
              </w:rPr>
            </w:pPr>
          </w:p>
        </w:tc>
        <w:tc>
          <w:tcPr>
            <w:tcW w:w="830" w:type="dxa"/>
            <w:vAlign w:val="top"/>
          </w:tcPr>
          <w:p w14:paraId="2973DE5B">
            <w:pPr>
              <w:rPr>
                <w:rFonts w:ascii="Arial"/>
                <w:color w:val="auto"/>
                <w:sz w:val="21"/>
                <w:highlight w:val="none"/>
              </w:rPr>
            </w:pPr>
          </w:p>
        </w:tc>
      </w:tr>
      <w:tr w14:paraId="690BD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27045E9B">
            <w:pPr>
              <w:rPr>
                <w:rFonts w:ascii="Arial"/>
                <w:color w:val="auto"/>
                <w:sz w:val="21"/>
                <w:highlight w:val="none"/>
              </w:rPr>
            </w:pPr>
          </w:p>
        </w:tc>
        <w:tc>
          <w:tcPr>
            <w:tcW w:w="1022" w:type="dxa"/>
            <w:vAlign w:val="top"/>
          </w:tcPr>
          <w:p w14:paraId="2BF9978C">
            <w:pPr>
              <w:rPr>
                <w:rFonts w:ascii="Arial"/>
                <w:color w:val="auto"/>
                <w:sz w:val="21"/>
                <w:highlight w:val="none"/>
              </w:rPr>
            </w:pPr>
          </w:p>
        </w:tc>
        <w:tc>
          <w:tcPr>
            <w:tcW w:w="652" w:type="dxa"/>
            <w:vAlign w:val="top"/>
          </w:tcPr>
          <w:p w14:paraId="1E3A1DD7">
            <w:pPr>
              <w:rPr>
                <w:rFonts w:ascii="Arial"/>
                <w:color w:val="auto"/>
                <w:sz w:val="21"/>
                <w:highlight w:val="none"/>
              </w:rPr>
            </w:pPr>
          </w:p>
        </w:tc>
        <w:tc>
          <w:tcPr>
            <w:tcW w:w="984" w:type="dxa"/>
            <w:vAlign w:val="top"/>
          </w:tcPr>
          <w:p w14:paraId="79A4FD54">
            <w:pPr>
              <w:rPr>
                <w:rFonts w:ascii="Arial"/>
                <w:color w:val="auto"/>
                <w:sz w:val="21"/>
                <w:highlight w:val="none"/>
              </w:rPr>
            </w:pPr>
          </w:p>
        </w:tc>
        <w:tc>
          <w:tcPr>
            <w:tcW w:w="691" w:type="dxa"/>
            <w:vAlign w:val="top"/>
          </w:tcPr>
          <w:p w14:paraId="72E03A0C">
            <w:pPr>
              <w:rPr>
                <w:rFonts w:ascii="Arial"/>
                <w:color w:val="auto"/>
                <w:sz w:val="21"/>
                <w:highlight w:val="none"/>
              </w:rPr>
            </w:pPr>
          </w:p>
        </w:tc>
        <w:tc>
          <w:tcPr>
            <w:tcW w:w="686" w:type="dxa"/>
            <w:vAlign w:val="top"/>
          </w:tcPr>
          <w:p w14:paraId="6B1DCA88">
            <w:pPr>
              <w:rPr>
                <w:rFonts w:ascii="Arial"/>
                <w:color w:val="auto"/>
                <w:sz w:val="21"/>
                <w:highlight w:val="none"/>
              </w:rPr>
            </w:pPr>
          </w:p>
        </w:tc>
        <w:tc>
          <w:tcPr>
            <w:tcW w:w="1128" w:type="dxa"/>
            <w:vAlign w:val="top"/>
          </w:tcPr>
          <w:p w14:paraId="76613904">
            <w:pPr>
              <w:rPr>
                <w:rFonts w:ascii="Arial"/>
                <w:color w:val="auto"/>
                <w:sz w:val="21"/>
                <w:highlight w:val="none"/>
              </w:rPr>
            </w:pPr>
          </w:p>
        </w:tc>
        <w:tc>
          <w:tcPr>
            <w:tcW w:w="1574" w:type="dxa"/>
            <w:vAlign w:val="top"/>
          </w:tcPr>
          <w:p w14:paraId="14C620B6">
            <w:pPr>
              <w:rPr>
                <w:rFonts w:ascii="Arial"/>
                <w:color w:val="auto"/>
                <w:sz w:val="21"/>
                <w:highlight w:val="none"/>
              </w:rPr>
            </w:pPr>
          </w:p>
        </w:tc>
        <w:tc>
          <w:tcPr>
            <w:tcW w:w="830" w:type="dxa"/>
            <w:vAlign w:val="top"/>
          </w:tcPr>
          <w:p w14:paraId="6434B7C0">
            <w:pPr>
              <w:rPr>
                <w:rFonts w:ascii="Arial"/>
                <w:color w:val="auto"/>
                <w:sz w:val="21"/>
                <w:highlight w:val="none"/>
              </w:rPr>
            </w:pPr>
          </w:p>
        </w:tc>
      </w:tr>
      <w:tr w14:paraId="692E4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1" w:hRule="atLeast"/>
        </w:trPr>
        <w:tc>
          <w:tcPr>
            <w:tcW w:w="749" w:type="dxa"/>
            <w:vAlign w:val="top"/>
          </w:tcPr>
          <w:p w14:paraId="36082319">
            <w:pPr>
              <w:rPr>
                <w:rFonts w:ascii="Arial"/>
                <w:color w:val="auto"/>
                <w:sz w:val="21"/>
                <w:highlight w:val="none"/>
              </w:rPr>
            </w:pPr>
          </w:p>
        </w:tc>
        <w:tc>
          <w:tcPr>
            <w:tcW w:w="1022" w:type="dxa"/>
            <w:vAlign w:val="top"/>
          </w:tcPr>
          <w:p w14:paraId="4BC07C42">
            <w:pPr>
              <w:rPr>
                <w:rFonts w:ascii="Arial"/>
                <w:color w:val="auto"/>
                <w:sz w:val="21"/>
                <w:highlight w:val="none"/>
              </w:rPr>
            </w:pPr>
          </w:p>
        </w:tc>
        <w:tc>
          <w:tcPr>
            <w:tcW w:w="652" w:type="dxa"/>
            <w:vAlign w:val="top"/>
          </w:tcPr>
          <w:p w14:paraId="1E2A3E3C">
            <w:pPr>
              <w:rPr>
                <w:rFonts w:ascii="Arial"/>
                <w:color w:val="auto"/>
                <w:sz w:val="21"/>
                <w:highlight w:val="none"/>
              </w:rPr>
            </w:pPr>
          </w:p>
        </w:tc>
        <w:tc>
          <w:tcPr>
            <w:tcW w:w="984" w:type="dxa"/>
            <w:vAlign w:val="top"/>
          </w:tcPr>
          <w:p w14:paraId="3FC318A0">
            <w:pPr>
              <w:rPr>
                <w:rFonts w:ascii="Arial"/>
                <w:color w:val="auto"/>
                <w:sz w:val="21"/>
                <w:highlight w:val="none"/>
              </w:rPr>
            </w:pPr>
          </w:p>
        </w:tc>
        <w:tc>
          <w:tcPr>
            <w:tcW w:w="691" w:type="dxa"/>
            <w:vAlign w:val="top"/>
          </w:tcPr>
          <w:p w14:paraId="7D1879BF">
            <w:pPr>
              <w:rPr>
                <w:rFonts w:ascii="Arial"/>
                <w:color w:val="auto"/>
                <w:sz w:val="21"/>
                <w:highlight w:val="none"/>
              </w:rPr>
            </w:pPr>
          </w:p>
        </w:tc>
        <w:tc>
          <w:tcPr>
            <w:tcW w:w="686" w:type="dxa"/>
            <w:vAlign w:val="top"/>
          </w:tcPr>
          <w:p w14:paraId="1DB1C938">
            <w:pPr>
              <w:rPr>
                <w:rFonts w:ascii="Arial"/>
                <w:color w:val="auto"/>
                <w:sz w:val="21"/>
                <w:highlight w:val="none"/>
              </w:rPr>
            </w:pPr>
          </w:p>
        </w:tc>
        <w:tc>
          <w:tcPr>
            <w:tcW w:w="1128" w:type="dxa"/>
            <w:vAlign w:val="top"/>
          </w:tcPr>
          <w:p w14:paraId="04035CD3">
            <w:pPr>
              <w:rPr>
                <w:rFonts w:ascii="Arial"/>
                <w:color w:val="auto"/>
                <w:sz w:val="21"/>
                <w:highlight w:val="none"/>
              </w:rPr>
            </w:pPr>
          </w:p>
        </w:tc>
        <w:tc>
          <w:tcPr>
            <w:tcW w:w="1574" w:type="dxa"/>
            <w:vAlign w:val="top"/>
          </w:tcPr>
          <w:p w14:paraId="4470E409">
            <w:pPr>
              <w:rPr>
                <w:rFonts w:ascii="Arial"/>
                <w:color w:val="auto"/>
                <w:sz w:val="21"/>
                <w:highlight w:val="none"/>
              </w:rPr>
            </w:pPr>
          </w:p>
        </w:tc>
        <w:tc>
          <w:tcPr>
            <w:tcW w:w="830" w:type="dxa"/>
            <w:vAlign w:val="top"/>
          </w:tcPr>
          <w:p w14:paraId="4F91B094">
            <w:pPr>
              <w:rPr>
                <w:rFonts w:ascii="Arial"/>
                <w:color w:val="auto"/>
                <w:sz w:val="21"/>
                <w:highlight w:val="none"/>
              </w:rPr>
            </w:pPr>
          </w:p>
        </w:tc>
      </w:tr>
      <w:tr w14:paraId="08FF5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E2C54CA">
            <w:pPr>
              <w:rPr>
                <w:rFonts w:ascii="Arial"/>
                <w:color w:val="auto"/>
                <w:sz w:val="21"/>
                <w:highlight w:val="none"/>
              </w:rPr>
            </w:pPr>
          </w:p>
        </w:tc>
        <w:tc>
          <w:tcPr>
            <w:tcW w:w="1022" w:type="dxa"/>
            <w:vAlign w:val="top"/>
          </w:tcPr>
          <w:p w14:paraId="35866C17">
            <w:pPr>
              <w:rPr>
                <w:rFonts w:ascii="Arial"/>
                <w:color w:val="auto"/>
                <w:sz w:val="21"/>
                <w:highlight w:val="none"/>
              </w:rPr>
            </w:pPr>
          </w:p>
        </w:tc>
        <w:tc>
          <w:tcPr>
            <w:tcW w:w="652" w:type="dxa"/>
            <w:vAlign w:val="top"/>
          </w:tcPr>
          <w:p w14:paraId="294EF8B1">
            <w:pPr>
              <w:rPr>
                <w:rFonts w:ascii="Arial"/>
                <w:color w:val="auto"/>
                <w:sz w:val="21"/>
                <w:highlight w:val="none"/>
              </w:rPr>
            </w:pPr>
          </w:p>
        </w:tc>
        <w:tc>
          <w:tcPr>
            <w:tcW w:w="984" w:type="dxa"/>
            <w:vAlign w:val="top"/>
          </w:tcPr>
          <w:p w14:paraId="51AEB84A">
            <w:pPr>
              <w:rPr>
                <w:rFonts w:ascii="Arial"/>
                <w:color w:val="auto"/>
                <w:sz w:val="21"/>
                <w:highlight w:val="none"/>
              </w:rPr>
            </w:pPr>
          </w:p>
        </w:tc>
        <w:tc>
          <w:tcPr>
            <w:tcW w:w="691" w:type="dxa"/>
            <w:vAlign w:val="top"/>
          </w:tcPr>
          <w:p w14:paraId="5B6BE721">
            <w:pPr>
              <w:rPr>
                <w:rFonts w:ascii="Arial"/>
                <w:color w:val="auto"/>
                <w:sz w:val="21"/>
                <w:highlight w:val="none"/>
              </w:rPr>
            </w:pPr>
          </w:p>
        </w:tc>
        <w:tc>
          <w:tcPr>
            <w:tcW w:w="686" w:type="dxa"/>
            <w:vAlign w:val="top"/>
          </w:tcPr>
          <w:p w14:paraId="76645266">
            <w:pPr>
              <w:rPr>
                <w:rFonts w:ascii="Arial"/>
                <w:color w:val="auto"/>
                <w:sz w:val="21"/>
                <w:highlight w:val="none"/>
              </w:rPr>
            </w:pPr>
          </w:p>
        </w:tc>
        <w:tc>
          <w:tcPr>
            <w:tcW w:w="1128" w:type="dxa"/>
            <w:vAlign w:val="top"/>
          </w:tcPr>
          <w:p w14:paraId="045B380B">
            <w:pPr>
              <w:rPr>
                <w:rFonts w:ascii="Arial"/>
                <w:color w:val="auto"/>
                <w:sz w:val="21"/>
                <w:highlight w:val="none"/>
              </w:rPr>
            </w:pPr>
          </w:p>
        </w:tc>
        <w:tc>
          <w:tcPr>
            <w:tcW w:w="1574" w:type="dxa"/>
            <w:vAlign w:val="top"/>
          </w:tcPr>
          <w:p w14:paraId="1DE5F24A">
            <w:pPr>
              <w:rPr>
                <w:rFonts w:ascii="Arial"/>
                <w:color w:val="auto"/>
                <w:sz w:val="21"/>
                <w:highlight w:val="none"/>
              </w:rPr>
            </w:pPr>
          </w:p>
        </w:tc>
        <w:tc>
          <w:tcPr>
            <w:tcW w:w="830" w:type="dxa"/>
            <w:vAlign w:val="top"/>
          </w:tcPr>
          <w:p w14:paraId="75EBFAA6">
            <w:pPr>
              <w:rPr>
                <w:rFonts w:ascii="Arial"/>
                <w:color w:val="auto"/>
                <w:sz w:val="21"/>
                <w:highlight w:val="none"/>
              </w:rPr>
            </w:pPr>
          </w:p>
        </w:tc>
      </w:tr>
      <w:tr w14:paraId="4C5F6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D7F454B">
            <w:pPr>
              <w:rPr>
                <w:rFonts w:ascii="Arial"/>
                <w:color w:val="auto"/>
                <w:sz w:val="21"/>
                <w:highlight w:val="none"/>
              </w:rPr>
            </w:pPr>
          </w:p>
        </w:tc>
        <w:tc>
          <w:tcPr>
            <w:tcW w:w="1022" w:type="dxa"/>
            <w:vAlign w:val="top"/>
          </w:tcPr>
          <w:p w14:paraId="671B5AA2">
            <w:pPr>
              <w:rPr>
                <w:rFonts w:ascii="Arial"/>
                <w:color w:val="auto"/>
                <w:sz w:val="21"/>
                <w:highlight w:val="none"/>
              </w:rPr>
            </w:pPr>
          </w:p>
        </w:tc>
        <w:tc>
          <w:tcPr>
            <w:tcW w:w="652" w:type="dxa"/>
            <w:vAlign w:val="top"/>
          </w:tcPr>
          <w:p w14:paraId="6827728E">
            <w:pPr>
              <w:rPr>
                <w:rFonts w:ascii="Arial"/>
                <w:color w:val="auto"/>
                <w:sz w:val="21"/>
                <w:highlight w:val="none"/>
              </w:rPr>
            </w:pPr>
          </w:p>
        </w:tc>
        <w:tc>
          <w:tcPr>
            <w:tcW w:w="984" w:type="dxa"/>
            <w:vAlign w:val="top"/>
          </w:tcPr>
          <w:p w14:paraId="255584BD">
            <w:pPr>
              <w:rPr>
                <w:rFonts w:ascii="Arial"/>
                <w:color w:val="auto"/>
                <w:sz w:val="21"/>
                <w:highlight w:val="none"/>
              </w:rPr>
            </w:pPr>
          </w:p>
        </w:tc>
        <w:tc>
          <w:tcPr>
            <w:tcW w:w="691" w:type="dxa"/>
            <w:vAlign w:val="top"/>
          </w:tcPr>
          <w:p w14:paraId="2E4D4F17">
            <w:pPr>
              <w:rPr>
                <w:rFonts w:ascii="Arial"/>
                <w:color w:val="auto"/>
                <w:sz w:val="21"/>
                <w:highlight w:val="none"/>
              </w:rPr>
            </w:pPr>
          </w:p>
        </w:tc>
        <w:tc>
          <w:tcPr>
            <w:tcW w:w="686" w:type="dxa"/>
            <w:vAlign w:val="top"/>
          </w:tcPr>
          <w:p w14:paraId="10386D1B">
            <w:pPr>
              <w:rPr>
                <w:rFonts w:ascii="Arial"/>
                <w:color w:val="auto"/>
                <w:sz w:val="21"/>
                <w:highlight w:val="none"/>
              </w:rPr>
            </w:pPr>
          </w:p>
        </w:tc>
        <w:tc>
          <w:tcPr>
            <w:tcW w:w="1128" w:type="dxa"/>
            <w:vAlign w:val="top"/>
          </w:tcPr>
          <w:p w14:paraId="4CC6F1B4">
            <w:pPr>
              <w:rPr>
                <w:rFonts w:ascii="Arial"/>
                <w:color w:val="auto"/>
                <w:sz w:val="21"/>
                <w:highlight w:val="none"/>
              </w:rPr>
            </w:pPr>
          </w:p>
        </w:tc>
        <w:tc>
          <w:tcPr>
            <w:tcW w:w="1574" w:type="dxa"/>
            <w:vAlign w:val="top"/>
          </w:tcPr>
          <w:p w14:paraId="26C43690">
            <w:pPr>
              <w:rPr>
                <w:rFonts w:ascii="Arial"/>
                <w:color w:val="auto"/>
                <w:sz w:val="21"/>
                <w:highlight w:val="none"/>
              </w:rPr>
            </w:pPr>
          </w:p>
        </w:tc>
        <w:tc>
          <w:tcPr>
            <w:tcW w:w="830" w:type="dxa"/>
            <w:vAlign w:val="top"/>
          </w:tcPr>
          <w:p w14:paraId="7C03177B">
            <w:pPr>
              <w:rPr>
                <w:rFonts w:ascii="Arial"/>
                <w:color w:val="auto"/>
                <w:sz w:val="21"/>
                <w:highlight w:val="none"/>
              </w:rPr>
            </w:pPr>
          </w:p>
        </w:tc>
      </w:tr>
      <w:tr w14:paraId="3EC5C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E8D3E10">
            <w:pPr>
              <w:rPr>
                <w:rFonts w:ascii="Arial"/>
                <w:color w:val="auto"/>
                <w:sz w:val="21"/>
                <w:highlight w:val="none"/>
              </w:rPr>
            </w:pPr>
          </w:p>
        </w:tc>
        <w:tc>
          <w:tcPr>
            <w:tcW w:w="1022" w:type="dxa"/>
            <w:vAlign w:val="top"/>
          </w:tcPr>
          <w:p w14:paraId="44A6C11D">
            <w:pPr>
              <w:rPr>
                <w:rFonts w:ascii="Arial"/>
                <w:color w:val="auto"/>
                <w:sz w:val="21"/>
                <w:highlight w:val="none"/>
              </w:rPr>
            </w:pPr>
          </w:p>
        </w:tc>
        <w:tc>
          <w:tcPr>
            <w:tcW w:w="652" w:type="dxa"/>
            <w:vAlign w:val="top"/>
          </w:tcPr>
          <w:p w14:paraId="229B844F">
            <w:pPr>
              <w:rPr>
                <w:rFonts w:ascii="Arial"/>
                <w:color w:val="auto"/>
                <w:sz w:val="21"/>
                <w:highlight w:val="none"/>
              </w:rPr>
            </w:pPr>
          </w:p>
        </w:tc>
        <w:tc>
          <w:tcPr>
            <w:tcW w:w="984" w:type="dxa"/>
            <w:vAlign w:val="top"/>
          </w:tcPr>
          <w:p w14:paraId="423473F4">
            <w:pPr>
              <w:rPr>
                <w:rFonts w:ascii="Arial"/>
                <w:color w:val="auto"/>
                <w:sz w:val="21"/>
                <w:highlight w:val="none"/>
              </w:rPr>
            </w:pPr>
          </w:p>
        </w:tc>
        <w:tc>
          <w:tcPr>
            <w:tcW w:w="691" w:type="dxa"/>
            <w:vAlign w:val="top"/>
          </w:tcPr>
          <w:p w14:paraId="76ADA095">
            <w:pPr>
              <w:rPr>
                <w:rFonts w:ascii="Arial"/>
                <w:color w:val="auto"/>
                <w:sz w:val="21"/>
                <w:highlight w:val="none"/>
              </w:rPr>
            </w:pPr>
          </w:p>
        </w:tc>
        <w:tc>
          <w:tcPr>
            <w:tcW w:w="686" w:type="dxa"/>
            <w:vAlign w:val="top"/>
          </w:tcPr>
          <w:p w14:paraId="1E3A998D">
            <w:pPr>
              <w:rPr>
                <w:rFonts w:ascii="Arial"/>
                <w:color w:val="auto"/>
                <w:sz w:val="21"/>
                <w:highlight w:val="none"/>
              </w:rPr>
            </w:pPr>
          </w:p>
        </w:tc>
        <w:tc>
          <w:tcPr>
            <w:tcW w:w="1128" w:type="dxa"/>
            <w:vAlign w:val="top"/>
          </w:tcPr>
          <w:p w14:paraId="16189919">
            <w:pPr>
              <w:rPr>
                <w:rFonts w:ascii="Arial"/>
                <w:color w:val="auto"/>
                <w:sz w:val="21"/>
                <w:highlight w:val="none"/>
              </w:rPr>
            </w:pPr>
          </w:p>
        </w:tc>
        <w:tc>
          <w:tcPr>
            <w:tcW w:w="1574" w:type="dxa"/>
            <w:vAlign w:val="top"/>
          </w:tcPr>
          <w:p w14:paraId="02D984D6">
            <w:pPr>
              <w:rPr>
                <w:rFonts w:ascii="Arial"/>
                <w:color w:val="auto"/>
                <w:sz w:val="21"/>
                <w:highlight w:val="none"/>
              </w:rPr>
            </w:pPr>
          </w:p>
        </w:tc>
        <w:tc>
          <w:tcPr>
            <w:tcW w:w="830" w:type="dxa"/>
            <w:vAlign w:val="top"/>
          </w:tcPr>
          <w:p w14:paraId="53BF88DD">
            <w:pPr>
              <w:rPr>
                <w:rFonts w:ascii="Arial"/>
                <w:color w:val="auto"/>
                <w:sz w:val="21"/>
                <w:highlight w:val="none"/>
              </w:rPr>
            </w:pPr>
          </w:p>
        </w:tc>
      </w:tr>
      <w:tr w14:paraId="6BD1C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5BFBB25D">
            <w:pPr>
              <w:rPr>
                <w:rFonts w:ascii="Arial"/>
                <w:color w:val="auto"/>
                <w:sz w:val="21"/>
                <w:highlight w:val="none"/>
              </w:rPr>
            </w:pPr>
          </w:p>
        </w:tc>
        <w:tc>
          <w:tcPr>
            <w:tcW w:w="1022" w:type="dxa"/>
            <w:vAlign w:val="top"/>
          </w:tcPr>
          <w:p w14:paraId="2CBB688D">
            <w:pPr>
              <w:rPr>
                <w:rFonts w:ascii="Arial"/>
                <w:color w:val="auto"/>
                <w:sz w:val="21"/>
                <w:highlight w:val="none"/>
              </w:rPr>
            </w:pPr>
          </w:p>
        </w:tc>
        <w:tc>
          <w:tcPr>
            <w:tcW w:w="652" w:type="dxa"/>
            <w:vAlign w:val="top"/>
          </w:tcPr>
          <w:p w14:paraId="0EC10E32">
            <w:pPr>
              <w:rPr>
                <w:rFonts w:ascii="Arial"/>
                <w:color w:val="auto"/>
                <w:sz w:val="21"/>
                <w:highlight w:val="none"/>
              </w:rPr>
            </w:pPr>
          </w:p>
        </w:tc>
        <w:tc>
          <w:tcPr>
            <w:tcW w:w="984" w:type="dxa"/>
            <w:vAlign w:val="top"/>
          </w:tcPr>
          <w:p w14:paraId="1A7B59B5">
            <w:pPr>
              <w:rPr>
                <w:rFonts w:ascii="Arial"/>
                <w:color w:val="auto"/>
                <w:sz w:val="21"/>
                <w:highlight w:val="none"/>
              </w:rPr>
            </w:pPr>
          </w:p>
        </w:tc>
        <w:tc>
          <w:tcPr>
            <w:tcW w:w="691" w:type="dxa"/>
            <w:vAlign w:val="top"/>
          </w:tcPr>
          <w:p w14:paraId="424A17E0">
            <w:pPr>
              <w:rPr>
                <w:rFonts w:ascii="Arial"/>
                <w:color w:val="auto"/>
                <w:sz w:val="21"/>
                <w:highlight w:val="none"/>
              </w:rPr>
            </w:pPr>
          </w:p>
        </w:tc>
        <w:tc>
          <w:tcPr>
            <w:tcW w:w="686" w:type="dxa"/>
            <w:vAlign w:val="top"/>
          </w:tcPr>
          <w:p w14:paraId="40CD6678">
            <w:pPr>
              <w:rPr>
                <w:rFonts w:ascii="Arial"/>
                <w:color w:val="auto"/>
                <w:sz w:val="21"/>
                <w:highlight w:val="none"/>
              </w:rPr>
            </w:pPr>
          </w:p>
        </w:tc>
        <w:tc>
          <w:tcPr>
            <w:tcW w:w="1128" w:type="dxa"/>
            <w:vAlign w:val="top"/>
          </w:tcPr>
          <w:p w14:paraId="12DA8F86">
            <w:pPr>
              <w:rPr>
                <w:rFonts w:ascii="Arial"/>
                <w:color w:val="auto"/>
                <w:sz w:val="21"/>
                <w:highlight w:val="none"/>
              </w:rPr>
            </w:pPr>
          </w:p>
        </w:tc>
        <w:tc>
          <w:tcPr>
            <w:tcW w:w="1574" w:type="dxa"/>
            <w:vAlign w:val="top"/>
          </w:tcPr>
          <w:p w14:paraId="7BD331E9">
            <w:pPr>
              <w:rPr>
                <w:rFonts w:ascii="Arial"/>
                <w:color w:val="auto"/>
                <w:sz w:val="21"/>
                <w:highlight w:val="none"/>
              </w:rPr>
            </w:pPr>
          </w:p>
        </w:tc>
        <w:tc>
          <w:tcPr>
            <w:tcW w:w="830" w:type="dxa"/>
            <w:vAlign w:val="top"/>
          </w:tcPr>
          <w:p w14:paraId="61789EA2">
            <w:pPr>
              <w:rPr>
                <w:rFonts w:ascii="Arial"/>
                <w:color w:val="auto"/>
                <w:sz w:val="21"/>
                <w:highlight w:val="none"/>
              </w:rPr>
            </w:pPr>
          </w:p>
        </w:tc>
      </w:tr>
      <w:tr w14:paraId="7B36D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6D1D378">
            <w:pPr>
              <w:rPr>
                <w:rFonts w:ascii="Arial"/>
                <w:color w:val="auto"/>
                <w:sz w:val="21"/>
                <w:highlight w:val="none"/>
              </w:rPr>
            </w:pPr>
          </w:p>
        </w:tc>
        <w:tc>
          <w:tcPr>
            <w:tcW w:w="1022" w:type="dxa"/>
            <w:vAlign w:val="top"/>
          </w:tcPr>
          <w:p w14:paraId="049E9D46">
            <w:pPr>
              <w:rPr>
                <w:rFonts w:ascii="Arial"/>
                <w:color w:val="auto"/>
                <w:sz w:val="21"/>
                <w:highlight w:val="none"/>
              </w:rPr>
            </w:pPr>
          </w:p>
        </w:tc>
        <w:tc>
          <w:tcPr>
            <w:tcW w:w="652" w:type="dxa"/>
            <w:vAlign w:val="top"/>
          </w:tcPr>
          <w:p w14:paraId="00D4E115">
            <w:pPr>
              <w:rPr>
                <w:rFonts w:ascii="Arial"/>
                <w:color w:val="auto"/>
                <w:sz w:val="21"/>
                <w:highlight w:val="none"/>
              </w:rPr>
            </w:pPr>
          </w:p>
        </w:tc>
        <w:tc>
          <w:tcPr>
            <w:tcW w:w="984" w:type="dxa"/>
            <w:vAlign w:val="top"/>
          </w:tcPr>
          <w:p w14:paraId="36F8729E">
            <w:pPr>
              <w:rPr>
                <w:rFonts w:ascii="Arial"/>
                <w:color w:val="auto"/>
                <w:sz w:val="21"/>
                <w:highlight w:val="none"/>
              </w:rPr>
            </w:pPr>
          </w:p>
        </w:tc>
        <w:tc>
          <w:tcPr>
            <w:tcW w:w="691" w:type="dxa"/>
            <w:vAlign w:val="top"/>
          </w:tcPr>
          <w:p w14:paraId="6D80FC5A">
            <w:pPr>
              <w:rPr>
                <w:rFonts w:ascii="Arial"/>
                <w:color w:val="auto"/>
                <w:sz w:val="21"/>
                <w:highlight w:val="none"/>
              </w:rPr>
            </w:pPr>
          </w:p>
        </w:tc>
        <w:tc>
          <w:tcPr>
            <w:tcW w:w="686" w:type="dxa"/>
            <w:vAlign w:val="top"/>
          </w:tcPr>
          <w:p w14:paraId="58EFF2C8">
            <w:pPr>
              <w:rPr>
                <w:rFonts w:ascii="Arial"/>
                <w:color w:val="auto"/>
                <w:sz w:val="21"/>
                <w:highlight w:val="none"/>
              </w:rPr>
            </w:pPr>
          </w:p>
        </w:tc>
        <w:tc>
          <w:tcPr>
            <w:tcW w:w="1128" w:type="dxa"/>
            <w:vAlign w:val="top"/>
          </w:tcPr>
          <w:p w14:paraId="2F098F78">
            <w:pPr>
              <w:rPr>
                <w:rFonts w:ascii="Arial"/>
                <w:color w:val="auto"/>
                <w:sz w:val="21"/>
                <w:highlight w:val="none"/>
              </w:rPr>
            </w:pPr>
          </w:p>
        </w:tc>
        <w:tc>
          <w:tcPr>
            <w:tcW w:w="1574" w:type="dxa"/>
            <w:vAlign w:val="top"/>
          </w:tcPr>
          <w:p w14:paraId="3AF6097A">
            <w:pPr>
              <w:rPr>
                <w:rFonts w:ascii="Arial"/>
                <w:color w:val="auto"/>
                <w:sz w:val="21"/>
                <w:highlight w:val="none"/>
              </w:rPr>
            </w:pPr>
          </w:p>
        </w:tc>
        <w:tc>
          <w:tcPr>
            <w:tcW w:w="830" w:type="dxa"/>
            <w:vAlign w:val="top"/>
          </w:tcPr>
          <w:p w14:paraId="5085B3C3">
            <w:pPr>
              <w:rPr>
                <w:rFonts w:ascii="Arial"/>
                <w:color w:val="auto"/>
                <w:sz w:val="21"/>
                <w:highlight w:val="none"/>
              </w:rPr>
            </w:pPr>
          </w:p>
        </w:tc>
      </w:tr>
      <w:tr w14:paraId="4F6F9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482178C">
            <w:pPr>
              <w:rPr>
                <w:rFonts w:ascii="Arial"/>
                <w:color w:val="auto"/>
                <w:sz w:val="21"/>
                <w:highlight w:val="none"/>
              </w:rPr>
            </w:pPr>
          </w:p>
        </w:tc>
        <w:tc>
          <w:tcPr>
            <w:tcW w:w="1022" w:type="dxa"/>
            <w:vAlign w:val="top"/>
          </w:tcPr>
          <w:p w14:paraId="48861D1A">
            <w:pPr>
              <w:rPr>
                <w:rFonts w:ascii="Arial"/>
                <w:color w:val="auto"/>
                <w:sz w:val="21"/>
                <w:highlight w:val="none"/>
              </w:rPr>
            </w:pPr>
          </w:p>
        </w:tc>
        <w:tc>
          <w:tcPr>
            <w:tcW w:w="652" w:type="dxa"/>
            <w:vAlign w:val="top"/>
          </w:tcPr>
          <w:p w14:paraId="49D633D5">
            <w:pPr>
              <w:rPr>
                <w:rFonts w:ascii="Arial"/>
                <w:color w:val="auto"/>
                <w:sz w:val="21"/>
                <w:highlight w:val="none"/>
              </w:rPr>
            </w:pPr>
          </w:p>
        </w:tc>
        <w:tc>
          <w:tcPr>
            <w:tcW w:w="984" w:type="dxa"/>
            <w:vAlign w:val="top"/>
          </w:tcPr>
          <w:p w14:paraId="4F2FA788">
            <w:pPr>
              <w:rPr>
                <w:rFonts w:ascii="Arial"/>
                <w:color w:val="auto"/>
                <w:sz w:val="21"/>
                <w:highlight w:val="none"/>
              </w:rPr>
            </w:pPr>
          </w:p>
        </w:tc>
        <w:tc>
          <w:tcPr>
            <w:tcW w:w="691" w:type="dxa"/>
            <w:vAlign w:val="top"/>
          </w:tcPr>
          <w:p w14:paraId="0EC21F9E">
            <w:pPr>
              <w:rPr>
                <w:rFonts w:ascii="Arial"/>
                <w:color w:val="auto"/>
                <w:sz w:val="21"/>
                <w:highlight w:val="none"/>
              </w:rPr>
            </w:pPr>
          </w:p>
        </w:tc>
        <w:tc>
          <w:tcPr>
            <w:tcW w:w="686" w:type="dxa"/>
            <w:vAlign w:val="top"/>
          </w:tcPr>
          <w:p w14:paraId="407FB718">
            <w:pPr>
              <w:rPr>
                <w:rFonts w:ascii="Arial"/>
                <w:color w:val="auto"/>
                <w:sz w:val="21"/>
                <w:highlight w:val="none"/>
              </w:rPr>
            </w:pPr>
          </w:p>
        </w:tc>
        <w:tc>
          <w:tcPr>
            <w:tcW w:w="1128" w:type="dxa"/>
            <w:vAlign w:val="top"/>
          </w:tcPr>
          <w:p w14:paraId="28B97D69">
            <w:pPr>
              <w:rPr>
                <w:rFonts w:ascii="Arial"/>
                <w:color w:val="auto"/>
                <w:sz w:val="21"/>
                <w:highlight w:val="none"/>
              </w:rPr>
            </w:pPr>
          </w:p>
        </w:tc>
        <w:tc>
          <w:tcPr>
            <w:tcW w:w="1574" w:type="dxa"/>
            <w:vAlign w:val="top"/>
          </w:tcPr>
          <w:p w14:paraId="3EC0CC17">
            <w:pPr>
              <w:rPr>
                <w:rFonts w:ascii="Arial"/>
                <w:color w:val="auto"/>
                <w:sz w:val="21"/>
                <w:highlight w:val="none"/>
              </w:rPr>
            </w:pPr>
          </w:p>
        </w:tc>
        <w:tc>
          <w:tcPr>
            <w:tcW w:w="830" w:type="dxa"/>
            <w:vAlign w:val="top"/>
          </w:tcPr>
          <w:p w14:paraId="73876CBE">
            <w:pPr>
              <w:rPr>
                <w:rFonts w:ascii="Arial"/>
                <w:color w:val="auto"/>
                <w:sz w:val="21"/>
                <w:highlight w:val="none"/>
              </w:rPr>
            </w:pPr>
          </w:p>
        </w:tc>
      </w:tr>
      <w:tr w14:paraId="77948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C080993">
            <w:pPr>
              <w:rPr>
                <w:rFonts w:ascii="Arial"/>
                <w:color w:val="auto"/>
                <w:sz w:val="21"/>
                <w:highlight w:val="none"/>
              </w:rPr>
            </w:pPr>
          </w:p>
        </w:tc>
        <w:tc>
          <w:tcPr>
            <w:tcW w:w="1022" w:type="dxa"/>
            <w:vAlign w:val="top"/>
          </w:tcPr>
          <w:p w14:paraId="62AE81A8">
            <w:pPr>
              <w:rPr>
                <w:rFonts w:ascii="Arial"/>
                <w:color w:val="auto"/>
                <w:sz w:val="21"/>
                <w:highlight w:val="none"/>
              </w:rPr>
            </w:pPr>
          </w:p>
        </w:tc>
        <w:tc>
          <w:tcPr>
            <w:tcW w:w="652" w:type="dxa"/>
            <w:vAlign w:val="top"/>
          </w:tcPr>
          <w:p w14:paraId="09C78B69">
            <w:pPr>
              <w:rPr>
                <w:rFonts w:ascii="Arial"/>
                <w:color w:val="auto"/>
                <w:sz w:val="21"/>
                <w:highlight w:val="none"/>
              </w:rPr>
            </w:pPr>
          </w:p>
        </w:tc>
        <w:tc>
          <w:tcPr>
            <w:tcW w:w="984" w:type="dxa"/>
            <w:vAlign w:val="top"/>
          </w:tcPr>
          <w:p w14:paraId="39664EE2">
            <w:pPr>
              <w:rPr>
                <w:rFonts w:ascii="Arial"/>
                <w:color w:val="auto"/>
                <w:sz w:val="21"/>
                <w:highlight w:val="none"/>
              </w:rPr>
            </w:pPr>
          </w:p>
        </w:tc>
        <w:tc>
          <w:tcPr>
            <w:tcW w:w="691" w:type="dxa"/>
            <w:vAlign w:val="top"/>
          </w:tcPr>
          <w:p w14:paraId="4374A33B">
            <w:pPr>
              <w:rPr>
                <w:rFonts w:ascii="Arial"/>
                <w:color w:val="auto"/>
                <w:sz w:val="21"/>
                <w:highlight w:val="none"/>
              </w:rPr>
            </w:pPr>
          </w:p>
        </w:tc>
        <w:tc>
          <w:tcPr>
            <w:tcW w:w="686" w:type="dxa"/>
            <w:vAlign w:val="top"/>
          </w:tcPr>
          <w:p w14:paraId="76069A95">
            <w:pPr>
              <w:rPr>
                <w:rFonts w:ascii="Arial"/>
                <w:color w:val="auto"/>
                <w:sz w:val="21"/>
                <w:highlight w:val="none"/>
              </w:rPr>
            </w:pPr>
          </w:p>
        </w:tc>
        <w:tc>
          <w:tcPr>
            <w:tcW w:w="1128" w:type="dxa"/>
            <w:vAlign w:val="top"/>
          </w:tcPr>
          <w:p w14:paraId="216B985B">
            <w:pPr>
              <w:rPr>
                <w:rFonts w:ascii="Arial"/>
                <w:color w:val="auto"/>
                <w:sz w:val="21"/>
                <w:highlight w:val="none"/>
              </w:rPr>
            </w:pPr>
          </w:p>
        </w:tc>
        <w:tc>
          <w:tcPr>
            <w:tcW w:w="1574" w:type="dxa"/>
            <w:vAlign w:val="top"/>
          </w:tcPr>
          <w:p w14:paraId="2F213F81">
            <w:pPr>
              <w:rPr>
                <w:rFonts w:ascii="Arial"/>
                <w:color w:val="auto"/>
                <w:sz w:val="21"/>
                <w:highlight w:val="none"/>
              </w:rPr>
            </w:pPr>
          </w:p>
        </w:tc>
        <w:tc>
          <w:tcPr>
            <w:tcW w:w="830" w:type="dxa"/>
            <w:vAlign w:val="top"/>
          </w:tcPr>
          <w:p w14:paraId="547955DE">
            <w:pPr>
              <w:rPr>
                <w:rFonts w:ascii="Arial"/>
                <w:color w:val="auto"/>
                <w:sz w:val="21"/>
                <w:highlight w:val="none"/>
              </w:rPr>
            </w:pPr>
          </w:p>
        </w:tc>
      </w:tr>
      <w:tr w14:paraId="326DE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786B9DDD">
            <w:pPr>
              <w:rPr>
                <w:rFonts w:ascii="Arial"/>
                <w:color w:val="auto"/>
                <w:sz w:val="21"/>
                <w:highlight w:val="none"/>
              </w:rPr>
            </w:pPr>
          </w:p>
        </w:tc>
        <w:tc>
          <w:tcPr>
            <w:tcW w:w="1022" w:type="dxa"/>
            <w:vAlign w:val="top"/>
          </w:tcPr>
          <w:p w14:paraId="7DD2D4E6">
            <w:pPr>
              <w:rPr>
                <w:rFonts w:ascii="Arial"/>
                <w:color w:val="auto"/>
                <w:sz w:val="21"/>
                <w:highlight w:val="none"/>
              </w:rPr>
            </w:pPr>
          </w:p>
        </w:tc>
        <w:tc>
          <w:tcPr>
            <w:tcW w:w="652" w:type="dxa"/>
            <w:vAlign w:val="top"/>
          </w:tcPr>
          <w:p w14:paraId="6568EF97">
            <w:pPr>
              <w:rPr>
                <w:rFonts w:ascii="Arial"/>
                <w:color w:val="auto"/>
                <w:sz w:val="21"/>
                <w:highlight w:val="none"/>
              </w:rPr>
            </w:pPr>
          </w:p>
        </w:tc>
        <w:tc>
          <w:tcPr>
            <w:tcW w:w="984" w:type="dxa"/>
            <w:vAlign w:val="top"/>
          </w:tcPr>
          <w:p w14:paraId="19B583D6">
            <w:pPr>
              <w:rPr>
                <w:rFonts w:ascii="Arial"/>
                <w:color w:val="auto"/>
                <w:sz w:val="21"/>
                <w:highlight w:val="none"/>
              </w:rPr>
            </w:pPr>
          </w:p>
        </w:tc>
        <w:tc>
          <w:tcPr>
            <w:tcW w:w="691" w:type="dxa"/>
            <w:vAlign w:val="top"/>
          </w:tcPr>
          <w:p w14:paraId="4E64F4EF">
            <w:pPr>
              <w:rPr>
                <w:rFonts w:ascii="Arial"/>
                <w:color w:val="auto"/>
                <w:sz w:val="21"/>
                <w:highlight w:val="none"/>
              </w:rPr>
            </w:pPr>
          </w:p>
        </w:tc>
        <w:tc>
          <w:tcPr>
            <w:tcW w:w="686" w:type="dxa"/>
            <w:vAlign w:val="top"/>
          </w:tcPr>
          <w:p w14:paraId="5F6072C1">
            <w:pPr>
              <w:rPr>
                <w:rFonts w:ascii="Arial"/>
                <w:color w:val="auto"/>
                <w:sz w:val="21"/>
                <w:highlight w:val="none"/>
              </w:rPr>
            </w:pPr>
          </w:p>
        </w:tc>
        <w:tc>
          <w:tcPr>
            <w:tcW w:w="1128" w:type="dxa"/>
            <w:vAlign w:val="top"/>
          </w:tcPr>
          <w:p w14:paraId="20DC18BD">
            <w:pPr>
              <w:rPr>
                <w:rFonts w:ascii="Arial"/>
                <w:color w:val="auto"/>
                <w:sz w:val="21"/>
                <w:highlight w:val="none"/>
              </w:rPr>
            </w:pPr>
          </w:p>
        </w:tc>
        <w:tc>
          <w:tcPr>
            <w:tcW w:w="1574" w:type="dxa"/>
            <w:vAlign w:val="top"/>
          </w:tcPr>
          <w:p w14:paraId="3860723D">
            <w:pPr>
              <w:rPr>
                <w:rFonts w:ascii="Arial"/>
                <w:color w:val="auto"/>
                <w:sz w:val="21"/>
                <w:highlight w:val="none"/>
              </w:rPr>
            </w:pPr>
          </w:p>
        </w:tc>
        <w:tc>
          <w:tcPr>
            <w:tcW w:w="830" w:type="dxa"/>
            <w:vAlign w:val="top"/>
          </w:tcPr>
          <w:p w14:paraId="43B65C0C">
            <w:pPr>
              <w:rPr>
                <w:rFonts w:ascii="Arial"/>
                <w:color w:val="auto"/>
                <w:sz w:val="21"/>
                <w:highlight w:val="none"/>
              </w:rPr>
            </w:pPr>
          </w:p>
        </w:tc>
      </w:tr>
      <w:tr w14:paraId="6E88E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47EBE44E">
            <w:pPr>
              <w:rPr>
                <w:rFonts w:ascii="Arial"/>
                <w:color w:val="auto"/>
                <w:sz w:val="21"/>
                <w:highlight w:val="none"/>
              </w:rPr>
            </w:pPr>
          </w:p>
        </w:tc>
        <w:tc>
          <w:tcPr>
            <w:tcW w:w="1022" w:type="dxa"/>
            <w:vAlign w:val="top"/>
          </w:tcPr>
          <w:p w14:paraId="39C86D4D">
            <w:pPr>
              <w:rPr>
                <w:rFonts w:ascii="Arial"/>
                <w:color w:val="auto"/>
                <w:sz w:val="21"/>
                <w:highlight w:val="none"/>
              </w:rPr>
            </w:pPr>
          </w:p>
        </w:tc>
        <w:tc>
          <w:tcPr>
            <w:tcW w:w="652" w:type="dxa"/>
            <w:vAlign w:val="top"/>
          </w:tcPr>
          <w:p w14:paraId="43A2B255">
            <w:pPr>
              <w:rPr>
                <w:rFonts w:ascii="Arial"/>
                <w:color w:val="auto"/>
                <w:sz w:val="21"/>
                <w:highlight w:val="none"/>
              </w:rPr>
            </w:pPr>
          </w:p>
        </w:tc>
        <w:tc>
          <w:tcPr>
            <w:tcW w:w="984" w:type="dxa"/>
            <w:vAlign w:val="top"/>
          </w:tcPr>
          <w:p w14:paraId="73737FDB">
            <w:pPr>
              <w:rPr>
                <w:rFonts w:ascii="Arial"/>
                <w:color w:val="auto"/>
                <w:sz w:val="21"/>
                <w:highlight w:val="none"/>
              </w:rPr>
            </w:pPr>
          </w:p>
        </w:tc>
        <w:tc>
          <w:tcPr>
            <w:tcW w:w="691" w:type="dxa"/>
            <w:vAlign w:val="top"/>
          </w:tcPr>
          <w:p w14:paraId="0B66547A">
            <w:pPr>
              <w:rPr>
                <w:rFonts w:ascii="Arial"/>
                <w:color w:val="auto"/>
                <w:sz w:val="21"/>
                <w:highlight w:val="none"/>
              </w:rPr>
            </w:pPr>
          </w:p>
        </w:tc>
        <w:tc>
          <w:tcPr>
            <w:tcW w:w="686" w:type="dxa"/>
            <w:vAlign w:val="top"/>
          </w:tcPr>
          <w:p w14:paraId="54AD1A7B">
            <w:pPr>
              <w:rPr>
                <w:rFonts w:ascii="Arial"/>
                <w:color w:val="auto"/>
                <w:sz w:val="21"/>
                <w:highlight w:val="none"/>
              </w:rPr>
            </w:pPr>
          </w:p>
        </w:tc>
        <w:tc>
          <w:tcPr>
            <w:tcW w:w="1128" w:type="dxa"/>
            <w:vAlign w:val="top"/>
          </w:tcPr>
          <w:p w14:paraId="38AA65FF">
            <w:pPr>
              <w:rPr>
                <w:rFonts w:ascii="Arial"/>
                <w:color w:val="auto"/>
                <w:sz w:val="21"/>
                <w:highlight w:val="none"/>
              </w:rPr>
            </w:pPr>
          </w:p>
        </w:tc>
        <w:tc>
          <w:tcPr>
            <w:tcW w:w="1574" w:type="dxa"/>
            <w:vAlign w:val="top"/>
          </w:tcPr>
          <w:p w14:paraId="57BADF99">
            <w:pPr>
              <w:rPr>
                <w:rFonts w:ascii="Arial"/>
                <w:color w:val="auto"/>
                <w:sz w:val="21"/>
                <w:highlight w:val="none"/>
              </w:rPr>
            </w:pPr>
          </w:p>
        </w:tc>
        <w:tc>
          <w:tcPr>
            <w:tcW w:w="830" w:type="dxa"/>
            <w:vAlign w:val="top"/>
          </w:tcPr>
          <w:p w14:paraId="6E769AE0">
            <w:pPr>
              <w:rPr>
                <w:rFonts w:ascii="Arial"/>
                <w:color w:val="auto"/>
                <w:sz w:val="21"/>
                <w:highlight w:val="none"/>
              </w:rPr>
            </w:pPr>
          </w:p>
        </w:tc>
      </w:tr>
      <w:tr w14:paraId="73312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2ADC50F9">
            <w:pPr>
              <w:rPr>
                <w:rFonts w:ascii="Arial"/>
                <w:color w:val="auto"/>
                <w:sz w:val="21"/>
                <w:highlight w:val="none"/>
              </w:rPr>
            </w:pPr>
          </w:p>
        </w:tc>
        <w:tc>
          <w:tcPr>
            <w:tcW w:w="1022" w:type="dxa"/>
            <w:vAlign w:val="top"/>
          </w:tcPr>
          <w:p w14:paraId="334C48BE">
            <w:pPr>
              <w:rPr>
                <w:rFonts w:ascii="Arial"/>
                <w:color w:val="auto"/>
                <w:sz w:val="21"/>
                <w:highlight w:val="none"/>
              </w:rPr>
            </w:pPr>
          </w:p>
        </w:tc>
        <w:tc>
          <w:tcPr>
            <w:tcW w:w="652" w:type="dxa"/>
            <w:vAlign w:val="top"/>
          </w:tcPr>
          <w:p w14:paraId="7C2924DE">
            <w:pPr>
              <w:rPr>
                <w:rFonts w:ascii="Arial"/>
                <w:color w:val="auto"/>
                <w:sz w:val="21"/>
                <w:highlight w:val="none"/>
              </w:rPr>
            </w:pPr>
          </w:p>
        </w:tc>
        <w:tc>
          <w:tcPr>
            <w:tcW w:w="984" w:type="dxa"/>
            <w:vAlign w:val="top"/>
          </w:tcPr>
          <w:p w14:paraId="10DE6A9A">
            <w:pPr>
              <w:rPr>
                <w:rFonts w:ascii="Arial"/>
                <w:color w:val="auto"/>
                <w:sz w:val="21"/>
                <w:highlight w:val="none"/>
              </w:rPr>
            </w:pPr>
          </w:p>
        </w:tc>
        <w:tc>
          <w:tcPr>
            <w:tcW w:w="691" w:type="dxa"/>
            <w:vAlign w:val="top"/>
          </w:tcPr>
          <w:p w14:paraId="43478005">
            <w:pPr>
              <w:rPr>
                <w:rFonts w:ascii="Arial"/>
                <w:color w:val="auto"/>
                <w:sz w:val="21"/>
                <w:highlight w:val="none"/>
              </w:rPr>
            </w:pPr>
          </w:p>
        </w:tc>
        <w:tc>
          <w:tcPr>
            <w:tcW w:w="686" w:type="dxa"/>
            <w:vAlign w:val="top"/>
          </w:tcPr>
          <w:p w14:paraId="6DE12E93">
            <w:pPr>
              <w:rPr>
                <w:rFonts w:ascii="Arial"/>
                <w:color w:val="auto"/>
                <w:sz w:val="21"/>
                <w:highlight w:val="none"/>
              </w:rPr>
            </w:pPr>
          </w:p>
        </w:tc>
        <w:tc>
          <w:tcPr>
            <w:tcW w:w="1128" w:type="dxa"/>
            <w:vAlign w:val="top"/>
          </w:tcPr>
          <w:p w14:paraId="771D9372">
            <w:pPr>
              <w:rPr>
                <w:rFonts w:ascii="Arial"/>
                <w:color w:val="auto"/>
                <w:sz w:val="21"/>
                <w:highlight w:val="none"/>
              </w:rPr>
            </w:pPr>
          </w:p>
        </w:tc>
        <w:tc>
          <w:tcPr>
            <w:tcW w:w="1574" w:type="dxa"/>
            <w:vAlign w:val="top"/>
          </w:tcPr>
          <w:p w14:paraId="0027D7EC">
            <w:pPr>
              <w:rPr>
                <w:rFonts w:ascii="Arial"/>
                <w:color w:val="auto"/>
                <w:sz w:val="21"/>
                <w:highlight w:val="none"/>
              </w:rPr>
            </w:pPr>
          </w:p>
        </w:tc>
        <w:tc>
          <w:tcPr>
            <w:tcW w:w="830" w:type="dxa"/>
            <w:vAlign w:val="top"/>
          </w:tcPr>
          <w:p w14:paraId="2C3012A6">
            <w:pPr>
              <w:rPr>
                <w:rFonts w:ascii="Arial"/>
                <w:color w:val="auto"/>
                <w:sz w:val="21"/>
                <w:highlight w:val="none"/>
              </w:rPr>
            </w:pPr>
          </w:p>
        </w:tc>
      </w:tr>
      <w:tr w14:paraId="04C3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4312D901">
            <w:pPr>
              <w:rPr>
                <w:rFonts w:ascii="Arial"/>
                <w:color w:val="auto"/>
                <w:sz w:val="21"/>
                <w:highlight w:val="none"/>
              </w:rPr>
            </w:pPr>
          </w:p>
        </w:tc>
        <w:tc>
          <w:tcPr>
            <w:tcW w:w="1022" w:type="dxa"/>
            <w:vAlign w:val="top"/>
          </w:tcPr>
          <w:p w14:paraId="599A84EF">
            <w:pPr>
              <w:rPr>
                <w:rFonts w:ascii="Arial"/>
                <w:color w:val="auto"/>
                <w:sz w:val="21"/>
                <w:highlight w:val="none"/>
              </w:rPr>
            </w:pPr>
          </w:p>
        </w:tc>
        <w:tc>
          <w:tcPr>
            <w:tcW w:w="652" w:type="dxa"/>
            <w:vAlign w:val="top"/>
          </w:tcPr>
          <w:p w14:paraId="5D1F20E0">
            <w:pPr>
              <w:rPr>
                <w:rFonts w:ascii="Arial"/>
                <w:color w:val="auto"/>
                <w:sz w:val="21"/>
                <w:highlight w:val="none"/>
              </w:rPr>
            </w:pPr>
          </w:p>
        </w:tc>
        <w:tc>
          <w:tcPr>
            <w:tcW w:w="984" w:type="dxa"/>
            <w:vAlign w:val="top"/>
          </w:tcPr>
          <w:p w14:paraId="76B72ECB">
            <w:pPr>
              <w:rPr>
                <w:rFonts w:ascii="Arial"/>
                <w:color w:val="auto"/>
                <w:sz w:val="21"/>
                <w:highlight w:val="none"/>
              </w:rPr>
            </w:pPr>
          </w:p>
        </w:tc>
        <w:tc>
          <w:tcPr>
            <w:tcW w:w="691" w:type="dxa"/>
            <w:vAlign w:val="top"/>
          </w:tcPr>
          <w:p w14:paraId="11550A36">
            <w:pPr>
              <w:rPr>
                <w:rFonts w:ascii="Arial"/>
                <w:color w:val="auto"/>
                <w:sz w:val="21"/>
                <w:highlight w:val="none"/>
              </w:rPr>
            </w:pPr>
          </w:p>
        </w:tc>
        <w:tc>
          <w:tcPr>
            <w:tcW w:w="686" w:type="dxa"/>
            <w:vAlign w:val="top"/>
          </w:tcPr>
          <w:p w14:paraId="328E185E">
            <w:pPr>
              <w:rPr>
                <w:rFonts w:ascii="Arial"/>
                <w:color w:val="auto"/>
                <w:sz w:val="21"/>
                <w:highlight w:val="none"/>
              </w:rPr>
            </w:pPr>
          </w:p>
        </w:tc>
        <w:tc>
          <w:tcPr>
            <w:tcW w:w="1128" w:type="dxa"/>
            <w:vAlign w:val="top"/>
          </w:tcPr>
          <w:p w14:paraId="78B42527">
            <w:pPr>
              <w:rPr>
                <w:rFonts w:ascii="Arial"/>
                <w:color w:val="auto"/>
                <w:sz w:val="21"/>
                <w:highlight w:val="none"/>
              </w:rPr>
            </w:pPr>
          </w:p>
        </w:tc>
        <w:tc>
          <w:tcPr>
            <w:tcW w:w="1574" w:type="dxa"/>
            <w:vAlign w:val="top"/>
          </w:tcPr>
          <w:p w14:paraId="11360BC8">
            <w:pPr>
              <w:rPr>
                <w:rFonts w:ascii="Arial"/>
                <w:color w:val="auto"/>
                <w:sz w:val="21"/>
                <w:highlight w:val="none"/>
              </w:rPr>
            </w:pPr>
          </w:p>
        </w:tc>
        <w:tc>
          <w:tcPr>
            <w:tcW w:w="830" w:type="dxa"/>
            <w:vAlign w:val="top"/>
          </w:tcPr>
          <w:p w14:paraId="470E99C6">
            <w:pPr>
              <w:rPr>
                <w:rFonts w:ascii="Arial"/>
                <w:color w:val="auto"/>
                <w:sz w:val="21"/>
                <w:highlight w:val="none"/>
              </w:rPr>
            </w:pPr>
          </w:p>
        </w:tc>
      </w:tr>
      <w:tr w14:paraId="5EB88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49" w:type="dxa"/>
            <w:vAlign w:val="top"/>
          </w:tcPr>
          <w:p w14:paraId="73AF0DDC">
            <w:pPr>
              <w:rPr>
                <w:rFonts w:ascii="Arial"/>
                <w:color w:val="auto"/>
                <w:sz w:val="21"/>
                <w:highlight w:val="none"/>
              </w:rPr>
            </w:pPr>
          </w:p>
        </w:tc>
        <w:tc>
          <w:tcPr>
            <w:tcW w:w="1022" w:type="dxa"/>
            <w:vAlign w:val="top"/>
          </w:tcPr>
          <w:p w14:paraId="0C338CC3">
            <w:pPr>
              <w:rPr>
                <w:rFonts w:ascii="Arial"/>
                <w:color w:val="auto"/>
                <w:sz w:val="21"/>
                <w:highlight w:val="none"/>
              </w:rPr>
            </w:pPr>
          </w:p>
        </w:tc>
        <w:tc>
          <w:tcPr>
            <w:tcW w:w="652" w:type="dxa"/>
            <w:vAlign w:val="top"/>
          </w:tcPr>
          <w:p w14:paraId="5422E0CC">
            <w:pPr>
              <w:rPr>
                <w:rFonts w:ascii="Arial"/>
                <w:color w:val="auto"/>
                <w:sz w:val="21"/>
                <w:highlight w:val="none"/>
              </w:rPr>
            </w:pPr>
          </w:p>
        </w:tc>
        <w:tc>
          <w:tcPr>
            <w:tcW w:w="984" w:type="dxa"/>
            <w:vAlign w:val="top"/>
          </w:tcPr>
          <w:p w14:paraId="56C1665D">
            <w:pPr>
              <w:rPr>
                <w:rFonts w:ascii="Arial"/>
                <w:color w:val="auto"/>
                <w:sz w:val="21"/>
                <w:highlight w:val="none"/>
              </w:rPr>
            </w:pPr>
          </w:p>
        </w:tc>
        <w:tc>
          <w:tcPr>
            <w:tcW w:w="691" w:type="dxa"/>
            <w:vAlign w:val="top"/>
          </w:tcPr>
          <w:p w14:paraId="618D373C">
            <w:pPr>
              <w:rPr>
                <w:rFonts w:ascii="Arial"/>
                <w:color w:val="auto"/>
                <w:sz w:val="21"/>
                <w:highlight w:val="none"/>
              </w:rPr>
            </w:pPr>
          </w:p>
        </w:tc>
        <w:tc>
          <w:tcPr>
            <w:tcW w:w="686" w:type="dxa"/>
            <w:vAlign w:val="top"/>
          </w:tcPr>
          <w:p w14:paraId="511E7138">
            <w:pPr>
              <w:rPr>
                <w:rFonts w:ascii="Arial"/>
                <w:color w:val="auto"/>
                <w:sz w:val="21"/>
                <w:highlight w:val="none"/>
              </w:rPr>
            </w:pPr>
          </w:p>
        </w:tc>
        <w:tc>
          <w:tcPr>
            <w:tcW w:w="1128" w:type="dxa"/>
            <w:vAlign w:val="top"/>
          </w:tcPr>
          <w:p w14:paraId="25F440B2">
            <w:pPr>
              <w:rPr>
                <w:rFonts w:ascii="Arial"/>
                <w:color w:val="auto"/>
                <w:sz w:val="21"/>
                <w:highlight w:val="none"/>
              </w:rPr>
            </w:pPr>
          </w:p>
        </w:tc>
        <w:tc>
          <w:tcPr>
            <w:tcW w:w="1574" w:type="dxa"/>
            <w:vAlign w:val="top"/>
          </w:tcPr>
          <w:p w14:paraId="1F9EB4A1">
            <w:pPr>
              <w:rPr>
                <w:rFonts w:ascii="Arial"/>
                <w:color w:val="auto"/>
                <w:sz w:val="21"/>
                <w:highlight w:val="none"/>
              </w:rPr>
            </w:pPr>
          </w:p>
        </w:tc>
        <w:tc>
          <w:tcPr>
            <w:tcW w:w="830" w:type="dxa"/>
            <w:vAlign w:val="top"/>
          </w:tcPr>
          <w:p w14:paraId="57D626CE">
            <w:pPr>
              <w:rPr>
                <w:rFonts w:ascii="Arial"/>
                <w:color w:val="auto"/>
                <w:sz w:val="21"/>
                <w:highlight w:val="none"/>
              </w:rPr>
            </w:pPr>
          </w:p>
        </w:tc>
      </w:tr>
      <w:tr w14:paraId="4954C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84D6264">
            <w:pPr>
              <w:rPr>
                <w:rFonts w:ascii="Arial"/>
                <w:color w:val="auto"/>
                <w:sz w:val="21"/>
                <w:highlight w:val="none"/>
              </w:rPr>
            </w:pPr>
          </w:p>
        </w:tc>
        <w:tc>
          <w:tcPr>
            <w:tcW w:w="1022" w:type="dxa"/>
            <w:vAlign w:val="top"/>
          </w:tcPr>
          <w:p w14:paraId="4B22F1DC">
            <w:pPr>
              <w:rPr>
                <w:rFonts w:ascii="Arial"/>
                <w:color w:val="auto"/>
                <w:sz w:val="21"/>
                <w:highlight w:val="none"/>
              </w:rPr>
            </w:pPr>
          </w:p>
        </w:tc>
        <w:tc>
          <w:tcPr>
            <w:tcW w:w="652" w:type="dxa"/>
            <w:vAlign w:val="top"/>
          </w:tcPr>
          <w:p w14:paraId="38BC39BD">
            <w:pPr>
              <w:rPr>
                <w:rFonts w:ascii="Arial"/>
                <w:color w:val="auto"/>
                <w:sz w:val="21"/>
                <w:highlight w:val="none"/>
              </w:rPr>
            </w:pPr>
          </w:p>
        </w:tc>
        <w:tc>
          <w:tcPr>
            <w:tcW w:w="984" w:type="dxa"/>
            <w:vAlign w:val="top"/>
          </w:tcPr>
          <w:p w14:paraId="682BC521">
            <w:pPr>
              <w:rPr>
                <w:rFonts w:ascii="Arial"/>
                <w:color w:val="auto"/>
                <w:sz w:val="21"/>
                <w:highlight w:val="none"/>
              </w:rPr>
            </w:pPr>
          </w:p>
        </w:tc>
        <w:tc>
          <w:tcPr>
            <w:tcW w:w="691" w:type="dxa"/>
            <w:vAlign w:val="top"/>
          </w:tcPr>
          <w:p w14:paraId="14ADCEFC">
            <w:pPr>
              <w:rPr>
                <w:rFonts w:ascii="Arial"/>
                <w:color w:val="auto"/>
                <w:sz w:val="21"/>
                <w:highlight w:val="none"/>
              </w:rPr>
            </w:pPr>
          </w:p>
        </w:tc>
        <w:tc>
          <w:tcPr>
            <w:tcW w:w="686" w:type="dxa"/>
            <w:vAlign w:val="top"/>
          </w:tcPr>
          <w:p w14:paraId="7DF0308B">
            <w:pPr>
              <w:rPr>
                <w:rFonts w:ascii="Arial"/>
                <w:color w:val="auto"/>
                <w:sz w:val="21"/>
                <w:highlight w:val="none"/>
              </w:rPr>
            </w:pPr>
          </w:p>
        </w:tc>
        <w:tc>
          <w:tcPr>
            <w:tcW w:w="1128" w:type="dxa"/>
            <w:vAlign w:val="top"/>
          </w:tcPr>
          <w:p w14:paraId="797C7EB5">
            <w:pPr>
              <w:rPr>
                <w:rFonts w:ascii="Arial"/>
                <w:color w:val="auto"/>
                <w:sz w:val="21"/>
                <w:highlight w:val="none"/>
              </w:rPr>
            </w:pPr>
          </w:p>
        </w:tc>
        <w:tc>
          <w:tcPr>
            <w:tcW w:w="1574" w:type="dxa"/>
            <w:vAlign w:val="top"/>
          </w:tcPr>
          <w:p w14:paraId="3F808AB0">
            <w:pPr>
              <w:rPr>
                <w:rFonts w:ascii="Arial"/>
                <w:color w:val="auto"/>
                <w:sz w:val="21"/>
                <w:highlight w:val="none"/>
              </w:rPr>
            </w:pPr>
          </w:p>
        </w:tc>
        <w:tc>
          <w:tcPr>
            <w:tcW w:w="830" w:type="dxa"/>
            <w:vAlign w:val="top"/>
          </w:tcPr>
          <w:p w14:paraId="41B5980D">
            <w:pPr>
              <w:rPr>
                <w:rFonts w:ascii="Arial"/>
                <w:color w:val="auto"/>
                <w:sz w:val="21"/>
                <w:highlight w:val="none"/>
              </w:rPr>
            </w:pPr>
          </w:p>
        </w:tc>
      </w:tr>
      <w:tr w14:paraId="4A57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ABBF16B">
            <w:pPr>
              <w:rPr>
                <w:rFonts w:ascii="Arial"/>
                <w:color w:val="auto"/>
                <w:sz w:val="21"/>
                <w:highlight w:val="none"/>
              </w:rPr>
            </w:pPr>
          </w:p>
        </w:tc>
        <w:tc>
          <w:tcPr>
            <w:tcW w:w="1022" w:type="dxa"/>
            <w:vAlign w:val="top"/>
          </w:tcPr>
          <w:p w14:paraId="17EC4688">
            <w:pPr>
              <w:rPr>
                <w:rFonts w:ascii="Arial"/>
                <w:color w:val="auto"/>
                <w:sz w:val="21"/>
                <w:highlight w:val="none"/>
              </w:rPr>
            </w:pPr>
          </w:p>
        </w:tc>
        <w:tc>
          <w:tcPr>
            <w:tcW w:w="652" w:type="dxa"/>
            <w:vAlign w:val="top"/>
          </w:tcPr>
          <w:p w14:paraId="41B82CF1">
            <w:pPr>
              <w:rPr>
                <w:rFonts w:ascii="Arial"/>
                <w:color w:val="auto"/>
                <w:sz w:val="21"/>
                <w:highlight w:val="none"/>
              </w:rPr>
            </w:pPr>
          </w:p>
        </w:tc>
        <w:tc>
          <w:tcPr>
            <w:tcW w:w="984" w:type="dxa"/>
            <w:vAlign w:val="top"/>
          </w:tcPr>
          <w:p w14:paraId="1CAE5859">
            <w:pPr>
              <w:rPr>
                <w:rFonts w:ascii="Arial"/>
                <w:color w:val="auto"/>
                <w:sz w:val="21"/>
                <w:highlight w:val="none"/>
              </w:rPr>
            </w:pPr>
          </w:p>
        </w:tc>
        <w:tc>
          <w:tcPr>
            <w:tcW w:w="691" w:type="dxa"/>
            <w:vAlign w:val="top"/>
          </w:tcPr>
          <w:p w14:paraId="2879BF80">
            <w:pPr>
              <w:rPr>
                <w:rFonts w:ascii="Arial"/>
                <w:color w:val="auto"/>
                <w:sz w:val="21"/>
                <w:highlight w:val="none"/>
              </w:rPr>
            </w:pPr>
          </w:p>
        </w:tc>
        <w:tc>
          <w:tcPr>
            <w:tcW w:w="686" w:type="dxa"/>
            <w:vAlign w:val="top"/>
          </w:tcPr>
          <w:p w14:paraId="6195E9EB">
            <w:pPr>
              <w:rPr>
                <w:rFonts w:ascii="Arial"/>
                <w:color w:val="auto"/>
                <w:sz w:val="21"/>
                <w:highlight w:val="none"/>
              </w:rPr>
            </w:pPr>
          </w:p>
        </w:tc>
        <w:tc>
          <w:tcPr>
            <w:tcW w:w="1128" w:type="dxa"/>
            <w:vAlign w:val="top"/>
          </w:tcPr>
          <w:p w14:paraId="3BF1C9A1">
            <w:pPr>
              <w:rPr>
                <w:rFonts w:ascii="Arial"/>
                <w:color w:val="auto"/>
                <w:sz w:val="21"/>
                <w:highlight w:val="none"/>
              </w:rPr>
            </w:pPr>
          </w:p>
        </w:tc>
        <w:tc>
          <w:tcPr>
            <w:tcW w:w="1574" w:type="dxa"/>
            <w:vAlign w:val="top"/>
          </w:tcPr>
          <w:p w14:paraId="4A16E262">
            <w:pPr>
              <w:rPr>
                <w:rFonts w:ascii="Arial"/>
                <w:color w:val="auto"/>
                <w:sz w:val="21"/>
                <w:highlight w:val="none"/>
              </w:rPr>
            </w:pPr>
          </w:p>
        </w:tc>
        <w:tc>
          <w:tcPr>
            <w:tcW w:w="830" w:type="dxa"/>
            <w:vAlign w:val="top"/>
          </w:tcPr>
          <w:p w14:paraId="3C769688">
            <w:pPr>
              <w:rPr>
                <w:rFonts w:ascii="Arial"/>
                <w:color w:val="auto"/>
                <w:sz w:val="21"/>
                <w:highlight w:val="none"/>
              </w:rPr>
            </w:pPr>
          </w:p>
        </w:tc>
      </w:tr>
      <w:tr w14:paraId="02846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F978F4A">
            <w:pPr>
              <w:rPr>
                <w:rFonts w:ascii="Arial"/>
                <w:color w:val="auto"/>
                <w:sz w:val="21"/>
                <w:highlight w:val="none"/>
              </w:rPr>
            </w:pPr>
          </w:p>
        </w:tc>
        <w:tc>
          <w:tcPr>
            <w:tcW w:w="1022" w:type="dxa"/>
            <w:vAlign w:val="top"/>
          </w:tcPr>
          <w:p w14:paraId="4DA1596C">
            <w:pPr>
              <w:rPr>
                <w:rFonts w:ascii="Arial"/>
                <w:color w:val="auto"/>
                <w:sz w:val="21"/>
                <w:highlight w:val="none"/>
              </w:rPr>
            </w:pPr>
          </w:p>
        </w:tc>
        <w:tc>
          <w:tcPr>
            <w:tcW w:w="652" w:type="dxa"/>
            <w:vAlign w:val="top"/>
          </w:tcPr>
          <w:p w14:paraId="525357C7">
            <w:pPr>
              <w:rPr>
                <w:rFonts w:ascii="Arial"/>
                <w:color w:val="auto"/>
                <w:sz w:val="21"/>
                <w:highlight w:val="none"/>
              </w:rPr>
            </w:pPr>
          </w:p>
        </w:tc>
        <w:tc>
          <w:tcPr>
            <w:tcW w:w="984" w:type="dxa"/>
            <w:vAlign w:val="top"/>
          </w:tcPr>
          <w:p w14:paraId="0BB3A77D">
            <w:pPr>
              <w:rPr>
                <w:rFonts w:ascii="Arial"/>
                <w:color w:val="auto"/>
                <w:sz w:val="21"/>
                <w:highlight w:val="none"/>
              </w:rPr>
            </w:pPr>
          </w:p>
        </w:tc>
        <w:tc>
          <w:tcPr>
            <w:tcW w:w="691" w:type="dxa"/>
            <w:vAlign w:val="top"/>
          </w:tcPr>
          <w:p w14:paraId="38B861CD">
            <w:pPr>
              <w:rPr>
                <w:rFonts w:ascii="Arial"/>
                <w:color w:val="auto"/>
                <w:sz w:val="21"/>
                <w:highlight w:val="none"/>
              </w:rPr>
            </w:pPr>
          </w:p>
        </w:tc>
        <w:tc>
          <w:tcPr>
            <w:tcW w:w="686" w:type="dxa"/>
            <w:vAlign w:val="top"/>
          </w:tcPr>
          <w:p w14:paraId="769AC028">
            <w:pPr>
              <w:rPr>
                <w:rFonts w:ascii="Arial"/>
                <w:color w:val="auto"/>
                <w:sz w:val="21"/>
                <w:highlight w:val="none"/>
              </w:rPr>
            </w:pPr>
          </w:p>
        </w:tc>
        <w:tc>
          <w:tcPr>
            <w:tcW w:w="1128" w:type="dxa"/>
            <w:vAlign w:val="top"/>
          </w:tcPr>
          <w:p w14:paraId="1F324C98">
            <w:pPr>
              <w:rPr>
                <w:rFonts w:ascii="Arial"/>
                <w:color w:val="auto"/>
                <w:sz w:val="21"/>
                <w:highlight w:val="none"/>
              </w:rPr>
            </w:pPr>
          </w:p>
        </w:tc>
        <w:tc>
          <w:tcPr>
            <w:tcW w:w="1574" w:type="dxa"/>
            <w:vAlign w:val="top"/>
          </w:tcPr>
          <w:p w14:paraId="1B6A3AFA">
            <w:pPr>
              <w:rPr>
                <w:rFonts w:ascii="Arial"/>
                <w:color w:val="auto"/>
                <w:sz w:val="21"/>
                <w:highlight w:val="none"/>
              </w:rPr>
            </w:pPr>
          </w:p>
        </w:tc>
        <w:tc>
          <w:tcPr>
            <w:tcW w:w="830" w:type="dxa"/>
            <w:vAlign w:val="top"/>
          </w:tcPr>
          <w:p w14:paraId="2685D387">
            <w:pPr>
              <w:rPr>
                <w:rFonts w:ascii="Arial"/>
                <w:color w:val="auto"/>
                <w:sz w:val="21"/>
                <w:highlight w:val="none"/>
              </w:rPr>
            </w:pPr>
          </w:p>
        </w:tc>
      </w:tr>
      <w:tr w14:paraId="4D272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BB22C35">
            <w:pPr>
              <w:rPr>
                <w:rFonts w:ascii="Arial"/>
                <w:color w:val="auto"/>
                <w:sz w:val="21"/>
                <w:highlight w:val="none"/>
              </w:rPr>
            </w:pPr>
          </w:p>
        </w:tc>
        <w:tc>
          <w:tcPr>
            <w:tcW w:w="1022" w:type="dxa"/>
            <w:vAlign w:val="top"/>
          </w:tcPr>
          <w:p w14:paraId="4E9DC37F">
            <w:pPr>
              <w:rPr>
                <w:rFonts w:ascii="Arial"/>
                <w:color w:val="auto"/>
                <w:sz w:val="21"/>
                <w:highlight w:val="none"/>
              </w:rPr>
            </w:pPr>
          </w:p>
        </w:tc>
        <w:tc>
          <w:tcPr>
            <w:tcW w:w="652" w:type="dxa"/>
            <w:vAlign w:val="top"/>
          </w:tcPr>
          <w:p w14:paraId="26AB8562">
            <w:pPr>
              <w:rPr>
                <w:rFonts w:ascii="Arial"/>
                <w:color w:val="auto"/>
                <w:sz w:val="21"/>
                <w:highlight w:val="none"/>
              </w:rPr>
            </w:pPr>
          </w:p>
        </w:tc>
        <w:tc>
          <w:tcPr>
            <w:tcW w:w="984" w:type="dxa"/>
            <w:vAlign w:val="top"/>
          </w:tcPr>
          <w:p w14:paraId="763E33C2">
            <w:pPr>
              <w:rPr>
                <w:rFonts w:ascii="Arial"/>
                <w:color w:val="auto"/>
                <w:sz w:val="21"/>
                <w:highlight w:val="none"/>
              </w:rPr>
            </w:pPr>
          </w:p>
        </w:tc>
        <w:tc>
          <w:tcPr>
            <w:tcW w:w="691" w:type="dxa"/>
            <w:vAlign w:val="top"/>
          </w:tcPr>
          <w:p w14:paraId="423491AF">
            <w:pPr>
              <w:rPr>
                <w:rFonts w:ascii="Arial"/>
                <w:color w:val="auto"/>
                <w:sz w:val="21"/>
                <w:highlight w:val="none"/>
              </w:rPr>
            </w:pPr>
          </w:p>
        </w:tc>
        <w:tc>
          <w:tcPr>
            <w:tcW w:w="686" w:type="dxa"/>
            <w:vAlign w:val="top"/>
          </w:tcPr>
          <w:p w14:paraId="60A70EB4">
            <w:pPr>
              <w:rPr>
                <w:rFonts w:ascii="Arial"/>
                <w:color w:val="auto"/>
                <w:sz w:val="21"/>
                <w:highlight w:val="none"/>
              </w:rPr>
            </w:pPr>
          </w:p>
        </w:tc>
        <w:tc>
          <w:tcPr>
            <w:tcW w:w="1128" w:type="dxa"/>
            <w:vAlign w:val="top"/>
          </w:tcPr>
          <w:p w14:paraId="7B79E37F">
            <w:pPr>
              <w:rPr>
                <w:rFonts w:ascii="Arial"/>
                <w:color w:val="auto"/>
                <w:sz w:val="21"/>
                <w:highlight w:val="none"/>
              </w:rPr>
            </w:pPr>
          </w:p>
        </w:tc>
        <w:tc>
          <w:tcPr>
            <w:tcW w:w="1574" w:type="dxa"/>
            <w:vAlign w:val="top"/>
          </w:tcPr>
          <w:p w14:paraId="51AE0B5F">
            <w:pPr>
              <w:rPr>
                <w:rFonts w:ascii="Arial"/>
                <w:color w:val="auto"/>
                <w:sz w:val="21"/>
                <w:highlight w:val="none"/>
              </w:rPr>
            </w:pPr>
          </w:p>
        </w:tc>
        <w:tc>
          <w:tcPr>
            <w:tcW w:w="830" w:type="dxa"/>
            <w:vAlign w:val="top"/>
          </w:tcPr>
          <w:p w14:paraId="61F4BF1F">
            <w:pPr>
              <w:rPr>
                <w:rFonts w:ascii="Arial"/>
                <w:color w:val="auto"/>
                <w:sz w:val="21"/>
                <w:highlight w:val="none"/>
              </w:rPr>
            </w:pPr>
          </w:p>
        </w:tc>
      </w:tr>
      <w:tr w14:paraId="56990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246DEC0">
            <w:pPr>
              <w:rPr>
                <w:rFonts w:ascii="Arial"/>
                <w:color w:val="auto"/>
                <w:sz w:val="21"/>
                <w:highlight w:val="none"/>
              </w:rPr>
            </w:pPr>
          </w:p>
        </w:tc>
        <w:tc>
          <w:tcPr>
            <w:tcW w:w="1022" w:type="dxa"/>
            <w:vAlign w:val="top"/>
          </w:tcPr>
          <w:p w14:paraId="6EEC2160">
            <w:pPr>
              <w:rPr>
                <w:rFonts w:ascii="Arial"/>
                <w:color w:val="auto"/>
                <w:sz w:val="21"/>
                <w:highlight w:val="none"/>
              </w:rPr>
            </w:pPr>
          </w:p>
        </w:tc>
        <w:tc>
          <w:tcPr>
            <w:tcW w:w="652" w:type="dxa"/>
            <w:vAlign w:val="top"/>
          </w:tcPr>
          <w:p w14:paraId="61B0C306">
            <w:pPr>
              <w:rPr>
                <w:rFonts w:ascii="Arial"/>
                <w:color w:val="auto"/>
                <w:sz w:val="21"/>
                <w:highlight w:val="none"/>
              </w:rPr>
            </w:pPr>
          </w:p>
        </w:tc>
        <w:tc>
          <w:tcPr>
            <w:tcW w:w="984" w:type="dxa"/>
            <w:vAlign w:val="top"/>
          </w:tcPr>
          <w:p w14:paraId="4BCE0F43">
            <w:pPr>
              <w:rPr>
                <w:rFonts w:ascii="Arial"/>
                <w:color w:val="auto"/>
                <w:sz w:val="21"/>
                <w:highlight w:val="none"/>
              </w:rPr>
            </w:pPr>
          </w:p>
        </w:tc>
        <w:tc>
          <w:tcPr>
            <w:tcW w:w="691" w:type="dxa"/>
            <w:vAlign w:val="top"/>
          </w:tcPr>
          <w:p w14:paraId="6393409C">
            <w:pPr>
              <w:rPr>
                <w:rFonts w:ascii="Arial"/>
                <w:color w:val="auto"/>
                <w:sz w:val="21"/>
                <w:highlight w:val="none"/>
              </w:rPr>
            </w:pPr>
          </w:p>
        </w:tc>
        <w:tc>
          <w:tcPr>
            <w:tcW w:w="686" w:type="dxa"/>
            <w:vAlign w:val="top"/>
          </w:tcPr>
          <w:p w14:paraId="06325D94">
            <w:pPr>
              <w:rPr>
                <w:rFonts w:ascii="Arial"/>
                <w:color w:val="auto"/>
                <w:sz w:val="21"/>
                <w:highlight w:val="none"/>
              </w:rPr>
            </w:pPr>
          </w:p>
        </w:tc>
        <w:tc>
          <w:tcPr>
            <w:tcW w:w="1128" w:type="dxa"/>
            <w:vAlign w:val="top"/>
          </w:tcPr>
          <w:p w14:paraId="20C47872">
            <w:pPr>
              <w:rPr>
                <w:rFonts w:ascii="Arial"/>
                <w:color w:val="auto"/>
                <w:sz w:val="21"/>
                <w:highlight w:val="none"/>
              </w:rPr>
            </w:pPr>
          </w:p>
        </w:tc>
        <w:tc>
          <w:tcPr>
            <w:tcW w:w="1574" w:type="dxa"/>
            <w:vAlign w:val="top"/>
          </w:tcPr>
          <w:p w14:paraId="38C0CC1B">
            <w:pPr>
              <w:rPr>
                <w:rFonts w:ascii="Arial"/>
                <w:color w:val="auto"/>
                <w:sz w:val="21"/>
                <w:highlight w:val="none"/>
              </w:rPr>
            </w:pPr>
          </w:p>
        </w:tc>
        <w:tc>
          <w:tcPr>
            <w:tcW w:w="830" w:type="dxa"/>
            <w:vAlign w:val="top"/>
          </w:tcPr>
          <w:p w14:paraId="759ABDA9">
            <w:pPr>
              <w:rPr>
                <w:rFonts w:ascii="Arial"/>
                <w:color w:val="auto"/>
                <w:sz w:val="21"/>
                <w:highlight w:val="none"/>
              </w:rPr>
            </w:pPr>
          </w:p>
        </w:tc>
      </w:tr>
    </w:tbl>
    <w:p w14:paraId="5303B7F5">
      <w:pPr>
        <w:pStyle w:val="3"/>
        <w:rPr>
          <w:color w:val="auto"/>
          <w:highlight w:val="none"/>
        </w:rPr>
      </w:pPr>
    </w:p>
    <w:p w14:paraId="790A0092">
      <w:pPr>
        <w:rPr>
          <w:color w:val="auto"/>
          <w:highlight w:val="none"/>
        </w:rPr>
        <w:sectPr>
          <w:footerReference r:id="rId248" w:type="default"/>
          <w:pgSz w:w="11905" w:h="16839"/>
          <w:pgMar w:top="400" w:right="1785" w:bottom="1004" w:left="1785" w:header="0" w:footer="828" w:gutter="0"/>
          <w:pgNumType w:fmt="decimal"/>
          <w:cols w:space="720" w:num="1"/>
        </w:sectPr>
      </w:pPr>
    </w:p>
    <w:p w14:paraId="7B9919AA">
      <w:pPr>
        <w:pStyle w:val="3"/>
        <w:spacing w:line="267" w:lineRule="auto"/>
        <w:rPr>
          <w:color w:val="auto"/>
          <w:highlight w:val="none"/>
        </w:rPr>
      </w:pPr>
    </w:p>
    <w:p w14:paraId="137408C5">
      <w:pPr>
        <w:pStyle w:val="3"/>
        <w:spacing w:line="267" w:lineRule="auto"/>
        <w:rPr>
          <w:color w:val="auto"/>
          <w:highlight w:val="none"/>
        </w:rPr>
      </w:pPr>
    </w:p>
    <w:p w14:paraId="68468CE7">
      <w:pPr>
        <w:pStyle w:val="3"/>
        <w:spacing w:line="268" w:lineRule="auto"/>
        <w:rPr>
          <w:color w:val="auto"/>
          <w:highlight w:val="none"/>
        </w:rPr>
      </w:pPr>
    </w:p>
    <w:p w14:paraId="5D1C0800">
      <w:pPr>
        <w:pStyle w:val="3"/>
        <w:spacing w:line="268" w:lineRule="auto"/>
        <w:rPr>
          <w:color w:val="auto"/>
          <w:highlight w:val="none"/>
        </w:rPr>
      </w:pPr>
    </w:p>
    <w:p w14:paraId="76AC233B">
      <w:pPr>
        <w:spacing w:before="78"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附表三：劳动力计划表</w:t>
      </w:r>
    </w:p>
    <w:p w14:paraId="17D438A7">
      <w:pPr>
        <w:spacing w:before="157" w:line="221" w:lineRule="auto"/>
        <w:ind w:left="6761"/>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单位：人</w:t>
      </w:r>
    </w:p>
    <w:p w14:paraId="0B38E2BC">
      <w:pPr>
        <w:spacing w:line="126" w:lineRule="auto"/>
        <w:rPr>
          <w:rFonts w:ascii="Arial"/>
          <w:color w:val="auto"/>
          <w:sz w:val="2"/>
          <w:highlight w:val="none"/>
        </w:rPr>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14:paraId="64BAE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14:paraId="61E55F9C">
            <w:pPr>
              <w:pStyle w:val="11"/>
              <w:spacing w:before="208" w:line="221" w:lineRule="auto"/>
              <w:ind w:left="145"/>
              <w:rPr>
                <w:color w:val="auto"/>
                <w:highlight w:val="none"/>
              </w:rPr>
            </w:pPr>
            <w:r>
              <w:rPr>
                <w:color w:val="auto"/>
                <w:spacing w:val="-3"/>
                <w:highlight w:val="none"/>
              </w:rPr>
              <w:t>工种</w:t>
            </w:r>
          </w:p>
        </w:tc>
        <w:tc>
          <w:tcPr>
            <w:tcW w:w="7505" w:type="dxa"/>
            <w:gridSpan w:val="7"/>
            <w:vAlign w:val="top"/>
          </w:tcPr>
          <w:p w14:paraId="21DAEF7F">
            <w:pPr>
              <w:pStyle w:val="11"/>
              <w:spacing w:before="207" w:line="221" w:lineRule="auto"/>
              <w:ind w:left="2285"/>
              <w:rPr>
                <w:color w:val="auto"/>
                <w:highlight w:val="none"/>
              </w:rPr>
            </w:pPr>
            <w:r>
              <w:rPr>
                <w:color w:val="auto"/>
                <w:spacing w:val="-1"/>
                <w:highlight w:val="none"/>
              </w:rPr>
              <w:t>按工程施工阶段投入劳动力情况</w:t>
            </w:r>
          </w:p>
        </w:tc>
      </w:tr>
      <w:tr w14:paraId="0BEF8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3B5E4004">
            <w:pPr>
              <w:rPr>
                <w:rFonts w:ascii="Arial"/>
                <w:color w:val="auto"/>
                <w:sz w:val="21"/>
                <w:highlight w:val="none"/>
              </w:rPr>
            </w:pPr>
          </w:p>
        </w:tc>
        <w:tc>
          <w:tcPr>
            <w:tcW w:w="1363" w:type="dxa"/>
            <w:vAlign w:val="top"/>
          </w:tcPr>
          <w:p w14:paraId="575B30FB">
            <w:pPr>
              <w:rPr>
                <w:rFonts w:ascii="Arial"/>
                <w:color w:val="auto"/>
                <w:sz w:val="21"/>
                <w:highlight w:val="none"/>
              </w:rPr>
            </w:pPr>
          </w:p>
        </w:tc>
        <w:tc>
          <w:tcPr>
            <w:tcW w:w="1022" w:type="dxa"/>
            <w:vAlign w:val="top"/>
          </w:tcPr>
          <w:p w14:paraId="1C2AC81E">
            <w:pPr>
              <w:rPr>
                <w:rFonts w:ascii="Arial"/>
                <w:color w:val="auto"/>
                <w:sz w:val="21"/>
                <w:highlight w:val="none"/>
              </w:rPr>
            </w:pPr>
          </w:p>
        </w:tc>
        <w:tc>
          <w:tcPr>
            <w:tcW w:w="1022" w:type="dxa"/>
            <w:vAlign w:val="top"/>
          </w:tcPr>
          <w:p w14:paraId="31EFA60B">
            <w:pPr>
              <w:rPr>
                <w:rFonts w:ascii="Arial"/>
                <w:color w:val="auto"/>
                <w:sz w:val="21"/>
                <w:highlight w:val="none"/>
              </w:rPr>
            </w:pPr>
          </w:p>
        </w:tc>
        <w:tc>
          <w:tcPr>
            <w:tcW w:w="1022" w:type="dxa"/>
            <w:vAlign w:val="top"/>
          </w:tcPr>
          <w:p w14:paraId="06302AC7">
            <w:pPr>
              <w:rPr>
                <w:rFonts w:ascii="Arial"/>
                <w:color w:val="auto"/>
                <w:sz w:val="21"/>
                <w:highlight w:val="none"/>
              </w:rPr>
            </w:pPr>
          </w:p>
        </w:tc>
        <w:tc>
          <w:tcPr>
            <w:tcW w:w="1022" w:type="dxa"/>
            <w:vAlign w:val="top"/>
          </w:tcPr>
          <w:p w14:paraId="5867EDC1">
            <w:pPr>
              <w:rPr>
                <w:rFonts w:ascii="Arial"/>
                <w:color w:val="auto"/>
                <w:sz w:val="21"/>
                <w:highlight w:val="none"/>
              </w:rPr>
            </w:pPr>
          </w:p>
        </w:tc>
        <w:tc>
          <w:tcPr>
            <w:tcW w:w="1027" w:type="dxa"/>
            <w:vAlign w:val="top"/>
          </w:tcPr>
          <w:p w14:paraId="25546C4D">
            <w:pPr>
              <w:rPr>
                <w:rFonts w:ascii="Arial"/>
                <w:color w:val="auto"/>
                <w:sz w:val="21"/>
                <w:highlight w:val="none"/>
              </w:rPr>
            </w:pPr>
          </w:p>
        </w:tc>
        <w:tc>
          <w:tcPr>
            <w:tcW w:w="1027" w:type="dxa"/>
            <w:vAlign w:val="top"/>
          </w:tcPr>
          <w:p w14:paraId="2232B7F2">
            <w:pPr>
              <w:rPr>
                <w:rFonts w:ascii="Arial"/>
                <w:color w:val="auto"/>
                <w:sz w:val="21"/>
                <w:highlight w:val="none"/>
              </w:rPr>
            </w:pPr>
          </w:p>
        </w:tc>
      </w:tr>
      <w:tr w14:paraId="7A5CA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39E89FCC">
            <w:pPr>
              <w:rPr>
                <w:rFonts w:ascii="Arial"/>
                <w:color w:val="auto"/>
                <w:sz w:val="21"/>
                <w:highlight w:val="none"/>
              </w:rPr>
            </w:pPr>
          </w:p>
        </w:tc>
        <w:tc>
          <w:tcPr>
            <w:tcW w:w="1363" w:type="dxa"/>
            <w:vAlign w:val="top"/>
          </w:tcPr>
          <w:p w14:paraId="6F8EF820">
            <w:pPr>
              <w:rPr>
                <w:rFonts w:ascii="Arial"/>
                <w:color w:val="auto"/>
                <w:sz w:val="21"/>
                <w:highlight w:val="none"/>
              </w:rPr>
            </w:pPr>
          </w:p>
        </w:tc>
        <w:tc>
          <w:tcPr>
            <w:tcW w:w="1022" w:type="dxa"/>
            <w:vAlign w:val="top"/>
          </w:tcPr>
          <w:p w14:paraId="58753498">
            <w:pPr>
              <w:rPr>
                <w:rFonts w:ascii="Arial"/>
                <w:color w:val="auto"/>
                <w:sz w:val="21"/>
                <w:highlight w:val="none"/>
              </w:rPr>
            </w:pPr>
          </w:p>
        </w:tc>
        <w:tc>
          <w:tcPr>
            <w:tcW w:w="1022" w:type="dxa"/>
            <w:vAlign w:val="top"/>
          </w:tcPr>
          <w:p w14:paraId="0F787890">
            <w:pPr>
              <w:rPr>
                <w:rFonts w:ascii="Arial"/>
                <w:color w:val="auto"/>
                <w:sz w:val="21"/>
                <w:highlight w:val="none"/>
              </w:rPr>
            </w:pPr>
          </w:p>
        </w:tc>
        <w:tc>
          <w:tcPr>
            <w:tcW w:w="1022" w:type="dxa"/>
            <w:vAlign w:val="top"/>
          </w:tcPr>
          <w:p w14:paraId="15D0A860">
            <w:pPr>
              <w:rPr>
                <w:rFonts w:ascii="Arial"/>
                <w:color w:val="auto"/>
                <w:sz w:val="21"/>
                <w:highlight w:val="none"/>
              </w:rPr>
            </w:pPr>
          </w:p>
        </w:tc>
        <w:tc>
          <w:tcPr>
            <w:tcW w:w="1022" w:type="dxa"/>
            <w:vAlign w:val="top"/>
          </w:tcPr>
          <w:p w14:paraId="013ABF5B">
            <w:pPr>
              <w:rPr>
                <w:rFonts w:ascii="Arial"/>
                <w:color w:val="auto"/>
                <w:sz w:val="21"/>
                <w:highlight w:val="none"/>
              </w:rPr>
            </w:pPr>
          </w:p>
        </w:tc>
        <w:tc>
          <w:tcPr>
            <w:tcW w:w="1027" w:type="dxa"/>
            <w:vAlign w:val="top"/>
          </w:tcPr>
          <w:p w14:paraId="79EBEC7B">
            <w:pPr>
              <w:rPr>
                <w:rFonts w:ascii="Arial"/>
                <w:color w:val="auto"/>
                <w:sz w:val="21"/>
                <w:highlight w:val="none"/>
              </w:rPr>
            </w:pPr>
          </w:p>
        </w:tc>
        <w:tc>
          <w:tcPr>
            <w:tcW w:w="1027" w:type="dxa"/>
            <w:vAlign w:val="top"/>
          </w:tcPr>
          <w:p w14:paraId="5583937C">
            <w:pPr>
              <w:rPr>
                <w:rFonts w:ascii="Arial"/>
                <w:color w:val="auto"/>
                <w:sz w:val="21"/>
                <w:highlight w:val="none"/>
              </w:rPr>
            </w:pPr>
          </w:p>
        </w:tc>
      </w:tr>
      <w:tr w14:paraId="42B12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696" w:type="dxa"/>
            <w:vAlign w:val="top"/>
          </w:tcPr>
          <w:p w14:paraId="2C9D6FDE">
            <w:pPr>
              <w:rPr>
                <w:rFonts w:ascii="Arial"/>
                <w:color w:val="auto"/>
                <w:sz w:val="21"/>
                <w:highlight w:val="none"/>
              </w:rPr>
            </w:pPr>
          </w:p>
        </w:tc>
        <w:tc>
          <w:tcPr>
            <w:tcW w:w="1363" w:type="dxa"/>
            <w:vAlign w:val="top"/>
          </w:tcPr>
          <w:p w14:paraId="6669E7BA">
            <w:pPr>
              <w:rPr>
                <w:rFonts w:ascii="Arial"/>
                <w:color w:val="auto"/>
                <w:sz w:val="21"/>
                <w:highlight w:val="none"/>
              </w:rPr>
            </w:pPr>
          </w:p>
        </w:tc>
        <w:tc>
          <w:tcPr>
            <w:tcW w:w="1022" w:type="dxa"/>
            <w:vAlign w:val="top"/>
          </w:tcPr>
          <w:p w14:paraId="4EC01EF5">
            <w:pPr>
              <w:rPr>
                <w:rFonts w:ascii="Arial"/>
                <w:color w:val="auto"/>
                <w:sz w:val="21"/>
                <w:highlight w:val="none"/>
              </w:rPr>
            </w:pPr>
          </w:p>
        </w:tc>
        <w:tc>
          <w:tcPr>
            <w:tcW w:w="1022" w:type="dxa"/>
            <w:vAlign w:val="top"/>
          </w:tcPr>
          <w:p w14:paraId="04246096">
            <w:pPr>
              <w:rPr>
                <w:rFonts w:ascii="Arial"/>
                <w:color w:val="auto"/>
                <w:sz w:val="21"/>
                <w:highlight w:val="none"/>
              </w:rPr>
            </w:pPr>
          </w:p>
        </w:tc>
        <w:tc>
          <w:tcPr>
            <w:tcW w:w="1022" w:type="dxa"/>
            <w:vAlign w:val="top"/>
          </w:tcPr>
          <w:p w14:paraId="241AAA37">
            <w:pPr>
              <w:rPr>
                <w:rFonts w:ascii="Arial"/>
                <w:color w:val="auto"/>
                <w:sz w:val="21"/>
                <w:highlight w:val="none"/>
              </w:rPr>
            </w:pPr>
          </w:p>
        </w:tc>
        <w:tc>
          <w:tcPr>
            <w:tcW w:w="1022" w:type="dxa"/>
            <w:vAlign w:val="top"/>
          </w:tcPr>
          <w:p w14:paraId="56FE659D">
            <w:pPr>
              <w:rPr>
                <w:rFonts w:ascii="Arial"/>
                <w:color w:val="auto"/>
                <w:sz w:val="21"/>
                <w:highlight w:val="none"/>
              </w:rPr>
            </w:pPr>
          </w:p>
        </w:tc>
        <w:tc>
          <w:tcPr>
            <w:tcW w:w="1027" w:type="dxa"/>
            <w:vAlign w:val="top"/>
          </w:tcPr>
          <w:p w14:paraId="64C0D87F">
            <w:pPr>
              <w:rPr>
                <w:rFonts w:ascii="Arial"/>
                <w:color w:val="auto"/>
                <w:sz w:val="21"/>
                <w:highlight w:val="none"/>
              </w:rPr>
            </w:pPr>
          </w:p>
        </w:tc>
        <w:tc>
          <w:tcPr>
            <w:tcW w:w="1027" w:type="dxa"/>
            <w:vAlign w:val="top"/>
          </w:tcPr>
          <w:p w14:paraId="7D753018">
            <w:pPr>
              <w:rPr>
                <w:rFonts w:ascii="Arial"/>
                <w:color w:val="auto"/>
                <w:sz w:val="21"/>
                <w:highlight w:val="none"/>
              </w:rPr>
            </w:pPr>
          </w:p>
        </w:tc>
      </w:tr>
      <w:tr w14:paraId="00F9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E5458A0">
            <w:pPr>
              <w:rPr>
                <w:rFonts w:ascii="Arial"/>
                <w:color w:val="auto"/>
                <w:sz w:val="21"/>
                <w:highlight w:val="none"/>
              </w:rPr>
            </w:pPr>
          </w:p>
        </w:tc>
        <w:tc>
          <w:tcPr>
            <w:tcW w:w="1363" w:type="dxa"/>
            <w:vAlign w:val="top"/>
          </w:tcPr>
          <w:p w14:paraId="4182B23D">
            <w:pPr>
              <w:rPr>
                <w:rFonts w:ascii="Arial"/>
                <w:color w:val="auto"/>
                <w:sz w:val="21"/>
                <w:highlight w:val="none"/>
              </w:rPr>
            </w:pPr>
          </w:p>
        </w:tc>
        <w:tc>
          <w:tcPr>
            <w:tcW w:w="1022" w:type="dxa"/>
            <w:vAlign w:val="top"/>
          </w:tcPr>
          <w:p w14:paraId="12D6C736">
            <w:pPr>
              <w:rPr>
                <w:rFonts w:ascii="Arial"/>
                <w:color w:val="auto"/>
                <w:sz w:val="21"/>
                <w:highlight w:val="none"/>
              </w:rPr>
            </w:pPr>
          </w:p>
        </w:tc>
        <w:tc>
          <w:tcPr>
            <w:tcW w:w="1022" w:type="dxa"/>
            <w:vAlign w:val="top"/>
          </w:tcPr>
          <w:p w14:paraId="44C3635B">
            <w:pPr>
              <w:rPr>
                <w:rFonts w:ascii="Arial"/>
                <w:color w:val="auto"/>
                <w:sz w:val="21"/>
                <w:highlight w:val="none"/>
              </w:rPr>
            </w:pPr>
          </w:p>
        </w:tc>
        <w:tc>
          <w:tcPr>
            <w:tcW w:w="1022" w:type="dxa"/>
            <w:vAlign w:val="top"/>
          </w:tcPr>
          <w:p w14:paraId="7A7AD339">
            <w:pPr>
              <w:rPr>
                <w:rFonts w:ascii="Arial"/>
                <w:color w:val="auto"/>
                <w:sz w:val="21"/>
                <w:highlight w:val="none"/>
              </w:rPr>
            </w:pPr>
          </w:p>
        </w:tc>
        <w:tc>
          <w:tcPr>
            <w:tcW w:w="1022" w:type="dxa"/>
            <w:vAlign w:val="top"/>
          </w:tcPr>
          <w:p w14:paraId="4CA86265">
            <w:pPr>
              <w:rPr>
                <w:rFonts w:ascii="Arial"/>
                <w:color w:val="auto"/>
                <w:sz w:val="21"/>
                <w:highlight w:val="none"/>
              </w:rPr>
            </w:pPr>
          </w:p>
        </w:tc>
        <w:tc>
          <w:tcPr>
            <w:tcW w:w="1027" w:type="dxa"/>
            <w:vAlign w:val="top"/>
          </w:tcPr>
          <w:p w14:paraId="72B081DB">
            <w:pPr>
              <w:rPr>
                <w:rFonts w:ascii="Arial"/>
                <w:color w:val="auto"/>
                <w:sz w:val="21"/>
                <w:highlight w:val="none"/>
              </w:rPr>
            </w:pPr>
          </w:p>
        </w:tc>
        <w:tc>
          <w:tcPr>
            <w:tcW w:w="1027" w:type="dxa"/>
            <w:vAlign w:val="top"/>
          </w:tcPr>
          <w:p w14:paraId="6F7ACAB2">
            <w:pPr>
              <w:rPr>
                <w:rFonts w:ascii="Arial"/>
                <w:color w:val="auto"/>
                <w:sz w:val="21"/>
                <w:highlight w:val="none"/>
              </w:rPr>
            </w:pPr>
          </w:p>
        </w:tc>
      </w:tr>
      <w:tr w14:paraId="1D9F0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F4F22CF">
            <w:pPr>
              <w:rPr>
                <w:rFonts w:ascii="Arial"/>
                <w:color w:val="auto"/>
                <w:sz w:val="21"/>
                <w:highlight w:val="none"/>
              </w:rPr>
            </w:pPr>
          </w:p>
        </w:tc>
        <w:tc>
          <w:tcPr>
            <w:tcW w:w="1363" w:type="dxa"/>
            <w:vAlign w:val="top"/>
          </w:tcPr>
          <w:p w14:paraId="6DFCA064">
            <w:pPr>
              <w:rPr>
                <w:rFonts w:ascii="Arial"/>
                <w:color w:val="auto"/>
                <w:sz w:val="21"/>
                <w:highlight w:val="none"/>
              </w:rPr>
            </w:pPr>
          </w:p>
        </w:tc>
        <w:tc>
          <w:tcPr>
            <w:tcW w:w="1022" w:type="dxa"/>
            <w:vAlign w:val="top"/>
          </w:tcPr>
          <w:p w14:paraId="7C4546B9">
            <w:pPr>
              <w:rPr>
                <w:rFonts w:ascii="Arial"/>
                <w:color w:val="auto"/>
                <w:sz w:val="21"/>
                <w:highlight w:val="none"/>
              </w:rPr>
            </w:pPr>
          </w:p>
        </w:tc>
        <w:tc>
          <w:tcPr>
            <w:tcW w:w="1022" w:type="dxa"/>
            <w:vAlign w:val="top"/>
          </w:tcPr>
          <w:p w14:paraId="24717ED4">
            <w:pPr>
              <w:rPr>
                <w:rFonts w:ascii="Arial"/>
                <w:color w:val="auto"/>
                <w:sz w:val="21"/>
                <w:highlight w:val="none"/>
              </w:rPr>
            </w:pPr>
          </w:p>
        </w:tc>
        <w:tc>
          <w:tcPr>
            <w:tcW w:w="1022" w:type="dxa"/>
            <w:vAlign w:val="top"/>
          </w:tcPr>
          <w:p w14:paraId="07901F93">
            <w:pPr>
              <w:rPr>
                <w:rFonts w:ascii="Arial"/>
                <w:color w:val="auto"/>
                <w:sz w:val="21"/>
                <w:highlight w:val="none"/>
              </w:rPr>
            </w:pPr>
          </w:p>
        </w:tc>
        <w:tc>
          <w:tcPr>
            <w:tcW w:w="1022" w:type="dxa"/>
            <w:vAlign w:val="top"/>
          </w:tcPr>
          <w:p w14:paraId="282F3D56">
            <w:pPr>
              <w:rPr>
                <w:rFonts w:ascii="Arial"/>
                <w:color w:val="auto"/>
                <w:sz w:val="21"/>
                <w:highlight w:val="none"/>
              </w:rPr>
            </w:pPr>
          </w:p>
        </w:tc>
        <w:tc>
          <w:tcPr>
            <w:tcW w:w="1027" w:type="dxa"/>
            <w:vAlign w:val="top"/>
          </w:tcPr>
          <w:p w14:paraId="362C9B19">
            <w:pPr>
              <w:rPr>
                <w:rFonts w:ascii="Arial"/>
                <w:color w:val="auto"/>
                <w:sz w:val="21"/>
                <w:highlight w:val="none"/>
              </w:rPr>
            </w:pPr>
          </w:p>
        </w:tc>
        <w:tc>
          <w:tcPr>
            <w:tcW w:w="1027" w:type="dxa"/>
            <w:vAlign w:val="top"/>
          </w:tcPr>
          <w:p w14:paraId="1BD09B20">
            <w:pPr>
              <w:rPr>
                <w:rFonts w:ascii="Arial"/>
                <w:color w:val="auto"/>
                <w:sz w:val="21"/>
                <w:highlight w:val="none"/>
              </w:rPr>
            </w:pPr>
          </w:p>
        </w:tc>
      </w:tr>
      <w:tr w14:paraId="111CE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57A638B">
            <w:pPr>
              <w:rPr>
                <w:rFonts w:ascii="Arial"/>
                <w:color w:val="auto"/>
                <w:sz w:val="21"/>
                <w:highlight w:val="none"/>
              </w:rPr>
            </w:pPr>
          </w:p>
        </w:tc>
        <w:tc>
          <w:tcPr>
            <w:tcW w:w="1363" w:type="dxa"/>
            <w:vAlign w:val="top"/>
          </w:tcPr>
          <w:p w14:paraId="5116AAAF">
            <w:pPr>
              <w:rPr>
                <w:rFonts w:ascii="Arial"/>
                <w:color w:val="auto"/>
                <w:sz w:val="21"/>
                <w:highlight w:val="none"/>
              </w:rPr>
            </w:pPr>
          </w:p>
        </w:tc>
        <w:tc>
          <w:tcPr>
            <w:tcW w:w="1022" w:type="dxa"/>
            <w:vAlign w:val="top"/>
          </w:tcPr>
          <w:p w14:paraId="0604C155">
            <w:pPr>
              <w:rPr>
                <w:rFonts w:ascii="Arial"/>
                <w:color w:val="auto"/>
                <w:sz w:val="21"/>
                <w:highlight w:val="none"/>
              </w:rPr>
            </w:pPr>
          </w:p>
        </w:tc>
        <w:tc>
          <w:tcPr>
            <w:tcW w:w="1022" w:type="dxa"/>
            <w:vAlign w:val="top"/>
          </w:tcPr>
          <w:p w14:paraId="16E075F0">
            <w:pPr>
              <w:rPr>
                <w:rFonts w:ascii="Arial"/>
                <w:color w:val="auto"/>
                <w:sz w:val="21"/>
                <w:highlight w:val="none"/>
              </w:rPr>
            </w:pPr>
          </w:p>
        </w:tc>
        <w:tc>
          <w:tcPr>
            <w:tcW w:w="1022" w:type="dxa"/>
            <w:vAlign w:val="top"/>
          </w:tcPr>
          <w:p w14:paraId="7A823C09">
            <w:pPr>
              <w:rPr>
                <w:rFonts w:ascii="Arial"/>
                <w:color w:val="auto"/>
                <w:sz w:val="21"/>
                <w:highlight w:val="none"/>
              </w:rPr>
            </w:pPr>
          </w:p>
        </w:tc>
        <w:tc>
          <w:tcPr>
            <w:tcW w:w="1022" w:type="dxa"/>
            <w:vAlign w:val="top"/>
          </w:tcPr>
          <w:p w14:paraId="428C8802">
            <w:pPr>
              <w:rPr>
                <w:rFonts w:ascii="Arial"/>
                <w:color w:val="auto"/>
                <w:sz w:val="21"/>
                <w:highlight w:val="none"/>
              </w:rPr>
            </w:pPr>
          </w:p>
        </w:tc>
        <w:tc>
          <w:tcPr>
            <w:tcW w:w="1027" w:type="dxa"/>
            <w:vAlign w:val="top"/>
          </w:tcPr>
          <w:p w14:paraId="1C2CD8DD">
            <w:pPr>
              <w:rPr>
                <w:rFonts w:ascii="Arial"/>
                <w:color w:val="auto"/>
                <w:sz w:val="21"/>
                <w:highlight w:val="none"/>
              </w:rPr>
            </w:pPr>
          </w:p>
        </w:tc>
        <w:tc>
          <w:tcPr>
            <w:tcW w:w="1027" w:type="dxa"/>
            <w:vAlign w:val="top"/>
          </w:tcPr>
          <w:p w14:paraId="1142DF34">
            <w:pPr>
              <w:rPr>
                <w:rFonts w:ascii="Arial"/>
                <w:color w:val="auto"/>
                <w:sz w:val="21"/>
                <w:highlight w:val="none"/>
              </w:rPr>
            </w:pPr>
          </w:p>
        </w:tc>
      </w:tr>
      <w:tr w14:paraId="5E127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8CADB58">
            <w:pPr>
              <w:rPr>
                <w:rFonts w:ascii="Arial"/>
                <w:color w:val="auto"/>
                <w:sz w:val="21"/>
                <w:highlight w:val="none"/>
              </w:rPr>
            </w:pPr>
          </w:p>
        </w:tc>
        <w:tc>
          <w:tcPr>
            <w:tcW w:w="1363" w:type="dxa"/>
            <w:vAlign w:val="top"/>
          </w:tcPr>
          <w:p w14:paraId="01255736">
            <w:pPr>
              <w:rPr>
                <w:rFonts w:ascii="Arial"/>
                <w:color w:val="auto"/>
                <w:sz w:val="21"/>
                <w:highlight w:val="none"/>
              </w:rPr>
            </w:pPr>
          </w:p>
        </w:tc>
        <w:tc>
          <w:tcPr>
            <w:tcW w:w="1022" w:type="dxa"/>
            <w:vAlign w:val="top"/>
          </w:tcPr>
          <w:p w14:paraId="5824945E">
            <w:pPr>
              <w:rPr>
                <w:rFonts w:ascii="Arial"/>
                <w:color w:val="auto"/>
                <w:sz w:val="21"/>
                <w:highlight w:val="none"/>
              </w:rPr>
            </w:pPr>
          </w:p>
        </w:tc>
        <w:tc>
          <w:tcPr>
            <w:tcW w:w="1022" w:type="dxa"/>
            <w:vAlign w:val="top"/>
          </w:tcPr>
          <w:p w14:paraId="602672A0">
            <w:pPr>
              <w:rPr>
                <w:rFonts w:ascii="Arial"/>
                <w:color w:val="auto"/>
                <w:sz w:val="21"/>
                <w:highlight w:val="none"/>
              </w:rPr>
            </w:pPr>
          </w:p>
        </w:tc>
        <w:tc>
          <w:tcPr>
            <w:tcW w:w="1022" w:type="dxa"/>
            <w:vAlign w:val="top"/>
          </w:tcPr>
          <w:p w14:paraId="0B7B9E17">
            <w:pPr>
              <w:rPr>
                <w:rFonts w:ascii="Arial"/>
                <w:color w:val="auto"/>
                <w:sz w:val="21"/>
                <w:highlight w:val="none"/>
              </w:rPr>
            </w:pPr>
          </w:p>
        </w:tc>
        <w:tc>
          <w:tcPr>
            <w:tcW w:w="1022" w:type="dxa"/>
            <w:vAlign w:val="top"/>
          </w:tcPr>
          <w:p w14:paraId="2E5CD08B">
            <w:pPr>
              <w:rPr>
                <w:rFonts w:ascii="Arial"/>
                <w:color w:val="auto"/>
                <w:sz w:val="21"/>
                <w:highlight w:val="none"/>
              </w:rPr>
            </w:pPr>
          </w:p>
        </w:tc>
        <w:tc>
          <w:tcPr>
            <w:tcW w:w="1027" w:type="dxa"/>
            <w:vAlign w:val="top"/>
          </w:tcPr>
          <w:p w14:paraId="62042D53">
            <w:pPr>
              <w:rPr>
                <w:rFonts w:ascii="Arial"/>
                <w:color w:val="auto"/>
                <w:sz w:val="21"/>
                <w:highlight w:val="none"/>
              </w:rPr>
            </w:pPr>
          </w:p>
        </w:tc>
        <w:tc>
          <w:tcPr>
            <w:tcW w:w="1027" w:type="dxa"/>
            <w:vAlign w:val="top"/>
          </w:tcPr>
          <w:p w14:paraId="2D15B399">
            <w:pPr>
              <w:rPr>
                <w:rFonts w:ascii="Arial"/>
                <w:color w:val="auto"/>
                <w:sz w:val="21"/>
                <w:highlight w:val="none"/>
              </w:rPr>
            </w:pPr>
          </w:p>
        </w:tc>
      </w:tr>
      <w:tr w14:paraId="2C66C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31AE267">
            <w:pPr>
              <w:rPr>
                <w:rFonts w:ascii="Arial"/>
                <w:color w:val="auto"/>
                <w:sz w:val="21"/>
                <w:highlight w:val="none"/>
              </w:rPr>
            </w:pPr>
          </w:p>
        </w:tc>
        <w:tc>
          <w:tcPr>
            <w:tcW w:w="1363" w:type="dxa"/>
            <w:vAlign w:val="top"/>
          </w:tcPr>
          <w:p w14:paraId="0C3CA1FF">
            <w:pPr>
              <w:rPr>
                <w:rFonts w:ascii="Arial"/>
                <w:color w:val="auto"/>
                <w:sz w:val="21"/>
                <w:highlight w:val="none"/>
              </w:rPr>
            </w:pPr>
          </w:p>
        </w:tc>
        <w:tc>
          <w:tcPr>
            <w:tcW w:w="1022" w:type="dxa"/>
            <w:vAlign w:val="top"/>
          </w:tcPr>
          <w:p w14:paraId="435B0849">
            <w:pPr>
              <w:rPr>
                <w:rFonts w:ascii="Arial"/>
                <w:color w:val="auto"/>
                <w:sz w:val="21"/>
                <w:highlight w:val="none"/>
              </w:rPr>
            </w:pPr>
          </w:p>
        </w:tc>
        <w:tc>
          <w:tcPr>
            <w:tcW w:w="1022" w:type="dxa"/>
            <w:vAlign w:val="top"/>
          </w:tcPr>
          <w:p w14:paraId="3B931E17">
            <w:pPr>
              <w:rPr>
                <w:rFonts w:ascii="Arial"/>
                <w:color w:val="auto"/>
                <w:sz w:val="21"/>
                <w:highlight w:val="none"/>
              </w:rPr>
            </w:pPr>
          </w:p>
        </w:tc>
        <w:tc>
          <w:tcPr>
            <w:tcW w:w="1022" w:type="dxa"/>
            <w:vAlign w:val="top"/>
          </w:tcPr>
          <w:p w14:paraId="0BB8189C">
            <w:pPr>
              <w:rPr>
                <w:rFonts w:ascii="Arial"/>
                <w:color w:val="auto"/>
                <w:sz w:val="21"/>
                <w:highlight w:val="none"/>
              </w:rPr>
            </w:pPr>
          </w:p>
        </w:tc>
        <w:tc>
          <w:tcPr>
            <w:tcW w:w="1022" w:type="dxa"/>
            <w:vAlign w:val="top"/>
          </w:tcPr>
          <w:p w14:paraId="17C21B78">
            <w:pPr>
              <w:rPr>
                <w:rFonts w:ascii="Arial"/>
                <w:color w:val="auto"/>
                <w:sz w:val="21"/>
                <w:highlight w:val="none"/>
              </w:rPr>
            </w:pPr>
          </w:p>
        </w:tc>
        <w:tc>
          <w:tcPr>
            <w:tcW w:w="1027" w:type="dxa"/>
            <w:vAlign w:val="top"/>
          </w:tcPr>
          <w:p w14:paraId="2E27C9A9">
            <w:pPr>
              <w:rPr>
                <w:rFonts w:ascii="Arial"/>
                <w:color w:val="auto"/>
                <w:sz w:val="21"/>
                <w:highlight w:val="none"/>
              </w:rPr>
            </w:pPr>
          </w:p>
        </w:tc>
        <w:tc>
          <w:tcPr>
            <w:tcW w:w="1027" w:type="dxa"/>
            <w:vAlign w:val="top"/>
          </w:tcPr>
          <w:p w14:paraId="02207AEF">
            <w:pPr>
              <w:rPr>
                <w:rFonts w:ascii="Arial"/>
                <w:color w:val="auto"/>
                <w:sz w:val="21"/>
                <w:highlight w:val="none"/>
              </w:rPr>
            </w:pPr>
          </w:p>
        </w:tc>
      </w:tr>
      <w:tr w14:paraId="18359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B282D6F">
            <w:pPr>
              <w:rPr>
                <w:rFonts w:ascii="Arial"/>
                <w:color w:val="auto"/>
                <w:sz w:val="21"/>
                <w:highlight w:val="none"/>
              </w:rPr>
            </w:pPr>
          </w:p>
        </w:tc>
        <w:tc>
          <w:tcPr>
            <w:tcW w:w="1363" w:type="dxa"/>
            <w:vAlign w:val="top"/>
          </w:tcPr>
          <w:p w14:paraId="6BD971FC">
            <w:pPr>
              <w:rPr>
                <w:rFonts w:ascii="Arial"/>
                <w:color w:val="auto"/>
                <w:sz w:val="21"/>
                <w:highlight w:val="none"/>
              </w:rPr>
            </w:pPr>
          </w:p>
        </w:tc>
        <w:tc>
          <w:tcPr>
            <w:tcW w:w="1022" w:type="dxa"/>
            <w:vAlign w:val="top"/>
          </w:tcPr>
          <w:p w14:paraId="5A972A78">
            <w:pPr>
              <w:rPr>
                <w:rFonts w:ascii="Arial"/>
                <w:color w:val="auto"/>
                <w:sz w:val="21"/>
                <w:highlight w:val="none"/>
              </w:rPr>
            </w:pPr>
          </w:p>
        </w:tc>
        <w:tc>
          <w:tcPr>
            <w:tcW w:w="1022" w:type="dxa"/>
            <w:vAlign w:val="top"/>
          </w:tcPr>
          <w:p w14:paraId="78F9A282">
            <w:pPr>
              <w:rPr>
                <w:rFonts w:ascii="Arial"/>
                <w:color w:val="auto"/>
                <w:sz w:val="21"/>
                <w:highlight w:val="none"/>
              </w:rPr>
            </w:pPr>
          </w:p>
        </w:tc>
        <w:tc>
          <w:tcPr>
            <w:tcW w:w="1022" w:type="dxa"/>
            <w:vAlign w:val="top"/>
          </w:tcPr>
          <w:p w14:paraId="323A378B">
            <w:pPr>
              <w:rPr>
                <w:rFonts w:ascii="Arial"/>
                <w:color w:val="auto"/>
                <w:sz w:val="21"/>
                <w:highlight w:val="none"/>
              </w:rPr>
            </w:pPr>
          </w:p>
        </w:tc>
        <w:tc>
          <w:tcPr>
            <w:tcW w:w="1022" w:type="dxa"/>
            <w:vAlign w:val="top"/>
          </w:tcPr>
          <w:p w14:paraId="0E284CF3">
            <w:pPr>
              <w:rPr>
                <w:rFonts w:ascii="Arial"/>
                <w:color w:val="auto"/>
                <w:sz w:val="21"/>
                <w:highlight w:val="none"/>
              </w:rPr>
            </w:pPr>
          </w:p>
        </w:tc>
        <w:tc>
          <w:tcPr>
            <w:tcW w:w="1027" w:type="dxa"/>
            <w:vAlign w:val="top"/>
          </w:tcPr>
          <w:p w14:paraId="46A90966">
            <w:pPr>
              <w:rPr>
                <w:rFonts w:ascii="Arial"/>
                <w:color w:val="auto"/>
                <w:sz w:val="21"/>
                <w:highlight w:val="none"/>
              </w:rPr>
            </w:pPr>
          </w:p>
        </w:tc>
        <w:tc>
          <w:tcPr>
            <w:tcW w:w="1027" w:type="dxa"/>
            <w:vAlign w:val="top"/>
          </w:tcPr>
          <w:p w14:paraId="1038EFA3">
            <w:pPr>
              <w:rPr>
                <w:rFonts w:ascii="Arial"/>
                <w:color w:val="auto"/>
                <w:sz w:val="21"/>
                <w:highlight w:val="none"/>
              </w:rPr>
            </w:pPr>
          </w:p>
        </w:tc>
      </w:tr>
      <w:tr w14:paraId="6CCCE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3C76C865">
            <w:pPr>
              <w:rPr>
                <w:rFonts w:ascii="Arial"/>
                <w:color w:val="auto"/>
                <w:sz w:val="21"/>
                <w:highlight w:val="none"/>
              </w:rPr>
            </w:pPr>
          </w:p>
        </w:tc>
        <w:tc>
          <w:tcPr>
            <w:tcW w:w="1363" w:type="dxa"/>
            <w:vAlign w:val="top"/>
          </w:tcPr>
          <w:p w14:paraId="3A79A498">
            <w:pPr>
              <w:rPr>
                <w:rFonts w:ascii="Arial"/>
                <w:color w:val="auto"/>
                <w:sz w:val="21"/>
                <w:highlight w:val="none"/>
              </w:rPr>
            </w:pPr>
          </w:p>
        </w:tc>
        <w:tc>
          <w:tcPr>
            <w:tcW w:w="1022" w:type="dxa"/>
            <w:vAlign w:val="top"/>
          </w:tcPr>
          <w:p w14:paraId="24F7AF5A">
            <w:pPr>
              <w:rPr>
                <w:rFonts w:ascii="Arial"/>
                <w:color w:val="auto"/>
                <w:sz w:val="21"/>
                <w:highlight w:val="none"/>
              </w:rPr>
            </w:pPr>
          </w:p>
        </w:tc>
        <w:tc>
          <w:tcPr>
            <w:tcW w:w="1022" w:type="dxa"/>
            <w:vAlign w:val="top"/>
          </w:tcPr>
          <w:p w14:paraId="5981B515">
            <w:pPr>
              <w:rPr>
                <w:rFonts w:ascii="Arial"/>
                <w:color w:val="auto"/>
                <w:sz w:val="21"/>
                <w:highlight w:val="none"/>
              </w:rPr>
            </w:pPr>
          </w:p>
        </w:tc>
        <w:tc>
          <w:tcPr>
            <w:tcW w:w="1022" w:type="dxa"/>
            <w:vAlign w:val="top"/>
          </w:tcPr>
          <w:p w14:paraId="76F031D9">
            <w:pPr>
              <w:rPr>
                <w:rFonts w:ascii="Arial"/>
                <w:color w:val="auto"/>
                <w:sz w:val="21"/>
                <w:highlight w:val="none"/>
              </w:rPr>
            </w:pPr>
          </w:p>
        </w:tc>
        <w:tc>
          <w:tcPr>
            <w:tcW w:w="1022" w:type="dxa"/>
            <w:vAlign w:val="top"/>
          </w:tcPr>
          <w:p w14:paraId="6BDC280D">
            <w:pPr>
              <w:rPr>
                <w:rFonts w:ascii="Arial"/>
                <w:color w:val="auto"/>
                <w:sz w:val="21"/>
                <w:highlight w:val="none"/>
              </w:rPr>
            </w:pPr>
          </w:p>
        </w:tc>
        <w:tc>
          <w:tcPr>
            <w:tcW w:w="1027" w:type="dxa"/>
            <w:vAlign w:val="top"/>
          </w:tcPr>
          <w:p w14:paraId="534F9E73">
            <w:pPr>
              <w:rPr>
                <w:rFonts w:ascii="Arial"/>
                <w:color w:val="auto"/>
                <w:sz w:val="21"/>
                <w:highlight w:val="none"/>
              </w:rPr>
            </w:pPr>
          </w:p>
        </w:tc>
        <w:tc>
          <w:tcPr>
            <w:tcW w:w="1027" w:type="dxa"/>
            <w:vAlign w:val="top"/>
          </w:tcPr>
          <w:p w14:paraId="032C800C">
            <w:pPr>
              <w:rPr>
                <w:rFonts w:ascii="Arial"/>
                <w:color w:val="auto"/>
                <w:sz w:val="21"/>
                <w:highlight w:val="none"/>
              </w:rPr>
            </w:pPr>
          </w:p>
        </w:tc>
      </w:tr>
      <w:tr w14:paraId="6F3E8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89A3EE7">
            <w:pPr>
              <w:rPr>
                <w:rFonts w:ascii="Arial"/>
                <w:color w:val="auto"/>
                <w:sz w:val="21"/>
                <w:highlight w:val="none"/>
              </w:rPr>
            </w:pPr>
          </w:p>
        </w:tc>
        <w:tc>
          <w:tcPr>
            <w:tcW w:w="1363" w:type="dxa"/>
            <w:vAlign w:val="top"/>
          </w:tcPr>
          <w:p w14:paraId="332B1D37">
            <w:pPr>
              <w:rPr>
                <w:rFonts w:ascii="Arial"/>
                <w:color w:val="auto"/>
                <w:sz w:val="21"/>
                <w:highlight w:val="none"/>
              </w:rPr>
            </w:pPr>
          </w:p>
        </w:tc>
        <w:tc>
          <w:tcPr>
            <w:tcW w:w="1022" w:type="dxa"/>
            <w:vAlign w:val="top"/>
          </w:tcPr>
          <w:p w14:paraId="488546CB">
            <w:pPr>
              <w:rPr>
                <w:rFonts w:ascii="Arial"/>
                <w:color w:val="auto"/>
                <w:sz w:val="21"/>
                <w:highlight w:val="none"/>
              </w:rPr>
            </w:pPr>
          </w:p>
        </w:tc>
        <w:tc>
          <w:tcPr>
            <w:tcW w:w="1022" w:type="dxa"/>
            <w:vAlign w:val="top"/>
          </w:tcPr>
          <w:p w14:paraId="4AFCB534">
            <w:pPr>
              <w:rPr>
                <w:rFonts w:ascii="Arial"/>
                <w:color w:val="auto"/>
                <w:sz w:val="21"/>
                <w:highlight w:val="none"/>
              </w:rPr>
            </w:pPr>
          </w:p>
        </w:tc>
        <w:tc>
          <w:tcPr>
            <w:tcW w:w="1022" w:type="dxa"/>
            <w:vAlign w:val="top"/>
          </w:tcPr>
          <w:p w14:paraId="78E57475">
            <w:pPr>
              <w:rPr>
                <w:rFonts w:ascii="Arial"/>
                <w:color w:val="auto"/>
                <w:sz w:val="21"/>
                <w:highlight w:val="none"/>
              </w:rPr>
            </w:pPr>
          </w:p>
        </w:tc>
        <w:tc>
          <w:tcPr>
            <w:tcW w:w="1022" w:type="dxa"/>
            <w:vAlign w:val="top"/>
          </w:tcPr>
          <w:p w14:paraId="01D66666">
            <w:pPr>
              <w:rPr>
                <w:rFonts w:ascii="Arial"/>
                <w:color w:val="auto"/>
                <w:sz w:val="21"/>
                <w:highlight w:val="none"/>
              </w:rPr>
            </w:pPr>
          </w:p>
        </w:tc>
        <w:tc>
          <w:tcPr>
            <w:tcW w:w="1027" w:type="dxa"/>
            <w:vAlign w:val="top"/>
          </w:tcPr>
          <w:p w14:paraId="03DF47A2">
            <w:pPr>
              <w:rPr>
                <w:rFonts w:ascii="Arial"/>
                <w:color w:val="auto"/>
                <w:sz w:val="21"/>
                <w:highlight w:val="none"/>
              </w:rPr>
            </w:pPr>
          </w:p>
        </w:tc>
        <w:tc>
          <w:tcPr>
            <w:tcW w:w="1027" w:type="dxa"/>
            <w:vAlign w:val="top"/>
          </w:tcPr>
          <w:p w14:paraId="0DE2609E">
            <w:pPr>
              <w:rPr>
                <w:rFonts w:ascii="Arial"/>
                <w:color w:val="auto"/>
                <w:sz w:val="21"/>
                <w:highlight w:val="none"/>
              </w:rPr>
            </w:pPr>
          </w:p>
        </w:tc>
      </w:tr>
      <w:tr w14:paraId="1518C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696" w:type="dxa"/>
            <w:vAlign w:val="top"/>
          </w:tcPr>
          <w:p w14:paraId="30E0736A">
            <w:pPr>
              <w:rPr>
                <w:rFonts w:ascii="Arial"/>
                <w:color w:val="auto"/>
                <w:sz w:val="21"/>
                <w:highlight w:val="none"/>
              </w:rPr>
            </w:pPr>
          </w:p>
        </w:tc>
        <w:tc>
          <w:tcPr>
            <w:tcW w:w="1363" w:type="dxa"/>
            <w:vAlign w:val="top"/>
          </w:tcPr>
          <w:p w14:paraId="25879EF6">
            <w:pPr>
              <w:rPr>
                <w:rFonts w:ascii="Arial"/>
                <w:color w:val="auto"/>
                <w:sz w:val="21"/>
                <w:highlight w:val="none"/>
              </w:rPr>
            </w:pPr>
          </w:p>
        </w:tc>
        <w:tc>
          <w:tcPr>
            <w:tcW w:w="1022" w:type="dxa"/>
            <w:vAlign w:val="top"/>
          </w:tcPr>
          <w:p w14:paraId="4DBAA94B">
            <w:pPr>
              <w:rPr>
                <w:rFonts w:ascii="Arial"/>
                <w:color w:val="auto"/>
                <w:sz w:val="21"/>
                <w:highlight w:val="none"/>
              </w:rPr>
            </w:pPr>
          </w:p>
        </w:tc>
        <w:tc>
          <w:tcPr>
            <w:tcW w:w="1022" w:type="dxa"/>
            <w:vAlign w:val="top"/>
          </w:tcPr>
          <w:p w14:paraId="0DA230D2">
            <w:pPr>
              <w:rPr>
                <w:rFonts w:ascii="Arial"/>
                <w:color w:val="auto"/>
                <w:sz w:val="21"/>
                <w:highlight w:val="none"/>
              </w:rPr>
            </w:pPr>
          </w:p>
        </w:tc>
        <w:tc>
          <w:tcPr>
            <w:tcW w:w="1022" w:type="dxa"/>
            <w:vAlign w:val="top"/>
          </w:tcPr>
          <w:p w14:paraId="1407BF4C">
            <w:pPr>
              <w:rPr>
                <w:rFonts w:ascii="Arial"/>
                <w:color w:val="auto"/>
                <w:sz w:val="21"/>
                <w:highlight w:val="none"/>
              </w:rPr>
            </w:pPr>
          </w:p>
        </w:tc>
        <w:tc>
          <w:tcPr>
            <w:tcW w:w="1022" w:type="dxa"/>
            <w:vAlign w:val="top"/>
          </w:tcPr>
          <w:p w14:paraId="6DE060A4">
            <w:pPr>
              <w:rPr>
                <w:rFonts w:ascii="Arial"/>
                <w:color w:val="auto"/>
                <w:sz w:val="21"/>
                <w:highlight w:val="none"/>
              </w:rPr>
            </w:pPr>
          </w:p>
        </w:tc>
        <w:tc>
          <w:tcPr>
            <w:tcW w:w="1027" w:type="dxa"/>
            <w:vAlign w:val="top"/>
          </w:tcPr>
          <w:p w14:paraId="1BBDCDEF">
            <w:pPr>
              <w:rPr>
                <w:rFonts w:ascii="Arial"/>
                <w:color w:val="auto"/>
                <w:sz w:val="21"/>
                <w:highlight w:val="none"/>
              </w:rPr>
            </w:pPr>
          </w:p>
        </w:tc>
        <w:tc>
          <w:tcPr>
            <w:tcW w:w="1027" w:type="dxa"/>
            <w:vAlign w:val="top"/>
          </w:tcPr>
          <w:p w14:paraId="6D163BFE">
            <w:pPr>
              <w:rPr>
                <w:rFonts w:ascii="Arial"/>
                <w:color w:val="auto"/>
                <w:sz w:val="21"/>
                <w:highlight w:val="none"/>
              </w:rPr>
            </w:pPr>
          </w:p>
        </w:tc>
      </w:tr>
      <w:tr w14:paraId="1566C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0E06D2A">
            <w:pPr>
              <w:rPr>
                <w:rFonts w:ascii="Arial"/>
                <w:color w:val="auto"/>
                <w:sz w:val="21"/>
                <w:highlight w:val="none"/>
              </w:rPr>
            </w:pPr>
          </w:p>
        </w:tc>
        <w:tc>
          <w:tcPr>
            <w:tcW w:w="1363" w:type="dxa"/>
            <w:vAlign w:val="top"/>
          </w:tcPr>
          <w:p w14:paraId="7CEEB0EA">
            <w:pPr>
              <w:rPr>
                <w:rFonts w:ascii="Arial"/>
                <w:color w:val="auto"/>
                <w:sz w:val="21"/>
                <w:highlight w:val="none"/>
              </w:rPr>
            </w:pPr>
          </w:p>
        </w:tc>
        <w:tc>
          <w:tcPr>
            <w:tcW w:w="1022" w:type="dxa"/>
            <w:vAlign w:val="top"/>
          </w:tcPr>
          <w:p w14:paraId="2F003CE6">
            <w:pPr>
              <w:rPr>
                <w:rFonts w:ascii="Arial"/>
                <w:color w:val="auto"/>
                <w:sz w:val="21"/>
                <w:highlight w:val="none"/>
              </w:rPr>
            </w:pPr>
          </w:p>
        </w:tc>
        <w:tc>
          <w:tcPr>
            <w:tcW w:w="1022" w:type="dxa"/>
            <w:vAlign w:val="top"/>
          </w:tcPr>
          <w:p w14:paraId="17A61DEA">
            <w:pPr>
              <w:rPr>
                <w:rFonts w:ascii="Arial"/>
                <w:color w:val="auto"/>
                <w:sz w:val="21"/>
                <w:highlight w:val="none"/>
              </w:rPr>
            </w:pPr>
          </w:p>
        </w:tc>
        <w:tc>
          <w:tcPr>
            <w:tcW w:w="1022" w:type="dxa"/>
            <w:vAlign w:val="top"/>
          </w:tcPr>
          <w:p w14:paraId="78A5E86E">
            <w:pPr>
              <w:rPr>
                <w:rFonts w:ascii="Arial"/>
                <w:color w:val="auto"/>
                <w:sz w:val="21"/>
                <w:highlight w:val="none"/>
              </w:rPr>
            </w:pPr>
          </w:p>
        </w:tc>
        <w:tc>
          <w:tcPr>
            <w:tcW w:w="1022" w:type="dxa"/>
            <w:vAlign w:val="top"/>
          </w:tcPr>
          <w:p w14:paraId="752BDE47">
            <w:pPr>
              <w:rPr>
                <w:rFonts w:ascii="Arial"/>
                <w:color w:val="auto"/>
                <w:sz w:val="21"/>
                <w:highlight w:val="none"/>
              </w:rPr>
            </w:pPr>
          </w:p>
        </w:tc>
        <w:tc>
          <w:tcPr>
            <w:tcW w:w="1027" w:type="dxa"/>
            <w:vAlign w:val="top"/>
          </w:tcPr>
          <w:p w14:paraId="1DB18999">
            <w:pPr>
              <w:rPr>
                <w:rFonts w:ascii="Arial"/>
                <w:color w:val="auto"/>
                <w:sz w:val="21"/>
                <w:highlight w:val="none"/>
              </w:rPr>
            </w:pPr>
          </w:p>
        </w:tc>
        <w:tc>
          <w:tcPr>
            <w:tcW w:w="1027" w:type="dxa"/>
            <w:vAlign w:val="top"/>
          </w:tcPr>
          <w:p w14:paraId="514A4F11">
            <w:pPr>
              <w:rPr>
                <w:rFonts w:ascii="Arial"/>
                <w:color w:val="auto"/>
                <w:sz w:val="21"/>
                <w:highlight w:val="none"/>
              </w:rPr>
            </w:pPr>
          </w:p>
        </w:tc>
      </w:tr>
      <w:tr w14:paraId="61A5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696" w:type="dxa"/>
            <w:vAlign w:val="top"/>
          </w:tcPr>
          <w:p w14:paraId="5F1C2B7A">
            <w:pPr>
              <w:rPr>
                <w:rFonts w:ascii="Arial"/>
                <w:color w:val="auto"/>
                <w:sz w:val="21"/>
                <w:highlight w:val="none"/>
              </w:rPr>
            </w:pPr>
          </w:p>
        </w:tc>
        <w:tc>
          <w:tcPr>
            <w:tcW w:w="1363" w:type="dxa"/>
            <w:vAlign w:val="top"/>
          </w:tcPr>
          <w:p w14:paraId="425DA467">
            <w:pPr>
              <w:rPr>
                <w:rFonts w:ascii="Arial"/>
                <w:color w:val="auto"/>
                <w:sz w:val="21"/>
                <w:highlight w:val="none"/>
              </w:rPr>
            </w:pPr>
          </w:p>
        </w:tc>
        <w:tc>
          <w:tcPr>
            <w:tcW w:w="1022" w:type="dxa"/>
            <w:vAlign w:val="top"/>
          </w:tcPr>
          <w:p w14:paraId="44F2D022">
            <w:pPr>
              <w:rPr>
                <w:rFonts w:ascii="Arial"/>
                <w:color w:val="auto"/>
                <w:sz w:val="21"/>
                <w:highlight w:val="none"/>
              </w:rPr>
            </w:pPr>
          </w:p>
        </w:tc>
        <w:tc>
          <w:tcPr>
            <w:tcW w:w="1022" w:type="dxa"/>
            <w:vAlign w:val="top"/>
          </w:tcPr>
          <w:p w14:paraId="56073908">
            <w:pPr>
              <w:rPr>
                <w:rFonts w:ascii="Arial"/>
                <w:color w:val="auto"/>
                <w:sz w:val="21"/>
                <w:highlight w:val="none"/>
              </w:rPr>
            </w:pPr>
          </w:p>
        </w:tc>
        <w:tc>
          <w:tcPr>
            <w:tcW w:w="1022" w:type="dxa"/>
            <w:vAlign w:val="top"/>
          </w:tcPr>
          <w:p w14:paraId="2A763172">
            <w:pPr>
              <w:rPr>
                <w:rFonts w:ascii="Arial"/>
                <w:color w:val="auto"/>
                <w:sz w:val="21"/>
                <w:highlight w:val="none"/>
              </w:rPr>
            </w:pPr>
          </w:p>
        </w:tc>
        <w:tc>
          <w:tcPr>
            <w:tcW w:w="1022" w:type="dxa"/>
            <w:vAlign w:val="top"/>
          </w:tcPr>
          <w:p w14:paraId="2758E0ED">
            <w:pPr>
              <w:rPr>
                <w:rFonts w:ascii="Arial"/>
                <w:color w:val="auto"/>
                <w:sz w:val="21"/>
                <w:highlight w:val="none"/>
              </w:rPr>
            </w:pPr>
          </w:p>
        </w:tc>
        <w:tc>
          <w:tcPr>
            <w:tcW w:w="1027" w:type="dxa"/>
            <w:vAlign w:val="top"/>
          </w:tcPr>
          <w:p w14:paraId="03EB263F">
            <w:pPr>
              <w:rPr>
                <w:rFonts w:ascii="Arial"/>
                <w:color w:val="auto"/>
                <w:sz w:val="21"/>
                <w:highlight w:val="none"/>
              </w:rPr>
            </w:pPr>
          </w:p>
        </w:tc>
        <w:tc>
          <w:tcPr>
            <w:tcW w:w="1027" w:type="dxa"/>
            <w:vAlign w:val="top"/>
          </w:tcPr>
          <w:p w14:paraId="21799EF1">
            <w:pPr>
              <w:rPr>
                <w:rFonts w:ascii="Arial"/>
                <w:color w:val="auto"/>
                <w:sz w:val="21"/>
                <w:highlight w:val="none"/>
              </w:rPr>
            </w:pPr>
          </w:p>
        </w:tc>
      </w:tr>
      <w:tr w14:paraId="1E6D3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8529862">
            <w:pPr>
              <w:rPr>
                <w:rFonts w:ascii="Arial"/>
                <w:color w:val="auto"/>
                <w:sz w:val="21"/>
                <w:highlight w:val="none"/>
              </w:rPr>
            </w:pPr>
          </w:p>
        </w:tc>
        <w:tc>
          <w:tcPr>
            <w:tcW w:w="1363" w:type="dxa"/>
            <w:vAlign w:val="top"/>
          </w:tcPr>
          <w:p w14:paraId="0A2C3BEF">
            <w:pPr>
              <w:rPr>
                <w:rFonts w:ascii="Arial"/>
                <w:color w:val="auto"/>
                <w:sz w:val="21"/>
                <w:highlight w:val="none"/>
              </w:rPr>
            </w:pPr>
          </w:p>
        </w:tc>
        <w:tc>
          <w:tcPr>
            <w:tcW w:w="1022" w:type="dxa"/>
            <w:vAlign w:val="top"/>
          </w:tcPr>
          <w:p w14:paraId="6677F95F">
            <w:pPr>
              <w:rPr>
                <w:rFonts w:ascii="Arial"/>
                <w:color w:val="auto"/>
                <w:sz w:val="21"/>
                <w:highlight w:val="none"/>
              </w:rPr>
            </w:pPr>
          </w:p>
        </w:tc>
        <w:tc>
          <w:tcPr>
            <w:tcW w:w="1022" w:type="dxa"/>
            <w:vAlign w:val="top"/>
          </w:tcPr>
          <w:p w14:paraId="04182334">
            <w:pPr>
              <w:rPr>
                <w:rFonts w:ascii="Arial"/>
                <w:color w:val="auto"/>
                <w:sz w:val="21"/>
                <w:highlight w:val="none"/>
              </w:rPr>
            </w:pPr>
          </w:p>
        </w:tc>
        <w:tc>
          <w:tcPr>
            <w:tcW w:w="1022" w:type="dxa"/>
            <w:vAlign w:val="top"/>
          </w:tcPr>
          <w:p w14:paraId="3CC302B7">
            <w:pPr>
              <w:rPr>
                <w:rFonts w:ascii="Arial"/>
                <w:color w:val="auto"/>
                <w:sz w:val="21"/>
                <w:highlight w:val="none"/>
              </w:rPr>
            </w:pPr>
          </w:p>
        </w:tc>
        <w:tc>
          <w:tcPr>
            <w:tcW w:w="1022" w:type="dxa"/>
            <w:vAlign w:val="top"/>
          </w:tcPr>
          <w:p w14:paraId="07E39965">
            <w:pPr>
              <w:rPr>
                <w:rFonts w:ascii="Arial"/>
                <w:color w:val="auto"/>
                <w:sz w:val="21"/>
                <w:highlight w:val="none"/>
              </w:rPr>
            </w:pPr>
          </w:p>
        </w:tc>
        <w:tc>
          <w:tcPr>
            <w:tcW w:w="1027" w:type="dxa"/>
            <w:vAlign w:val="top"/>
          </w:tcPr>
          <w:p w14:paraId="2FD92205">
            <w:pPr>
              <w:rPr>
                <w:rFonts w:ascii="Arial"/>
                <w:color w:val="auto"/>
                <w:sz w:val="21"/>
                <w:highlight w:val="none"/>
              </w:rPr>
            </w:pPr>
          </w:p>
        </w:tc>
        <w:tc>
          <w:tcPr>
            <w:tcW w:w="1027" w:type="dxa"/>
            <w:vAlign w:val="top"/>
          </w:tcPr>
          <w:p w14:paraId="5AB6AD23">
            <w:pPr>
              <w:rPr>
                <w:rFonts w:ascii="Arial"/>
                <w:color w:val="auto"/>
                <w:sz w:val="21"/>
                <w:highlight w:val="none"/>
              </w:rPr>
            </w:pPr>
          </w:p>
        </w:tc>
      </w:tr>
      <w:tr w14:paraId="0D1CE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2FD7B06">
            <w:pPr>
              <w:rPr>
                <w:rFonts w:ascii="Arial"/>
                <w:color w:val="auto"/>
                <w:sz w:val="21"/>
                <w:highlight w:val="none"/>
              </w:rPr>
            </w:pPr>
          </w:p>
        </w:tc>
        <w:tc>
          <w:tcPr>
            <w:tcW w:w="1363" w:type="dxa"/>
            <w:vAlign w:val="top"/>
          </w:tcPr>
          <w:p w14:paraId="008EBF28">
            <w:pPr>
              <w:rPr>
                <w:rFonts w:ascii="Arial"/>
                <w:color w:val="auto"/>
                <w:sz w:val="21"/>
                <w:highlight w:val="none"/>
              </w:rPr>
            </w:pPr>
          </w:p>
        </w:tc>
        <w:tc>
          <w:tcPr>
            <w:tcW w:w="1022" w:type="dxa"/>
            <w:vAlign w:val="top"/>
          </w:tcPr>
          <w:p w14:paraId="46E2E0D0">
            <w:pPr>
              <w:rPr>
                <w:rFonts w:ascii="Arial"/>
                <w:color w:val="auto"/>
                <w:sz w:val="21"/>
                <w:highlight w:val="none"/>
              </w:rPr>
            </w:pPr>
          </w:p>
        </w:tc>
        <w:tc>
          <w:tcPr>
            <w:tcW w:w="1022" w:type="dxa"/>
            <w:vAlign w:val="top"/>
          </w:tcPr>
          <w:p w14:paraId="488B7F1C">
            <w:pPr>
              <w:rPr>
                <w:rFonts w:ascii="Arial"/>
                <w:color w:val="auto"/>
                <w:sz w:val="21"/>
                <w:highlight w:val="none"/>
              </w:rPr>
            </w:pPr>
          </w:p>
        </w:tc>
        <w:tc>
          <w:tcPr>
            <w:tcW w:w="1022" w:type="dxa"/>
            <w:vAlign w:val="top"/>
          </w:tcPr>
          <w:p w14:paraId="38496EEE">
            <w:pPr>
              <w:rPr>
                <w:rFonts w:ascii="Arial"/>
                <w:color w:val="auto"/>
                <w:sz w:val="21"/>
                <w:highlight w:val="none"/>
              </w:rPr>
            </w:pPr>
          </w:p>
        </w:tc>
        <w:tc>
          <w:tcPr>
            <w:tcW w:w="1022" w:type="dxa"/>
            <w:vAlign w:val="top"/>
          </w:tcPr>
          <w:p w14:paraId="692615B0">
            <w:pPr>
              <w:rPr>
                <w:rFonts w:ascii="Arial"/>
                <w:color w:val="auto"/>
                <w:sz w:val="21"/>
                <w:highlight w:val="none"/>
              </w:rPr>
            </w:pPr>
          </w:p>
        </w:tc>
        <w:tc>
          <w:tcPr>
            <w:tcW w:w="1027" w:type="dxa"/>
            <w:vAlign w:val="top"/>
          </w:tcPr>
          <w:p w14:paraId="611443C8">
            <w:pPr>
              <w:rPr>
                <w:rFonts w:ascii="Arial"/>
                <w:color w:val="auto"/>
                <w:sz w:val="21"/>
                <w:highlight w:val="none"/>
              </w:rPr>
            </w:pPr>
          </w:p>
        </w:tc>
        <w:tc>
          <w:tcPr>
            <w:tcW w:w="1027" w:type="dxa"/>
            <w:vAlign w:val="top"/>
          </w:tcPr>
          <w:p w14:paraId="185FC040">
            <w:pPr>
              <w:rPr>
                <w:rFonts w:ascii="Arial"/>
                <w:color w:val="auto"/>
                <w:sz w:val="21"/>
                <w:highlight w:val="none"/>
              </w:rPr>
            </w:pPr>
          </w:p>
        </w:tc>
      </w:tr>
      <w:tr w14:paraId="644D2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D3FE1F8">
            <w:pPr>
              <w:rPr>
                <w:rFonts w:ascii="Arial"/>
                <w:color w:val="auto"/>
                <w:sz w:val="21"/>
                <w:highlight w:val="none"/>
              </w:rPr>
            </w:pPr>
          </w:p>
        </w:tc>
        <w:tc>
          <w:tcPr>
            <w:tcW w:w="1363" w:type="dxa"/>
            <w:vAlign w:val="top"/>
          </w:tcPr>
          <w:p w14:paraId="2D9847BA">
            <w:pPr>
              <w:rPr>
                <w:rFonts w:ascii="Arial"/>
                <w:color w:val="auto"/>
                <w:sz w:val="21"/>
                <w:highlight w:val="none"/>
              </w:rPr>
            </w:pPr>
          </w:p>
        </w:tc>
        <w:tc>
          <w:tcPr>
            <w:tcW w:w="1022" w:type="dxa"/>
            <w:vAlign w:val="top"/>
          </w:tcPr>
          <w:p w14:paraId="1B35FA75">
            <w:pPr>
              <w:rPr>
                <w:rFonts w:ascii="Arial"/>
                <w:color w:val="auto"/>
                <w:sz w:val="21"/>
                <w:highlight w:val="none"/>
              </w:rPr>
            </w:pPr>
          </w:p>
        </w:tc>
        <w:tc>
          <w:tcPr>
            <w:tcW w:w="1022" w:type="dxa"/>
            <w:vAlign w:val="top"/>
          </w:tcPr>
          <w:p w14:paraId="07764C6B">
            <w:pPr>
              <w:rPr>
                <w:rFonts w:ascii="Arial"/>
                <w:color w:val="auto"/>
                <w:sz w:val="21"/>
                <w:highlight w:val="none"/>
              </w:rPr>
            </w:pPr>
          </w:p>
        </w:tc>
        <w:tc>
          <w:tcPr>
            <w:tcW w:w="1022" w:type="dxa"/>
            <w:vAlign w:val="top"/>
          </w:tcPr>
          <w:p w14:paraId="66864173">
            <w:pPr>
              <w:rPr>
                <w:rFonts w:ascii="Arial"/>
                <w:color w:val="auto"/>
                <w:sz w:val="21"/>
                <w:highlight w:val="none"/>
              </w:rPr>
            </w:pPr>
          </w:p>
        </w:tc>
        <w:tc>
          <w:tcPr>
            <w:tcW w:w="1022" w:type="dxa"/>
            <w:vAlign w:val="top"/>
          </w:tcPr>
          <w:p w14:paraId="6FA002E1">
            <w:pPr>
              <w:rPr>
                <w:rFonts w:ascii="Arial"/>
                <w:color w:val="auto"/>
                <w:sz w:val="21"/>
                <w:highlight w:val="none"/>
              </w:rPr>
            </w:pPr>
          </w:p>
        </w:tc>
        <w:tc>
          <w:tcPr>
            <w:tcW w:w="1027" w:type="dxa"/>
            <w:vAlign w:val="top"/>
          </w:tcPr>
          <w:p w14:paraId="78E50888">
            <w:pPr>
              <w:rPr>
                <w:rFonts w:ascii="Arial"/>
                <w:color w:val="auto"/>
                <w:sz w:val="21"/>
                <w:highlight w:val="none"/>
              </w:rPr>
            </w:pPr>
          </w:p>
        </w:tc>
        <w:tc>
          <w:tcPr>
            <w:tcW w:w="1027" w:type="dxa"/>
            <w:vAlign w:val="top"/>
          </w:tcPr>
          <w:p w14:paraId="1B418916">
            <w:pPr>
              <w:rPr>
                <w:rFonts w:ascii="Arial"/>
                <w:color w:val="auto"/>
                <w:sz w:val="21"/>
                <w:highlight w:val="none"/>
              </w:rPr>
            </w:pPr>
          </w:p>
        </w:tc>
      </w:tr>
      <w:tr w14:paraId="511E7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66677740">
            <w:pPr>
              <w:rPr>
                <w:rFonts w:ascii="Arial"/>
                <w:color w:val="auto"/>
                <w:sz w:val="21"/>
                <w:highlight w:val="none"/>
              </w:rPr>
            </w:pPr>
          </w:p>
        </w:tc>
        <w:tc>
          <w:tcPr>
            <w:tcW w:w="1363" w:type="dxa"/>
            <w:vAlign w:val="top"/>
          </w:tcPr>
          <w:p w14:paraId="2C4D76C1">
            <w:pPr>
              <w:rPr>
                <w:rFonts w:ascii="Arial"/>
                <w:color w:val="auto"/>
                <w:sz w:val="21"/>
                <w:highlight w:val="none"/>
              </w:rPr>
            </w:pPr>
          </w:p>
        </w:tc>
        <w:tc>
          <w:tcPr>
            <w:tcW w:w="1022" w:type="dxa"/>
            <w:vAlign w:val="top"/>
          </w:tcPr>
          <w:p w14:paraId="2F1AA727">
            <w:pPr>
              <w:rPr>
                <w:rFonts w:ascii="Arial"/>
                <w:color w:val="auto"/>
                <w:sz w:val="21"/>
                <w:highlight w:val="none"/>
              </w:rPr>
            </w:pPr>
          </w:p>
        </w:tc>
        <w:tc>
          <w:tcPr>
            <w:tcW w:w="1022" w:type="dxa"/>
            <w:vAlign w:val="top"/>
          </w:tcPr>
          <w:p w14:paraId="4DC92384">
            <w:pPr>
              <w:rPr>
                <w:rFonts w:ascii="Arial"/>
                <w:color w:val="auto"/>
                <w:sz w:val="21"/>
                <w:highlight w:val="none"/>
              </w:rPr>
            </w:pPr>
          </w:p>
        </w:tc>
        <w:tc>
          <w:tcPr>
            <w:tcW w:w="1022" w:type="dxa"/>
            <w:vAlign w:val="top"/>
          </w:tcPr>
          <w:p w14:paraId="6A380EF1">
            <w:pPr>
              <w:rPr>
                <w:rFonts w:ascii="Arial"/>
                <w:color w:val="auto"/>
                <w:sz w:val="21"/>
                <w:highlight w:val="none"/>
              </w:rPr>
            </w:pPr>
          </w:p>
        </w:tc>
        <w:tc>
          <w:tcPr>
            <w:tcW w:w="1022" w:type="dxa"/>
            <w:vAlign w:val="top"/>
          </w:tcPr>
          <w:p w14:paraId="3C3BE418">
            <w:pPr>
              <w:rPr>
                <w:rFonts w:ascii="Arial"/>
                <w:color w:val="auto"/>
                <w:sz w:val="21"/>
                <w:highlight w:val="none"/>
              </w:rPr>
            </w:pPr>
          </w:p>
        </w:tc>
        <w:tc>
          <w:tcPr>
            <w:tcW w:w="1027" w:type="dxa"/>
            <w:vAlign w:val="top"/>
          </w:tcPr>
          <w:p w14:paraId="37BA7A4B">
            <w:pPr>
              <w:rPr>
                <w:rFonts w:ascii="Arial"/>
                <w:color w:val="auto"/>
                <w:sz w:val="21"/>
                <w:highlight w:val="none"/>
              </w:rPr>
            </w:pPr>
          </w:p>
        </w:tc>
        <w:tc>
          <w:tcPr>
            <w:tcW w:w="1027" w:type="dxa"/>
            <w:vAlign w:val="top"/>
          </w:tcPr>
          <w:p w14:paraId="46029C7C">
            <w:pPr>
              <w:rPr>
                <w:rFonts w:ascii="Arial"/>
                <w:color w:val="auto"/>
                <w:sz w:val="21"/>
                <w:highlight w:val="none"/>
              </w:rPr>
            </w:pPr>
          </w:p>
        </w:tc>
      </w:tr>
      <w:tr w14:paraId="43602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9B6B45B">
            <w:pPr>
              <w:rPr>
                <w:rFonts w:ascii="Arial"/>
                <w:color w:val="auto"/>
                <w:sz w:val="21"/>
                <w:highlight w:val="none"/>
              </w:rPr>
            </w:pPr>
          </w:p>
        </w:tc>
        <w:tc>
          <w:tcPr>
            <w:tcW w:w="1363" w:type="dxa"/>
            <w:vAlign w:val="top"/>
          </w:tcPr>
          <w:p w14:paraId="08C03620">
            <w:pPr>
              <w:rPr>
                <w:rFonts w:ascii="Arial"/>
                <w:color w:val="auto"/>
                <w:sz w:val="21"/>
                <w:highlight w:val="none"/>
              </w:rPr>
            </w:pPr>
          </w:p>
        </w:tc>
        <w:tc>
          <w:tcPr>
            <w:tcW w:w="1022" w:type="dxa"/>
            <w:vAlign w:val="top"/>
          </w:tcPr>
          <w:p w14:paraId="30A7A1F6">
            <w:pPr>
              <w:rPr>
                <w:rFonts w:ascii="Arial"/>
                <w:color w:val="auto"/>
                <w:sz w:val="21"/>
                <w:highlight w:val="none"/>
              </w:rPr>
            </w:pPr>
          </w:p>
        </w:tc>
        <w:tc>
          <w:tcPr>
            <w:tcW w:w="1022" w:type="dxa"/>
            <w:vAlign w:val="top"/>
          </w:tcPr>
          <w:p w14:paraId="2EB8200A">
            <w:pPr>
              <w:rPr>
                <w:rFonts w:ascii="Arial"/>
                <w:color w:val="auto"/>
                <w:sz w:val="21"/>
                <w:highlight w:val="none"/>
              </w:rPr>
            </w:pPr>
          </w:p>
        </w:tc>
        <w:tc>
          <w:tcPr>
            <w:tcW w:w="1022" w:type="dxa"/>
            <w:vAlign w:val="top"/>
          </w:tcPr>
          <w:p w14:paraId="4C0EBE65">
            <w:pPr>
              <w:rPr>
                <w:rFonts w:ascii="Arial"/>
                <w:color w:val="auto"/>
                <w:sz w:val="21"/>
                <w:highlight w:val="none"/>
              </w:rPr>
            </w:pPr>
          </w:p>
        </w:tc>
        <w:tc>
          <w:tcPr>
            <w:tcW w:w="1022" w:type="dxa"/>
            <w:vAlign w:val="top"/>
          </w:tcPr>
          <w:p w14:paraId="75E8E3E7">
            <w:pPr>
              <w:rPr>
                <w:rFonts w:ascii="Arial"/>
                <w:color w:val="auto"/>
                <w:sz w:val="21"/>
                <w:highlight w:val="none"/>
              </w:rPr>
            </w:pPr>
          </w:p>
        </w:tc>
        <w:tc>
          <w:tcPr>
            <w:tcW w:w="1027" w:type="dxa"/>
            <w:vAlign w:val="top"/>
          </w:tcPr>
          <w:p w14:paraId="564457BA">
            <w:pPr>
              <w:rPr>
                <w:rFonts w:ascii="Arial"/>
                <w:color w:val="auto"/>
                <w:sz w:val="21"/>
                <w:highlight w:val="none"/>
              </w:rPr>
            </w:pPr>
          </w:p>
        </w:tc>
        <w:tc>
          <w:tcPr>
            <w:tcW w:w="1027" w:type="dxa"/>
            <w:vAlign w:val="top"/>
          </w:tcPr>
          <w:p w14:paraId="68D86FC0">
            <w:pPr>
              <w:rPr>
                <w:rFonts w:ascii="Arial"/>
                <w:color w:val="auto"/>
                <w:sz w:val="21"/>
                <w:highlight w:val="none"/>
              </w:rPr>
            </w:pPr>
          </w:p>
        </w:tc>
      </w:tr>
      <w:tr w14:paraId="1623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8BCFFD9">
            <w:pPr>
              <w:rPr>
                <w:rFonts w:ascii="Arial"/>
                <w:color w:val="auto"/>
                <w:sz w:val="21"/>
                <w:highlight w:val="none"/>
              </w:rPr>
            </w:pPr>
          </w:p>
        </w:tc>
        <w:tc>
          <w:tcPr>
            <w:tcW w:w="1363" w:type="dxa"/>
            <w:vAlign w:val="top"/>
          </w:tcPr>
          <w:p w14:paraId="4A7C846C">
            <w:pPr>
              <w:rPr>
                <w:rFonts w:ascii="Arial"/>
                <w:color w:val="auto"/>
                <w:sz w:val="21"/>
                <w:highlight w:val="none"/>
              </w:rPr>
            </w:pPr>
          </w:p>
        </w:tc>
        <w:tc>
          <w:tcPr>
            <w:tcW w:w="1022" w:type="dxa"/>
            <w:vAlign w:val="top"/>
          </w:tcPr>
          <w:p w14:paraId="6747BF69">
            <w:pPr>
              <w:rPr>
                <w:rFonts w:ascii="Arial"/>
                <w:color w:val="auto"/>
                <w:sz w:val="21"/>
                <w:highlight w:val="none"/>
              </w:rPr>
            </w:pPr>
          </w:p>
        </w:tc>
        <w:tc>
          <w:tcPr>
            <w:tcW w:w="1022" w:type="dxa"/>
            <w:vAlign w:val="top"/>
          </w:tcPr>
          <w:p w14:paraId="000F9772">
            <w:pPr>
              <w:rPr>
                <w:rFonts w:ascii="Arial"/>
                <w:color w:val="auto"/>
                <w:sz w:val="21"/>
                <w:highlight w:val="none"/>
              </w:rPr>
            </w:pPr>
          </w:p>
        </w:tc>
        <w:tc>
          <w:tcPr>
            <w:tcW w:w="1022" w:type="dxa"/>
            <w:vAlign w:val="top"/>
          </w:tcPr>
          <w:p w14:paraId="3933C692">
            <w:pPr>
              <w:rPr>
                <w:rFonts w:ascii="Arial"/>
                <w:color w:val="auto"/>
                <w:sz w:val="21"/>
                <w:highlight w:val="none"/>
              </w:rPr>
            </w:pPr>
          </w:p>
        </w:tc>
        <w:tc>
          <w:tcPr>
            <w:tcW w:w="1022" w:type="dxa"/>
            <w:vAlign w:val="top"/>
          </w:tcPr>
          <w:p w14:paraId="4FD83D16">
            <w:pPr>
              <w:rPr>
                <w:rFonts w:ascii="Arial"/>
                <w:color w:val="auto"/>
                <w:sz w:val="21"/>
                <w:highlight w:val="none"/>
              </w:rPr>
            </w:pPr>
          </w:p>
        </w:tc>
        <w:tc>
          <w:tcPr>
            <w:tcW w:w="1027" w:type="dxa"/>
            <w:vAlign w:val="top"/>
          </w:tcPr>
          <w:p w14:paraId="2BC31418">
            <w:pPr>
              <w:rPr>
                <w:rFonts w:ascii="Arial"/>
                <w:color w:val="auto"/>
                <w:sz w:val="21"/>
                <w:highlight w:val="none"/>
              </w:rPr>
            </w:pPr>
          </w:p>
        </w:tc>
        <w:tc>
          <w:tcPr>
            <w:tcW w:w="1027" w:type="dxa"/>
            <w:vAlign w:val="top"/>
          </w:tcPr>
          <w:p w14:paraId="52B97750">
            <w:pPr>
              <w:rPr>
                <w:rFonts w:ascii="Arial"/>
                <w:color w:val="auto"/>
                <w:sz w:val="21"/>
                <w:highlight w:val="none"/>
              </w:rPr>
            </w:pPr>
          </w:p>
        </w:tc>
      </w:tr>
      <w:tr w14:paraId="494AD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D850663">
            <w:pPr>
              <w:rPr>
                <w:rFonts w:ascii="Arial"/>
                <w:color w:val="auto"/>
                <w:sz w:val="21"/>
                <w:highlight w:val="none"/>
              </w:rPr>
            </w:pPr>
          </w:p>
        </w:tc>
        <w:tc>
          <w:tcPr>
            <w:tcW w:w="1363" w:type="dxa"/>
            <w:vAlign w:val="top"/>
          </w:tcPr>
          <w:p w14:paraId="730607EC">
            <w:pPr>
              <w:rPr>
                <w:rFonts w:ascii="Arial"/>
                <w:color w:val="auto"/>
                <w:sz w:val="21"/>
                <w:highlight w:val="none"/>
              </w:rPr>
            </w:pPr>
          </w:p>
        </w:tc>
        <w:tc>
          <w:tcPr>
            <w:tcW w:w="1022" w:type="dxa"/>
            <w:vAlign w:val="top"/>
          </w:tcPr>
          <w:p w14:paraId="4E18711F">
            <w:pPr>
              <w:rPr>
                <w:rFonts w:ascii="Arial"/>
                <w:color w:val="auto"/>
                <w:sz w:val="21"/>
                <w:highlight w:val="none"/>
              </w:rPr>
            </w:pPr>
          </w:p>
        </w:tc>
        <w:tc>
          <w:tcPr>
            <w:tcW w:w="1022" w:type="dxa"/>
            <w:vAlign w:val="top"/>
          </w:tcPr>
          <w:p w14:paraId="2F65A41B">
            <w:pPr>
              <w:rPr>
                <w:rFonts w:ascii="Arial"/>
                <w:color w:val="auto"/>
                <w:sz w:val="21"/>
                <w:highlight w:val="none"/>
              </w:rPr>
            </w:pPr>
          </w:p>
        </w:tc>
        <w:tc>
          <w:tcPr>
            <w:tcW w:w="1022" w:type="dxa"/>
            <w:vAlign w:val="top"/>
          </w:tcPr>
          <w:p w14:paraId="0CCB8032">
            <w:pPr>
              <w:rPr>
                <w:rFonts w:ascii="Arial"/>
                <w:color w:val="auto"/>
                <w:sz w:val="21"/>
                <w:highlight w:val="none"/>
              </w:rPr>
            </w:pPr>
          </w:p>
        </w:tc>
        <w:tc>
          <w:tcPr>
            <w:tcW w:w="1022" w:type="dxa"/>
            <w:vAlign w:val="top"/>
          </w:tcPr>
          <w:p w14:paraId="4BE7F740">
            <w:pPr>
              <w:rPr>
                <w:rFonts w:ascii="Arial"/>
                <w:color w:val="auto"/>
                <w:sz w:val="21"/>
                <w:highlight w:val="none"/>
              </w:rPr>
            </w:pPr>
          </w:p>
        </w:tc>
        <w:tc>
          <w:tcPr>
            <w:tcW w:w="1027" w:type="dxa"/>
            <w:vAlign w:val="top"/>
          </w:tcPr>
          <w:p w14:paraId="172038BF">
            <w:pPr>
              <w:rPr>
                <w:rFonts w:ascii="Arial"/>
                <w:color w:val="auto"/>
                <w:sz w:val="21"/>
                <w:highlight w:val="none"/>
              </w:rPr>
            </w:pPr>
          </w:p>
        </w:tc>
        <w:tc>
          <w:tcPr>
            <w:tcW w:w="1027" w:type="dxa"/>
            <w:vAlign w:val="top"/>
          </w:tcPr>
          <w:p w14:paraId="603FDF32">
            <w:pPr>
              <w:rPr>
                <w:rFonts w:ascii="Arial"/>
                <w:color w:val="auto"/>
                <w:sz w:val="21"/>
                <w:highlight w:val="none"/>
              </w:rPr>
            </w:pPr>
          </w:p>
        </w:tc>
      </w:tr>
      <w:tr w14:paraId="3B5B6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57AC5C0">
            <w:pPr>
              <w:rPr>
                <w:rFonts w:ascii="Arial"/>
                <w:color w:val="auto"/>
                <w:sz w:val="21"/>
                <w:highlight w:val="none"/>
              </w:rPr>
            </w:pPr>
          </w:p>
        </w:tc>
        <w:tc>
          <w:tcPr>
            <w:tcW w:w="1363" w:type="dxa"/>
            <w:vAlign w:val="top"/>
          </w:tcPr>
          <w:p w14:paraId="106D5E24">
            <w:pPr>
              <w:rPr>
                <w:rFonts w:ascii="Arial"/>
                <w:color w:val="auto"/>
                <w:sz w:val="21"/>
                <w:highlight w:val="none"/>
              </w:rPr>
            </w:pPr>
          </w:p>
        </w:tc>
        <w:tc>
          <w:tcPr>
            <w:tcW w:w="1022" w:type="dxa"/>
            <w:vAlign w:val="top"/>
          </w:tcPr>
          <w:p w14:paraId="005D2307">
            <w:pPr>
              <w:rPr>
                <w:rFonts w:ascii="Arial"/>
                <w:color w:val="auto"/>
                <w:sz w:val="21"/>
                <w:highlight w:val="none"/>
              </w:rPr>
            </w:pPr>
          </w:p>
        </w:tc>
        <w:tc>
          <w:tcPr>
            <w:tcW w:w="1022" w:type="dxa"/>
            <w:vAlign w:val="top"/>
          </w:tcPr>
          <w:p w14:paraId="72A20AA4">
            <w:pPr>
              <w:rPr>
                <w:rFonts w:ascii="Arial"/>
                <w:color w:val="auto"/>
                <w:sz w:val="21"/>
                <w:highlight w:val="none"/>
              </w:rPr>
            </w:pPr>
          </w:p>
        </w:tc>
        <w:tc>
          <w:tcPr>
            <w:tcW w:w="1022" w:type="dxa"/>
            <w:vAlign w:val="top"/>
          </w:tcPr>
          <w:p w14:paraId="62D13553">
            <w:pPr>
              <w:rPr>
                <w:rFonts w:ascii="Arial"/>
                <w:color w:val="auto"/>
                <w:sz w:val="21"/>
                <w:highlight w:val="none"/>
              </w:rPr>
            </w:pPr>
          </w:p>
        </w:tc>
        <w:tc>
          <w:tcPr>
            <w:tcW w:w="1022" w:type="dxa"/>
            <w:vAlign w:val="top"/>
          </w:tcPr>
          <w:p w14:paraId="6CA83970">
            <w:pPr>
              <w:rPr>
                <w:rFonts w:ascii="Arial"/>
                <w:color w:val="auto"/>
                <w:sz w:val="21"/>
                <w:highlight w:val="none"/>
              </w:rPr>
            </w:pPr>
          </w:p>
        </w:tc>
        <w:tc>
          <w:tcPr>
            <w:tcW w:w="1027" w:type="dxa"/>
            <w:vAlign w:val="top"/>
          </w:tcPr>
          <w:p w14:paraId="0D99269E">
            <w:pPr>
              <w:rPr>
                <w:rFonts w:ascii="Arial"/>
                <w:color w:val="auto"/>
                <w:sz w:val="21"/>
                <w:highlight w:val="none"/>
              </w:rPr>
            </w:pPr>
          </w:p>
        </w:tc>
        <w:tc>
          <w:tcPr>
            <w:tcW w:w="1027" w:type="dxa"/>
            <w:vAlign w:val="top"/>
          </w:tcPr>
          <w:p w14:paraId="7F68E913">
            <w:pPr>
              <w:rPr>
                <w:rFonts w:ascii="Arial"/>
                <w:color w:val="auto"/>
                <w:sz w:val="21"/>
                <w:highlight w:val="none"/>
              </w:rPr>
            </w:pPr>
          </w:p>
        </w:tc>
      </w:tr>
      <w:tr w14:paraId="3DE0A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C404E03">
            <w:pPr>
              <w:rPr>
                <w:rFonts w:ascii="Arial"/>
                <w:color w:val="auto"/>
                <w:sz w:val="21"/>
                <w:highlight w:val="none"/>
              </w:rPr>
            </w:pPr>
          </w:p>
        </w:tc>
        <w:tc>
          <w:tcPr>
            <w:tcW w:w="1363" w:type="dxa"/>
            <w:vAlign w:val="top"/>
          </w:tcPr>
          <w:p w14:paraId="0D70434F">
            <w:pPr>
              <w:rPr>
                <w:rFonts w:ascii="Arial"/>
                <w:color w:val="auto"/>
                <w:sz w:val="21"/>
                <w:highlight w:val="none"/>
              </w:rPr>
            </w:pPr>
          </w:p>
        </w:tc>
        <w:tc>
          <w:tcPr>
            <w:tcW w:w="1022" w:type="dxa"/>
            <w:vAlign w:val="top"/>
          </w:tcPr>
          <w:p w14:paraId="5F90EB09">
            <w:pPr>
              <w:rPr>
                <w:rFonts w:ascii="Arial"/>
                <w:color w:val="auto"/>
                <w:sz w:val="21"/>
                <w:highlight w:val="none"/>
              </w:rPr>
            </w:pPr>
          </w:p>
        </w:tc>
        <w:tc>
          <w:tcPr>
            <w:tcW w:w="1022" w:type="dxa"/>
            <w:vAlign w:val="top"/>
          </w:tcPr>
          <w:p w14:paraId="352FA7C2">
            <w:pPr>
              <w:rPr>
                <w:rFonts w:ascii="Arial"/>
                <w:color w:val="auto"/>
                <w:sz w:val="21"/>
                <w:highlight w:val="none"/>
              </w:rPr>
            </w:pPr>
          </w:p>
        </w:tc>
        <w:tc>
          <w:tcPr>
            <w:tcW w:w="1022" w:type="dxa"/>
            <w:vAlign w:val="top"/>
          </w:tcPr>
          <w:p w14:paraId="36663789">
            <w:pPr>
              <w:rPr>
                <w:rFonts w:ascii="Arial"/>
                <w:color w:val="auto"/>
                <w:sz w:val="21"/>
                <w:highlight w:val="none"/>
              </w:rPr>
            </w:pPr>
          </w:p>
        </w:tc>
        <w:tc>
          <w:tcPr>
            <w:tcW w:w="1022" w:type="dxa"/>
            <w:vAlign w:val="top"/>
          </w:tcPr>
          <w:p w14:paraId="22EEC69A">
            <w:pPr>
              <w:rPr>
                <w:rFonts w:ascii="Arial"/>
                <w:color w:val="auto"/>
                <w:sz w:val="21"/>
                <w:highlight w:val="none"/>
              </w:rPr>
            </w:pPr>
          </w:p>
        </w:tc>
        <w:tc>
          <w:tcPr>
            <w:tcW w:w="1027" w:type="dxa"/>
            <w:vAlign w:val="top"/>
          </w:tcPr>
          <w:p w14:paraId="09410AEF">
            <w:pPr>
              <w:rPr>
                <w:rFonts w:ascii="Arial"/>
                <w:color w:val="auto"/>
                <w:sz w:val="21"/>
                <w:highlight w:val="none"/>
              </w:rPr>
            </w:pPr>
          </w:p>
        </w:tc>
        <w:tc>
          <w:tcPr>
            <w:tcW w:w="1027" w:type="dxa"/>
            <w:vAlign w:val="top"/>
          </w:tcPr>
          <w:p w14:paraId="1FD5613B">
            <w:pPr>
              <w:rPr>
                <w:rFonts w:ascii="Arial"/>
                <w:color w:val="auto"/>
                <w:sz w:val="21"/>
                <w:highlight w:val="none"/>
              </w:rPr>
            </w:pPr>
          </w:p>
        </w:tc>
      </w:tr>
      <w:tr w14:paraId="7AC46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08A4B85">
            <w:pPr>
              <w:rPr>
                <w:rFonts w:ascii="Arial"/>
                <w:color w:val="auto"/>
                <w:sz w:val="21"/>
                <w:highlight w:val="none"/>
              </w:rPr>
            </w:pPr>
          </w:p>
        </w:tc>
        <w:tc>
          <w:tcPr>
            <w:tcW w:w="1363" w:type="dxa"/>
            <w:vAlign w:val="top"/>
          </w:tcPr>
          <w:p w14:paraId="7ACFC648">
            <w:pPr>
              <w:rPr>
                <w:rFonts w:ascii="Arial"/>
                <w:color w:val="auto"/>
                <w:sz w:val="21"/>
                <w:highlight w:val="none"/>
              </w:rPr>
            </w:pPr>
          </w:p>
        </w:tc>
        <w:tc>
          <w:tcPr>
            <w:tcW w:w="1022" w:type="dxa"/>
            <w:vAlign w:val="top"/>
          </w:tcPr>
          <w:p w14:paraId="2040D084">
            <w:pPr>
              <w:rPr>
                <w:rFonts w:ascii="Arial"/>
                <w:color w:val="auto"/>
                <w:sz w:val="21"/>
                <w:highlight w:val="none"/>
              </w:rPr>
            </w:pPr>
          </w:p>
        </w:tc>
        <w:tc>
          <w:tcPr>
            <w:tcW w:w="1022" w:type="dxa"/>
            <w:vAlign w:val="top"/>
          </w:tcPr>
          <w:p w14:paraId="775B36C6">
            <w:pPr>
              <w:rPr>
                <w:rFonts w:ascii="Arial"/>
                <w:color w:val="auto"/>
                <w:sz w:val="21"/>
                <w:highlight w:val="none"/>
              </w:rPr>
            </w:pPr>
          </w:p>
        </w:tc>
        <w:tc>
          <w:tcPr>
            <w:tcW w:w="1022" w:type="dxa"/>
            <w:vAlign w:val="top"/>
          </w:tcPr>
          <w:p w14:paraId="322D3715">
            <w:pPr>
              <w:rPr>
                <w:rFonts w:ascii="Arial"/>
                <w:color w:val="auto"/>
                <w:sz w:val="21"/>
                <w:highlight w:val="none"/>
              </w:rPr>
            </w:pPr>
          </w:p>
        </w:tc>
        <w:tc>
          <w:tcPr>
            <w:tcW w:w="1022" w:type="dxa"/>
            <w:vAlign w:val="top"/>
          </w:tcPr>
          <w:p w14:paraId="62C536DB">
            <w:pPr>
              <w:rPr>
                <w:rFonts w:ascii="Arial"/>
                <w:color w:val="auto"/>
                <w:sz w:val="21"/>
                <w:highlight w:val="none"/>
              </w:rPr>
            </w:pPr>
          </w:p>
        </w:tc>
        <w:tc>
          <w:tcPr>
            <w:tcW w:w="1027" w:type="dxa"/>
            <w:vAlign w:val="top"/>
          </w:tcPr>
          <w:p w14:paraId="1C5F51F3">
            <w:pPr>
              <w:rPr>
                <w:rFonts w:ascii="Arial"/>
                <w:color w:val="auto"/>
                <w:sz w:val="21"/>
                <w:highlight w:val="none"/>
              </w:rPr>
            </w:pPr>
          </w:p>
        </w:tc>
        <w:tc>
          <w:tcPr>
            <w:tcW w:w="1027" w:type="dxa"/>
            <w:vAlign w:val="top"/>
          </w:tcPr>
          <w:p w14:paraId="2D4F6D23">
            <w:pPr>
              <w:rPr>
                <w:rFonts w:ascii="Arial"/>
                <w:color w:val="auto"/>
                <w:sz w:val="21"/>
                <w:highlight w:val="none"/>
              </w:rPr>
            </w:pPr>
          </w:p>
        </w:tc>
      </w:tr>
      <w:tr w14:paraId="308E4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05C8070">
            <w:pPr>
              <w:rPr>
                <w:rFonts w:ascii="Arial"/>
                <w:color w:val="auto"/>
                <w:sz w:val="21"/>
                <w:highlight w:val="none"/>
              </w:rPr>
            </w:pPr>
          </w:p>
        </w:tc>
        <w:tc>
          <w:tcPr>
            <w:tcW w:w="1363" w:type="dxa"/>
            <w:vAlign w:val="top"/>
          </w:tcPr>
          <w:p w14:paraId="324F41BC">
            <w:pPr>
              <w:rPr>
                <w:rFonts w:ascii="Arial"/>
                <w:color w:val="auto"/>
                <w:sz w:val="21"/>
                <w:highlight w:val="none"/>
              </w:rPr>
            </w:pPr>
          </w:p>
        </w:tc>
        <w:tc>
          <w:tcPr>
            <w:tcW w:w="1022" w:type="dxa"/>
            <w:vAlign w:val="top"/>
          </w:tcPr>
          <w:p w14:paraId="037BBE25">
            <w:pPr>
              <w:rPr>
                <w:rFonts w:ascii="Arial"/>
                <w:color w:val="auto"/>
                <w:sz w:val="21"/>
                <w:highlight w:val="none"/>
              </w:rPr>
            </w:pPr>
          </w:p>
        </w:tc>
        <w:tc>
          <w:tcPr>
            <w:tcW w:w="1022" w:type="dxa"/>
            <w:vAlign w:val="top"/>
          </w:tcPr>
          <w:p w14:paraId="24ECABF2">
            <w:pPr>
              <w:rPr>
                <w:rFonts w:ascii="Arial"/>
                <w:color w:val="auto"/>
                <w:sz w:val="21"/>
                <w:highlight w:val="none"/>
              </w:rPr>
            </w:pPr>
          </w:p>
        </w:tc>
        <w:tc>
          <w:tcPr>
            <w:tcW w:w="1022" w:type="dxa"/>
            <w:vAlign w:val="top"/>
          </w:tcPr>
          <w:p w14:paraId="6808D587">
            <w:pPr>
              <w:rPr>
                <w:rFonts w:ascii="Arial"/>
                <w:color w:val="auto"/>
                <w:sz w:val="21"/>
                <w:highlight w:val="none"/>
              </w:rPr>
            </w:pPr>
          </w:p>
        </w:tc>
        <w:tc>
          <w:tcPr>
            <w:tcW w:w="1022" w:type="dxa"/>
            <w:vAlign w:val="top"/>
          </w:tcPr>
          <w:p w14:paraId="707463AE">
            <w:pPr>
              <w:rPr>
                <w:rFonts w:ascii="Arial"/>
                <w:color w:val="auto"/>
                <w:sz w:val="21"/>
                <w:highlight w:val="none"/>
              </w:rPr>
            </w:pPr>
          </w:p>
        </w:tc>
        <w:tc>
          <w:tcPr>
            <w:tcW w:w="1027" w:type="dxa"/>
            <w:vAlign w:val="top"/>
          </w:tcPr>
          <w:p w14:paraId="59529EB0">
            <w:pPr>
              <w:rPr>
                <w:rFonts w:ascii="Arial"/>
                <w:color w:val="auto"/>
                <w:sz w:val="21"/>
                <w:highlight w:val="none"/>
              </w:rPr>
            </w:pPr>
          </w:p>
        </w:tc>
        <w:tc>
          <w:tcPr>
            <w:tcW w:w="1027" w:type="dxa"/>
            <w:vAlign w:val="top"/>
          </w:tcPr>
          <w:p w14:paraId="64DFC968">
            <w:pPr>
              <w:rPr>
                <w:rFonts w:ascii="Arial"/>
                <w:color w:val="auto"/>
                <w:sz w:val="21"/>
                <w:highlight w:val="none"/>
              </w:rPr>
            </w:pPr>
          </w:p>
        </w:tc>
      </w:tr>
    </w:tbl>
    <w:p w14:paraId="787F8D89">
      <w:pPr>
        <w:pStyle w:val="3"/>
        <w:rPr>
          <w:color w:val="auto"/>
          <w:highlight w:val="none"/>
        </w:rPr>
      </w:pPr>
    </w:p>
    <w:p w14:paraId="730F6C8B">
      <w:pPr>
        <w:rPr>
          <w:color w:val="auto"/>
          <w:highlight w:val="none"/>
        </w:rPr>
        <w:sectPr>
          <w:footerReference r:id="rId249" w:type="default"/>
          <w:pgSz w:w="11905" w:h="16839"/>
          <w:pgMar w:top="400" w:right="1785" w:bottom="1004" w:left="1785" w:header="0" w:footer="828" w:gutter="0"/>
          <w:pgNumType w:fmt="decimal"/>
          <w:cols w:space="720" w:num="1"/>
        </w:sectPr>
      </w:pPr>
    </w:p>
    <w:p w14:paraId="2FE564D1">
      <w:pPr>
        <w:pStyle w:val="3"/>
        <w:spacing w:line="267" w:lineRule="auto"/>
        <w:rPr>
          <w:color w:val="auto"/>
          <w:highlight w:val="none"/>
        </w:rPr>
      </w:pPr>
    </w:p>
    <w:p w14:paraId="146B35FE">
      <w:pPr>
        <w:pStyle w:val="3"/>
        <w:spacing w:line="268" w:lineRule="auto"/>
        <w:rPr>
          <w:color w:val="auto"/>
          <w:highlight w:val="none"/>
        </w:rPr>
      </w:pPr>
    </w:p>
    <w:p w14:paraId="434FA094">
      <w:pPr>
        <w:pStyle w:val="3"/>
        <w:spacing w:line="268" w:lineRule="auto"/>
        <w:rPr>
          <w:color w:val="auto"/>
          <w:highlight w:val="none"/>
        </w:rPr>
      </w:pPr>
    </w:p>
    <w:p w14:paraId="6524BF9C">
      <w:pPr>
        <w:pStyle w:val="3"/>
        <w:spacing w:line="268" w:lineRule="auto"/>
        <w:rPr>
          <w:color w:val="auto"/>
          <w:highlight w:val="none"/>
        </w:rPr>
      </w:pPr>
    </w:p>
    <w:p w14:paraId="45A60497">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附表四：计划开、竣工日期和施工进度网络图</w:t>
      </w:r>
    </w:p>
    <w:p w14:paraId="32C97FF3">
      <w:pPr>
        <w:spacing w:before="158" w:line="418" w:lineRule="exact"/>
        <w:ind w:right="6"/>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1.投标人应递交施工进度网络图或施工进度表， 说明按招标文件要求</w:t>
      </w:r>
      <w:r>
        <w:rPr>
          <w:rFonts w:ascii="宋体" w:hAnsi="宋体" w:eastAsia="宋体" w:cs="宋体"/>
          <w:color w:val="auto"/>
          <w:spacing w:val="-1"/>
          <w:position w:val="15"/>
          <w:sz w:val="21"/>
          <w:szCs w:val="21"/>
          <w:highlight w:val="none"/>
        </w:rPr>
        <w:t>的计划工期进行</w:t>
      </w:r>
    </w:p>
    <w:p w14:paraId="41B5F1FF">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施工的各个关键日期。</w:t>
      </w:r>
    </w:p>
    <w:p w14:paraId="2F5C5FAE">
      <w:pPr>
        <w:spacing w:before="171" w:line="220"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2.施工进度表可采用网络图和（或）横道图表示。</w:t>
      </w:r>
    </w:p>
    <w:p w14:paraId="5EBA2299">
      <w:pPr>
        <w:spacing w:line="220" w:lineRule="auto"/>
        <w:rPr>
          <w:rFonts w:ascii="宋体" w:hAnsi="宋体" w:eastAsia="宋体" w:cs="宋体"/>
          <w:color w:val="auto"/>
          <w:sz w:val="21"/>
          <w:szCs w:val="21"/>
          <w:highlight w:val="none"/>
        </w:rPr>
        <w:sectPr>
          <w:footerReference r:id="rId250" w:type="default"/>
          <w:pgSz w:w="11905" w:h="16839"/>
          <w:pgMar w:top="400" w:right="1785" w:bottom="1004" w:left="1785" w:header="0" w:footer="828" w:gutter="0"/>
          <w:pgNumType w:fmt="decimal"/>
          <w:cols w:space="720" w:num="1"/>
        </w:sectPr>
      </w:pPr>
    </w:p>
    <w:p w14:paraId="5F0AAB2E">
      <w:pPr>
        <w:pStyle w:val="3"/>
        <w:spacing w:line="267" w:lineRule="auto"/>
        <w:rPr>
          <w:color w:val="auto"/>
          <w:highlight w:val="none"/>
        </w:rPr>
      </w:pPr>
    </w:p>
    <w:p w14:paraId="00E0BB02">
      <w:pPr>
        <w:pStyle w:val="3"/>
        <w:spacing w:line="267" w:lineRule="auto"/>
        <w:rPr>
          <w:color w:val="auto"/>
          <w:highlight w:val="none"/>
        </w:rPr>
      </w:pPr>
    </w:p>
    <w:p w14:paraId="7F57A064">
      <w:pPr>
        <w:pStyle w:val="3"/>
        <w:spacing w:line="268" w:lineRule="auto"/>
        <w:rPr>
          <w:color w:val="auto"/>
          <w:highlight w:val="none"/>
        </w:rPr>
      </w:pPr>
    </w:p>
    <w:p w14:paraId="1E98FC59">
      <w:pPr>
        <w:pStyle w:val="3"/>
        <w:spacing w:line="268" w:lineRule="auto"/>
        <w:rPr>
          <w:color w:val="auto"/>
          <w:highlight w:val="none"/>
        </w:rPr>
      </w:pPr>
    </w:p>
    <w:p w14:paraId="0DB9C303">
      <w:pPr>
        <w:spacing w:before="78" w:line="220"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附表五：施工总平面图</w:t>
      </w:r>
    </w:p>
    <w:p w14:paraId="1DB11DC0">
      <w:pPr>
        <w:spacing w:before="158" w:line="369" w:lineRule="auto"/>
        <w:ind w:left="28" w:right="6" w:firstLine="41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投标人应递交一份施工总平面图，绘出现场临时设施布置图表并附文字说明，说明临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时设施、加工车间、现场办公、设备及仓储、供电、</w:t>
      </w:r>
      <w:r>
        <w:rPr>
          <w:rFonts w:ascii="宋体" w:hAnsi="宋体" w:eastAsia="宋体" w:cs="宋体"/>
          <w:color w:val="auto"/>
          <w:spacing w:val="2"/>
          <w:sz w:val="21"/>
          <w:szCs w:val="21"/>
          <w:highlight w:val="none"/>
        </w:rPr>
        <w:t>供水、卫生、生活、道路、消防等设</w:t>
      </w:r>
    </w:p>
    <w:p w14:paraId="3916B641">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施的情况和布置。</w:t>
      </w:r>
    </w:p>
    <w:p w14:paraId="6E18DCE1">
      <w:pPr>
        <w:spacing w:line="219" w:lineRule="auto"/>
        <w:rPr>
          <w:rFonts w:ascii="宋体" w:hAnsi="宋体" w:eastAsia="宋体" w:cs="宋体"/>
          <w:color w:val="auto"/>
          <w:sz w:val="21"/>
          <w:szCs w:val="21"/>
          <w:highlight w:val="none"/>
        </w:rPr>
        <w:sectPr>
          <w:footerReference r:id="rId251" w:type="default"/>
          <w:pgSz w:w="11905" w:h="16839"/>
          <w:pgMar w:top="400" w:right="1785" w:bottom="1004" w:left="1785" w:header="0" w:footer="828" w:gutter="0"/>
          <w:pgNumType w:fmt="decimal"/>
          <w:cols w:space="720" w:num="1"/>
        </w:sectPr>
      </w:pPr>
    </w:p>
    <w:p w14:paraId="668388F2">
      <w:pPr>
        <w:pStyle w:val="3"/>
        <w:spacing w:line="267" w:lineRule="auto"/>
        <w:rPr>
          <w:color w:val="auto"/>
          <w:highlight w:val="none"/>
        </w:rPr>
      </w:pPr>
    </w:p>
    <w:p w14:paraId="085EAAB4">
      <w:pPr>
        <w:pStyle w:val="3"/>
        <w:spacing w:line="267" w:lineRule="auto"/>
        <w:rPr>
          <w:color w:val="auto"/>
          <w:highlight w:val="none"/>
        </w:rPr>
      </w:pPr>
    </w:p>
    <w:p w14:paraId="49270BC5">
      <w:pPr>
        <w:pStyle w:val="3"/>
        <w:spacing w:line="268" w:lineRule="auto"/>
        <w:rPr>
          <w:color w:val="auto"/>
          <w:highlight w:val="none"/>
        </w:rPr>
      </w:pPr>
    </w:p>
    <w:p w14:paraId="4FB07804">
      <w:pPr>
        <w:pStyle w:val="3"/>
        <w:spacing w:line="268" w:lineRule="auto"/>
        <w:rPr>
          <w:color w:val="auto"/>
          <w:highlight w:val="none"/>
        </w:rPr>
      </w:pPr>
    </w:p>
    <w:p w14:paraId="2B6812E5">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附表六：临时用地表</w:t>
      </w: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14:paraId="23C8E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14:paraId="3DC0F474">
            <w:pPr>
              <w:pStyle w:val="11"/>
              <w:spacing w:before="96" w:line="222" w:lineRule="auto"/>
              <w:ind w:left="782"/>
              <w:rPr>
                <w:color w:val="auto"/>
                <w:highlight w:val="none"/>
              </w:rPr>
            </w:pPr>
            <w:r>
              <w:rPr>
                <w:color w:val="auto"/>
                <w:spacing w:val="-5"/>
                <w:highlight w:val="none"/>
              </w:rPr>
              <w:t>用</w:t>
            </w:r>
            <w:r>
              <w:rPr>
                <w:color w:val="auto"/>
                <w:spacing w:val="5"/>
                <w:highlight w:val="none"/>
              </w:rPr>
              <w:t xml:space="preserve">  </w:t>
            </w:r>
            <w:r>
              <w:rPr>
                <w:color w:val="auto"/>
                <w:spacing w:val="-5"/>
                <w:highlight w:val="none"/>
              </w:rPr>
              <w:t>途</w:t>
            </w:r>
          </w:p>
        </w:tc>
        <w:tc>
          <w:tcPr>
            <w:tcW w:w="2011" w:type="dxa"/>
            <w:vAlign w:val="top"/>
          </w:tcPr>
          <w:p w14:paraId="0947EAC4">
            <w:pPr>
              <w:pStyle w:val="11"/>
              <w:spacing w:before="96" w:line="221" w:lineRule="auto"/>
              <w:ind w:left="226"/>
              <w:rPr>
                <w:color w:val="auto"/>
                <w:highlight w:val="none"/>
              </w:rPr>
            </w:pPr>
            <w:r>
              <w:rPr>
                <w:color w:val="auto"/>
                <w:spacing w:val="-2"/>
                <w:highlight w:val="none"/>
              </w:rPr>
              <w:t>面 积（平方米）</w:t>
            </w:r>
          </w:p>
        </w:tc>
        <w:tc>
          <w:tcPr>
            <w:tcW w:w="2001" w:type="dxa"/>
            <w:vAlign w:val="top"/>
          </w:tcPr>
          <w:p w14:paraId="13B5255C">
            <w:pPr>
              <w:pStyle w:val="11"/>
              <w:spacing w:before="96" w:line="222" w:lineRule="auto"/>
              <w:ind w:left="692"/>
              <w:rPr>
                <w:color w:val="auto"/>
                <w:highlight w:val="none"/>
              </w:rPr>
            </w:pPr>
            <w:r>
              <w:rPr>
                <w:color w:val="auto"/>
                <w:spacing w:val="-4"/>
                <w:highlight w:val="none"/>
              </w:rPr>
              <w:t>位</w:t>
            </w:r>
            <w:r>
              <w:rPr>
                <w:color w:val="auto"/>
                <w:spacing w:val="3"/>
                <w:highlight w:val="none"/>
              </w:rPr>
              <w:t xml:space="preserve">  </w:t>
            </w:r>
            <w:r>
              <w:rPr>
                <w:color w:val="auto"/>
                <w:spacing w:val="-4"/>
                <w:highlight w:val="none"/>
              </w:rPr>
              <w:t>置</w:t>
            </w:r>
          </w:p>
        </w:tc>
        <w:tc>
          <w:tcPr>
            <w:tcW w:w="2006" w:type="dxa"/>
            <w:vAlign w:val="top"/>
          </w:tcPr>
          <w:p w14:paraId="2AE7B9A9">
            <w:pPr>
              <w:pStyle w:val="11"/>
              <w:spacing w:before="97" w:line="221" w:lineRule="auto"/>
              <w:ind w:left="599"/>
              <w:rPr>
                <w:color w:val="auto"/>
                <w:highlight w:val="none"/>
              </w:rPr>
            </w:pPr>
            <w:r>
              <w:rPr>
                <w:color w:val="auto"/>
                <w:spacing w:val="-3"/>
                <w:highlight w:val="none"/>
              </w:rPr>
              <w:t>需用时间</w:t>
            </w:r>
          </w:p>
        </w:tc>
      </w:tr>
      <w:tr w14:paraId="43E0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3936F9A">
            <w:pPr>
              <w:rPr>
                <w:rFonts w:ascii="Arial"/>
                <w:color w:val="auto"/>
                <w:sz w:val="21"/>
                <w:highlight w:val="none"/>
              </w:rPr>
            </w:pPr>
          </w:p>
        </w:tc>
        <w:tc>
          <w:tcPr>
            <w:tcW w:w="2011" w:type="dxa"/>
            <w:vAlign w:val="top"/>
          </w:tcPr>
          <w:p w14:paraId="0A5A2542">
            <w:pPr>
              <w:rPr>
                <w:rFonts w:ascii="Arial"/>
                <w:color w:val="auto"/>
                <w:sz w:val="21"/>
                <w:highlight w:val="none"/>
              </w:rPr>
            </w:pPr>
          </w:p>
        </w:tc>
        <w:tc>
          <w:tcPr>
            <w:tcW w:w="2001" w:type="dxa"/>
            <w:vAlign w:val="top"/>
          </w:tcPr>
          <w:p w14:paraId="27043C58">
            <w:pPr>
              <w:rPr>
                <w:rFonts w:ascii="Arial"/>
                <w:color w:val="auto"/>
                <w:sz w:val="21"/>
                <w:highlight w:val="none"/>
              </w:rPr>
            </w:pPr>
          </w:p>
        </w:tc>
        <w:tc>
          <w:tcPr>
            <w:tcW w:w="2006" w:type="dxa"/>
            <w:vAlign w:val="top"/>
          </w:tcPr>
          <w:p w14:paraId="4AE14291">
            <w:pPr>
              <w:rPr>
                <w:rFonts w:ascii="Arial"/>
                <w:color w:val="auto"/>
                <w:sz w:val="21"/>
                <w:highlight w:val="none"/>
              </w:rPr>
            </w:pPr>
          </w:p>
        </w:tc>
      </w:tr>
      <w:tr w14:paraId="3DC8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610BCC8">
            <w:pPr>
              <w:rPr>
                <w:rFonts w:ascii="Arial"/>
                <w:color w:val="auto"/>
                <w:sz w:val="21"/>
                <w:highlight w:val="none"/>
              </w:rPr>
            </w:pPr>
          </w:p>
        </w:tc>
        <w:tc>
          <w:tcPr>
            <w:tcW w:w="2011" w:type="dxa"/>
            <w:vAlign w:val="top"/>
          </w:tcPr>
          <w:p w14:paraId="7886298D">
            <w:pPr>
              <w:rPr>
                <w:rFonts w:ascii="Arial"/>
                <w:color w:val="auto"/>
                <w:sz w:val="21"/>
                <w:highlight w:val="none"/>
              </w:rPr>
            </w:pPr>
          </w:p>
        </w:tc>
        <w:tc>
          <w:tcPr>
            <w:tcW w:w="2001" w:type="dxa"/>
            <w:vAlign w:val="top"/>
          </w:tcPr>
          <w:p w14:paraId="2F7CD122">
            <w:pPr>
              <w:rPr>
                <w:rFonts w:ascii="Arial"/>
                <w:color w:val="auto"/>
                <w:sz w:val="21"/>
                <w:highlight w:val="none"/>
              </w:rPr>
            </w:pPr>
          </w:p>
        </w:tc>
        <w:tc>
          <w:tcPr>
            <w:tcW w:w="2006" w:type="dxa"/>
            <w:vAlign w:val="top"/>
          </w:tcPr>
          <w:p w14:paraId="78E37E9D">
            <w:pPr>
              <w:rPr>
                <w:rFonts w:ascii="Arial"/>
                <w:color w:val="auto"/>
                <w:sz w:val="21"/>
                <w:highlight w:val="none"/>
              </w:rPr>
            </w:pPr>
          </w:p>
        </w:tc>
      </w:tr>
      <w:tr w14:paraId="140EA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4DC4EE">
            <w:pPr>
              <w:rPr>
                <w:rFonts w:ascii="Arial"/>
                <w:color w:val="auto"/>
                <w:sz w:val="21"/>
                <w:highlight w:val="none"/>
              </w:rPr>
            </w:pPr>
          </w:p>
        </w:tc>
        <w:tc>
          <w:tcPr>
            <w:tcW w:w="2011" w:type="dxa"/>
            <w:vAlign w:val="top"/>
          </w:tcPr>
          <w:p w14:paraId="5B9DE087">
            <w:pPr>
              <w:rPr>
                <w:rFonts w:ascii="Arial"/>
                <w:color w:val="auto"/>
                <w:sz w:val="21"/>
                <w:highlight w:val="none"/>
              </w:rPr>
            </w:pPr>
          </w:p>
        </w:tc>
        <w:tc>
          <w:tcPr>
            <w:tcW w:w="2001" w:type="dxa"/>
            <w:vAlign w:val="top"/>
          </w:tcPr>
          <w:p w14:paraId="7F898ECD">
            <w:pPr>
              <w:rPr>
                <w:rFonts w:ascii="Arial"/>
                <w:color w:val="auto"/>
                <w:sz w:val="21"/>
                <w:highlight w:val="none"/>
              </w:rPr>
            </w:pPr>
          </w:p>
        </w:tc>
        <w:tc>
          <w:tcPr>
            <w:tcW w:w="2006" w:type="dxa"/>
            <w:vAlign w:val="top"/>
          </w:tcPr>
          <w:p w14:paraId="6B17BAD7">
            <w:pPr>
              <w:rPr>
                <w:rFonts w:ascii="Arial"/>
                <w:color w:val="auto"/>
                <w:sz w:val="21"/>
                <w:highlight w:val="none"/>
              </w:rPr>
            </w:pPr>
          </w:p>
        </w:tc>
      </w:tr>
      <w:tr w14:paraId="364AC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5926340B">
            <w:pPr>
              <w:rPr>
                <w:rFonts w:ascii="Arial"/>
                <w:color w:val="auto"/>
                <w:sz w:val="21"/>
                <w:highlight w:val="none"/>
              </w:rPr>
            </w:pPr>
          </w:p>
        </w:tc>
        <w:tc>
          <w:tcPr>
            <w:tcW w:w="2011" w:type="dxa"/>
            <w:vAlign w:val="top"/>
          </w:tcPr>
          <w:p w14:paraId="62AA92AF">
            <w:pPr>
              <w:rPr>
                <w:rFonts w:ascii="Arial"/>
                <w:color w:val="auto"/>
                <w:sz w:val="21"/>
                <w:highlight w:val="none"/>
              </w:rPr>
            </w:pPr>
          </w:p>
        </w:tc>
        <w:tc>
          <w:tcPr>
            <w:tcW w:w="2001" w:type="dxa"/>
            <w:vAlign w:val="top"/>
          </w:tcPr>
          <w:p w14:paraId="566A460B">
            <w:pPr>
              <w:rPr>
                <w:rFonts w:ascii="Arial"/>
                <w:color w:val="auto"/>
                <w:sz w:val="21"/>
                <w:highlight w:val="none"/>
              </w:rPr>
            </w:pPr>
          </w:p>
        </w:tc>
        <w:tc>
          <w:tcPr>
            <w:tcW w:w="2006" w:type="dxa"/>
            <w:vAlign w:val="top"/>
          </w:tcPr>
          <w:p w14:paraId="588A0472">
            <w:pPr>
              <w:rPr>
                <w:rFonts w:ascii="Arial"/>
                <w:color w:val="auto"/>
                <w:sz w:val="21"/>
                <w:highlight w:val="none"/>
              </w:rPr>
            </w:pPr>
          </w:p>
        </w:tc>
      </w:tr>
      <w:tr w14:paraId="45034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6C5AFA2">
            <w:pPr>
              <w:rPr>
                <w:rFonts w:ascii="Arial"/>
                <w:color w:val="auto"/>
                <w:sz w:val="21"/>
                <w:highlight w:val="none"/>
              </w:rPr>
            </w:pPr>
          </w:p>
        </w:tc>
        <w:tc>
          <w:tcPr>
            <w:tcW w:w="2011" w:type="dxa"/>
            <w:vAlign w:val="top"/>
          </w:tcPr>
          <w:p w14:paraId="7DBEBEA2">
            <w:pPr>
              <w:rPr>
                <w:rFonts w:ascii="Arial"/>
                <w:color w:val="auto"/>
                <w:sz w:val="21"/>
                <w:highlight w:val="none"/>
              </w:rPr>
            </w:pPr>
          </w:p>
        </w:tc>
        <w:tc>
          <w:tcPr>
            <w:tcW w:w="2001" w:type="dxa"/>
            <w:vAlign w:val="top"/>
          </w:tcPr>
          <w:p w14:paraId="0E82BECF">
            <w:pPr>
              <w:rPr>
                <w:rFonts w:ascii="Arial"/>
                <w:color w:val="auto"/>
                <w:sz w:val="21"/>
                <w:highlight w:val="none"/>
              </w:rPr>
            </w:pPr>
          </w:p>
        </w:tc>
        <w:tc>
          <w:tcPr>
            <w:tcW w:w="2006" w:type="dxa"/>
            <w:vAlign w:val="top"/>
          </w:tcPr>
          <w:p w14:paraId="16E67472">
            <w:pPr>
              <w:rPr>
                <w:rFonts w:ascii="Arial"/>
                <w:color w:val="auto"/>
                <w:sz w:val="21"/>
                <w:highlight w:val="none"/>
              </w:rPr>
            </w:pPr>
          </w:p>
        </w:tc>
      </w:tr>
      <w:tr w14:paraId="6AA33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BC4199F">
            <w:pPr>
              <w:rPr>
                <w:rFonts w:ascii="Arial"/>
                <w:color w:val="auto"/>
                <w:sz w:val="21"/>
                <w:highlight w:val="none"/>
              </w:rPr>
            </w:pPr>
          </w:p>
        </w:tc>
        <w:tc>
          <w:tcPr>
            <w:tcW w:w="2011" w:type="dxa"/>
            <w:vAlign w:val="top"/>
          </w:tcPr>
          <w:p w14:paraId="74897885">
            <w:pPr>
              <w:rPr>
                <w:rFonts w:ascii="Arial"/>
                <w:color w:val="auto"/>
                <w:sz w:val="21"/>
                <w:highlight w:val="none"/>
              </w:rPr>
            </w:pPr>
          </w:p>
        </w:tc>
        <w:tc>
          <w:tcPr>
            <w:tcW w:w="2001" w:type="dxa"/>
            <w:vAlign w:val="top"/>
          </w:tcPr>
          <w:p w14:paraId="4AAFEB13">
            <w:pPr>
              <w:rPr>
                <w:rFonts w:ascii="Arial"/>
                <w:color w:val="auto"/>
                <w:sz w:val="21"/>
                <w:highlight w:val="none"/>
              </w:rPr>
            </w:pPr>
          </w:p>
        </w:tc>
        <w:tc>
          <w:tcPr>
            <w:tcW w:w="2006" w:type="dxa"/>
            <w:vAlign w:val="top"/>
          </w:tcPr>
          <w:p w14:paraId="01028C47">
            <w:pPr>
              <w:rPr>
                <w:rFonts w:ascii="Arial"/>
                <w:color w:val="auto"/>
                <w:sz w:val="21"/>
                <w:highlight w:val="none"/>
              </w:rPr>
            </w:pPr>
          </w:p>
        </w:tc>
      </w:tr>
      <w:tr w14:paraId="0749A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CF8E82E">
            <w:pPr>
              <w:rPr>
                <w:rFonts w:ascii="Arial"/>
                <w:color w:val="auto"/>
                <w:sz w:val="21"/>
                <w:highlight w:val="none"/>
              </w:rPr>
            </w:pPr>
          </w:p>
        </w:tc>
        <w:tc>
          <w:tcPr>
            <w:tcW w:w="2011" w:type="dxa"/>
            <w:vAlign w:val="top"/>
          </w:tcPr>
          <w:p w14:paraId="251D84C0">
            <w:pPr>
              <w:rPr>
                <w:rFonts w:ascii="Arial"/>
                <w:color w:val="auto"/>
                <w:sz w:val="21"/>
                <w:highlight w:val="none"/>
              </w:rPr>
            </w:pPr>
          </w:p>
        </w:tc>
        <w:tc>
          <w:tcPr>
            <w:tcW w:w="2001" w:type="dxa"/>
            <w:vAlign w:val="top"/>
          </w:tcPr>
          <w:p w14:paraId="2C683D85">
            <w:pPr>
              <w:rPr>
                <w:rFonts w:ascii="Arial"/>
                <w:color w:val="auto"/>
                <w:sz w:val="21"/>
                <w:highlight w:val="none"/>
              </w:rPr>
            </w:pPr>
          </w:p>
        </w:tc>
        <w:tc>
          <w:tcPr>
            <w:tcW w:w="2006" w:type="dxa"/>
            <w:vAlign w:val="top"/>
          </w:tcPr>
          <w:p w14:paraId="3E6B4358">
            <w:pPr>
              <w:rPr>
                <w:rFonts w:ascii="Arial"/>
                <w:color w:val="auto"/>
                <w:sz w:val="21"/>
                <w:highlight w:val="none"/>
              </w:rPr>
            </w:pPr>
          </w:p>
        </w:tc>
      </w:tr>
      <w:tr w14:paraId="56DB6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9FBAEF0">
            <w:pPr>
              <w:rPr>
                <w:rFonts w:ascii="Arial"/>
                <w:color w:val="auto"/>
                <w:sz w:val="21"/>
                <w:highlight w:val="none"/>
              </w:rPr>
            </w:pPr>
          </w:p>
        </w:tc>
        <w:tc>
          <w:tcPr>
            <w:tcW w:w="2011" w:type="dxa"/>
            <w:vAlign w:val="top"/>
          </w:tcPr>
          <w:p w14:paraId="20561D18">
            <w:pPr>
              <w:rPr>
                <w:rFonts w:ascii="Arial"/>
                <w:color w:val="auto"/>
                <w:sz w:val="21"/>
                <w:highlight w:val="none"/>
              </w:rPr>
            </w:pPr>
          </w:p>
        </w:tc>
        <w:tc>
          <w:tcPr>
            <w:tcW w:w="2001" w:type="dxa"/>
            <w:vAlign w:val="top"/>
          </w:tcPr>
          <w:p w14:paraId="19AD5F90">
            <w:pPr>
              <w:rPr>
                <w:rFonts w:ascii="Arial"/>
                <w:color w:val="auto"/>
                <w:sz w:val="21"/>
                <w:highlight w:val="none"/>
              </w:rPr>
            </w:pPr>
          </w:p>
        </w:tc>
        <w:tc>
          <w:tcPr>
            <w:tcW w:w="2006" w:type="dxa"/>
            <w:vAlign w:val="top"/>
          </w:tcPr>
          <w:p w14:paraId="3D8E8784">
            <w:pPr>
              <w:rPr>
                <w:rFonts w:ascii="Arial"/>
                <w:color w:val="auto"/>
                <w:sz w:val="21"/>
                <w:highlight w:val="none"/>
              </w:rPr>
            </w:pPr>
          </w:p>
        </w:tc>
      </w:tr>
      <w:tr w14:paraId="140A1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7883327">
            <w:pPr>
              <w:rPr>
                <w:rFonts w:ascii="Arial"/>
                <w:color w:val="auto"/>
                <w:sz w:val="21"/>
                <w:highlight w:val="none"/>
              </w:rPr>
            </w:pPr>
          </w:p>
        </w:tc>
        <w:tc>
          <w:tcPr>
            <w:tcW w:w="2011" w:type="dxa"/>
            <w:vAlign w:val="top"/>
          </w:tcPr>
          <w:p w14:paraId="728A1F5C">
            <w:pPr>
              <w:rPr>
                <w:rFonts w:ascii="Arial"/>
                <w:color w:val="auto"/>
                <w:sz w:val="21"/>
                <w:highlight w:val="none"/>
              </w:rPr>
            </w:pPr>
          </w:p>
        </w:tc>
        <w:tc>
          <w:tcPr>
            <w:tcW w:w="2001" w:type="dxa"/>
            <w:vAlign w:val="top"/>
          </w:tcPr>
          <w:p w14:paraId="22342E91">
            <w:pPr>
              <w:rPr>
                <w:rFonts w:ascii="Arial"/>
                <w:color w:val="auto"/>
                <w:sz w:val="21"/>
                <w:highlight w:val="none"/>
              </w:rPr>
            </w:pPr>
          </w:p>
        </w:tc>
        <w:tc>
          <w:tcPr>
            <w:tcW w:w="2006" w:type="dxa"/>
            <w:vAlign w:val="top"/>
          </w:tcPr>
          <w:p w14:paraId="740CE722">
            <w:pPr>
              <w:rPr>
                <w:rFonts w:ascii="Arial"/>
                <w:color w:val="auto"/>
                <w:sz w:val="21"/>
                <w:highlight w:val="none"/>
              </w:rPr>
            </w:pPr>
          </w:p>
        </w:tc>
      </w:tr>
      <w:tr w14:paraId="2CF0F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9568685">
            <w:pPr>
              <w:rPr>
                <w:rFonts w:ascii="Arial"/>
                <w:color w:val="auto"/>
                <w:sz w:val="21"/>
                <w:highlight w:val="none"/>
              </w:rPr>
            </w:pPr>
          </w:p>
        </w:tc>
        <w:tc>
          <w:tcPr>
            <w:tcW w:w="2011" w:type="dxa"/>
            <w:vAlign w:val="top"/>
          </w:tcPr>
          <w:p w14:paraId="466E7623">
            <w:pPr>
              <w:rPr>
                <w:rFonts w:ascii="Arial"/>
                <w:color w:val="auto"/>
                <w:sz w:val="21"/>
                <w:highlight w:val="none"/>
              </w:rPr>
            </w:pPr>
          </w:p>
        </w:tc>
        <w:tc>
          <w:tcPr>
            <w:tcW w:w="2001" w:type="dxa"/>
            <w:vAlign w:val="top"/>
          </w:tcPr>
          <w:p w14:paraId="2D16B25D">
            <w:pPr>
              <w:rPr>
                <w:rFonts w:ascii="Arial"/>
                <w:color w:val="auto"/>
                <w:sz w:val="21"/>
                <w:highlight w:val="none"/>
              </w:rPr>
            </w:pPr>
          </w:p>
        </w:tc>
        <w:tc>
          <w:tcPr>
            <w:tcW w:w="2006" w:type="dxa"/>
            <w:vAlign w:val="top"/>
          </w:tcPr>
          <w:p w14:paraId="1B16CA41">
            <w:pPr>
              <w:rPr>
                <w:rFonts w:ascii="Arial"/>
                <w:color w:val="auto"/>
                <w:sz w:val="21"/>
                <w:highlight w:val="none"/>
              </w:rPr>
            </w:pPr>
          </w:p>
        </w:tc>
      </w:tr>
      <w:tr w14:paraId="69E77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6AC29E5">
            <w:pPr>
              <w:rPr>
                <w:rFonts w:ascii="Arial"/>
                <w:color w:val="auto"/>
                <w:sz w:val="21"/>
                <w:highlight w:val="none"/>
              </w:rPr>
            </w:pPr>
          </w:p>
        </w:tc>
        <w:tc>
          <w:tcPr>
            <w:tcW w:w="2011" w:type="dxa"/>
            <w:vAlign w:val="top"/>
          </w:tcPr>
          <w:p w14:paraId="408F64BE">
            <w:pPr>
              <w:rPr>
                <w:rFonts w:ascii="Arial"/>
                <w:color w:val="auto"/>
                <w:sz w:val="21"/>
                <w:highlight w:val="none"/>
              </w:rPr>
            </w:pPr>
          </w:p>
        </w:tc>
        <w:tc>
          <w:tcPr>
            <w:tcW w:w="2001" w:type="dxa"/>
            <w:vAlign w:val="top"/>
          </w:tcPr>
          <w:p w14:paraId="1038B6EC">
            <w:pPr>
              <w:rPr>
                <w:rFonts w:ascii="Arial"/>
                <w:color w:val="auto"/>
                <w:sz w:val="21"/>
                <w:highlight w:val="none"/>
              </w:rPr>
            </w:pPr>
          </w:p>
        </w:tc>
        <w:tc>
          <w:tcPr>
            <w:tcW w:w="2006" w:type="dxa"/>
            <w:vAlign w:val="top"/>
          </w:tcPr>
          <w:p w14:paraId="7D012A8A">
            <w:pPr>
              <w:rPr>
                <w:rFonts w:ascii="Arial"/>
                <w:color w:val="auto"/>
                <w:sz w:val="21"/>
                <w:highlight w:val="none"/>
              </w:rPr>
            </w:pPr>
          </w:p>
        </w:tc>
      </w:tr>
      <w:tr w14:paraId="6AC7A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B701A84">
            <w:pPr>
              <w:rPr>
                <w:rFonts w:ascii="Arial"/>
                <w:color w:val="auto"/>
                <w:sz w:val="21"/>
                <w:highlight w:val="none"/>
              </w:rPr>
            </w:pPr>
          </w:p>
        </w:tc>
        <w:tc>
          <w:tcPr>
            <w:tcW w:w="2011" w:type="dxa"/>
            <w:vAlign w:val="top"/>
          </w:tcPr>
          <w:p w14:paraId="2E9ACFCA">
            <w:pPr>
              <w:rPr>
                <w:rFonts w:ascii="Arial"/>
                <w:color w:val="auto"/>
                <w:sz w:val="21"/>
                <w:highlight w:val="none"/>
              </w:rPr>
            </w:pPr>
          </w:p>
        </w:tc>
        <w:tc>
          <w:tcPr>
            <w:tcW w:w="2001" w:type="dxa"/>
            <w:vAlign w:val="top"/>
          </w:tcPr>
          <w:p w14:paraId="2FAED9C6">
            <w:pPr>
              <w:rPr>
                <w:rFonts w:ascii="Arial"/>
                <w:color w:val="auto"/>
                <w:sz w:val="21"/>
                <w:highlight w:val="none"/>
              </w:rPr>
            </w:pPr>
          </w:p>
        </w:tc>
        <w:tc>
          <w:tcPr>
            <w:tcW w:w="2006" w:type="dxa"/>
            <w:vAlign w:val="top"/>
          </w:tcPr>
          <w:p w14:paraId="7DC3CEB3">
            <w:pPr>
              <w:rPr>
                <w:rFonts w:ascii="Arial"/>
                <w:color w:val="auto"/>
                <w:sz w:val="21"/>
                <w:highlight w:val="none"/>
              </w:rPr>
            </w:pPr>
          </w:p>
        </w:tc>
      </w:tr>
      <w:tr w14:paraId="58041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5415C78">
            <w:pPr>
              <w:rPr>
                <w:rFonts w:ascii="Arial"/>
                <w:color w:val="auto"/>
                <w:sz w:val="21"/>
                <w:highlight w:val="none"/>
              </w:rPr>
            </w:pPr>
          </w:p>
        </w:tc>
        <w:tc>
          <w:tcPr>
            <w:tcW w:w="2011" w:type="dxa"/>
            <w:vAlign w:val="top"/>
          </w:tcPr>
          <w:p w14:paraId="798E62BC">
            <w:pPr>
              <w:rPr>
                <w:rFonts w:ascii="Arial"/>
                <w:color w:val="auto"/>
                <w:sz w:val="21"/>
                <w:highlight w:val="none"/>
              </w:rPr>
            </w:pPr>
          </w:p>
        </w:tc>
        <w:tc>
          <w:tcPr>
            <w:tcW w:w="2001" w:type="dxa"/>
            <w:vAlign w:val="top"/>
          </w:tcPr>
          <w:p w14:paraId="46E40644">
            <w:pPr>
              <w:rPr>
                <w:rFonts w:ascii="Arial"/>
                <w:color w:val="auto"/>
                <w:sz w:val="21"/>
                <w:highlight w:val="none"/>
              </w:rPr>
            </w:pPr>
          </w:p>
        </w:tc>
        <w:tc>
          <w:tcPr>
            <w:tcW w:w="2006" w:type="dxa"/>
            <w:vAlign w:val="top"/>
          </w:tcPr>
          <w:p w14:paraId="2442D6B8">
            <w:pPr>
              <w:rPr>
                <w:rFonts w:ascii="Arial"/>
                <w:color w:val="auto"/>
                <w:sz w:val="21"/>
                <w:highlight w:val="none"/>
              </w:rPr>
            </w:pPr>
          </w:p>
        </w:tc>
      </w:tr>
      <w:tr w14:paraId="53253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87560FB">
            <w:pPr>
              <w:rPr>
                <w:rFonts w:ascii="Arial"/>
                <w:color w:val="auto"/>
                <w:sz w:val="21"/>
                <w:highlight w:val="none"/>
              </w:rPr>
            </w:pPr>
          </w:p>
        </w:tc>
        <w:tc>
          <w:tcPr>
            <w:tcW w:w="2011" w:type="dxa"/>
            <w:vAlign w:val="top"/>
          </w:tcPr>
          <w:p w14:paraId="66277175">
            <w:pPr>
              <w:rPr>
                <w:rFonts w:ascii="Arial"/>
                <w:color w:val="auto"/>
                <w:sz w:val="21"/>
                <w:highlight w:val="none"/>
              </w:rPr>
            </w:pPr>
          </w:p>
        </w:tc>
        <w:tc>
          <w:tcPr>
            <w:tcW w:w="2001" w:type="dxa"/>
            <w:vAlign w:val="top"/>
          </w:tcPr>
          <w:p w14:paraId="5C5084B8">
            <w:pPr>
              <w:rPr>
                <w:rFonts w:ascii="Arial"/>
                <w:color w:val="auto"/>
                <w:sz w:val="21"/>
                <w:highlight w:val="none"/>
              </w:rPr>
            </w:pPr>
          </w:p>
        </w:tc>
        <w:tc>
          <w:tcPr>
            <w:tcW w:w="2006" w:type="dxa"/>
            <w:vAlign w:val="top"/>
          </w:tcPr>
          <w:p w14:paraId="36B69D86">
            <w:pPr>
              <w:rPr>
                <w:rFonts w:ascii="Arial"/>
                <w:color w:val="auto"/>
                <w:sz w:val="21"/>
                <w:highlight w:val="none"/>
              </w:rPr>
            </w:pPr>
          </w:p>
        </w:tc>
      </w:tr>
      <w:tr w14:paraId="7FE2F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FA430F1">
            <w:pPr>
              <w:rPr>
                <w:rFonts w:ascii="Arial"/>
                <w:color w:val="auto"/>
                <w:sz w:val="21"/>
                <w:highlight w:val="none"/>
              </w:rPr>
            </w:pPr>
          </w:p>
        </w:tc>
        <w:tc>
          <w:tcPr>
            <w:tcW w:w="2011" w:type="dxa"/>
            <w:vAlign w:val="top"/>
          </w:tcPr>
          <w:p w14:paraId="4038E017">
            <w:pPr>
              <w:rPr>
                <w:rFonts w:ascii="Arial"/>
                <w:color w:val="auto"/>
                <w:sz w:val="21"/>
                <w:highlight w:val="none"/>
              </w:rPr>
            </w:pPr>
          </w:p>
        </w:tc>
        <w:tc>
          <w:tcPr>
            <w:tcW w:w="2001" w:type="dxa"/>
            <w:vAlign w:val="top"/>
          </w:tcPr>
          <w:p w14:paraId="2A77DADE">
            <w:pPr>
              <w:rPr>
                <w:rFonts w:ascii="Arial"/>
                <w:color w:val="auto"/>
                <w:sz w:val="21"/>
                <w:highlight w:val="none"/>
              </w:rPr>
            </w:pPr>
          </w:p>
        </w:tc>
        <w:tc>
          <w:tcPr>
            <w:tcW w:w="2006" w:type="dxa"/>
            <w:vAlign w:val="top"/>
          </w:tcPr>
          <w:p w14:paraId="144342D6">
            <w:pPr>
              <w:rPr>
                <w:rFonts w:ascii="Arial"/>
                <w:color w:val="auto"/>
                <w:sz w:val="21"/>
                <w:highlight w:val="none"/>
              </w:rPr>
            </w:pPr>
          </w:p>
        </w:tc>
      </w:tr>
      <w:tr w14:paraId="705CE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8DE647A">
            <w:pPr>
              <w:rPr>
                <w:rFonts w:ascii="Arial"/>
                <w:color w:val="auto"/>
                <w:sz w:val="21"/>
                <w:highlight w:val="none"/>
              </w:rPr>
            </w:pPr>
          </w:p>
        </w:tc>
        <w:tc>
          <w:tcPr>
            <w:tcW w:w="2011" w:type="dxa"/>
            <w:vAlign w:val="top"/>
          </w:tcPr>
          <w:p w14:paraId="41E4F10B">
            <w:pPr>
              <w:rPr>
                <w:rFonts w:ascii="Arial"/>
                <w:color w:val="auto"/>
                <w:sz w:val="21"/>
                <w:highlight w:val="none"/>
              </w:rPr>
            </w:pPr>
          </w:p>
        </w:tc>
        <w:tc>
          <w:tcPr>
            <w:tcW w:w="2001" w:type="dxa"/>
            <w:vAlign w:val="top"/>
          </w:tcPr>
          <w:p w14:paraId="26277B69">
            <w:pPr>
              <w:rPr>
                <w:rFonts w:ascii="Arial"/>
                <w:color w:val="auto"/>
                <w:sz w:val="21"/>
                <w:highlight w:val="none"/>
              </w:rPr>
            </w:pPr>
          </w:p>
        </w:tc>
        <w:tc>
          <w:tcPr>
            <w:tcW w:w="2006" w:type="dxa"/>
            <w:vAlign w:val="top"/>
          </w:tcPr>
          <w:p w14:paraId="14CBD2F8">
            <w:pPr>
              <w:rPr>
                <w:rFonts w:ascii="Arial"/>
                <w:color w:val="auto"/>
                <w:sz w:val="21"/>
                <w:highlight w:val="none"/>
              </w:rPr>
            </w:pPr>
          </w:p>
        </w:tc>
      </w:tr>
      <w:tr w14:paraId="713DF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5F730F3">
            <w:pPr>
              <w:rPr>
                <w:rFonts w:ascii="Arial"/>
                <w:color w:val="auto"/>
                <w:sz w:val="21"/>
                <w:highlight w:val="none"/>
              </w:rPr>
            </w:pPr>
          </w:p>
        </w:tc>
        <w:tc>
          <w:tcPr>
            <w:tcW w:w="2011" w:type="dxa"/>
            <w:vAlign w:val="top"/>
          </w:tcPr>
          <w:p w14:paraId="03BBFB00">
            <w:pPr>
              <w:rPr>
                <w:rFonts w:ascii="Arial"/>
                <w:color w:val="auto"/>
                <w:sz w:val="21"/>
                <w:highlight w:val="none"/>
              </w:rPr>
            </w:pPr>
          </w:p>
        </w:tc>
        <w:tc>
          <w:tcPr>
            <w:tcW w:w="2001" w:type="dxa"/>
            <w:vAlign w:val="top"/>
          </w:tcPr>
          <w:p w14:paraId="3E689A6D">
            <w:pPr>
              <w:rPr>
                <w:rFonts w:ascii="Arial"/>
                <w:color w:val="auto"/>
                <w:sz w:val="21"/>
                <w:highlight w:val="none"/>
              </w:rPr>
            </w:pPr>
          </w:p>
        </w:tc>
        <w:tc>
          <w:tcPr>
            <w:tcW w:w="2006" w:type="dxa"/>
            <w:vAlign w:val="top"/>
          </w:tcPr>
          <w:p w14:paraId="4697B25A">
            <w:pPr>
              <w:rPr>
                <w:rFonts w:ascii="Arial"/>
                <w:color w:val="auto"/>
                <w:sz w:val="21"/>
                <w:highlight w:val="none"/>
              </w:rPr>
            </w:pPr>
          </w:p>
        </w:tc>
      </w:tr>
      <w:tr w14:paraId="31CF3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98F0422">
            <w:pPr>
              <w:rPr>
                <w:rFonts w:ascii="Arial"/>
                <w:color w:val="auto"/>
                <w:sz w:val="21"/>
                <w:highlight w:val="none"/>
              </w:rPr>
            </w:pPr>
          </w:p>
        </w:tc>
        <w:tc>
          <w:tcPr>
            <w:tcW w:w="2011" w:type="dxa"/>
            <w:vAlign w:val="top"/>
          </w:tcPr>
          <w:p w14:paraId="08C67CB3">
            <w:pPr>
              <w:rPr>
                <w:rFonts w:ascii="Arial"/>
                <w:color w:val="auto"/>
                <w:sz w:val="21"/>
                <w:highlight w:val="none"/>
              </w:rPr>
            </w:pPr>
          </w:p>
        </w:tc>
        <w:tc>
          <w:tcPr>
            <w:tcW w:w="2001" w:type="dxa"/>
            <w:vAlign w:val="top"/>
          </w:tcPr>
          <w:p w14:paraId="0193D1DE">
            <w:pPr>
              <w:rPr>
                <w:rFonts w:ascii="Arial"/>
                <w:color w:val="auto"/>
                <w:sz w:val="21"/>
                <w:highlight w:val="none"/>
              </w:rPr>
            </w:pPr>
          </w:p>
        </w:tc>
        <w:tc>
          <w:tcPr>
            <w:tcW w:w="2006" w:type="dxa"/>
            <w:vAlign w:val="top"/>
          </w:tcPr>
          <w:p w14:paraId="6D4CA914">
            <w:pPr>
              <w:rPr>
                <w:rFonts w:ascii="Arial"/>
                <w:color w:val="auto"/>
                <w:sz w:val="21"/>
                <w:highlight w:val="none"/>
              </w:rPr>
            </w:pPr>
          </w:p>
        </w:tc>
      </w:tr>
      <w:tr w14:paraId="069D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F105B3A">
            <w:pPr>
              <w:rPr>
                <w:rFonts w:ascii="Arial"/>
                <w:color w:val="auto"/>
                <w:sz w:val="21"/>
                <w:highlight w:val="none"/>
              </w:rPr>
            </w:pPr>
          </w:p>
        </w:tc>
        <w:tc>
          <w:tcPr>
            <w:tcW w:w="2011" w:type="dxa"/>
            <w:vAlign w:val="top"/>
          </w:tcPr>
          <w:p w14:paraId="7D4CD8EA">
            <w:pPr>
              <w:rPr>
                <w:rFonts w:ascii="Arial"/>
                <w:color w:val="auto"/>
                <w:sz w:val="21"/>
                <w:highlight w:val="none"/>
              </w:rPr>
            </w:pPr>
          </w:p>
        </w:tc>
        <w:tc>
          <w:tcPr>
            <w:tcW w:w="2001" w:type="dxa"/>
            <w:vAlign w:val="top"/>
          </w:tcPr>
          <w:p w14:paraId="77F7094D">
            <w:pPr>
              <w:rPr>
                <w:rFonts w:ascii="Arial"/>
                <w:color w:val="auto"/>
                <w:sz w:val="21"/>
                <w:highlight w:val="none"/>
              </w:rPr>
            </w:pPr>
          </w:p>
        </w:tc>
        <w:tc>
          <w:tcPr>
            <w:tcW w:w="2006" w:type="dxa"/>
            <w:vAlign w:val="top"/>
          </w:tcPr>
          <w:p w14:paraId="0BB9504B">
            <w:pPr>
              <w:rPr>
                <w:rFonts w:ascii="Arial"/>
                <w:color w:val="auto"/>
                <w:sz w:val="21"/>
                <w:highlight w:val="none"/>
              </w:rPr>
            </w:pPr>
          </w:p>
        </w:tc>
      </w:tr>
      <w:tr w14:paraId="2ECD1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3C1F3B3">
            <w:pPr>
              <w:rPr>
                <w:rFonts w:ascii="Arial"/>
                <w:color w:val="auto"/>
                <w:sz w:val="21"/>
                <w:highlight w:val="none"/>
              </w:rPr>
            </w:pPr>
          </w:p>
        </w:tc>
        <w:tc>
          <w:tcPr>
            <w:tcW w:w="2011" w:type="dxa"/>
            <w:vAlign w:val="top"/>
          </w:tcPr>
          <w:p w14:paraId="67B63FC4">
            <w:pPr>
              <w:rPr>
                <w:rFonts w:ascii="Arial"/>
                <w:color w:val="auto"/>
                <w:sz w:val="21"/>
                <w:highlight w:val="none"/>
              </w:rPr>
            </w:pPr>
          </w:p>
        </w:tc>
        <w:tc>
          <w:tcPr>
            <w:tcW w:w="2001" w:type="dxa"/>
            <w:vAlign w:val="top"/>
          </w:tcPr>
          <w:p w14:paraId="49762BC3">
            <w:pPr>
              <w:rPr>
                <w:rFonts w:ascii="Arial"/>
                <w:color w:val="auto"/>
                <w:sz w:val="21"/>
                <w:highlight w:val="none"/>
              </w:rPr>
            </w:pPr>
          </w:p>
        </w:tc>
        <w:tc>
          <w:tcPr>
            <w:tcW w:w="2006" w:type="dxa"/>
            <w:vAlign w:val="top"/>
          </w:tcPr>
          <w:p w14:paraId="76BEB38E">
            <w:pPr>
              <w:rPr>
                <w:rFonts w:ascii="Arial"/>
                <w:color w:val="auto"/>
                <w:sz w:val="21"/>
                <w:highlight w:val="none"/>
              </w:rPr>
            </w:pPr>
          </w:p>
        </w:tc>
      </w:tr>
      <w:tr w14:paraId="44861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746F64C">
            <w:pPr>
              <w:rPr>
                <w:rFonts w:ascii="Arial"/>
                <w:color w:val="auto"/>
                <w:sz w:val="21"/>
                <w:highlight w:val="none"/>
              </w:rPr>
            </w:pPr>
          </w:p>
        </w:tc>
        <w:tc>
          <w:tcPr>
            <w:tcW w:w="2011" w:type="dxa"/>
            <w:vAlign w:val="top"/>
          </w:tcPr>
          <w:p w14:paraId="47D56308">
            <w:pPr>
              <w:rPr>
                <w:rFonts w:ascii="Arial"/>
                <w:color w:val="auto"/>
                <w:sz w:val="21"/>
                <w:highlight w:val="none"/>
              </w:rPr>
            </w:pPr>
          </w:p>
        </w:tc>
        <w:tc>
          <w:tcPr>
            <w:tcW w:w="2001" w:type="dxa"/>
            <w:vAlign w:val="top"/>
          </w:tcPr>
          <w:p w14:paraId="124237B6">
            <w:pPr>
              <w:rPr>
                <w:rFonts w:ascii="Arial"/>
                <w:color w:val="auto"/>
                <w:sz w:val="21"/>
                <w:highlight w:val="none"/>
              </w:rPr>
            </w:pPr>
          </w:p>
        </w:tc>
        <w:tc>
          <w:tcPr>
            <w:tcW w:w="2006" w:type="dxa"/>
            <w:vAlign w:val="top"/>
          </w:tcPr>
          <w:p w14:paraId="2C13EDAA">
            <w:pPr>
              <w:rPr>
                <w:rFonts w:ascii="Arial"/>
                <w:color w:val="auto"/>
                <w:sz w:val="21"/>
                <w:highlight w:val="none"/>
              </w:rPr>
            </w:pPr>
          </w:p>
        </w:tc>
      </w:tr>
      <w:tr w14:paraId="72601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037B0A">
            <w:pPr>
              <w:rPr>
                <w:rFonts w:ascii="Arial"/>
                <w:color w:val="auto"/>
                <w:sz w:val="21"/>
                <w:highlight w:val="none"/>
              </w:rPr>
            </w:pPr>
          </w:p>
        </w:tc>
        <w:tc>
          <w:tcPr>
            <w:tcW w:w="2011" w:type="dxa"/>
            <w:vAlign w:val="top"/>
          </w:tcPr>
          <w:p w14:paraId="19E8442E">
            <w:pPr>
              <w:rPr>
                <w:rFonts w:ascii="Arial"/>
                <w:color w:val="auto"/>
                <w:sz w:val="21"/>
                <w:highlight w:val="none"/>
              </w:rPr>
            </w:pPr>
          </w:p>
        </w:tc>
        <w:tc>
          <w:tcPr>
            <w:tcW w:w="2001" w:type="dxa"/>
            <w:vAlign w:val="top"/>
          </w:tcPr>
          <w:p w14:paraId="403EB641">
            <w:pPr>
              <w:rPr>
                <w:rFonts w:ascii="Arial"/>
                <w:color w:val="auto"/>
                <w:sz w:val="21"/>
                <w:highlight w:val="none"/>
              </w:rPr>
            </w:pPr>
          </w:p>
        </w:tc>
        <w:tc>
          <w:tcPr>
            <w:tcW w:w="2006" w:type="dxa"/>
            <w:vAlign w:val="top"/>
          </w:tcPr>
          <w:p w14:paraId="7EFA3F00">
            <w:pPr>
              <w:rPr>
                <w:rFonts w:ascii="Arial"/>
                <w:color w:val="auto"/>
                <w:sz w:val="21"/>
                <w:highlight w:val="none"/>
              </w:rPr>
            </w:pPr>
          </w:p>
        </w:tc>
      </w:tr>
      <w:tr w14:paraId="48B4C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3F6341D">
            <w:pPr>
              <w:rPr>
                <w:rFonts w:ascii="Arial"/>
                <w:color w:val="auto"/>
                <w:sz w:val="21"/>
                <w:highlight w:val="none"/>
              </w:rPr>
            </w:pPr>
          </w:p>
        </w:tc>
        <w:tc>
          <w:tcPr>
            <w:tcW w:w="2011" w:type="dxa"/>
            <w:vAlign w:val="top"/>
          </w:tcPr>
          <w:p w14:paraId="2C9C9E07">
            <w:pPr>
              <w:rPr>
                <w:rFonts w:ascii="Arial"/>
                <w:color w:val="auto"/>
                <w:sz w:val="21"/>
                <w:highlight w:val="none"/>
              </w:rPr>
            </w:pPr>
          </w:p>
        </w:tc>
        <w:tc>
          <w:tcPr>
            <w:tcW w:w="2001" w:type="dxa"/>
            <w:vAlign w:val="top"/>
          </w:tcPr>
          <w:p w14:paraId="68BDFA2C">
            <w:pPr>
              <w:rPr>
                <w:rFonts w:ascii="Arial"/>
                <w:color w:val="auto"/>
                <w:sz w:val="21"/>
                <w:highlight w:val="none"/>
              </w:rPr>
            </w:pPr>
          </w:p>
        </w:tc>
        <w:tc>
          <w:tcPr>
            <w:tcW w:w="2006" w:type="dxa"/>
            <w:vAlign w:val="top"/>
          </w:tcPr>
          <w:p w14:paraId="17289541">
            <w:pPr>
              <w:rPr>
                <w:rFonts w:ascii="Arial"/>
                <w:color w:val="auto"/>
                <w:sz w:val="21"/>
                <w:highlight w:val="none"/>
              </w:rPr>
            </w:pPr>
          </w:p>
        </w:tc>
      </w:tr>
      <w:tr w14:paraId="1631F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B55449A">
            <w:pPr>
              <w:rPr>
                <w:rFonts w:ascii="Arial"/>
                <w:color w:val="auto"/>
                <w:sz w:val="21"/>
                <w:highlight w:val="none"/>
              </w:rPr>
            </w:pPr>
          </w:p>
        </w:tc>
        <w:tc>
          <w:tcPr>
            <w:tcW w:w="2011" w:type="dxa"/>
            <w:vAlign w:val="top"/>
          </w:tcPr>
          <w:p w14:paraId="0E71F429">
            <w:pPr>
              <w:rPr>
                <w:rFonts w:ascii="Arial"/>
                <w:color w:val="auto"/>
                <w:sz w:val="21"/>
                <w:highlight w:val="none"/>
              </w:rPr>
            </w:pPr>
          </w:p>
        </w:tc>
        <w:tc>
          <w:tcPr>
            <w:tcW w:w="2001" w:type="dxa"/>
            <w:vAlign w:val="top"/>
          </w:tcPr>
          <w:p w14:paraId="5E4193DA">
            <w:pPr>
              <w:rPr>
                <w:rFonts w:ascii="Arial"/>
                <w:color w:val="auto"/>
                <w:sz w:val="21"/>
                <w:highlight w:val="none"/>
              </w:rPr>
            </w:pPr>
          </w:p>
        </w:tc>
        <w:tc>
          <w:tcPr>
            <w:tcW w:w="2006" w:type="dxa"/>
            <w:vAlign w:val="top"/>
          </w:tcPr>
          <w:p w14:paraId="6042C079">
            <w:pPr>
              <w:rPr>
                <w:rFonts w:ascii="Arial"/>
                <w:color w:val="auto"/>
                <w:sz w:val="21"/>
                <w:highlight w:val="none"/>
              </w:rPr>
            </w:pPr>
          </w:p>
        </w:tc>
      </w:tr>
      <w:tr w14:paraId="78709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2068CA0">
            <w:pPr>
              <w:rPr>
                <w:rFonts w:ascii="Arial"/>
                <w:color w:val="auto"/>
                <w:sz w:val="21"/>
                <w:highlight w:val="none"/>
              </w:rPr>
            </w:pPr>
          </w:p>
        </w:tc>
        <w:tc>
          <w:tcPr>
            <w:tcW w:w="2011" w:type="dxa"/>
            <w:vAlign w:val="top"/>
          </w:tcPr>
          <w:p w14:paraId="39C2F05C">
            <w:pPr>
              <w:rPr>
                <w:rFonts w:ascii="Arial"/>
                <w:color w:val="auto"/>
                <w:sz w:val="21"/>
                <w:highlight w:val="none"/>
              </w:rPr>
            </w:pPr>
          </w:p>
        </w:tc>
        <w:tc>
          <w:tcPr>
            <w:tcW w:w="2001" w:type="dxa"/>
            <w:vAlign w:val="top"/>
          </w:tcPr>
          <w:p w14:paraId="679280AE">
            <w:pPr>
              <w:rPr>
                <w:rFonts w:ascii="Arial"/>
                <w:color w:val="auto"/>
                <w:sz w:val="21"/>
                <w:highlight w:val="none"/>
              </w:rPr>
            </w:pPr>
          </w:p>
        </w:tc>
        <w:tc>
          <w:tcPr>
            <w:tcW w:w="2006" w:type="dxa"/>
            <w:vAlign w:val="top"/>
          </w:tcPr>
          <w:p w14:paraId="4DA19B94">
            <w:pPr>
              <w:rPr>
                <w:rFonts w:ascii="Arial"/>
                <w:color w:val="auto"/>
                <w:sz w:val="21"/>
                <w:highlight w:val="none"/>
              </w:rPr>
            </w:pPr>
          </w:p>
        </w:tc>
      </w:tr>
      <w:tr w14:paraId="282E4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5445CD">
            <w:pPr>
              <w:rPr>
                <w:rFonts w:ascii="Arial"/>
                <w:color w:val="auto"/>
                <w:sz w:val="21"/>
                <w:highlight w:val="none"/>
              </w:rPr>
            </w:pPr>
          </w:p>
        </w:tc>
        <w:tc>
          <w:tcPr>
            <w:tcW w:w="2011" w:type="dxa"/>
            <w:vAlign w:val="top"/>
          </w:tcPr>
          <w:p w14:paraId="021C6F52">
            <w:pPr>
              <w:rPr>
                <w:rFonts w:ascii="Arial"/>
                <w:color w:val="auto"/>
                <w:sz w:val="21"/>
                <w:highlight w:val="none"/>
              </w:rPr>
            </w:pPr>
          </w:p>
        </w:tc>
        <w:tc>
          <w:tcPr>
            <w:tcW w:w="2001" w:type="dxa"/>
            <w:vAlign w:val="top"/>
          </w:tcPr>
          <w:p w14:paraId="31ACCCE8">
            <w:pPr>
              <w:rPr>
                <w:rFonts w:ascii="Arial"/>
                <w:color w:val="auto"/>
                <w:sz w:val="21"/>
                <w:highlight w:val="none"/>
              </w:rPr>
            </w:pPr>
          </w:p>
        </w:tc>
        <w:tc>
          <w:tcPr>
            <w:tcW w:w="2006" w:type="dxa"/>
            <w:vAlign w:val="top"/>
          </w:tcPr>
          <w:p w14:paraId="155F951C">
            <w:pPr>
              <w:rPr>
                <w:rFonts w:ascii="Arial"/>
                <w:color w:val="auto"/>
                <w:sz w:val="21"/>
                <w:highlight w:val="none"/>
              </w:rPr>
            </w:pPr>
          </w:p>
        </w:tc>
      </w:tr>
      <w:tr w14:paraId="3F336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F52D363">
            <w:pPr>
              <w:rPr>
                <w:rFonts w:ascii="Arial"/>
                <w:color w:val="auto"/>
                <w:sz w:val="21"/>
                <w:highlight w:val="none"/>
              </w:rPr>
            </w:pPr>
          </w:p>
        </w:tc>
        <w:tc>
          <w:tcPr>
            <w:tcW w:w="2011" w:type="dxa"/>
            <w:vAlign w:val="top"/>
          </w:tcPr>
          <w:p w14:paraId="7D77843B">
            <w:pPr>
              <w:rPr>
                <w:rFonts w:ascii="Arial"/>
                <w:color w:val="auto"/>
                <w:sz w:val="21"/>
                <w:highlight w:val="none"/>
              </w:rPr>
            </w:pPr>
          </w:p>
        </w:tc>
        <w:tc>
          <w:tcPr>
            <w:tcW w:w="2001" w:type="dxa"/>
            <w:vAlign w:val="top"/>
          </w:tcPr>
          <w:p w14:paraId="2F85F98B">
            <w:pPr>
              <w:rPr>
                <w:rFonts w:ascii="Arial"/>
                <w:color w:val="auto"/>
                <w:sz w:val="21"/>
                <w:highlight w:val="none"/>
              </w:rPr>
            </w:pPr>
          </w:p>
        </w:tc>
        <w:tc>
          <w:tcPr>
            <w:tcW w:w="2006" w:type="dxa"/>
            <w:vAlign w:val="top"/>
          </w:tcPr>
          <w:p w14:paraId="6EBBEAAD">
            <w:pPr>
              <w:rPr>
                <w:rFonts w:ascii="Arial"/>
                <w:color w:val="auto"/>
                <w:sz w:val="21"/>
                <w:highlight w:val="none"/>
              </w:rPr>
            </w:pPr>
          </w:p>
        </w:tc>
      </w:tr>
      <w:tr w14:paraId="50E35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A103991">
            <w:pPr>
              <w:rPr>
                <w:rFonts w:ascii="Arial"/>
                <w:color w:val="auto"/>
                <w:sz w:val="21"/>
                <w:highlight w:val="none"/>
              </w:rPr>
            </w:pPr>
          </w:p>
        </w:tc>
        <w:tc>
          <w:tcPr>
            <w:tcW w:w="2011" w:type="dxa"/>
            <w:vAlign w:val="top"/>
          </w:tcPr>
          <w:p w14:paraId="6D910617">
            <w:pPr>
              <w:rPr>
                <w:rFonts w:ascii="Arial"/>
                <w:color w:val="auto"/>
                <w:sz w:val="21"/>
                <w:highlight w:val="none"/>
              </w:rPr>
            </w:pPr>
          </w:p>
        </w:tc>
        <w:tc>
          <w:tcPr>
            <w:tcW w:w="2001" w:type="dxa"/>
            <w:vAlign w:val="top"/>
          </w:tcPr>
          <w:p w14:paraId="295753D3">
            <w:pPr>
              <w:rPr>
                <w:rFonts w:ascii="Arial"/>
                <w:color w:val="auto"/>
                <w:sz w:val="21"/>
                <w:highlight w:val="none"/>
              </w:rPr>
            </w:pPr>
          </w:p>
        </w:tc>
        <w:tc>
          <w:tcPr>
            <w:tcW w:w="2006" w:type="dxa"/>
            <w:vAlign w:val="top"/>
          </w:tcPr>
          <w:p w14:paraId="3B1744CC">
            <w:pPr>
              <w:rPr>
                <w:rFonts w:ascii="Arial"/>
                <w:color w:val="auto"/>
                <w:sz w:val="21"/>
                <w:highlight w:val="none"/>
              </w:rPr>
            </w:pPr>
          </w:p>
        </w:tc>
      </w:tr>
    </w:tbl>
    <w:p w14:paraId="780185A3">
      <w:pPr>
        <w:pStyle w:val="3"/>
        <w:rPr>
          <w:color w:val="auto"/>
          <w:highlight w:val="none"/>
        </w:rPr>
      </w:pPr>
    </w:p>
    <w:p w14:paraId="7EAFEFBD">
      <w:pPr>
        <w:rPr>
          <w:color w:val="auto"/>
          <w:highlight w:val="none"/>
        </w:rPr>
        <w:sectPr>
          <w:footerReference r:id="rId252" w:type="default"/>
          <w:pgSz w:w="11905" w:h="16839"/>
          <w:pgMar w:top="400" w:right="1785" w:bottom="1004" w:left="1785" w:header="0" w:footer="828" w:gutter="0"/>
          <w:pgNumType w:fmt="decimal"/>
          <w:cols w:space="720" w:num="1"/>
        </w:sectPr>
      </w:pPr>
    </w:p>
    <w:p w14:paraId="534FFEEF">
      <w:pPr>
        <w:pStyle w:val="3"/>
        <w:spacing w:line="254" w:lineRule="auto"/>
        <w:rPr>
          <w:color w:val="auto"/>
          <w:highlight w:val="none"/>
        </w:rPr>
      </w:pPr>
    </w:p>
    <w:p w14:paraId="20C318A7">
      <w:pPr>
        <w:pStyle w:val="3"/>
        <w:spacing w:line="254" w:lineRule="auto"/>
        <w:rPr>
          <w:color w:val="auto"/>
          <w:highlight w:val="none"/>
        </w:rPr>
      </w:pPr>
    </w:p>
    <w:p w14:paraId="1FA5BD50">
      <w:pPr>
        <w:pStyle w:val="3"/>
        <w:spacing w:line="254" w:lineRule="auto"/>
        <w:rPr>
          <w:color w:val="auto"/>
          <w:highlight w:val="none"/>
        </w:rPr>
      </w:pPr>
    </w:p>
    <w:p w14:paraId="4CEAEC33">
      <w:pPr>
        <w:pStyle w:val="3"/>
        <w:spacing w:line="254" w:lineRule="auto"/>
        <w:rPr>
          <w:color w:val="auto"/>
          <w:highlight w:val="none"/>
        </w:rPr>
      </w:pPr>
    </w:p>
    <w:p w14:paraId="1933BF74">
      <w:pPr>
        <w:pStyle w:val="3"/>
        <w:spacing w:line="254" w:lineRule="auto"/>
        <w:rPr>
          <w:color w:val="auto"/>
          <w:highlight w:val="none"/>
        </w:rPr>
      </w:pPr>
    </w:p>
    <w:p w14:paraId="77C429A8">
      <w:pPr>
        <w:pStyle w:val="3"/>
        <w:spacing w:line="254" w:lineRule="auto"/>
        <w:rPr>
          <w:color w:val="auto"/>
          <w:highlight w:val="none"/>
        </w:rPr>
      </w:pPr>
    </w:p>
    <w:p w14:paraId="3948A897">
      <w:pPr>
        <w:pStyle w:val="3"/>
        <w:spacing w:line="254" w:lineRule="auto"/>
        <w:rPr>
          <w:color w:val="auto"/>
          <w:highlight w:val="none"/>
        </w:rPr>
      </w:pPr>
    </w:p>
    <w:p w14:paraId="1E384FFB">
      <w:pPr>
        <w:pStyle w:val="3"/>
        <w:spacing w:line="254" w:lineRule="auto"/>
        <w:rPr>
          <w:color w:val="auto"/>
          <w:highlight w:val="none"/>
        </w:rPr>
      </w:pPr>
    </w:p>
    <w:p w14:paraId="40FEEF9E">
      <w:pPr>
        <w:pStyle w:val="3"/>
        <w:spacing w:line="254" w:lineRule="auto"/>
        <w:rPr>
          <w:color w:val="auto"/>
          <w:highlight w:val="none"/>
        </w:rPr>
      </w:pPr>
    </w:p>
    <w:p w14:paraId="5A833C72">
      <w:pPr>
        <w:pStyle w:val="3"/>
        <w:spacing w:line="254" w:lineRule="auto"/>
        <w:rPr>
          <w:color w:val="auto"/>
          <w:highlight w:val="none"/>
        </w:rPr>
      </w:pPr>
    </w:p>
    <w:p w14:paraId="7B617CF5">
      <w:pPr>
        <w:pStyle w:val="3"/>
        <w:spacing w:line="254" w:lineRule="auto"/>
        <w:rPr>
          <w:color w:val="auto"/>
          <w:highlight w:val="none"/>
        </w:rPr>
      </w:pPr>
    </w:p>
    <w:p w14:paraId="5E53DE7C">
      <w:pPr>
        <w:pStyle w:val="3"/>
        <w:spacing w:line="255" w:lineRule="auto"/>
        <w:rPr>
          <w:color w:val="auto"/>
          <w:highlight w:val="none"/>
        </w:rPr>
      </w:pPr>
    </w:p>
    <w:p w14:paraId="02C3A78F">
      <w:pPr>
        <w:pStyle w:val="3"/>
        <w:spacing w:line="255" w:lineRule="auto"/>
        <w:rPr>
          <w:color w:val="auto"/>
          <w:highlight w:val="none"/>
        </w:rPr>
      </w:pPr>
    </w:p>
    <w:p w14:paraId="4FD3F7BD">
      <w:pPr>
        <w:pStyle w:val="3"/>
        <w:spacing w:line="255" w:lineRule="auto"/>
        <w:rPr>
          <w:color w:val="auto"/>
          <w:highlight w:val="none"/>
        </w:rPr>
      </w:pPr>
    </w:p>
    <w:p w14:paraId="78EE70FF">
      <w:pPr>
        <w:pStyle w:val="3"/>
        <w:spacing w:line="255" w:lineRule="auto"/>
        <w:rPr>
          <w:color w:val="auto"/>
          <w:highlight w:val="none"/>
        </w:rPr>
      </w:pPr>
    </w:p>
    <w:p w14:paraId="45B1F75E">
      <w:pPr>
        <w:pStyle w:val="3"/>
        <w:spacing w:line="255" w:lineRule="auto"/>
        <w:rPr>
          <w:color w:val="auto"/>
          <w:highlight w:val="none"/>
        </w:rPr>
      </w:pPr>
    </w:p>
    <w:p w14:paraId="17913D40">
      <w:pPr>
        <w:numPr>
          <w:ilvl w:val="0"/>
          <w:numId w:val="4"/>
        </w:numPr>
        <w:spacing w:before="87" w:line="225" w:lineRule="auto"/>
        <w:ind w:left="3342"/>
        <w:rPr>
          <w:rFonts w:ascii="黑体" w:hAnsi="黑体" w:eastAsia="黑体" w:cs="黑体"/>
          <w:color w:val="auto"/>
          <w:spacing w:val="6"/>
          <w:sz w:val="27"/>
          <w:szCs w:val="27"/>
          <w:highlight w:val="none"/>
        </w:rPr>
      </w:pPr>
      <w:r>
        <w:rPr>
          <w:rFonts w:ascii="黑体" w:hAnsi="黑体" w:eastAsia="黑体" w:cs="黑体"/>
          <w:color w:val="auto"/>
          <w:spacing w:val="6"/>
          <w:sz w:val="27"/>
          <w:szCs w:val="27"/>
          <w:highlight w:val="none"/>
        </w:rPr>
        <w:t>其他材料</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5404"/>
      </w:tblGrid>
      <w:tr w14:paraId="2532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29592C4">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项目名称：</w:t>
            </w:r>
          </w:p>
        </w:tc>
        <w:tc>
          <w:tcPr>
            <w:tcW w:w="5404" w:type="dxa"/>
            <w:noWrap w:val="0"/>
            <w:vAlign w:val="top"/>
          </w:tcPr>
          <w:p w14:paraId="1BD0DA8F">
            <w:pPr>
              <w:widowControl w:val="0"/>
              <w:rPr>
                <w:color w:val="auto"/>
                <w:highlight w:val="none"/>
                <w:vertAlign w:val="baseline"/>
              </w:rPr>
            </w:pPr>
          </w:p>
        </w:tc>
      </w:tr>
      <w:tr w14:paraId="5778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61E21FB">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标段名称：</w:t>
            </w:r>
          </w:p>
        </w:tc>
        <w:tc>
          <w:tcPr>
            <w:tcW w:w="5404" w:type="dxa"/>
            <w:noWrap w:val="0"/>
            <w:vAlign w:val="top"/>
          </w:tcPr>
          <w:p w14:paraId="61CDA3AA">
            <w:pPr>
              <w:widowControl w:val="0"/>
              <w:rPr>
                <w:color w:val="auto"/>
                <w:highlight w:val="none"/>
                <w:vertAlign w:val="baseline"/>
              </w:rPr>
            </w:pPr>
          </w:p>
        </w:tc>
      </w:tr>
      <w:tr w14:paraId="02FD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0769003">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招标人名称：</w:t>
            </w:r>
          </w:p>
        </w:tc>
        <w:tc>
          <w:tcPr>
            <w:tcW w:w="5404" w:type="dxa"/>
            <w:noWrap w:val="0"/>
            <w:vAlign w:val="top"/>
          </w:tcPr>
          <w:p w14:paraId="7C57CB88">
            <w:pPr>
              <w:widowControl w:val="0"/>
              <w:rPr>
                <w:color w:val="auto"/>
                <w:highlight w:val="none"/>
                <w:vertAlign w:val="baseline"/>
              </w:rPr>
            </w:pPr>
          </w:p>
        </w:tc>
      </w:tr>
      <w:tr w14:paraId="6A81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AFCE3A8">
            <w:pPr>
              <w:widowControl w:val="0"/>
              <w:rPr>
                <w:rFonts w:hint="eastAsia" w:eastAsia="宋体"/>
                <w:color w:val="auto"/>
                <w:highlight w:val="none"/>
                <w:vertAlign w:val="baseline"/>
                <w:lang w:eastAsia="zh-CN"/>
              </w:rPr>
            </w:pPr>
            <w:r>
              <w:rPr>
                <w:rFonts w:hint="eastAsia"/>
                <w:color w:val="auto"/>
                <w:highlight w:val="none"/>
                <w:vertAlign w:val="baseline"/>
              </w:rPr>
              <w:t>招标代理机构名称</w:t>
            </w:r>
            <w:r>
              <w:rPr>
                <w:rFonts w:hint="eastAsia"/>
                <w:color w:val="auto"/>
                <w:highlight w:val="none"/>
                <w:vertAlign w:val="baseline"/>
                <w:lang w:eastAsia="zh-CN"/>
              </w:rPr>
              <w:t>：</w:t>
            </w:r>
          </w:p>
        </w:tc>
        <w:tc>
          <w:tcPr>
            <w:tcW w:w="5404" w:type="dxa"/>
            <w:noWrap w:val="0"/>
            <w:vAlign w:val="top"/>
          </w:tcPr>
          <w:p w14:paraId="4EB582CC">
            <w:pPr>
              <w:widowControl w:val="0"/>
              <w:rPr>
                <w:color w:val="auto"/>
                <w:highlight w:val="none"/>
                <w:vertAlign w:val="baseline"/>
              </w:rPr>
            </w:pPr>
          </w:p>
        </w:tc>
      </w:tr>
      <w:tr w14:paraId="162F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14B4E427">
            <w:pPr>
              <w:widowControl w:val="0"/>
              <w:rPr>
                <w:rFonts w:hint="eastAsia" w:eastAsia="宋体"/>
                <w:color w:val="auto"/>
                <w:highlight w:val="none"/>
                <w:vertAlign w:val="baseline"/>
                <w:lang w:eastAsia="zh-CN"/>
              </w:rPr>
            </w:pPr>
            <w:r>
              <w:rPr>
                <w:rFonts w:hint="eastAsia"/>
                <w:color w:val="auto"/>
                <w:highlight w:val="none"/>
                <w:vertAlign w:val="baseline"/>
              </w:rPr>
              <w:t>投标公司名称</w:t>
            </w:r>
            <w:r>
              <w:rPr>
                <w:rFonts w:hint="eastAsia"/>
                <w:color w:val="auto"/>
                <w:highlight w:val="none"/>
                <w:vertAlign w:val="baseline"/>
                <w:lang w:eastAsia="zh-CN"/>
              </w:rPr>
              <w:t>：</w:t>
            </w:r>
          </w:p>
        </w:tc>
        <w:tc>
          <w:tcPr>
            <w:tcW w:w="5404" w:type="dxa"/>
            <w:noWrap w:val="0"/>
            <w:vAlign w:val="top"/>
          </w:tcPr>
          <w:p w14:paraId="677B1EB1">
            <w:pPr>
              <w:widowControl w:val="0"/>
              <w:rPr>
                <w:color w:val="auto"/>
                <w:highlight w:val="none"/>
                <w:vertAlign w:val="baseline"/>
              </w:rPr>
            </w:pPr>
          </w:p>
        </w:tc>
      </w:tr>
      <w:tr w14:paraId="0C4E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22F8122">
            <w:pPr>
              <w:widowControl w:val="0"/>
              <w:rPr>
                <w:rFonts w:hint="eastAsia" w:eastAsia="宋体"/>
                <w:color w:val="auto"/>
                <w:highlight w:val="none"/>
                <w:vertAlign w:val="baseline"/>
                <w:lang w:eastAsia="zh-CN"/>
              </w:rPr>
            </w:pPr>
            <w:r>
              <w:rPr>
                <w:rFonts w:hint="eastAsia"/>
                <w:color w:val="auto"/>
                <w:highlight w:val="none"/>
                <w:vertAlign w:val="baseline"/>
              </w:rPr>
              <w:t>投标公司统一社会信用代码</w:t>
            </w:r>
            <w:r>
              <w:rPr>
                <w:rFonts w:hint="eastAsia"/>
                <w:color w:val="auto"/>
                <w:highlight w:val="none"/>
                <w:vertAlign w:val="baseline"/>
                <w:lang w:eastAsia="zh-CN"/>
              </w:rPr>
              <w:t>：</w:t>
            </w:r>
          </w:p>
        </w:tc>
        <w:tc>
          <w:tcPr>
            <w:tcW w:w="5404" w:type="dxa"/>
            <w:noWrap w:val="0"/>
            <w:vAlign w:val="top"/>
          </w:tcPr>
          <w:p w14:paraId="25E400ED">
            <w:pPr>
              <w:widowControl w:val="0"/>
              <w:rPr>
                <w:color w:val="auto"/>
                <w:highlight w:val="none"/>
                <w:vertAlign w:val="baseline"/>
              </w:rPr>
            </w:pPr>
          </w:p>
        </w:tc>
      </w:tr>
      <w:tr w14:paraId="1CF9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56DFAFD9">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投标公司法定代表人姓名</w:t>
            </w:r>
            <w:r>
              <w:rPr>
                <w:rFonts w:hint="eastAsia"/>
                <w:color w:val="auto"/>
                <w:highlight w:val="none"/>
                <w:vertAlign w:val="baseline"/>
                <w:lang w:val="en-US" w:eastAsia="zh-CN"/>
              </w:rPr>
              <w:t>:</w:t>
            </w:r>
          </w:p>
        </w:tc>
        <w:tc>
          <w:tcPr>
            <w:tcW w:w="5404" w:type="dxa"/>
            <w:noWrap w:val="0"/>
            <w:vAlign w:val="top"/>
          </w:tcPr>
          <w:p w14:paraId="5F032F3E">
            <w:pPr>
              <w:widowControl w:val="0"/>
              <w:rPr>
                <w:color w:val="auto"/>
                <w:highlight w:val="none"/>
                <w:vertAlign w:val="baseline"/>
              </w:rPr>
            </w:pPr>
          </w:p>
        </w:tc>
      </w:tr>
      <w:tr w14:paraId="13A6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741FC3C">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投标公司法定代表人身份证号</w:t>
            </w:r>
            <w:r>
              <w:rPr>
                <w:rFonts w:hint="eastAsia"/>
                <w:color w:val="auto"/>
                <w:highlight w:val="none"/>
                <w:vertAlign w:val="baseline"/>
                <w:lang w:val="en-US" w:eastAsia="zh-CN"/>
              </w:rPr>
              <w:t>:</w:t>
            </w:r>
          </w:p>
        </w:tc>
        <w:tc>
          <w:tcPr>
            <w:tcW w:w="5404" w:type="dxa"/>
            <w:noWrap w:val="0"/>
            <w:vAlign w:val="top"/>
          </w:tcPr>
          <w:p w14:paraId="3E2B0709">
            <w:pPr>
              <w:widowControl w:val="0"/>
              <w:rPr>
                <w:color w:val="auto"/>
                <w:highlight w:val="none"/>
                <w:vertAlign w:val="baseline"/>
              </w:rPr>
            </w:pPr>
          </w:p>
        </w:tc>
      </w:tr>
      <w:tr w14:paraId="2F1D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0ADC3C2">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投标公司法定代表人手机号码</w:t>
            </w:r>
            <w:r>
              <w:rPr>
                <w:rFonts w:hint="eastAsia"/>
                <w:color w:val="auto"/>
                <w:highlight w:val="none"/>
                <w:vertAlign w:val="baseline"/>
                <w:lang w:val="en-US" w:eastAsia="zh-CN"/>
              </w:rPr>
              <w:t>:</w:t>
            </w:r>
          </w:p>
        </w:tc>
        <w:tc>
          <w:tcPr>
            <w:tcW w:w="5404" w:type="dxa"/>
            <w:noWrap w:val="0"/>
            <w:vAlign w:val="top"/>
          </w:tcPr>
          <w:p w14:paraId="5345FBA3">
            <w:pPr>
              <w:widowControl w:val="0"/>
              <w:rPr>
                <w:color w:val="auto"/>
                <w:highlight w:val="none"/>
                <w:vertAlign w:val="baseline"/>
              </w:rPr>
            </w:pPr>
          </w:p>
        </w:tc>
      </w:tr>
      <w:tr w14:paraId="290C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9A46AC4">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投标公司联系人姓名</w:t>
            </w:r>
            <w:r>
              <w:rPr>
                <w:rFonts w:hint="eastAsia"/>
                <w:color w:val="auto"/>
                <w:highlight w:val="none"/>
                <w:vertAlign w:val="baseline"/>
                <w:lang w:val="en-US" w:eastAsia="zh-CN"/>
              </w:rPr>
              <w:t>:</w:t>
            </w:r>
          </w:p>
        </w:tc>
        <w:tc>
          <w:tcPr>
            <w:tcW w:w="5404" w:type="dxa"/>
            <w:noWrap w:val="0"/>
            <w:vAlign w:val="top"/>
          </w:tcPr>
          <w:p w14:paraId="6A3A88DA">
            <w:pPr>
              <w:widowControl w:val="0"/>
              <w:rPr>
                <w:color w:val="auto"/>
                <w:highlight w:val="none"/>
                <w:vertAlign w:val="baseline"/>
              </w:rPr>
            </w:pPr>
          </w:p>
        </w:tc>
      </w:tr>
      <w:tr w14:paraId="3CB6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B16C651">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投标公司联系人身份证号</w:t>
            </w:r>
            <w:r>
              <w:rPr>
                <w:rFonts w:hint="eastAsia"/>
                <w:color w:val="auto"/>
                <w:highlight w:val="none"/>
                <w:vertAlign w:val="baseline"/>
                <w:lang w:val="en-US" w:eastAsia="zh-CN"/>
              </w:rPr>
              <w:t>:</w:t>
            </w:r>
          </w:p>
        </w:tc>
        <w:tc>
          <w:tcPr>
            <w:tcW w:w="5404" w:type="dxa"/>
            <w:noWrap w:val="0"/>
            <w:vAlign w:val="top"/>
          </w:tcPr>
          <w:p w14:paraId="2D8D58FF">
            <w:pPr>
              <w:widowControl w:val="0"/>
              <w:rPr>
                <w:color w:val="auto"/>
                <w:highlight w:val="none"/>
                <w:vertAlign w:val="baseline"/>
              </w:rPr>
            </w:pPr>
          </w:p>
        </w:tc>
      </w:tr>
      <w:tr w14:paraId="621F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A4E7AAE">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投标公司联系人手机号码</w:t>
            </w:r>
            <w:r>
              <w:rPr>
                <w:rFonts w:hint="eastAsia"/>
                <w:color w:val="auto"/>
                <w:highlight w:val="none"/>
                <w:vertAlign w:val="baseline"/>
                <w:lang w:val="en-US" w:eastAsia="zh-CN"/>
              </w:rPr>
              <w:t>:</w:t>
            </w:r>
          </w:p>
        </w:tc>
        <w:tc>
          <w:tcPr>
            <w:tcW w:w="5404" w:type="dxa"/>
            <w:noWrap w:val="0"/>
            <w:vAlign w:val="top"/>
          </w:tcPr>
          <w:p w14:paraId="0CE1F216">
            <w:pPr>
              <w:widowControl w:val="0"/>
              <w:rPr>
                <w:color w:val="auto"/>
                <w:highlight w:val="none"/>
                <w:vertAlign w:val="baseline"/>
              </w:rPr>
            </w:pPr>
          </w:p>
        </w:tc>
      </w:tr>
      <w:tr w14:paraId="591B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FBCC238">
            <w:pPr>
              <w:widowControl w:val="0"/>
              <w:rPr>
                <w:rFonts w:hint="eastAsia" w:eastAsia="宋体"/>
                <w:color w:val="auto"/>
                <w:highlight w:val="none"/>
                <w:vertAlign w:val="baseline"/>
                <w:lang w:val="en-US" w:eastAsia="zh-CN"/>
              </w:rPr>
            </w:pPr>
            <w:r>
              <w:rPr>
                <w:rFonts w:hint="eastAsia"/>
                <w:color w:val="auto"/>
                <w:highlight w:val="none"/>
                <w:vertAlign w:val="baseline"/>
              </w:rPr>
              <w:t>项目经理姓名</w:t>
            </w:r>
            <w:r>
              <w:rPr>
                <w:rFonts w:hint="eastAsia"/>
                <w:color w:val="auto"/>
                <w:highlight w:val="none"/>
                <w:vertAlign w:val="baseline"/>
                <w:lang w:val="en-US" w:eastAsia="zh-CN"/>
              </w:rPr>
              <w:t>:</w:t>
            </w:r>
          </w:p>
        </w:tc>
        <w:tc>
          <w:tcPr>
            <w:tcW w:w="5404" w:type="dxa"/>
            <w:noWrap w:val="0"/>
            <w:vAlign w:val="top"/>
          </w:tcPr>
          <w:p w14:paraId="48BD8FEF">
            <w:pPr>
              <w:widowControl w:val="0"/>
              <w:rPr>
                <w:color w:val="auto"/>
                <w:highlight w:val="none"/>
                <w:vertAlign w:val="baseline"/>
              </w:rPr>
            </w:pPr>
          </w:p>
        </w:tc>
      </w:tr>
      <w:tr w14:paraId="2164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18FC728">
            <w:pPr>
              <w:widowControl w:val="0"/>
              <w:rPr>
                <w:rFonts w:hint="eastAsia" w:eastAsia="宋体"/>
                <w:color w:val="auto"/>
                <w:highlight w:val="none"/>
                <w:vertAlign w:val="baseline"/>
                <w:lang w:val="en-US" w:eastAsia="zh-CN"/>
              </w:rPr>
            </w:pPr>
            <w:r>
              <w:rPr>
                <w:rFonts w:hint="eastAsia"/>
                <w:color w:val="auto"/>
                <w:highlight w:val="none"/>
                <w:vertAlign w:val="baseline"/>
              </w:rPr>
              <w:t>项目经理身份证号</w:t>
            </w:r>
            <w:r>
              <w:rPr>
                <w:rFonts w:hint="eastAsia"/>
                <w:color w:val="auto"/>
                <w:highlight w:val="none"/>
                <w:vertAlign w:val="baseline"/>
                <w:lang w:val="en-US" w:eastAsia="zh-CN"/>
              </w:rPr>
              <w:t>:</w:t>
            </w:r>
          </w:p>
        </w:tc>
        <w:tc>
          <w:tcPr>
            <w:tcW w:w="5404" w:type="dxa"/>
            <w:noWrap w:val="0"/>
            <w:vAlign w:val="top"/>
          </w:tcPr>
          <w:p w14:paraId="288EF3E9">
            <w:pPr>
              <w:widowControl w:val="0"/>
              <w:rPr>
                <w:color w:val="auto"/>
                <w:highlight w:val="none"/>
                <w:vertAlign w:val="baseline"/>
              </w:rPr>
            </w:pPr>
          </w:p>
        </w:tc>
      </w:tr>
      <w:tr w14:paraId="636E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0F62C8B">
            <w:pPr>
              <w:widowControl w:val="0"/>
              <w:rPr>
                <w:rFonts w:hint="eastAsia" w:eastAsia="宋体"/>
                <w:color w:val="auto"/>
                <w:highlight w:val="none"/>
                <w:vertAlign w:val="baseline"/>
                <w:lang w:val="en-US" w:eastAsia="zh-CN"/>
              </w:rPr>
            </w:pPr>
            <w:r>
              <w:rPr>
                <w:rFonts w:hint="eastAsia"/>
                <w:color w:val="auto"/>
                <w:highlight w:val="none"/>
                <w:vertAlign w:val="baseline"/>
              </w:rPr>
              <w:t>项目经理手机号码</w:t>
            </w:r>
            <w:r>
              <w:rPr>
                <w:rFonts w:hint="eastAsia"/>
                <w:color w:val="auto"/>
                <w:highlight w:val="none"/>
                <w:vertAlign w:val="baseline"/>
                <w:lang w:val="en-US" w:eastAsia="zh-CN"/>
              </w:rPr>
              <w:t>:</w:t>
            </w:r>
          </w:p>
        </w:tc>
        <w:tc>
          <w:tcPr>
            <w:tcW w:w="5404" w:type="dxa"/>
            <w:noWrap w:val="0"/>
            <w:vAlign w:val="top"/>
          </w:tcPr>
          <w:p w14:paraId="7DE335A8">
            <w:pPr>
              <w:widowControl w:val="0"/>
              <w:rPr>
                <w:color w:val="auto"/>
                <w:highlight w:val="none"/>
                <w:vertAlign w:val="baseline"/>
              </w:rPr>
            </w:pPr>
          </w:p>
        </w:tc>
      </w:tr>
      <w:tr w14:paraId="2524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03434A4">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投标保证金形式：</w:t>
            </w:r>
          </w:p>
        </w:tc>
        <w:tc>
          <w:tcPr>
            <w:tcW w:w="5404" w:type="dxa"/>
            <w:noWrap w:val="0"/>
            <w:vAlign w:val="top"/>
          </w:tcPr>
          <w:p w14:paraId="6F56A69F">
            <w:pPr>
              <w:widowControl w:val="0"/>
              <w:rPr>
                <w:color w:val="auto"/>
                <w:highlight w:val="none"/>
                <w:vertAlign w:val="baseline"/>
              </w:rPr>
            </w:pPr>
          </w:p>
        </w:tc>
      </w:tr>
      <w:tr w14:paraId="0215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26E9400">
            <w:pPr>
              <w:widowControl w:val="0"/>
              <w:rPr>
                <w:rFonts w:hint="eastAsia" w:eastAsia="宋体"/>
                <w:color w:val="auto"/>
                <w:highlight w:val="none"/>
                <w:vertAlign w:val="baseline"/>
                <w:lang w:eastAsia="zh-CN"/>
              </w:rPr>
            </w:pPr>
            <w:r>
              <w:rPr>
                <w:rFonts w:hint="eastAsia"/>
                <w:color w:val="auto"/>
                <w:highlight w:val="none"/>
                <w:vertAlign w:val="baseline"/>
              </w:rPr>
              <w:t>缴纳投标保证金</w:t>
            </w:r>
            <w:r>
              <w:rPr>
                <w:rFonts w:hint="eastAsia"/>
                <w:color w:val="auto"/>
                <w:highlight w:val="none"/>
                <w:vertAlign w:val="baseline"/>
                <w:lang w:val="en-US" w:eastAsia="zh-CN"/>
              </w:rPr>
              <w:t>/保函</w:t>
            </w:r>
            <w:r>
              <w:rPr>
                <w:rFonts w:hint="eastAsia"/>
                <w:color w:val="auto"/>
                <w:highlight w:val="none"/>
                <w:vertAlign w:val="baseline"/>
              </w:rPr>
              <w:t>时间</w:t>
            </w:r>
            <w:r>
              <w:rPr>
                <w:rFonts w:hint="eastAsia"/>
                <w:color w:val="auto"/>
                <w:highlight w:val="none"/>
                <w:vertAlign w:val="baseline"/>
                <w:lang w:eastAsia="zh-CN"/>
              </w:rPr>
              <w:t>：</w:t>
            </w:r>
          </w:p>
        </w:tc>
        <w:tc>
          <w:tcPr>
            <w:tcW w:w="5404" w:type="dxa"/>
            <w:noWrap w:val="0"/>
            <w:vAlign w:val="top"/>
          </w:tcPr>
          <w:p w14:paraId="4CF283E7">
            <w:pPr>
              <w:widowControl w:val="0"/>
              <w:rPr>
                <w:color w:val="auto"/>
                <w:highlight w:val="none"/>
                <w:vertAlign w:val="baseline"/>
              </w:rPr>
            </w:pPr>
          </w:p>
        </w:tc>
      </w:tr>
      <w:tr w14:paraId="125D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5821F3D">
            <w:pPr>
              <w:widowControl w:val="0"/>
              <w:rPr>
                <w:rFonts w:hint="eastAsia" w:eastAsia="宋体"/>
                <w:color w:val="auto"/>
                <w:highlight w:val="none"/>
                <w:vertAlign w:val="baseline"/>
                <w:lang w:eastAsia="zh-CN"/>
              </w:rPr>
            </w:pPr>
            <w:r>
              <w:rPr>
                <w:rFonts w:hint="eastAsia"/>
                <w:color w:val="auto"/>
                <w:highlight w:val="none"/>
                <w:vertAlign w:val="baseline"/>
              </w:rPr>
              <w:t>缴纳投标保证金账户</w:t>
            </w:r>
            <w:r>
              <w:rPr>
                <w:rFonts w:hint="eastAsia"/>
                <w:color w:val="auto"/>
                <w:highlight w:val="none"/>
                <w:vertAlign w:val="baseline"/>
                <w:lang w:eastAsia="zh-CN"/>
              </w:rPr>
              <w:t>：</w:t>
            </w:r>
          </w:p>
        </w:tc>
        <w:tc>
          <w:tcPr>
            <w:tcW w:w="5404" w:type="dxa"/>
            <w:noWrap w:val="0"/>
            <w:vAlign w:val="top"/>
          </w:tcPr>
          <w:p w14:paraId="7F730497">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递交保函无需填写此项</w:t>
            </w:r>
          </w:p>
        </w:tc>
      </w:tr>
      <w:tr w14:paraId="1C17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2A507496">
            <w:pPr>
              <w:widowControl w:val="0"/>
              <w:rPr>
                <w:rFonts w:hint="eastAsia"/>
                <w:color w:val="auto"/>
                <w:highlight w:val="none"/>
                <w:vertAlign w:val="baseline"/>
              </w:rPr>
            </w:pPr>
            <w:r>
              <w:rPr>
                <w:rFonts w:hint="eastAsia"/>
                <w:color w:val="auto"/>
                <w:highlight w:val="none"/>
                <w:vertAlign w:val="baseline"/>
              </w:rPr>
              <w:t>缴纳投标保障金账户开户行</w:t>
            </w:r>
          </w:p>
        </w:tc>
        <w:tc>
          <w:tcPr>
            <w:tcW w:w="5404" w:type="dxa"/>
            <w:noWrap w:val="0"/>
            <w:vAlign w:val="top"/>
          </w:tcPr>
          <w:p w14:paraId="1F54A99B">
            <w:pPr>
              <w:widowControl w:val="0"/>
              <w:rPr>
                <w:color w:val="auto"/>
                <w:highlight w:val="none"/>
                <w:vertAlign w:val="baseline"/>
              </w:rPr>
            </w:pPr>
            <w:r>
              <w:rPr>
                <w:rFonts w:hint="eastAsia"/>
                <w:color w:val="auto"/>
                <w:highlight w:val="none"/>
                <w:vertAlign w:val="baseline"/>
                <w:lang w:val="en-US" w:eastAsia="zh-CN"/>
              </w:rPr>
              <w:t>递交保函无需填写此项</w:t>
            </w:r>
          </w:p>
        </w:tc>
      </w:tr>
    </w:tbl>
    <w:p w14:paraId="4938EBCF">
      <w:pPr>
        <w:numPr>
          <w:ilvl w:val="0"/>
          <w:numId w:val="0"/>
        </w:numPr>
        <w:spacing w:before="87" w:line="225" w:lineRule="auto"/>
        <w:rPr>
          <w:rFonts w:ascii="黑体" w:hAnsi="黑体" w:eastAsia="黑体" w:cs="黑体"/>
          <w:color w:val="auto"/>
          <w:spacing w:val="6"/>
          <w:sz w:val="27"/>
          <w:szCs w:val="27"/>
          <w:highlight w:val="none"/>
        </w:rPr>
      </w:pPr>
    </w:p>
    <w:sectPr>
      <w:footerReference r:id="rId253" w:type="default"/>
      <w:pgSz w:w="11905" w:h="16839"/>
      <w:pgMar w:top="400" w:right="1785" w:bottom="1004" w:left="1785" w:header="0" w:footer="8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0DBD5">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A2DA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14:paraId="6CBA2DAE">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25A9B">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D1301">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14:paraId="0AAD1301">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19AF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A6E4A">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14:paraId="4FAA6E4A">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A6D2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D56E3">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LXg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Hmdkq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z4teDUCAABnBAAADgAAAAAAAAABACAAAAAfAQAAZHJzL2Uyb0RvYy54bWxQ&#10;SwUGAAAAAAYABgBZAQAAxgUAAAAA&#10;">
              <v:fill on="f" focussize="0,0"/>
              <v:stroke on="f" weight="0.5pt"/>
              <v:imagedata o:title=""/>
              <o:lock v:ext="edit" aspectratio="f"/>
              <v:textbox inset="0mm,0mm,0mm,0mm" style="mso-fit-shape-to-text:t;">
                <w:txbxContent>
                  <w:p w14:paraId="697D56E3">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27CE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B24E8">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TcqY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QTcqY2AgAAZwQAAA4AAAAAAAAAAQAgAAAAHwEAAGRycy9lMm9Eb2MueG1s&#10;UEsFBgAAAAAGAAYAWQEAAMcFAAAAAA==&#10;">
              <v:fill on="f" focussize="0,0"/>
              <v:stroke on="f" weight="0.5pt"/>
              <v:imagedata o:title=""/>
              <o:lock v:ext="edit" aspectratio="f"/>
              <v:textbox inset="0mm,0mm,0mm,0mm" style="mso-fit-shape-to-text:t;">
                <w:txbxContent>
                  <w:p w14:paraId="3ECB24E8">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C607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8" name="文本框 1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9C8F3">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tMJQ0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rTCUNAIAAGcEAAAOAAAAAAAAAAEAIAAAAB8BAABkcnMvZTJvRG9jLnhtbFBL&#10;BQYAAAAABgAGAFkBAADFBQAAAAA=&#10;">
              <v:fill on="f" focussize="0,0"/>
              <v:stroke on="f" weight="0.5pt"/>
              <v:imagedata o:title=""/>
              <o:lock v:ext="edit" aspectratio="f"/>
              <v:textbox inset="0mm,0mm,0mm,0mm" style="mso-fit-shape-to-text:t;">
                <w:txbxContent>
                  <w:p w14:paraId="44F9C8F3">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B40B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9" name="文本框 1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47622">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Ab0o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CAb0o2AgAAZwQAAA4AAAAAAAAAAQAgAAAAHwEAAGRycy9lMm9Eb2MueG1s&#10;UEsFBgAAAAAGAAYAWQEAAMcFAAAAAA==&#10;">
              <v:fill on="f" focussize="0,0"/>
              <v:stroke on="f" weight="0.5pt"/>
              <v:imagedata o:title=""/>
              <o:lock v:ext="edit" aspectratio="f"/>
              <v:textbox inset="0mm,0mm,0mm,0mm" style="mso-fit-shape-to-text:t;">
                <w:txbxContent>
                  <w:p w14:paraId="65F47622">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1C54">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3DADF">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rYc0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ClI0U3jz84/v&#10;55+/z7++kVYLkmrr5/B9tPAOzTvTICCSF/Ueyth7UzgVv+iKwA6004Vi0QTCY9BsMpulMHHYhgtw&#10;kmu4dT68F0aRKGTU4Q1batlx60PnOrjEbNpsKimhZ3OpSZ3R6c3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62HNAIAAGcEAAAOAAAAAAAAAAEAIAAAAB8BAABkcnMvZTJvRG9jLnhtbFBL&#10;BQYAAAAABgAGAFkBAADFBQAAAAA=&#10;">
              <v:fill on="f" focussize="0,0"/>
              <v:stroke on="f" weight="0.5pt"/>
              <v:imagedata o:title=""/>
              <o:lock v:ext="edit" aspectratio="f"/>
              <v:textbox inset="0mm,0mm,0mm,0mm" style="mso-fit-shape-to-text:t;">
                <w:txbxContent>
                  <w:p w14:paraId="34C3DADF">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C44FB">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5B27D">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8lk0AgAAZwQAAA4AAABkcnMvZTJvRG9jLnhtbK1UzY7TMBC+I/EO&#10;lu80aVdU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NuFmOqZEM4WZn398&#10;P//8ff71jbRakFRbP4fvo4V3aN6ZBgGRvKj3UMbem8Kp+EVXBHZQfLpQLJpAeAyaTWazFCYO23AB&#10;TnINt86H98IoEoWMOsywpZYdtz50roNLzKbNppISejaXmtQZnd68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0vJZNAIAAGcEAAAOAAAAAAAAAAEAIAAAAB8BAABkcnMvZTJvRG9jLnhtbFBL&#10;BQYAAAAABgAGAFkBAADFBQAAAAA=&#10;">
              <v:fill on="f" focussize="0,0"/>
              <v:stroke on="f" weight="0.5pt"/>
              <v:imagedata o:title=""/>
              <o:lock v:ext="edit" aspectratio="f"/>
              <v:textbox inset="0mm,0mm,0mm,0mm" style="mso-fit-shape-to-text:t;">
                <w:txbxContent>
                  <w:p w14:paraId="6465B27D">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6608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60493">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jYu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Ni4DUCAABnBAAADgAAAAAAAAABACAAAAAfAQAAZHJzL2Uyb0RvYy54bWxQ&#10;SwUGAAAAAAYABgBZAQAAxgUAAAAA&#10;">
              <v:fill on="f" focussize="0,0"/>
              <v:stroke on="f" weight="0.5pt"/>
              <v:imagedata o:title=""/>
              <o:lock v:ext="edit" aspectratio="f"/>
              <v:textbox inset="0mm,0mm,0mm,0mm" style="mso-fit-shape-to-text:t;">
                <w:txbxContent>
                  <w:p w14:paraId="39560493">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6BE7">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3965B">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OPT4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ij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jj0+NAIAAGcEAAAOAAAAAAAAAAEAIAAAAB8BAABkcnMvZTJvRG9jLnhtbFBL&#10;BQYAAAAABgAGAFkBAADFBQAAAAA=&#10;">
              <v:fill on="f" focussize="0,0"/>
              <v:stroke on="f" weight="0.5pt"/>
              <v:imagedata o:title=""/>
              <o:lock v:ext="edit" aspectratio="f"/>
              <v:textbox inset="0mm,0mm,0mm,0mm" style="mso-fit-shape-to-text:t;">
                <w:txbxContent>
                  <w:p w14:paraId="15F3965B">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2190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274E1">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HM0g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r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czSDUCAABnBAAADgAAAAAAAAABACAAAAAfAQAAZHJzL2Uyb0RvYy54bWxQ&#10;SwUGAAAAAAYABgBZAQAAxgUAAAAA&#10;">
              <v:fill on="f" focussize="0,0"/>
              <v:stroke on="f" weight="0.5pt"/>
              <v:imagedata o:title=""/>
              <o:lock v:ext="edit" aspectratio="f"/>
              <v:textbox inset="0mm,0mm,0mm,0mm" style="mso-fit-shape-to-text:t;">
                <w:txbxContent>
                  <w:p w14:paraId="0E5274E1">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844CF">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C80A5">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14:paraId="304C80A5">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EA3F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58D68">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bJY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Fmeku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2psljUCAABnBAAADgAAAAAAAAABACAAAAAfAQAAZHJzL2Uyb0RvYy54bWxQ&#10;SwUGAAAAAAYABgBZAQAAxgUAAAAA&#10;">
              <v:fill on="f" focussize="0,0"/>
              <v:stroke on="f" weight="0.5pt"/>
              <v:imagedata o:title=""/>
              <o:lock v:ext="edit" aspectratio="f"/>
              <v:textbox inset="0mm,0mm,0mm,0mm" style="mso-fit-shape-to-text:t;">
                <w:txbxContent>
                  <w:p w14:paraId="0E058D68">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68EB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 name="文本框 1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D8EA2">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b/C8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xv8LzUCAABnBAAADgAAAAAAAAABACAAAAAfAQAAZHJzL2Uyb0RvYy54bWxQ&#10;SwUGAAAAAAYABgBZAQAAxgUAAAAA&#10;">
              <v:fill on="f" focussize="0,0"/>
              <v:stroke on="f" weight="0.5pt"/>
              <v:imagedata o:title=""/>
              <o:lock v:ext="edit" aspectratio="f"/>
              <v:textbox inset="0mm,0mm,0mm,0mm" style="mso-fit-shape-to-text:t;">
                <w:txbxContent>
                  <w:p w14:paraId="6A9D8EA2">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988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0B861">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2o/E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Daj8TUCAABnBAAADgAAAAAAAAABACAAAAAfAQAAZHJzL2Uyb0RvYy54bWxQ&#10;SwUGAAAAAAYABgBZAQAAxgUAAAAA&#10;">
              <v:fill on="f" focussize="0,0"/>
              <v:stroke on="f" weight="0.5pt"/>
              <v:imagedata o:title=""/>
              <o:lock v:ext="edit" aspectratio="f"/>
              <v:textbox inset="0mm,0mm,0mm,0mm" style="mso-fit-shape-to-text:t;">
                <w:txbxContent>
                  <w:p w14:paraId="3850B861">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6AED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1D91D">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4cM0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Qk3U3ReM4Wen398&#10;P//8ff71jbRakFRbP4fvo4V3aN6ZBgGRvKj3UMbam8Kp+EVVBHZQfLpQLJpAeAyaTWazFCYO23AB&#10;TnINt86H98IoEoWMOvSwpZYdtz50roNLzKbNppISejaXmtQZnd68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iOHDNAIAAGcEAAAOAAAAAAAAAAEAIAAAAB8BAABkcnMvZTJvRG9jLnhtbFBL&#10;BQYAAAAABgAGAFkBAADFBQAAAAA=&#10;">
              <v:fill on="f" focussize="0,0"/>
              <v:stroke on="f" weight="0.5pt"/>
              <v:imagedata o:title=""/>
              <o:lock v:ext="edit" aspectratio="f"/>
              <v:textbox inset="0mm,0mm,0mm,0mm" style="mso-fit-shape-to-text:t;">
                <w:txbxContent>
                  <w:p w14:paraId="0AE1D91D">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28A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9" name="文本框 1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9962B">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lvh0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KW+HTUCAABnBAAADgAAAAAAAAABACAAAAAfAQAAZHJzL2Uyb0RvYy54bWxQ&#10;SwUGAAAAAAYABgBZAQAAxgUAAAAA&#10;">
              <v:fill on="f" focussize="0,0"/>
              <v:stroke on="f" weight="0.5pt"/>
              <v:imagedata o:title=""/>
              <o:lock v:ext="edit" aspectratio="f"/>
              <v:textbox inset="0mm,0mm,0mm,0mm" style="mso-fit-shape-to-text:t;">
                <w:txbxContent>
                  <w:p w14:paraId="4F49962B">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7AA0A">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20BBB">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zQM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4c0DNAIAAGcEAAAOAAAAAAAAAAEAIAAAAB8BAABkcnMvZTJvRG9jLnhtbFBL&#10;BQYAAAAABgAGAFkBAADFBQAAAAA=&#10;">
              <v:fill on="f" focussize="0,0"/>
              <v:stroke on="f" weight="0.5pt"/>
              <v:imagedata o:title=""/>
              <o:lock v:ext="edit" aspectratio="f"/>
              <v:textbox inset="0mm,0mm,0mm,0mm" style="mso-fit-shape-to-text:t;">
                <w:txbxContent>
                  <w:p w14:paraId="41520BBB">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467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1" name="文本框 1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F4479">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Mkt00AgAAZwQAAA4AAABkcnMvZTJvRG9jLnhtbK1UzY7TMBC+I/EO&#10;lu80aVcs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zJLdNAIAAGcEAAAOAAAAAAAAAAEAIAAAAB8BAABkcnMvZTJvRG9jLnhtbFBL&#10;BQYAAAAABgAGAFkBAADFBQAAAAA=&#10;">
              <v:fill on="f" focussize="0,0"/>
              <v:stroke on="f" weight="0.5pt"/>
              <v:imagedata o:title=""/>
              <o:lock v:ext="edit" aspectratio="f"/>
              <v:textbox inset="0mm,0mm,0mm,0mm" style="mso-fit-shape-to-text:t;">
                <w:txbxContent>
                  <w:p w14:paraId="1FCF4479">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165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2" name="文本框 1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9F40F">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9AmQ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0CZDUCAABnBAAADgAAAAAAAAABACAAAAAfAQAAZHJzL2Uyb0RvYy54bWxQ&#10;SwUGAAAAAAYABgBZAQAAxgUAAAAA&#10;">
              <v:fill on="f" focussize="0,0"/>
              <v:stroke on="f" weight="0.5pt"/>
              <v:imagedata o:title=""/>
              <o:lock v:ext="edit" aspectratio="f"/>
              <v:textbox inset="0mm,0mm,0mm,0mm" style="mso-fit-shape-to-text:t;">
                <w:txbxContent>
                  <w:p w14:paraId="4449F40F">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1538">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3" name="文本框 1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2575C">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Xbo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ZBdujUCAABnBAAADgAAAAAAAAABACAAAAAfAQAAZHJzL2Uyb0RvYy54bWxQ&#10;SwUGAAAAAAYABgBZAQAAxgUAAAAA&#10;">
              <v:fill on="f" focussize="0,0"/>
              <v:stroke on="f" weight="0.5pt"/>
              <v:imagedata o:title=""/>
              <o:lock v:ext="edit" aspectratio="f"/>
              <v:textbox inset="0mm,0mm,0mm,0mm" style="mso-fit-shape-to-text:t;">
                <w:txbxContent>
                  <w:p w14:paraId="1272575C">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95C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AA89F">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ZU8w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ZU8w2AgAAZwQAAA4AAAAAAAAAAQAgAAAAHwEAAGRycy9lMm9Eb2MueG1s&#10;UEsFBgAAAAAGAAYAWQEAAMcFAAAAAA==&#10;">
              <v:fill on="f" focussize="0,0"/>
              <v:stroke on="f" weight="0.5pt"/>
              <v:imagedata o:title=""/>
              <o:lock v:ext="edit" aspectratio="f"/>
              <v:textbox inset="0mm,0mm,0mm,0mm" style="mso-fit-shape-to-text:t;">
                <w:txbxContent>
                  <w:p w14:paraId="156AA89F">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E4C2E">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E8A14">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14:paraId="293E8A14">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5BDD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C3F4E">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0DBI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0DBI2AgAAZwQAAA4AAAAAAAAAAQAgAAAAHwEAAGRycy9lMm9Eb2MueG1s&#10;UEsFBgAAAAAGAAYAWQEAAMcFAAAAAA==&#10;">
              <v:fill on="f" focussize="0,0"/>
              <v:stroke on="f" weight="0.5pt"/>
              <v:imagedata o:title=""/>
              <o:lock v:ext="edit" aspectratio="f"/>
              <v:textbox inset="0mm,0mm,0mm,0mm" style="mso-fit-shape-to-text:t;">
                <w:txbxContent>
                  <w:p w14:paraId="1A3C3F4E">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354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6" name="文本框 1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0EC5C">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FnKs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AWcqzUCAABnBAAADgAAAAAAAAABACAAAAAfAQAAZHJzL2Uyb0RvYy54bWxQ&#10;SwUGAAAAAAYABgBZAQAAxgUAAAAA&#10;">
              <v:fill on="f" focussize="0,0"/>
              <v:stroke on="f" weight="0.5pt"/>
              <v:imagedata o:title=""/>
              <o:lock v:ext="edit" aspectratio="f"/>
              <v:textbox inset="0mm,0mm,0mm,0mm" style="mso-fit-shape-to-text:t;">
                <w:txbxContent>
                  <w:p w14:paraId="62E0EC5C">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01E3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7" name="文本框 1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AEFCA">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w3U2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ow3U2AgAAZwQAAA4AAAAAAAAAAQAgAAAAHwEAAGRycy9lMm9Eb2MueG1s&#10;UEsFBgAAAAAGAAYAWQEAAMcFAAAAAA==&#10;">
              <v:fill on="f" focussize="0,0"/>
              <v:stroke on="f" weight="0.5pt"/>
              <v:imagedata o:title=""/>
              <o:lock v:ext="edit" aspectratio="f"/>
              <v:textbox inset="0mm,0mm,0mm,0mm" style="mso-fit-shape-to-text:t;">
                <w:txbxContent>
                  <w:p w14:paraId="63AAEFCA">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6052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8" name="文本框 1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0088E">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WgUc0AgAAZwQAAA4AAABkcnMvZTJvRG9jLnhtbK1UzY7TMBC+I/EO&#10;lu80aVcs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loFHNAIAAGcEAAAOAAAAAAAAAAEAIAAAAB8BAABkcnMvZTJvRG9jLnhtbFBL&#10;BQYAAAAABgAGAFkBAADFBQAAAAA=&#10;">
              <v:fill on="f" focussize="0,0"/>
              <v:stroke on="f" weight="0.5pt"/>
              <v:imagedata o:title=""/>
              <o:lock v:ext="edit" aspectratio="f"/>
              <v:textbox inset="0mm,0mm,0mm,0mm" style="mso-fit-shape-to-text:t;">
                <w:txbxContent>
                  <w:p w14:paraId="5170088E">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6EEB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9" name="文本框 1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02CA6">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3pk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73pk2AgAAZwQAAA4AAAAAAAAAAQAgAAAAHwEAAGRycy9lMm9Eb2MueG1s&#10;UEsFBgAAAAAGAAYAWQEAAMcFAAAAAA==&#10;">
              <v:fill on="f" focussize="0,0"/>
              <v:stroke on="f" weight="0.5pt"/>
              <v:imagedata o:title=""/>
              <o:lock v:ext="edit" aspectratio="f"/>
              <v:textbox inset="0mm,0mm,0mm,0mm" style="mso-fit-shape-to-text:t;">
                <w:txbxContent>
                  <w:p w14:paraId="27002CA6">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B673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EAF34">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KdA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ynQNAIAAGcEAAAOAAAAAAAAAAEAIAAAAB8BAABkcnMvZTJvRG9jLnhtbFBL&#10;BQYAAAAABgAGAFkBAADFBQAAAAA=&#10;">
              <v:fill on="f" focussize="0,0"/>
              <v:stroke on="f" weight="0.5pt"/>
              <v:imagedata o:title=""/>
              <o:lock v:ext="edit" aspectratio="f"/>
              <v:textbox inset="0mm,0mm,0mm,0mm" style="mso-fit-shape-to-text:t;">
                <w:txbxContent>
                  <w:p w14:paraId="2BEEAF34">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EB6B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1" name="文本框 1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964C3">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6dg4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O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nYONAIAAGcEAAAOAAAAAAAAAAEAIAAAAB8BAABkcnMvZTJvRG9jLnhtbFBL&#10;BQYAAAAABgAGAFkBAADFBQAAAAA=&#10;">
              <v:fill on="f" focussize="0,0"/>
              <v:stroke on="f" weight="0.5pt"/>
              <v:imagedata o:title=""/>
              <o:lock v:ext="edit" aspectratio="f"/>
              <v:textbox inset="0mm,0mm,0mm,0mm" style="mso-fit-shape-to-text:t;">
                <w:txbxContent>
                  <w:p w14:paraId="45A964C3">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10F4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2" name="文本框 1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5D684">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L5rc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O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wvmtzUCAABnBAAADgAAAAAAAAABACAAAAAfAQAAZHJzL2Uyb0RvYy54bWxQ&#10;SwUGAAAAAAYABgBZAQAAxgUAAAAA&#10;">
              <v:fill on="f" focussize="0,0"/>
              <v:stroke on="f" weight="0.5pt"/>
              <v:imagedata o:title=""/>
              <o:lock v:ext="edit" aspectratio="f"/>
              <v:textbox inset="0mm,0mm,0mm,0mm" style="mso-fit-shape-to-text:t;">
                <w:txbxContent>
                  <w:p w14:paraId="2705D684">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9D4B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66D8B">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uWk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N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a5aTUCAABnBAAADgAAAAAAAAABACAAAAAfAQAAZHJzL2Uyb0RvYy54bWxQ&#10;SwUGAAAAAAYABgBZAQAAxgUAAAAA&#10;">
              <v:fill on="f" focussize="0,0"/>
              <v:stroke on="f" weight="0.5pt"/>
              <v:imagedata o:title=""/>
              <o:lock v:ext="edit" aspectratio="f"/>
              <v:textbox inset="0mm,0mm,0mm,0mm" style="mso-fit-shape-to-text:t;">
                <w:txbxContent>
                  <w:p w14:paraId="7F266D8B">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4670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A5ED5">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vtx8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3HzUCAABnBAAADgAAAAAAAAABACAAAAAfAQAAZHJzL2Uyb0RvYy54bWxQ&#10;SwUGAAAAAAYABgBZAQAAxgUAAAAA&#10;">
              <v:fill on="f" focussize="0,0"/>
              <v:stroke on="f" weight="0.5pt"/>
              <v:imagedata o:title=""/>
              <o:lock v:ext="edit" aspectratio="f"/>
              <v:textbox inset="0mm,0mm,0mm,0mm" style="mso-fit-shape-to-text:t;">
                <w:txbxContent>
                  <w:p w14:paraId="429A5ED5">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0A402">
    <w:pPr>
      <w:spacing w:line="176" w:lineRule="auto"/>
      <w:ind w:left="41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1" name="文本框 1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EA97F">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Rwn0z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ERwn0zAgAAZwQAAA4AAAAAAAAAAQAgAAAAHwEAAGRycy9lMm9Eb2MueG1sUEsF&#10;BgAAAAAGAAYAWQEAAMQFAAAAAA==&#10;">
              <v:fill on="f" focussize="0,0"/>
              <v:stroke on="f" weight="0.5pt"/>
              <v:imagedata o:title=""/>
              <o:lock v:ext="edit" aspectratio="f"/>
              <v:textbox inset="0mm,0mm,0mm,0mm" style="mso-fit-shape-to-text:t;">
                <w:txbxContent>
                  <w:p w14:paraId="33AEA97F">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200E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32E9F">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C6ME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e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LowTUCAABnBAAADgAAAAAAAAABACAAAAAfAQAAZHJzL2Uyb0RvYy54bWxQ&#10;SwUGAAAAAAYABgBZAQAAxgUAAAAA&#10;">
              <v:fill on="f" focussize="0,0"/>
              <v:stroke on="f" weight="0.5pt"/>
              <v:imagedata o:title=""/>
              <o:lock v:ext="edit" aspectratio="f"/>
              <v:textbox inset="0mm,0mm,0mm,0mm" style="mso-fit-shape-to-text:t;">
                <w:txbxContent>
                  <w:p w14:paraId="77432E9F">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17B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 name="文本框 13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ED214">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eH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N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bN4eDUCAABnBAAADgAAAAAAAAABACAAAAAfAQAAZHJzL2Uyb0RvYy54bWxQ&#10;SwUGAAAAAAYABgBZAQAAxgUAAAAA&#10;">
              <v:fill on="f" focussize="0,0"/>
              <v:stroke on="f" weight="0.5pt"/>
              <v:imagedata o:title=""/>
              <o:lock v:ext="edit" aspectratio="f"/>
              <v:textbox inset="0mm,0mm,0mm,0mm" style="mso-fit-shape-to-text:t;">
                <w:txbxContent>
                  <w:p w14:paraId="3C0ED214">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38B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ED6DC">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eJ6Y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p4npjUCAABnBAAADgAAAAAAAAABACAAAAAfAQAAZHJzL2Uyb0RvYy54bWxQ&#10;SwUGAAAAAAYABgBZAQAAxgUAAAAA&#10;">
              <v:fill on="f" focussize="0,0"/>
              <v:stroke on="f" weight="0.5pt"/>
              <v:imagedata o:title=""/>
              <o:lock v:ext="edit" aspectratio="f"/>
              <v:textbox inset="0mm,0mm,0mm,0mm" style="mso-fit-shape-to-text:t;">
                <w:txbxContent>
                  <w:p w14:paraId="7A9ED6DC">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F1DF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8" name="文本框 1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B8915">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gZZQ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U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IGWUNAIAAGcEAAAOAAAAAAAAAAEAIAAAAB8BAABkcnMvZTJvRG9jLnhtbFBL&#10;BQYAAAAABgAGAFkBAADFBQAAAAA=&#10;">
              <v:fill on="f" focussize="0,0"/>
              <v:stroke on="f" weight="0.5pt"/>
              <v:imagedata o:title=""/>
              <o:lock v:ext="edit" aspectratio="f"/>
              <v:textbox inset="0mm,0mm,0mm,0mm" style="mso-fit-shape-to-text:t;">
                <w:txbxContent>
                  <w:p w14:paraId="6E8B8915">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967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9" name="文本框 1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D7DDA">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NOko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06SjUCAABnBAAADgAAAAAAAAABACAAAAAfAQAAZHJzL2Uyb0RvYy54bWxQ&#10;SwUGAAAAAAYABgBZAQAAxgUAAAAA&#10;">
              <v:fill on="f" focussize="0,0"/>
              <v:stroke on="f" weight="0.5pt"/>
              <v:imagedata o:title=""/>
              <o:lock v:ext="edit" aspectratio="f"/>
              <v:textbox inset="0mm,0mm,0mm,0mm" style="mso-fit-shape-to-text:t;">
                <w:txbxContent>
                  <w:p w14:paraId="596D7DDA">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C3286">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0" name="文本框 1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F59CA">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JSVQ0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UlUNAIAAGcEAAAOAAAAAAAAAAEAIAAAAB8BAABkcnMvZTJvRG9jLnhtbFBL&#10;BQYAAAAABgAGAFkBAADFBQAAAAA=&#10;">
              <v:fill on="f" focussize="0,0"/>
              <v:stroke on="f" weight="0.5pt"/>
              <v:imagedata o:title=""/>
              <o:lock v:ext="edit" aspectratio="f"/>
              <v:textbox inset="0mm,0mm,0mm,0mm" style="mso-fit-shape-to-text:t;">
                <w:txbxContent>
                  <w:p w14:paraId="49EF59CA">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4F71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EA757">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kFoo0AgAAZwQAAA4AAABkcnMvZTJvRG9jLnhtbK1UzY7TMBC+I/EO&#10;lu80aVesSt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ZBaKNAIAAGcEAAAOAAAAAAAAAAEAIAAAAB8BAABkcnMvZTJvRG9jLnhtbFBL&#10;BQYAAAAABgAGAFkBAADFBQAAAAA=&#10;">
              <v:fill on="f" focussize="0,0"/>
              <v:stroke on="f" weight="0.5pt"/>
              <v:imagedata o:title=""/>
              <o:lock v:ext="edit" aspectratio="f"/>
              <v:textbox inset="0mm,0mm,0mm,0mm" style="mso-fit-shape-to-text:t;">
                <w:txbxContent>
                  <w:p w14:paraId="0F8EA757">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EDA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2"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1E33E">
                          <w:pPr>
                            <w:pStyle w:val="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VhjM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BWGMzUCAABnBAAADgAAAAAAAAABACAAAAAfAQAAZHJzL2Uyb0RvYy54bWxQ&#10;SwUGAAAAAAYABgBZAQAAxgUAAAAA&#10;">
              <v:fill on="f" focussize="0,0"/>
              <v:stroke on="f" weight="0.5pt"/>
              <v:imagedata o:title=""/>
              <o:lock v:ext="edit" aspectratio="f"/>
              <v:textbox inset="0mm,0mm,0mm,0mm" style="mso-fit-shape-to-text:t;">
                <w:txbxContent>
                  <w:p w14:paraId="5201E33E">
                    <w:pPr>
                      <w:pStyle w:val="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4EE3A">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 name="文本框 1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943EC">
                          <w:pPr>
                            <w:pStyle w:val="4"/>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42e0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zjZ7TUCAABnBAAADgAAAAAAAAABACAAAAAfAQAAZHJzL2Uyb0RvYy54bWxQ&#10;SwUGAAAAAAYABgBZAQAAxgUAAAAA&#10;">
              <v:fill on="f" focussize="0,0"/>
              <v:stroke on="f" weight="0.5pt"/>
              <v:imagedata o:title=""/>
              <o:lock v:ext="edit" aspectratio="f"/>
              <v:textbox inset="0mm,0mm,0mm,0mm" style="mso-fit-shape-to-text:t;">
                <w:txbxContent>
                  <w:p w14:paraId="143943EC">
                    <w:pPr>
                      <w:pStyle w:val="4"/>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F8A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4" name="文本框 1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E5246">
                          <w:pPr>
                            <w:pStyle w:val="4"/>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x15s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Hx15s2AgAAZwQAAA4AAAAAAAAAAQAgAAAAHwEAAGRycy9lMm9Eb2MueG1s&#10;UEsFBgAAAAAGAAYAWQEAAMcFAAAAAA==&#10;">
              <v:fill on="f" focussize="0,0"/>
              <v:stroke on="f" weight="0.5pt"/>
              <v:imagedata o:title=""/>
              <o:lock v:ext="edit" aspectratio="f"/>
              <v:textbox inset="0mm,0mm,0mm,0mm" style="mso-fit-shape-to-text:t;">
                <w:txbxContent>
                  <w:p w14:paraId="4B2E5246">
                    <w:pPr>
                      <w:pStyle w:val="4"/>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D931E">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2" name="文本框 1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D6231">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UsQ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Q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YFLENAIAAGcEAAAOAAAAAAAAAAEAIAAAAB8BAABkcnMvZTJvRG9jLnhtbFBL&#10;BQYAAAAABgAGAFkBAADFBQAAAAA=&#10;">
              <v:fill on="f" focussize="0,0"/>
              <v:stroke on="f" weight="0.5pt"/>
              <v:imagedata o:title=""/>
              <o:lock v:ext="edit" aspectratio="f"/>
              <v:textbox inset="0mm,0mm,0mm,0mm" style="mso-fit-shape-to-text:t;">
                <w:txbxContent>
                  <w:p w14:paraId="047D6231">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2889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62662">
                          <w:pPr>
                            <w:pStyle w:val="4"/>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ciEU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LciEU2AgAAZwQAAA4AAAAAAAAAAQAgAAAAHwEAAGRycy9lMm9Eb2MueG1s&#10;UEsFBgAAAAAGAAYAWQEAAMcFAAAAAA==&#10;">
              <v:fill on="f" focussize="0,0"/>
              <v:stroke on="f" weight="0.5pt"/>
              <v:imagedata o:title=""/>
              <o:lock v:ext="edit" aspectratio="f"/>
              <v:textbox inset="0mm,0mm,0mm,0mm" style="mso-fit-shape-to-text:t;">
                <w:txbxContent>
                  <w:p w14:paraId="2DF62662">
                    <w:pPr>
                      <w:pStyle w:val="4"/>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3A43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209F1">
                          <w:pPr>
                            <w:pStyle w:val="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tGPw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q0Y/DUCAABnBAAADgAAAAAAAAABACAAAAAfAQAAZHJzL2Uyb0RvYy54bWxQ&#10;SwUGAAAAAAYABgBZAQAAxgUAAAAA&#10;">
              <v:fill on="f" focussize="0,0"/>
              <v:stroke on="f" weight="0.5pt"/>
              <v:imagedata o:title=""/>
              <o:lock v:ext="edit" aspectratio="f"/>
              <v:textbox inset="0mm,0mm,0mm,0mm" style="mso-fit-shape-to-text:t;">
                <w:txbxContent>
                  <w:p w14:paraId="196209F1">
                    <w:pPr>
                      <w:pStyle w:val="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A639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4B824">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ARyI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4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WARyI2AgAAZwQAAA4AAAAAAAAAAQAgAAAAHwEAAGRycy9lMm9Eb2MueG1s&#10;UEsFBgAAAAAGAAYAWQEAAMcFAAAAAA==&#10;">
              <v:fill on="f" focussize="0,0"/>
              <v:stroke on="f" weight="0.5pt"/>
              <v:imagedata o:title=""/>
              <o:lock v:ext="edit" aspectratio="f"/>
              <v:textbox inset="0mm,0mm,0mm,0mm" style="mso-fit-shape-to-text:t;">
                <w:txbxContent>
                  <w:p w14:paraId="4284B824">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F9CF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A743F">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BRA0AgAAZwQAAA4AAABkcnMvZTJvRG9jLnhtbK1UzY7TMBC+I/EO&#10;lu80aVesSt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PgUQNAIAAGcEAAAOAAAAAAAAAAEAIAAAAB8BAABkcnMvZTJvRG9jLnhtbFBL&#10;BQYAAAAABgAGAFkBAADFBQAAAAA=&#10;">
              <v:fill on="f" focussize="0,0"/>
              <v:stroke on="f" weight="0.5pt"/>
              <v:imagedata o:title=""/>
              <o:lock v:ext="edit" aspectratio="f"/>
              <v:textbox inset="0mm,0mm,0mm,0mm" style="mso-fit-shape-to-text:t;">
                <w:txbxContent>
                  <w:p w14:paraId="679A743F">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C62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9" name="文本框 1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92108">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TWs42AgAAZwQAAA4AAABkcnMvZTJvRG9jLnhtbK1UzY7TMBC+I/EO&#10;lu80aVesu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ETWs42AgAAZwQAAA4AAAAAAAAAAQAgAAAAHwEAAGRycy9lMm9Eb2MueG1s&#10;UEsFBgAAAAAGAAYAWQEAAMcFAAAAAA==&#10;">
              <v:fill on="f" focussize="0,0"/>
              <v:stroke on="f" weight="0.5pt"/>
              <v:imagedata o:title=""/>
              <o:lock v:ext="edit" aspectratio="f"/>
              <v:textbox inset="0mm,0mm,0mm,0mm" style="mso-fit-shape-to-text:t;">
                <w:txbxContent>
                  <w:p w14:paraId="7B592108">
                    <w:pPr>
                      <w:pStyle w:val="4"/>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12DB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29A0D">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ndQz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ndQzAgAAZwQAAA4AAAAAAAAAAQAgAAAAHwEAAGRycy9lMm9Eb2MueG1sUEsF&#10;BgAAAAAGAAYAWQEAAMQFAAAAAA==&#10;">
              <v:fill on="f" focussize="0,0"/>
              <v:stroke on="f" weight="0.5pt"/>
              <v:imagedata o:title=""/>
              <o:lock v:ext="edit" aspectratio="f"/>
              <v:textbox inset="0mm,0mm,0mm,0mm" style="mso-fit-shape-to-text:t;">
                <w:txbxContent>
                  <w:p w14:paraId="1D529A0D">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0D08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 name="文本框 1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3CABD">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wgo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0sIKNAIAAGcEAAAOAAAAAAAAAAEAIAAAAB8BAABkcnMvZTJvRG9jLnhtbFBL&#10;BQYAAAAABgAGAFkBAADFBQAAAAA=&#10;">
              <v:fill on="f" focussize="0,0"/>
              <v:stroke on="f" weight="0.5pt"/>
              <v:imagedata o:title=""/>
              <o:lock v:ext="edit" aspectratio="f"/>
              <v:textbox inset="0mm,0mm,0mm,0mm" style="mso-fit-shape-to-text:t;">
                <w:txbxContent>
                  <w:p w14:paraId="5423CABD">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2031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DE3BE">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14:paraId="287DE3BE">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408E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85F9A">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ODW0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nN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o4NbTUCAABnBAAADgAAAAAAAAABACAAAAAfAQAAZHJzL2Uyb0RvYy54bWxQ&#10;SwUGAAAAAAYABgBZAQAAxgUAAAAA&#10;">
              <v:fill on="f" focussize="0,0"/>
              <v:stroke on="f" weight="0.5pt"/>
              <v:imagedata o:title=""/>
              <o:lock v:ext="edit" aspectratio="f"/>
              <v:textbox inset="0mm,0mm,0mm,0mm" style="mso-fit-shape-to-text:t;">
                <w:txbxContent>
                  <w:p w14:paraId="68485F9A">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776E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 name="文本框 1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EB44F">
                          <w:pPr>
                            <w:pStyle w:val="4"/>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HAxs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cDGzUCAABnBAAADgAAAAAAAAABACAAAAAfAQAAZHJzL2Uyb0RvYy54bWxQ&#10;SwUGAAAAAAYABgBZAQAAxgUAAAAA&#10;">
              <v:fill on="f" focussize="0,0"/>
              <v:stroke on="f" weight="0.5pt"/>
              <v:imagedata o:title=""/>
              <o:lock v:ext="edit" aspectratio="f"/>
              <v:textbox inset="0mm,0mm,0mm,0mm" style="mso-fit-shape-to-text:t;">
                <w:txbxContent>
                  <w:p w14:paraId="119EB44F">
                    <w:pPr>
                      <w:pStyle w:val="4"/>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18E48">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6" name="文本框 1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04C1D">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zA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2MwLNAIAAGcEAAAOAAAAAAAAAAEAIAAAAB8BAABkcnMvZTJvRG9jLnhtbFBL&#10;BQYAAAAABgAGAFkBAADFBQAAAAA=&#10;">
              <v:fill on="f" focussize="0,0"/>
              <v:stroke on="f" weight="0.5pt"/>
              <v:imagedata o:title=""/>
              <o:lock v:ext="edit" aspectratio="f"/>
              <v:textbox inset="0mm,0mm,0mm,0mm" style="mso-fit-shape-to-text:t;">
                <w:txbxContent>
                  <w:p w14:paraId="3DD04C1D">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968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4E349">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qXMU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k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2pcxTUCAABnBAAADgAAAAAAAAABACAAAAAfAQAAZHJzL2Uyb0RvYy54bWxQ&#10;SwUGAAAAAAYABgBZAQAAxgUAAAAA&#10;">
              <v:fill on="f" focussize="0,0"/>
              <v:stroke on="f" weight="0.5pt"/>
              <v:imagedata o:title=""/>
              <o:lock v:ext="edit" aspectratio="f"/>
              <v:textbox inset="0mm,0mm,0mm,0mm" style="mso-fit-shape-to-text:t;">
                <w:txbxContent>
                  <w:p w14:paraId="2994E349">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B9591">
    <w:pPr>
      <w:pStyle w:val="3"/>
      <w:spacing w:line="14" w:lineRule="auto"/>
      <w:rPr>
        <w:rFonts w:hint="default"/>
        <w:sz w:val="2"/>
        <w:lang w:val="en-US"/>
      </w:rPr>
    </w:pPr>
    <w:r>
      <w:rPr>
        <w:sz w:val="2"/>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809E0">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14:paraId="4C6809E0">
                    <w:pPr>
                      <w:pStyle w:val="4"/>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85CF9">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374C4">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14:paraId="1B3374C4">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1BF8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8" name="文本框 1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D17B8">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0ZA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iNGQNAIAAGcEAAAOAAAAAAAAAAEAIAAAAB8BAABkcnMvZTJvRG9jLnhtbFBL&#10;BQYAAAAABgAGAFkBAADFBQAAAAA=&#10;">
              <v:fill on="f" focussize="0,0"/>
              <v:stroke on="f" weight="0.5pt"/>
              <v:imagedata o:title=""/>
              <o:lock v:ext="edit" aspectratio="f"/>
              <v:textbox inset="0mm,0mm,0mm,0mm" style="mso-fit-shape-to-text:t;">
                <w:txbxContent>
                  <w:p w14:paraId="286D17B8">
                    <w:pPr>
                      <w:pStyle w:val="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FF07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88A19">
                          <w:pPr>
                            <w:pStyle w:val="4"/>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jk4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KWOTjUCAABnBAAADgAAAAAAAAABACAAAAAfAQAAZHJzL2Uyb0RvYy54bWxQ&#10;SwUGAAAAAAYABgBZAQAAxgUAAAAA&#10;">
              <v:fill on="f" focussize="0,0"/>
              <v:stroke on="f" weight="0.5pt"/>
              <v:imagedata o:title=""/>
              <o:lock v:ext="edit" aspectratio="f"/>
              <v:textbox inset="0mm,0mm,0mm,0mm" style="mso-fit-shape-to-text:t;">
                <w:txbxContent>
                  <w:p w14:paraId="72588A19">
                    <w:pPr>
                      <w:pStyle w:val="4"/>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679AD">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83428">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14:paraId="5F483428">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37488">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D54B6">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14:paraId="013D54B6">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DE5D2">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03993">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14:paraId="04403993">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B8E51">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72B82">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14:paraId="77872B82">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A8E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58969">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14:paraId="04C58969">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3F4D">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7" name="文本框 1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8DAAF">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1k9U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WT1TUCAABnBAAADgAAAAAAAAABACAAAAAfAQAAZHJzL2Uyb0RvYy54bWxQ&#10;SwUGAAAAAAYABgBZAQAAxgUAAAAA&#10;">
              <v:fill on="f" focussize="0,0"/>
              <v:stroke on="f" weight="0.5pt"/>
              <v:imagedata o:title=""/>
              <o:lock v:ext="edit" aspectratio="f"/>
              <v:textbox inset="0mm,0mm,0mm,0mm" style="mso-fit-shape-to-text:t;">
                <w:txbxContent>
                  <w:p w14:paraId="78D8DAAF">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792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8236F">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14:paraId="4288236F">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F3D5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AC22F">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14:paraId="7B4AC22F">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FB70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4E321">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14:paraId="12D4E321">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B09D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38E92">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14:paraId="25738E92">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E3F5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96F27">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14:paraId="53996F27">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3C504">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48ADB">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14:paraId="57548ADB">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7F46C">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2A02A">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14:paraId="0A62A02A">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344E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A3AF4">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14:paraId="2AFA3AF4">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40B3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811B5">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14:paraId="63F811B5">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7A6A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0C6E5">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8ssg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3yyyDUCAABnBAAADgAAAAAAAAABACAAAAAfAQAAZHJzL2Uyb0RvYy54bWxQ&#10;SwUGAAAAAAYABgBZAQAAxgUAAAAA&#10;">
              <v:fill on="f" focussize="0,0"/>
              <v:stroke on="f" weight="0.5pt"/>
              <v:imagedata o:title=""/>
              <o:lock v:ext="edit" aspectratio="f"/>
              <v:textbox inset="0mm,0mm,0mm,0mm" style="mso-fit-shape-to-text:t;">
                <w:txbxContent>
                  <w:p w14:paraId="7200C6E5">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58076">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8" name="文本框 1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E2AB2">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9L0ec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Eym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9HnNAIAAGcEAAAOAAAAAAAAAAEAIAAAAB8BAABkcnMvZTJvRG9jLnhtbFBL&#10;BQYAAAAABgAGAFkBAADFBQAAAAA=&#10;">
              <v:fill on="f" focussize="0,0"/>
              <v:stroke on="f" weight="0.5pt"/>
              <v:imagedata o:title=""/>
              <o:lock v:ext="edit" aspectratio="f"/>
              <v:textbox inset="0mm,0mm,0mm,0mm" style="mso-fit-shape-to-text:t;">
                <w:txbxContent>
                  <w:p w14:paraId="671E2AB2">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CABF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F01EF">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7RY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HtFjUCAABnBAAADgAAAAAAAAABACAAAAAfAQAAZHJzL2Uyb0RvYy54bWxQ&#10;SwUGAAAAAAYABgBZAQAAxgUAAAAA&#10;">
              <v:fill on="f" focussize="0,0"/>
              <v:stroke on="f" weight="0.5pt"/>
              <v:imagedata o:title=""/>
              <o:lock v:ext="edit" aspectratio="f"/>
              <v:textbox inset="0mm,0mm,0mm,0mm" style="mso-fit-shape-to-text:t;">
                <w:txbxContent>
                  <w:p w14:paraId="0C7F01EF">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7D04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6" name="文本框 1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8B8B3">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gfa8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F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CB9rzUCAABnBAAADgAAAAAAAAABACAAAAAfAQAAZHJzL2Uyb0RvYy54bWxQ&#10;SwUGAAAAAAYABgBZAQAAxgUAAAAA&#10;">
              <v:fill on="f" focussize="0,0"/>
              <v:stroke on="f" weight="0.5pt"/>
              <v:imagedata o:title=""/>
              <o:lock v:ext="edit" aspectratio="f"/>
              <v:textbox inset="0mm,0mm,0mm,0mm" style="mso-fit-shape-to-text:t;">
                <w:txbxContent>
                  <w:p w14:paraId="6ED8B8B3">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9C01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9B6F3">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n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w0icTUCAABnBAAADgAAAAAAAAABACAAAAAfAQAAZHJzL2Uyb0RvYy54bWxQ&#10;SwUGAAAAAAYABgBZAQAAxgUAAAAA&#10;">
              <v:fill on="f" focussize="0,0"/>
              <v:stroke on="f" weight="0.5pt"/>
              <v:imagedata o:title=""/>
              <o:lock v:ext="edit" aspectratio="f"/>
              <v:textbox inset="0mm,0mm,0mm,0mm" style="mso-fit-shape-to-text:t;">
                <w:txbxContent>
                  <w:p w14:paraId="66B9B6F3">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DFB6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8" name="文本框 1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97680">
                          <w:pPr>
                            <w:pStyle w:val="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YEM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B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s2BDNAIAAGcEAAAOAAAAAAAAAAEAIAAAAB8BAABkcnMvZTJvRG9jLnhtbFBL&#10;BQYAAAAABgAGAFkBAADFBQAAAAA=&#10;">
              <v:fill on="f" focussize="0,0"/>
              <v:stroke on="f" weight="0.5pt"/>
              <v:imagedata o:title=""/>
              <o:lock v:ext="edit" aspectratio="f"/>
              <v:textbox inset="0mm,0mm,0mm,0mm" style="mso-fit-shape-to-text:t;">
                <w:txbxContent>
                  <w:p w14:paraId="75597680">
                    <w:pPr>
                      <w:pStyle w:val="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452A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145D0">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14:paraId="79F145D0">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E9A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0" name="文本框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7822F">
                          <w:pPr>
                            <w:pStyle w:val="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TIM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gB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2kyDNAIAAGcEAAAOAAAAAAAAAAEAIAAAAB8BAABkcnMvZTJvRG9jLnhtbFBL&#10;BQYAAAAABgAGAFkBAADFBQAAAAA=&#10;">
              <v:fill on="f" focussize="0,0"/>
              <v:stroke on="f" weight="0.5pt"/>
              <v:imagedata o:title=""/>
              <o:lock v:ext="edit" aspectratio="f"/>
              <v:textbox inset="0mm,0mm,0mm,0mm" style="mso-fit-shape-to-text:t;">
                <w:txbxContent>
                  <w:p w14:paraId="4617822F">
                    <w:pPr>
                      <w:pStyle w:val="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CCED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B40D2">
                          <w:pPr>
                            <w:pStyle w:val="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3E10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17fjC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xNdNAIAAGcEAAAOAAAAAAAAAAEAIAAAAB8BAABkcnMvZTJvRG9jLnhtbFBL&#10;BQYAAAAABgAGAFkBAADFBQAAAAA=&#10;">
              <v:fill on="f" focussize="0,0"/>
              <v:stroke on="f" weight="0.5pt"/>
              <v:imagedata o:title=""/>
              <o:lock v:ext="edit" aspectratio="f"/>
              <v:textbox inset="0mm,0mm,0mm,0mm" style="mso-fit-shape-to-text:t;">
                <w:txbxContent>
                  <w:p w14:paraId="1C8B40D2">
                    <w:pPr>
                      <w:pStyle w:val="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F8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2" name="文本框 1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C5A10">
                          <w:pPr>
                            <w:pStyle w:val="4"/>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Gg+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TC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YaD5DUCAABnBAAADgAAAAAAAAABACAAAAAfAQAAZHJzL2Uyb0RvYy54bWxQ&#10;SwUGAAAAAAYABgBZAQAAxgUAAAAA&#10;">
              <v:fill on="f" focussize="0,0"/>
              <v:stroke on="f" weight="0.5pt"/>
              <v:imagedata o:title=""/>
              <o:lock v:ext="edit" aspectratio="f"/>
              <v:textbox inset="0mm,0mm,0mm,0mm" style="mso-fit-shape-to-text:t;">
                <w:txbxContent>
                  <w:p w14:paraId="064C5A10">
                    <w:pPr>
                      <w:pStyle w:val="4"/>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9683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3A5A1">
                          <w:pPr>
                            <w:pStyle w:val="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r3Do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eTi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cOjUCAABnBAAADgAAAAAAAAABACAAAAAfAQAAZHJzL2Uyb0RvYy54bWxQ&#10;SwUGAAAAAAYABgBZAQAAxgUAAAAA&#10;">
              <v:fill on="f" focussize="0,0"/>
              <v:stroke on="f" weight="0.5pt"/>
              <v:imagedata o:title=""/>
              <o:lock v:ext="edit" aspectratio="f"/>
              <v:textbox inset="0mm,0mm,0mm,0mm" style="mso-fit-shape-to-text:t;">
                <w:txbxContent>
                  <w:p w14:paraId="53C3A5A1">
                    <w:pPr>
                      <w:pStyle w:val="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CECE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F9022">
                          <w:pPr>
                            <w:pStyle w:val="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i0kw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q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Bi0kw2AgAAZwQAAA4AAAAAAAAAAQAgAAAAHwEAAGRycy9lMm9Eb2MueG1s&#10;UEsFBgAAAAAGAAYAWQEAAMcFAAAAAA==&#10;">
              <v:fill on="f" focussize="0,0"/>
              <v:stroke on="f" weight="0.5pt"/>
              <v:imagedata o:title=""/>
              <o:lock v:ext="edit" aspectratio="f"/>
              <v:textbox inset="0mm,0mm,0mm,0mm" style="mso-fit-shape-to-text:t;">
                <w:txbxContent>
                  <w:p w14:paraId="7C0F9022">
                    <w:pPr>
                      <w:pStyle w:val="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C2AE5">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9" name="文本框 1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DC049">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mjjk1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aOOTUCAABnBAAADgAAAAAAAAABACAAAAAfAQAAZHJzL2Uyb0RvYy54bWxQ&#10;SwUGAAAAAAYABgBZAQAAxgUAAAAA&#10;">
              <v:fill on="f" focussize="0,0"/>
              <v:stroke on="f" weight="0.5pt"/>
              <v:imagedata o:title=""/>
              <o:lock v:ext="edit" aspectratio="f"/>
              <v:textbox inset="0mm,0mm,0mm,0mm" style="mso-fit-shape-to-text:t;">
                <w:txbxContent>
                  <w:p w14:paraId="225DC049">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ADD3">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13B3B">
                          <w:pPr>
                            <w:pStyle w:val="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PjZI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V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PjZI2AgAAZwQAAA4AAAAAAAAAAQAgAAAAHwEAAGRycy9lMm9Eb2MueG1s&#10;UEsFBgAAAAAGAAYAWQEAAMcFAAAAAA==&#10;">
              <v:fill on="f" focussize="0,0"/>
              <v:stroke on="f" weight="0.5pt"/>
              <v:imagedata o:title=""/>
              <o:lock v:ext="edit" aspectratio="f"/>
              <v:textbox inset="0mm,0mm,0mm,0mm" style="mso-fit-shape-to-text:t;">
                <w:txbxContent>
                  <w:p w14:paraId="77113B3B">
                    <w:pPr>
                      <w:pStyle w:val="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74746">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D5E67">
                          <w:pPr>
                            <w:pStyle w:val="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HSs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7fTC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4dKzUCAABnBAAADgAAAAAAAAABACAAAAAfAQAAZHJzL2Uyb0RvYy54bWxQ&#10;SwUGAAAAAAYABgBZAQAAxgUAAAAA&#10;">
              <v:fill on="f" focussize="0,0"/>
              <v:stroke on="f" weight="0.5pt"/>
              <v:imagedata o:title=""/>
              <o:lock v:ext="edit" aspectratio="f"/>
              <v:textbox inset="0mm,0mm,0mm,0mm" style="mso-fit-shape-to-text:t;">
                <w:txbxContent>
                  <w:p w14:paraId="6AAD5E67">
                    <w:pPr>
                      <w:pStyle w:val="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80A9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6AAA0">
                          <w:pPr>
                            <w:pStyle w:val="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TQvU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QTQvU2AgAAZwQAAA4AAAAAAAAAAQAgAAAAHwEAAGRycy9lMm9Eb2MueG1s&#10;UEsFBgAAAAAGAAYAWQEAAMcFAAAAAA==&#10;">
              <v:fill on="f" focussize="0,0"/>
              <v:stroke on="f" weight="0.5pt"/>
              <v:imagedata o:title=""/>
              <o:lock v:ext="edit" aspectratio="f"/>
              <v:textbox inset="0mm,0mm,0mm,0mm" style="mso-fit-shape-to-text:t;">
                <w:txbxContent>
                  <w:p w14:paraId="1A66AAA0">
                    <w:pPr>
                      <w:pStyle w:val="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3F91">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CD9E3">
                          <w:pPr>
                            <w:pStyle w:val="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tAMc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6B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rQDHNAIAAGcEAAAOAAAAAAAAAAEAIAAAAB8BAABkcnMvZTJvRG9jLnhtbFBL&#10;BQYAAAAABgAGAFkBAADFBQAAAAA=&#10;">
              <v:fill on="f" focussize="0,0"/>
              <v:stroke on="f" weight="0.5pt"/>
              <v:imagedata o:title=""/>
              <o:lock v:ext="edit" aspectratio="f"/>
              <v:textbox inset="0mm,0mm,0mm,0mm" style="mso-fit-shape-to-text:t;">
                <w:txbxContent>
                  <w:p w14:paraId="7DBCD9E3">
                    <w:pPr>
                      <w:pStyle w:val="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5D649">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50AF7">
                          <w:pPr>
                            <w:pStyle w:val="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Xxk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AXxk2AgAAZwQAAA4AAAAAAAAAAQAgAAAAHwEAAGRycy9lMm9Eb2MueG1s&#10;UEsFBgAAAAAGAAYAWQEAAMcFAAAAAA==&#10;">
              <v:fill on="f" focussize="0,0"/>
              <v:stroke on="f" weight="0.5pt"/>
              <v:imagedata o:title=""/>
              <o:lock v:ext="edit" aspectratio="f"/>
              <v:textbox inset="0mm,0mm,0mm,0mm" style="mso-fit-shape-to-text:t;">
                <w:txbxContent>
                  <w:p w14:paraId="7BD50AF7">
                    <w:pPr>
                      <w:pStyle w:val="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FE959">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90E9D">
                          <w:pPr>
                            <w:pStyle w:val="4"/>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jqg0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QIpmCm9++v7t&#10;9OPX6edX0mlBUmN9Bt+NhXdo35oWAZG8qPdQxt7b0qn4RVcEdqAdLxSLNhAeg6aT6TSFicM2XICT&#10;XMOt8+GdMIpEIacOb9hRyw5rH3rXwSVm02ZVSwk9y6QmTU5vX79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jo6oNAIAAGcEAAAOAAAAAAAAAAEAIAAAAB8BAABkcnMvZTJvRG9jLnhtbFBL&#10;BQYAAAAABgAGAFkBAADFBQAAAAA=&#10;">
              <v:fill on="f" focussize="0,0"/>
              <v:stroke on="f" weight="0.5pt"/>
              <v:imagedata o:title=""/>
              <o:lock v:ext="edit" aspectratio="f"/>
              <v:textbox inset="0mm,0mm,0mm,0mm" style="mso-fit-shape-to-text:t;">
                <w:txbxContent>
                  <w:p w14:paraId="76990E9D">
                    <w:pPr>
                      <w:pStyle w:val="4"/>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F8481">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3E0E8">
                          <w:pPr>
                            <w:pStyle w:val="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j0XY0AgAAZwQAAA4AAABkcnMvZTJvRG9jLnhtbK1UzY7TMBC+I/EO&#10;lu80aVl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uxpRopjDz0/dv&#10;px+/Tj+/kk4LkhrrM/huLLxD+9a0CIjkRb2HMvbelk7FL7oisIPi44Vi0QbCY9B0Mp2mMHHYhgtw&#10;kmu4dT68E0aRKOTUYYYdteyw9qF3HVxiNm1WtZTQs0xq0uT09vW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o9F2NAIAAGcEAAAOAAAAAAAAAAEAIAAAAB8BAABkcnMvZTJvRG9jLnhtbFBL&#10;BQYAAAAABgAGAFkBAADFBQAAAAA=&#10;">
              <v:fill on="f" focussize="0,0"/>
              <v:stroke on="f" weight="0.5pt"/>
              <v:imagedata o:title=""/>
              <o:lock v:ext="edit" aspectratio="f"/>
              <v:textbox inset="0mm,0mm,0mm,0mm" style="mso-fit-shape-to-text:t;">
                <w:txbxContent>
                  <w:p w14:paraId="3373E0E8">
                    <w:pPr>
                      <w:pStyle w:val="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2881E">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2" name="文本框 1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B2B82">
                          <w:pPr>
                            <w:pStyle w:val="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SQc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Jp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tJBzzUCAABnBAAADgAAAAAAAAABACAAAAAfAQAAZHJzL2Uyb0RvYy54bWxQ&#10;SwUGAAAAAAYABgBZAQAAxgUAAAAA&#10;">
              <v:fill on="f" focussize="0,0"/>
              <v:stroke on="f" weight="0.5pt"/>
              <v:imagedata o:title=""/>
              <o:lock v:ext="edit" aspectratio="f"/>
              <v:textbox inset="0mm,0mm,0mm,0mm" style="mso-fit-shape-to-text:t;">
                <w:txbxContent>
                  <w:p w14:paraId="143B2B82">
                    <w:pPr>
                      <w:pStyle w:val="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0E6C">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 name="文本框 1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23488">
                          <w:pPr>
                            <w:pStyle w:val="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hE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6y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HhE2AgAAZwQAAA4AAAAAAAAAAQAgAAAAHwEAAGRycy9lMm9Eb2MueG1s&#10;UEsFBgAAAAAGAAYAWQEAAMcFAAAAAA==&#10;">
              <v:fill on="f" focussize="0,0"/>
              <v:stroke on="f" weight="0.5pt"/>
              <v:imagedata o:title=""/>
              <o:lock v:ext="edit" aspectratio="f"/>
              <v:textbox inset="0mm,0mm,0mm,0mm" style="mso-fit-shape-to-text:t;">
                <w:txbxContent>
                  <w:p w14:paraId="51E23488">
                    <w:pPr>
                      <w:pStyle w:val="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CD19E">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9689B">
                          <w:pPr>
                            <w:pStyle w:val="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2EGc1AgAAZwQAAA4AAABkcnMvZTJvRG9jLnhtbK1UzY7TMBC+I/EO&#10;lu80aSm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U0o0U3jz0/dv&#10;px+/Tj+/kk4LkhrrM/g+WniH9q1pERDJi3oPZey9LZ2KX3RFYAfFxwvFog2Ex6DZZDZLYeKwDRfg&#10;JNdw63x4J4wiUcipwxt21LLDxofedXCJ2bRZ11JCzzKpSZPTm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zYQZzUCAABnBAAADgAAAAAAAAABACAAAAAfAQAAZHJzL2Uyb0RvYy54bWxQ&#10;SwUGAAAAAAYABgBZAQAAxgUAAAAA&#10;">
              <v:fill on="f" focussize="0,0"/>
              <v:stroke on="f" weight="0.5pt"/>
              <v:imagedata o:title=""/>
              <o:lock v:ext="edit" aspectratio="f"/>
              <v:textbox inset="0mm,0mm,0mm,0mm" style="mso-fit-shape-to-text:t;">
                <w:txbxContent>
                  <w:p w14:paraId="0F29689B">
                    <w:pPr>
                      <w:pStyle w:val="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8B40">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13B82">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14:paraId="6E013B82">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6E14">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F5F05">
                          <w:pPr>
                            <w:pStyle w:val="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bT7k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q2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bT7k2AgAAZwQAAA4AAAAAAAAAAQAgAAAAHwEAAGRycy9lMm9Eb2MueG1s&#10;UEsFBgAAAAAGAAYAWQEAAMcFAAAAAA==&#10;">
              <v:fill on="f" focussize="0,0"/>
              <v:stroke on="f" weight="0.5pt"/>
              <v:imagedata o:title=""/>
              <o:lock v:ext="edit" aspectratio="f"/>
              <v:textbox inset="0mm,0mm,0mm,0mm" style="mso-fit-shape-to-text:t;">
                <w:txbxContent>
                  <w:p w14:paraId="1C4F5F05">
                    <w:pPr>
                      <w:pStyle w:val="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71DF2">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6" name="文本框 1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4A765">
                          <w:pPr>
                            <w:pStyle w:val="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3wA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upp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GrfADUCAABnBAAADgAAAAAAAAABACAAAAAfAQAAZHJzL2Uyb0RvYy54bWxQ&#10;SwUGAAAAAAYABgBZAQAAxgUAAAAA&#10;">
              <v:fill on="f" focussize="0,0"/>
              <v:stroke on="f" weight="0.5pt"/>
              <v:imagedata o:title=""/>
              <o:lock v:ext="edit" aspectratio="f"/>
              <v:textbox inset="0mm,0mm,0mm,0mm" style="mso-fit-shape-to-text:t;">
                <w:txbxContent>
                  <w:p w14:paraId="1154A765">
                    <w:pPr>
                      <w:pStyle w:val="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9EEA9">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7" name="文本框 1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4E645">
                          <w:pPr>
                            <w:pStyle w:val="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HgN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HgN42AgAAZwQAAA4AAAAAAAAAAQAgAAAAHwEAAGRycy9lMm9Eb2MueG1s&#10;UEsFBgAAAAAGAAYAWQEAAMcFAAAAAA==&#10;">
              <v:fill on="f" focussize="0,0"/>
              <v:stroke on="f" weight="0.5pt"/>
              <v:imagedata o:title=""/>
              <o:lock v:ext="edit" aspectratio="f"/>
              <v:textbox inset="0mm,0mm,0mm,0mm" style="mso-fit-shape-to-text:t;">
                <w:txbxContent>
                  <w:p w14:paraId="3344E645">
                    <w:pPr>
                      <w:pStyle w:val="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AFC8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 name="文本框 1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CDC6B">
                          <w:pPr>
                            <w:pStyle w:val="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5wuw0AgAAZwQAAA4AAABkcnMvZTJvRG9jLnhtbK1UzY7TMBC+I/EO&#10;lu80aVl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Bzg85rptDz0/dv&#10;px+/Tj+/kk4LkhrrM/huLLxD+9a0CIjkRb2HMtbelk7FL6oisIPi44Vi0QbCY9B0Mp2mMHHYhgtw&#10;kmu4dT68E0aRKOTUoYcdteyw9qF3HVxiNm1WtZTQs0xq0uT09vW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cLsNAIAAGcEAAAOAAAAAAAAAAEAIAAAAB8BAABkcnMvZTJvRG9jLnhtbFBL&#10;BQYAAAAABgAGAFkBAADFBQAAAAA=&#10;">
              <v:fill on="f" focussize="0,0"/>
              <v:stroke on="f" weight="0.5pt"/>
              <v:imagedata o:title=""/>
              <o:lock v:ext="edit" aspectratio="f"/>
              <v:textbox inset="0mm,0mm,0mm,0mm" style="mso-fit-shape-to-text:t;">
                <w:txbxContent>
                  <w:p w14:paraId="768CDC6B">
                    <w:pPr>
                      <w:pStyle w:val="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C0C6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69898">
                          <w:pPr>
                            <w:pStyle w:val="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UnTI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UnTI2AgAAZwQAAA4AAAAAAAAAAQAgAAAAHwEAAGRycy9lMm9Eb2MueG1s&#10;UEsFBgAAAAAGAAYAWQEAAMcFAAAAAA==&#10;">
              <v:fill on="f" focussize="0,0"/>
              <v:stroke on="f" weight="0.5pt"/>
              <v:imagedata o:title=""/>
              <o:lock v:ext="edit" aspectratio="f"/>
              <v:textbox inset="0mm,0mm,0mm,0mm" style="mso-fit-shape-to-text:t;">
                <w:txbxContent>
                  <w:p w14:paraId="48269898">
                    <w:pPr>
                      <w:pStyle w:val="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BBB1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0" name="文本框 1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04C94">
                          <w:pPr>
                            <w:pStyle w:val="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Q7iwyAgAAZwQAAA4AAABkcnMvZTJvRG9jLnhtbK1UzY7TMBC+I/EO&#10;lu80bYFV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pDuLDICAABnBAAADgAAAAAAAAABACAAAAAfAQAAZHJzL2Uyb0RvYy54bWxQSwUG&#10;AAAAAAYABgBZAQAAwwUAAAAA&#10;">
              <v:fill on="f" focussize="0,0"/>
              <v:stroke on="f" weight="0.5pt"/>
              <v:imagedata o:title=""/>
              <o:lock v:ext="edit" aspectratio="f"/>
              <v:textbox inset="0mm,0mm,0mm,0mm" style="mso-fit-shape-to-text:t;">
                <w:txbxContent>
                  <w:p w14:paraId="1BE04C94">
                    <w:pPr>
                      <w:pStyle w:val="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15BB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6FCB7">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14:paraId="6096FCB7">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7DF7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6D448">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14:paraId="67F6D448">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57F3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1420A">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14:paraId="2321420A">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5969C">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73A8F">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14:paraId="28673A8F">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4814">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0CEC2">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1" name="文本框 1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E8178">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Povk0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D6L5NAIAAGcEAAAOAAAAAAAAAAEAIAAAAB8BAABkcnMvZTJvRG9jLnhtbFBL&#10;BQYAAAAABgAGAFkBAADFBQAAAAA=&#10;">
              <v:fill on="f" focussize="0,0"/>
              <v:stroke on="f" weight="0.5pt"/>
              <v:imagedata o:title=""/>
              <o:lock v:ext="edit" aspectratio="f"/>
              <v:textbox inset="0mm,0mm,0mm,0mm" style="mso-fit-shape-to-text:t;">
                <w:txbxContent>
                  <w:p w14:paraId="196E8178">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A5FC4">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1AF68">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14:paraId="0B01AF68">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24A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DDD8">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14:paraId="0673DDD8">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7C9A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7" name="文本框 1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6B129">
                          <w:pPr>
                            <w:pStyle w:val="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Z4F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Z4Fo2AgAAZwQAAA4AAAAAAAAAAQAgAAAAHwEAAGRycy9lMm9Eb2MueG1s&#10;UEsFBgAAAAAGAAYAWQEAAMcFAAAAAA==&#10;">
              <v:fill on="f" focussize="0,0"/>
              <v:stroke on="f" weight="0.5pt"/>
              <v:imagedata o:title=""/>
              <o:lock v:ext="edit" aspectratio="f"/>
              <v:textbox inset="0mm,0mm,0mm,0mm" style="mso-fit-shape-to-text:t;">
                <w:txbxContent>
                  <w:p w14:paraId="13E6B129">
                    <w:pPr>
                      <w:pStyle w:val="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716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C5F37">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14:paraId="011C5F37">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8A74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18671">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14:paraId="49218671">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529F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0AE92">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14:paraId="0200AE92">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F54C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C8BEC">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14:paraId="3A4C8BEC">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326D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62659">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14:paraId="03362659">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B076C">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ED4CA">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14:paraId="179ED4CA">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DCC2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3DA8C">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14:paraId="2663DA8C">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71F7E">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E58D5">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MkA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n4yQDUCAABnBAAADgAAAAAAAAABACAAAAAfAQAAZHJzL2Uyb0RvYy54bWxQ&#10;SwUGAAAAAAYABgBZAQAAxgUAAAAA&#10;">
              <v:fill on="f" focussize="0,0"/>
              <v:stroke on="f" weight="0.5pt"/>
              <v:imagedata o:title=""/>
              <o:lock v:ext="edit" aspectratio="f"/>
              <v:textbox inset="0mm,0mm,0mm,0mm" style="mso-fit-shape-to-text:t;">
                <w:txbxContent>
                  <w:p w14:paraId="18CE58D5">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2723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D38DE">
                          <w:pPr>
                            <w:pStyle w:val="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14:paraId="0F7D38DE">
                    <w:pPr>
                      <w:pStyle w:val="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203A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842B8">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14:paraId="40B842B8">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9A5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E1293">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14:paraId="264E1293">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92D1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F88B">
                          <w:pPr>
                            <w:pStyle w:val="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14:paraId="3555F88B">
                    <w:pPr>
                      <w:pStyle w:val="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F883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44219">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14:paraId="1B944219">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1344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288B1">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14:paraId="135288B1">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47B2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E7E69">
                          <w:pPr>
                            <w:pStyle w:val="4"/>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14:paraId="49AE7E69">
                    <w:pPr>
                      <w:pStyle w:val="4"/>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D513F">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F1BD5">
                          <w:pPr>
                            <w:pStyle w:val="4"/>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14:paraId="5C0F1BD5">
                    <w:pPr>
                      <w:pStyle w:val="4"/>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512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15AFF">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14:paraId="49E15AFF">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31D0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C9232">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14:paraId="667C9232">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46DE5">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411D0">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bZ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NtnjUCAABnBAAADgAAAAAAAAABACAAAAAfAQAAZHJzL2Uyb0RvYy54bWxQ&#10;SwUGAAAAAAYABgBZAQAAxgUAAAAA&#10;">
              <v:fill on="f" focussize="0,0"/>
              <v:stroke on="f" weight="0.5pt"/>
              <v:imagedata o:title=""/>
              <o:lock v:ext="edit" aspectratio="f"/>
              <v:textbox inset="0mm,0mm,0mm,0mm" style="mso-fit-shape-to-text:t;">
                <w:txbxContent>
                  <w:p w14:paraId="238411D0">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43C8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39BEB">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14:paraId="65C39BEB">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2CE5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95E57">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14:paraId="50D95E57">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8E99C">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99163">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14:paraId="4E899163">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6640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BDE55">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14:paraId="3B3BDE55">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662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2EF59">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14:paraId="1632EF59">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228E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58047">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14:paraId="2CB58047">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3657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9591C">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14:paraId="1609591C">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1270">
    <w:pPr>
      <w:pStyle w:val="4"/>
      <w:jc w:val="center"/>
      <w:rPr>
        <w:rFonts w:hint="default"/>
        <w:lang w:val="en-US"/>
      </w:rPr>
    </w:pPr>
    <w: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1B94F">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14:paraId="74D1B94F">
                    <w:pPr>
                      <w:pStyle w:val="4"/>
                    </w:pPr>
                  </w:p>
                </w:txbxContent>
              </v:textbox>
            </v:shape>
          </w:pict>
        </mc:Fallback>
      </mc:AlternateContent>
    </w:r>
    <w:r>
      <w:rPr>
        <w:rFonts w:hint="eastAsia"/>
        <w:lang w:val="en-US" w:eastAsia="zh-CN"/>
      </w:rPr>
      <w:t>257</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92ED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23FB2">
                          <w:pPr>
                            <w:pStyle w:val="4"/>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14:paraId="5DA23FB2">
                    <w:pPr>
                      <w:pStyle w:val="4"/>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9144">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CC7CC">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14:paraId="355CC7CC">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CD1BF">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4" name="文本框 1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80231">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Y+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5pj6DUCAABnBAAADgAAAAAAAAABACAAAAAfAQAAZHJzL2Uyb0RvYy54bWxQ&#10;SwUGAAAAAAYABgBZAQAAxgUAAAAA&#10;">
              <v:fill on="f" focussize="0,0"/>
              <v:stroke on="f" weight="0.5pt"/>
              <v:imagedata o:title=""/>
              <o:lock v:ext="edit" aspectratio="f"/>
              <v:textbox inset="0mm,0mm,0mm,0mm" style="mso-fit-shape-to-text:t;">
                <w:txbxContent>
                  <w:p w14:paraId="48180231">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DBBF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239F7">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14:paraId="2EB239F7">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72EE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29FED">
                          <w:pPr>
                            <w:pStyle w:val="4"/>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14:paraId="03A29FED">
                    <w:pPr>
                      <w:pStyle w:val="4"/>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7039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EEB91">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14:paraId="5E1EEB91">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DF13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4C029">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14:paraId="55A4C029">
                    <w:pPr>
                      <w:pStyle w:val="4"/>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09DD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2B804">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14:paraId="3AC2B804">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3B2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ED8D7">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14:paraId="71BED8D7">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804D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B62E6">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14:paraId="3ACB62E6">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85C1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411B5">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14:paraId="0CE411B5">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942B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0B496">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14:paraId="0150B496">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59E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CBA98">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14:paraId="370CBA98">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44909">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 name="文本框 1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15313">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3PDY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Lc8NjUCAABnBAAADgAAAAAAAAABACAAAAAfAQAAZHJzL2Uyb0RvYy54bWxQ&#10;SwUGAAAAAAYABgBZAQAAxgUAAAAA&#10;">
              <v:fill on="f" focussize="0,0"/>
              <v:stroke on="f" weight="0.5pt"/>
              <v:imagedata o:title=""/>
              <o:lock v:ext="edit" aspectratio="f"/>
              <v:textbox inset="0mm,0mm,0mm,0mm" style="mso-fit-shape-to-text:t;">
                <w:txbxContent>
                  <w:p w14:paraId="11B15313">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4F9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D04E6">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14:paraId="3FCD04E6">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9D1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FBA6B">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14:paraId="3C7FBA6B">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C7E3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26F0F">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14:paraId="00026F0F">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DC29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D8601">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14:paraId="201D8601">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717F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A3270">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14:paraId="044A3270">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8DB4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1F70C">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14:paraId="3D71F70C">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CFE5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906AC">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14:paraId="620906AC">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8FB6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091C9">
                          <w:pPr>
                            <w:pStyle w:val="4"/>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14:paraId="042091C9">
                    <w:pPr>
                      <w:pStyle w:val="4"/>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511B2">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ED28A">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GrI8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Zvp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MasjzUCAABnBAAADgAAAAAAAAABACAAAAAfAQAAZHJzL2Uyb0RvYy54bWxQ&#10;SwUGAAAAAAYABgBZAQAAxgUAAAAA&#10;">
              <v:fill on="f" focussize="0,0"/>
              <v:stroke on="f" weight="0.5pt"/>
              <v:imagedata o:title=""/>
              <o:lock v:ext="edit" aspectratio="f"/>
              <v:textbox inset="0mm,0mm,0mm,0mm" style="mso-fit-shape-to-text:t;">
                <w:txbxContent>
                  <w:p w14:paraId="708ED28A">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6FC7">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374A4">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81E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zUTUCAABnBAAADgAAAAAAAAABACAAAAAfAQAAZHJzL2Uyb0RvYy54bWxQ&#10;SwUGAAAAAAYABgBZAQAAxgUAAAAA&#10;">
              <v:fill on="f" focussize="0,0"/>
              <v:stroke on="f" weight="0.5pt"/>
              <v:imagedata o:title=""/>
              <o:lock v:ext="edit" aspectratio="f"/>
              <v:textbox inset="0mm,0mm,0mm,0mm" style="mso-fit-shape-to-text:t;">
                <w:txbxContent>
                  <w:p w14:paraId="5DC374A4">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AFFCD">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3F2C3">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14:paraId="3583F2C3">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F6D12">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F1595">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14:paraId="13BF1595">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3D520">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EFE06">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14:paraId="6F8EFE06">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6BEEB">
    <w:pPr>
      <w:spacing w:line="174" w:lineRule="auto"/>
      <w:ind w:left="4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FC52">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44A9A">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14:paraId="66E44A9A">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EA97D">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659B3">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14:paraId="0D3659B3">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6A14">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73EE9">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14:paraId="2BB73EE9">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BF787">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C0D9D">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14:paraId="21FC0D9D">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ADA38">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21FB0">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14:paraId="02021FB0">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7915D">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53618">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14:paraId="65A53618">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CB67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3036F">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14:paraId="21E3036F">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DA173">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1F261">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14:paraId="46A1F261">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4CEF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631CE">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14:paraId="538631CE">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9D64D">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FEB69">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14:paraId="15EFEB69">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90B0">
    <w:pPr>
      <w:spacing w:line="174" w:lineRule="auto"/>
      <w:ind w:left="40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8B70">
    <w:pPr>
      <w:spacing w:beforeLines="0" w:afterLines="0" w:line="169"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DC0F152">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31</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1"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DJXnPC6QEA&#10;AMoDAAAOAAAAAAAAAAEAIAAAAB8BAABkcnMvZTJvRG9jLnhtbFBLBQYAAAAABgAGAFkBAAB6BQAA&#10;AAA=&#10;">
              <v:fill on="f" focussize="0,0"/>
              <v:stroke on="f" weight="0.5pt"/>
              <v:imagedata o:title=""/>
              <o:lock v:ext="edit" aspectratio="f"/>
              <v:textbox inset="0mm,0mm,0mm,0mm" style="mso-fit-shape-to-text:t;">
                <w:txbxContent>
                  <w:p w14:paraId="2DC0F152">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31</w:t>
                    </w:r>
                    <w:r>
                      <w:rPr>
                        <w:rFonts w:hint="default"/>
                        <w:sz w:val="21"/>
                        <w:szCs w:val="21"/>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DD9E3">
    <w:pPr>
      <w:spacing w:beforeLines="0" w:afterLines="0" w:line="169"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52AE178">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32</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2"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Dr3tb16QEA&#10;AMoDAAAOAAAAAAAAAAEAIAAAAB8BAABkcnMvZTJvRG9jLnhtbFBLBQYAAAAABgAGAFkBAAB6BQAA&#10;AAA=&#10;">
              <v:fill on="f" focussize="0,0"/>
              <v:stroke on="f" weight="0.5pt"/>
              <v:imagedata o:title=""/>
              <o:lock v:ext="edit" aspectratio="f"/>
              <v:textbox inset="0mm,0mm,0mm,0mm" style="mso-fit-shape-to-text:t;">
                <w:txbxContent>
                  <w:p w14:paraId="752AE178">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32</w:t>
                    </w:r>
                    <w:r>
                      <w:rPr>
                        <w:rFonts w:hint="default"/>
                        <w:sz w:val="21"/>
                        <w:szCs w:val="21"/>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6B003">
    <w:pPr>
      <w:spacing w:beforeLines="0" w:afterLines="0" w:line="171"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688B0F3">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33</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3"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CEdsiu6QEA&#10;AMoDAAAOAAAAAAAAAAEAIAAAAB8BAABkcnMvZTJvRG9jLnhtbFBLBQYAAAAABgAGAFkBAAB6BQAA&#10;AAA=&#10;">
              <v:fill on="f" focussize="0,0"/>
              <v:stroke on="f" weight="0.5pt"/>
              <v:imagedata o:title=""/>
              <o:lock v:ext="edit" aspectratio="f"/>
              <v:textbox inset="0mm,0mm,0mm,0mm" style="mso-fit-shape-to-text:t;">
                <w:txbxContent>
                  <w:p w14:paraId="0688B0F3">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33</w:t>
                    </w:r>
                    <w:r>
                      <w:rPr>
                        <w:rFonts w:hint="default"/>
                        <w:sz w:val="21"/>
                        <w:szCs w:val="21"/>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34B17">
    <w:pPr>
      <w:spacing w:beforeLines="0" w:afterLines="0" w:line="169"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3134F80">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34</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4"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zSVju0AAAAAUB&#10;AAAPAAAAAAAAAAEAIAAAACIAAABkcnMvZG93bnJldi54bWxQSwECFAAUAAAACACHTuJAqRszM+oB&#10;AADKAwAADgAAAAAAAAABACAAAAAfAQAAZHJzL2Uyb0RvYy54bWxQSwUGAAAAAAYABgBZAQAAewUA&#10;AAAA&#10;">
              <v:fill on="f" focussize="0,0"/>
              <v:stroke on="f" weight="0.5pt"/>
              <v:imagedata o:title=""/>
              <o:lock v:ext="edit" aspectratio="f"/>
              <v:textbox inset="0mm,0mm,0mm,0mm" style="mso-fit-shape-to-text:t;">
                <w:txbxContent>
                  <w:p w14:paraId="43134F80">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34</w:t>
                    </w:r>
                    <w:r>
                      <w:rPr>
                        <w:rFonts w:hint="default"/>
                        <w:sz w:val="21"/>
                        <w:szCs w:val="21"/>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DB338">
    <w:pPr>
      <w:spacing w:beforeLines="0" w:afterLines="0" w:line="171"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B9063B6">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40</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8"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CIAiNf6QEA&#10;AMoDAAAOAAAAAAAAAAEAIAAAAB8BAABkcnMvZTJvRG9jLnhtbFBLBQYAAAAABgAGAFkBAAB6BQAA&#10;AAA=&#10;">
              <v:fill on="f" focussize="0,0"/>
              <v:stroke on="f" weight="0.5pt"/>
              <v:imagedata o:title=""/>
              <o:lock v:ext="edit" aspectratio="f"/>
              <v:textbox inset="0mm,0mm,0mm,0mm" style="mso-fit-shape-to-text:t;">
                <w:txbxContent>
                  <w:p w14:paraId="2B9063B6">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40</w:t>
                    </w:r>
                    <w:r>
                      <w:rPr>
                        <w:rFonts w:hint="default"/>
                        <w:sz w:val="21"/>
                        <w:szCs w:val="21"/>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CCAAD">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0" name="文本框 1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610BF">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1Dyg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vXmb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tQ8oNAIAAGcEAAAOAAAAAAAAAAEAIAAAAB8BAABkcnMvZTJvRG9jLnhtbFBL&#10;BQYAAAAABgAGAFkBAADFBQAAAAA=&#10;">
              <v:fill on="f" focussize="0,0"/>
              <v:stroke on="f" weight="0.5pt"/>
              <v:imagedata o:title=""/>
              <o:lock v:ext="edit" aspectratio="f"/>
              <v:textbox inset="0mm,0mm,0mm,0mm" style="mso-fit-shape-to-text:t;">
                <w:txbxContent>
                  <w:p w14:paraId="79E610BF">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88E3B">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36B1E0">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YUPY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2/epm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mFD2NAIAAGcEAAAOAAAAAAAAAAEAIAAAAB8BAABkcnMvZTJvRG9jLnhtbFBL&#10;BQYAAAAABgAGAFkBAADFBQAAAAA=&#10;">
              <v:fill on="f" focussize="0,0"/>
              <v:stroke on="f" weight="0.5pt"/>
              <v:imagedata o:title=""/>
              <o:lock v:ext="edit" aspectratio="f"/>
              <v:textbox inset="0mm,0mm,0mm,0mm" style="mso-fit-shape-to-text:t;">
                <w:txbxContent>
                  <w:p w14:paraId="3936B1E0">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D23D8">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2" name="文本框 1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688A3">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pwE8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nATzUCAABnBAAADgAAAAAAAAABACAAAAAfAQAAZHJzL2Uyb0RvYy54bWxQ&#10;SwUGAAAAAAYABgBZAQAAxgUAAAAA&#10;">
              <v:fill on="f" focussize="0,0"/>
              <v:stroke on="f" weight="0.5pt"/>
              <v:imagedata o:title=""/>
              <o:lock v:ext="edit" aspectratio="f"/>
              <v:textbox inset="0mm,0mm,0mm,0mm" style="mso-fit-shape-to-text:t;">
                <w:txbxContent>
                  <w:p w14:paraId="559688A3">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9FFA6">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3" name="文本框 1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A74A4">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En5E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I0nVKimcKbn398&#10;P//8ff71jbRakFRbP4fvo4V3aN6ZBgGRvKj3UMbem8Kp+EVXBHZQfLpQLJpAeAyaTWazFCYO23AB&#10;TnINt86H98IoEoWMOrxhSy07bn3oXAeXmE2bTSUl9GwuNakzejN9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sSfkTUCAABnBAAADgAAAAAAAAABACAAAAAfAQAAZHJzL2Uyb0RvYy54bWxQ&#10;SwUGAAAAAAYABgBZAQAAxgUAAAAA&#10;">
              <v:fill on="f" focussize="0,0"/>
              <v:stroke on="f" weight="0.5pt"/>
              <v:imagedata o:title=""/>
              <o:lock v:ext="edit" aspectratio="f"/>
              <v:textbox inset="0mm,0mm,0mm,0mm" style="mso-fit-shape-to-text:t;">
                <w:txbxContent>
                  <w:p w14:paraId="666A74A4">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5D9BE">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8FF5C">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14:paraId="10A8FF5C">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5D1DC">
    <w:pPr>
      <w:spacing w:line="173" w:lineRule="auto"/>
      <w:ind w:left="4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A418A">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2FA26">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14:paraId="75C2FA26">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1A62">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36AB4">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14:paraId="4E936AB4">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38B7A">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76892">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14:paraId="51976892">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AB0A2">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0B17C">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Q2w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wkNsNAIAAGcEAAAOAAAAAAAAAAEAIAAAAB8BAABkcnMvZTJvRG9jLnhtbFBL&#10;BQYAAAAABgAGAFkBAADFBQAAAAA=&#10;">
              <v:fill on="f" focussize="0,0"/>
              <v:stroke on="f" weight="0.5pt"/>
              <v:imagedata o:title=""/>
              <o:lock v:ext="edit" aspectratio="f"/>
              <v:textbox inset="0mm,0mm,0mm,0mm" style="mso-fit-shape-to-text:t;">
                <w:txbxContent>
                  <w:p w14:paraId="2380B17C">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587E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F40DA">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vHLI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O8csjUCAABnBAAADgAAAAAAAAABACAAAAAfAQAAZHJzL2Uyb0RvYy54bWxQ&#10;SwUGAAAAAAYABgBZAQAAxgUAAAAA&#10;">
              <v:fill on="f" focussize="0,0"/>
              <v:stroke on="f" weight="0.5pt"/>
              <v:imagedata o:title=""/>
              <o:lock v:ext="edit" aspectratio="f"/>
              <v:textbox inset="0mm,0mm,0mm,0mm" style="mso-fit-shape-to-text:t;">
                <w:txbxContent>
                  <w:p w14:paraId="48CF40DA">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827D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7392A">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14:paraId="0B87392A">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955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AD54D">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14:paraId="009AD54D">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3222">
    <w:pPr>
      <w:spacing w:line="171" w:lineRule="auto"/>
      <w:ind w:left="4311"/>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0B85C">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14:paraId="5A70B85C">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C3A7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C600B">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14:paraId="293C600B">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5696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4" name="文本框 1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E81B1">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T8W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xPxYzUCAABnBAAADgAAAAAAAAABACAAAAAfAQAAZHJzL2Uyb0RvYy54bWxQ&#10;SwUGAAAAAAYABgBZAQAAxgUAAAAA&#10;">
              <v:fill on="f" focussize="0,0"/>
              <v:stroke on="f" weight="0.5pt"/>
              <v:imagedata o:title=""/>
              <o:lock v:ext="edit" aspectratio="f"/>
              <v:textbox inset="0mm,0mm,0mm,0mm" style="mso-fit-shape-to-text:t;">
                <w:txbxContent>
                  <w:p w14:paraId="238E81B1">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76690">
    <w:pPr>
      <w:spacing w:line="173" w:lineRule="auto"/>
      <w:ind w:left="4093"/>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52517">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5" name="文本框 1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3CDA4">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r0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fE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D6uvTUCAABnBAAADgAAAAAAAAABACAAAAAfAQAAZHJzL2Uyb0RvYy54bWxQ&#10;SwUGAAAAAAYABgBZAQAAxgUAAAAA&#10;">
              <v:fill on="f" focussize="0,0"/>
              <v:stroke on="f" weight="0.5pt"/>
              <v:imagedata o:title=""/>
              <o:lock v:ext="edit" aspectratio="f"/>
              <v:textbox inset="0mm,0mm,0mm,0mm" style="mso-fit-shape-to-text:t;">
                <w:txbxContent>
                  <w:p w14:paraId="5B13CDA4">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F002C">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6" name="文本框 1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AA209">
                          <w:pPr>
                            <w:pStyle w:val="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PPgQ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PK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E8+BDUCAABnBAAADgAAAAAAAAABACAAAAAfAQAAZHJzL2Uyb0RvYy54bWxQ&#10;SwUGAAAAAAYABgBZAQAAxgUAAAAA&#10;">
              <v:fill on="f" focussize="0,0"/>
              <v:stroke on="f" weight="0.5pt"/>
              <v:imagedata o:title=""/>
              <o:lock v:ext="edit" aspectratio="f"/>
              <v:textbox inset="0mm,0mm,0mm,0mm" style="mso-fit-shape-to-text:t;">
                <w:txbxContent>
                  <w:p w14:paraId="62DAA209">
                    <w:pPr>
                      <w:pStyle w:val="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0C974">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7" name="文本框 1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63C1D">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iYdo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2Jh2jUCAABnBAAADgAAAAAAAAABACAAAAAfAQAAZHJzL2Uyb0RvYy54bWxQ&#10;SwUGAAAAAAYABgBZAQAAxgUAAAAA&#10;">
              <v:fill on="f" focussize="0,0"/>
              <v:stroke on="f" weight="0.5pt"/>
              <v:imagedata o:title=""/>
              <o:lock v:ext="edit" aspectratio="f"/>
              <v:textbox inset="0mm,0mm,0mm,0mm" style="mso-fit-shape-to-text:t;">
                <w:txbxContent>
                  <w:p w14:paraId="1E263C1D">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B3944">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8" name="文本框 1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AAD5B">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I+g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Y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3CPoNAIAAGcEAAAOAAAAAAAAAAEAIAAAAB8BAABkcnMvZTJvRG9jLnhtbFBL&#10;BQYAAAAABgAGAFkBAADFBQAAAAA=&#10;">
              <v:fill on="f" focussize="0,0"/>
              <v:stroke on="f" weight="0.5pt"/>
              <v:imagedata o:title=""/>
              <o:lock v:ext="edit" aspectratio="f"/>
              <v:textbox inset="0mm,0mm,0mm,0mm" style="mso-fit-shape-to-text:t;">
                <w:txbxContent>
                  <w:p w14:paraId="4C2AAD5B">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F8C4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9" name="文本框 1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9BAB0">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fDY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F8NjUCAABnBAAADgAAAAAAAAABACAAAAAfAQAAZHJzL2Uyb0RvYy54bWxQ&#10;SwUGAAAAAAYABgBZAQAAxgUAAAAA&#10;">
              <v:fill on="f" focussize="0,0"/>
              <v:stroke on="f" weight="0.5pt"/>
              <v:imagedata o:title=""/>
              <o:lock v:ext="edit" aspectratio="f"/>
              <v:textbox inset="0mm,0mm,0mm,0mm" style="mso-fit-shape-to-text:t;">
                <w:txbxContent>
                  <w:p w14:paraId="4589BAB0">
                    <w:pPr>
                      <w:pStyle w:val="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020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0" name="文本框 1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4E7A9">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Ovvs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A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jr77NAIAAGcEAAAOAAAAAAAAAAEAIAAAAB8BAABkcnMvZTJvRG9jLnhtbFBL&#10;BQYAAAAABgAGAFkBAADFBQAAAAA=&#10;">
              <v:fill on="f" focussize="0,0"/>
              <v:stroke on="f" weight="0.5pt"/>
              <v:imagedata o:title=""/>
              <o:lock v:ext="edit" aspectratio="f"/>
              <v:textbox inset="0mm,0mm,0mm,0mm" style="mso-fit-shape-to-text:t;">
                <w:txbxContent>
                  <w:p w14:paraId="3B14E7A9">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04A2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1" name="文本框 1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AC1AD">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j4SU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M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o+ElNAIAAGcEAAAOAAAAAAAAAAEAIAAAAB8BAABkcnMvZTJvRG9jLnhtbFBL&#10;BQYAAAAABgAGAFkBAADFBQAAAAA=&#10;">
              <v:fill on="f" focussize="0,0"/>
              <v:stroke on="f" weight="0.5pt"/>
              <v:imagedata o:title=""/>
              <o:lock v:ext="edit" aspectratio="f"/>
              <v:textbox inset="0mm,0mm,0mm,0mm" style="mso-fit-shape-to-text:t;">
                <w:txbxContent>
                  <w:p w14:paraId="329AC1AD">
                    <w:pPr>
                      <w:pStyle w:val="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21EC6">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2" name="文本框 1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F6BF6">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ScZw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M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tJxnDUCAABnBAAADgAAAAAAAAABACAAAAAfAQAAZHJzL2Uyb0RvYy54bWxQ&#10;SwUGAAAAAAYABgBZAQAAxgUAAAAA&#10;">
              <v:fill on="f" focussize="0,0"/>
              <v:stroke on="f" weight="0.5pt"/>
              <v:imagedata o:title=""/>
              <o:lock v:ext="edit" aspectratio="f"/>
              <v:textbox inset="0mm,0mm,0mm,0mm" style="mso-fit-shape-to-text:t;">
                <w:txbxContent>
                  <w:p w14:paraId="601F6BF6">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5E87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3" name="文本框 1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ABA28">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LkI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M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f8uQjUCAABnBAAADgAAAAAAAAABACAAAAAfAQAAZHJzL2Uyb0RvYy54bWxQ&#10;SwUGAAAAAAYABgBZAQAAxgUAAAAA&#10;">
              <v:fill on="f" focussize="0,0"/>
              <v:stroke on="f" weight="0.5pt"/>
              <v:imagedata o:title=""/>
              <o:lock v:ext="edit" aspectratio="f"/>
              <v:textbox inset="0mm,0mm,0mm,0mm" style="mso-fit-shape-to-text:t;">
                <w:txbxContent>
                  <w:p w14:paraId="51EABA28">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8FE11">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4" name="文本框 1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AB6F6">
                          <w:pPr>
                            <w:pStyle w:val="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2ID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zYgNDUCAABnBAAADgAAAAAAAAABACAAAAAfAQAAZHJzL2Uyb0RvYy54bWxQ&#10;SwUGAAAAAAYABgBZAQAAxgUAAAAA&#10;">
              <v:fill on="f" focussize="0,0"/>
              <v:stroke on="f" weight="0.5pt"/>
              <v:imagedata o:title=""/>
              <o:lock v:ext="edit" aspectratio="f"/>
              <v:textbox inset="0mm,0mm,0mm,0mm" style="mso-fit-shape-to-text:t;">
                <w:txbxContent>
                  <w:p w14:paraId="326AB6F6">
                    <w:pPr>
                      <w:pStyle w:val="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454A">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C2683">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5" name="文本框 1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D9391">
                          <w:pPr>
                            <w:pStyle w:val="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bf+o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c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t/6jUCAABnBAAADgAAAAAAAAABACAAAAAfAQAAZHJzL2Uyb0RvYy54bWxQ&#10;SwUGAAAAAAYABgBZAQAAxgUAAAAA&#10;">
              <v:fill on="f" focussize="0,0"/>
              <v:stroke on="f" weight="0.5pt"/>
              <v:imagedata o:title=""/>
              <o:lock v:ext="edit" aspectratio="f"/>
              <v:textbox inset="0mm,0mm,0mm,0mm" style="mso-fit-shape-to-text:t;">
                <w:txbxContent>
                  <w:p w14:paraId="6C9D9391">
                    <w:pPr>
                      <w:pStyle w:val="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1D4F">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09F14">
                          <w:pPr>
                            <w:pStyle w:val="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14:paraId="31D09F14">
                    <w:pPr>
                      <w:pStyle w:val="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6074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14AAB">
                          <w:pPr>
                            <w:pStyle w:val="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14:paraId="0BE14AAB">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888F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8" name="文本框 1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35B86">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58r8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E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fK/NAIAAGcEAAAOAAAAAAAAAAEAIAAAAB8BAABkcnMvZTJvRG9jLnhtbFBL&#10;BQYAAAAABgAGAFkBAADFBQAAAAA=&#10;">
              <v:fill on="f" focussize="0,0"/>
              <v:stroke on="f" weight="0.5pt"/>
              <v:imagedata o:title=""/>
              <o:lock v:ext="edit" aspectratio="f"/>
              <v:textbox inset="0mm,0mm,0mm,0mm" style="mso-fit-shape-to-text:t;">
                <w:txbxContent>
                  <w:p w14:paraId="7EB35B86">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806B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9" name="文本框 1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05EAD">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UrWE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9StYTUCAABnBAAADgAAAAAAAAABACAAAAAfAQAAZHJzL2Uyb0RvYy54bWxQ&#10;SwUGAAAAAAYABgBZAQAAxgUAAAAA&#10;">
              <v:fill on="f" focussize="0,0"/>
              <v:stroke on="f" weight="0.5pt"/>
              <v:imagedata o:title=""/>
              <o:lock v:ext="edit" aspectratio="f"/>
              <v:textbox inset="0mm,0mm,0mm,0mm" style="mso-fit-shape-to-text:t;">
                <w:txbxContent>
                  <w:p w14:paraId="7C105EAD">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2FC4A">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 name="文本框 1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D207B">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Q3n80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ClI0U3jz84/v&#10;55+/z7++kVYLkmrr5/B9tPAOzTvTICCSF/Ueyth7UzgVv+iKwA6004Vi0QTCY9BsMpulMHHYhgtw&#10;kmu4dT68F0aRKGTU4Q1batlx60PnOrjEbNpsKimhZ3OpSZ3Rm+n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kN5/NAIAAGcEAAAOAAAAAAAAAAEAIAAAAB8BAABkcnMvZTJvRG9jLnhtbFBL&#10;BQYAAAAABgAGAFkBAADFBQAAAAA=&#10;">
              <v:fill on="f" focussize="0,0"/>
              <v:stroke on="f" weight="0.5pt"/>
              <v:imagedata o:title=""/>
              <o:lock v:ext="edit" aspectratio="f"/>
              <v:textbox inset="0mm,0mm,0mm,0mm" style="mso-fit-shape-to-text:t;">
                <w:txbxContent>
                  <w:p w14:paraId="301D207B">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EDDCC">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1" name="文本框 1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98734">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gaE0AgAAZwQAAA4AAABkcnMvZTJvRG9jLnhtbK1UzY7TMBC+I/EO&#10;lu80aStWVdV0VbYqQqrYlRbE2XWcJpL/ZLtNygPAG3Diwp3n6nPs5/y0aOGwBy7OeH6+mflmnM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bMJ0OqZEM4WZn398&#10;P//8ff71jbRakFRbP4fvo4V3aN6ZBgGRvKj3UMbem8Kp+EVXBHZQfLpQLJpAeAyaTWazFCYO23AB&#10;TnINt86H98IoEoWMOsywpZYdtz50roNLzKbNppISejaXmtQZvZm+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vYGhNAIAAGcEAAAOAAAAAAAAAAEAIAAAAB8BAABkcnMvZTJvRG9jLnhtbFBL&#10;BQYAAAAABgAGAFkBAADFBQAAAAA=&#10;">
              <v:fill on="f" focussize="0,0"/>
              <v:stroke on="f" weight="0.5pt"/>
              <v:imagedata o:title=""/>
              <o:lock v:ext="edit" aspectratio="f"/>
              <v:textbox inset="0mm,0mm,0mm,0mm" style="mso-fit-shape-to-text:t;">
                <w:txbxContent>
                  <w:p w14:paraId="12198734">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B348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2" name="文本框 1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911F5">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MERg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F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cwRGDUCAABnBAAADgAAAAAAAAABACAAAAAfAQAAZHJzL2Uyb0RvYy54bWxQ&#10;SwUGAAAAAAYABgBZAQAAxgUAAAAA&#10;">
              <v:fill on="f" focussize="0,0"/>
              <v:stroke on="f" weight="0.5pt"/>
              <v:imagedata o:title=""/>
              <o:lock v:ext="edit" aspectratio="f"/>
              <v:textbox inset="0mm,0mm,0mm,0mm" style="mso-fit-shape-to-text:t;">
                <w:txbxContent>
                  <w:p w14:paraId="074911F5">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67A8">
    <w:pPr>
      <w:spacing w:line="171" w:lineRule="auto"/>
      <w:ind w:left="4460"/>
      <w:rPr>
        <w:rFonts w:ascii="仿宋" w:hAnsi="仿宋" w:eastAsia="仿宋" w:cs="仿宋"/>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71F04">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hTsY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uFOxjUCAABnBAAADgAAAAAAAAABACAAAAAfAQAAZHJzL2Uyb0RvYy54bWxQ&#10;SwUGAAAAAAYABgBZAQAAxgUAAAAA&#10;">
              <v:fill on="f" focussize="0,0"/>
              <v:stroke on="f" weight="0.5pt"/>
              <v:imagedata o:title=""/>
              <o:lock v:ext="edit" aspectratio="f"/>
              <v:textbox inset="0mm,0mm,0mm,0mm" style="mso-fit-shape-to-text:t;">
                <w:txbxContent>
                  <w:p w14:paraId="62A71F04">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83A7">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6910C">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oQLA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r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ChAsDUCAABnBAAADgAAAAAAAAABACAAAAAfAQAAZHJzL2Uyb0RvYy54bWxQ&#10;SwUGAAAAAAYABgBZAQAAxgUAAAAA&#10;">
              <v:fill on="f" focussize="0,0"/>
              <v:stroke on="f" weight="0.5pt"/>
              <v:imagedata o:title=""/>
              <o:lock v:ext="edit" aspectratio="f"/>
              <v:textbox inset="0mm,0mm,0mm,0mm" style="mso-fit-shape-to-text:t;">
                <w:txbxContent>
                  <w:p w14:paraId="2466910C">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DA88F">
    <w:pPr>
      <w:spacing w:line="173" w:lineRule="auto"/>
      <w:ind w:left="4021"/>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FEC8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97AEC">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FH24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J0ekO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wUfbjUCAABnBAAADgAAAAAAAAABACAAAAAfAQAAZHJzL2Uyb0RvYy54bWxQ&#10;SwUGAAAAAAYABgBZAQAAxgUAAAAA&#10;">
              <v:fill on="f" focussize="0,0"/>
              <v:stroke on="f" weight="0.5pt"/>
              <v:imagedata o:title=""/>
              <o:lock v:ext="edit" aspectratio="f"/>
              <v:textbox inset="0mm,0mm,0mm,0mm" style="mso-fit-shape-to-text:t;">
                <w:txbxContent>
                  <w:p w14:paraId="58A97AEC">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9CA1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065C7">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j9c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Cn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dI/XNAIAAGcEAAAOAAAAAAAAAAEAIAAAAB8BAABkcnMvZTJvRG9jLnhtbFBL&#10;BQYAAAAABgAGAFkBAADFBQAAAAA=&#10;">
              <v:fill on="f" focussize="0,0"/>
              <v:stroke on="f" weight="0.5pt"/>
              <v:imagedata o:title=""/>
              <o:lock v:ext="edit" aspectratio="f"/>
              <v:textbox inset="0mm,0mm,0mm,0mm" style="mso-fit-shape-to-text:t;">
                <w:txbxContent>
                  <w:p w14:paraId="1B7065C7">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9F1A">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C8F7B">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Z0Ak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FnQCTUCAABnBAAADgAAAAAAAAABACAAAAAfAQAAZHJzL2Uyb0RvYy54bWxQ&#10;SwUGAAAAAAYABgBZAQAAxgUAAAAA&#10;">
              <v:fill on="f" focussize="0,0"/>
              <v:stroke on="f" weight="0.5pt"/>
              <v:imagedata o:title=""/>
              <o:lock v:ext="edit" aspectratio="f"/>
              <v:textbox inset="0mm,0mm,0mm,0mm" style="mso-fit-shape-to-text:t;">
                <w:txbxContent>
                  <w:p w14:paraId="436C8F7B">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39C2">
    <w:pPr>
      <w:spacing w:line="171" w:lineRule="auto"/>
      <w:ind w:left="4186"/>
      <w:rPr>
        <w:rFonts w:ascii="仿宋" w:hAnsi="仿宋" w:eastAsia="仿宋" w:cs="仿宋"/>
        <w:sz w:val="21"/>
        <w:szCs w:val="21"/>
      </w:rPr>
    </w:pPr>
    <w:r>
      <w:rPr>
        <w:sz w:val="21"/>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B49C8">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55I7NAIAAGcEAAAOAAAAAAAAAAEAIAAAAB8BAABkcnMvZTJvRG9jLnhtbFBL&#10;BQYAAAAABgAGAFkBAADFBQAAAAA=&#10;">
              <v:fill on="f" focussize="0,0"/>
              <v:stroke on="f" weight="0.5pt"/>
              <v:imagedata o:title=""/>
              <o:lock v:ext="edit" aspectratio="f"/>
              <v:textbox inset="0mm,0mm,0mm,0mm" style="mso-fit-shape-to-text:t;">
                <w:txbxContent>
                  <w:p w14:paraId="592B49C8">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FFF57">
    <w:pPr>
      <w:spacing w:line="171" w:lineRule="auto"/>
      <w:ind w:left="4287"/>
      <w:rPr>
        <w:rFonts w:ascii="仿宋" w:hAnsi="仿宋" w:eastAsia="仿宋" w:cs="仿宋"/>
        <w:sz w:val="21"/>
        <w:szCs w:val="21"/>
      </w:rPr>
    </w:pPr>
    <w:r>
      <w:rPr>
        <w:sz w:val="21"/>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D3CA7">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zeU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MrN5TUCAABnBAAADgAAAAAAAAABACAAAAAfAQAAZHJzL2Uyb0RvYy54bWxQ&#10;SwUGAAAAAAYABgBZAQAAxgUAAAAA&#10;">
              <v:fill on="f" focussize="0,0"/>
              <v:stroke on="f" weight="0.5pt"/>
              <v:imagedata o:title=""/>
              <o:lock v:ext="edit" aspectratio="f"/>
              <v:textbox inset="0mm,0mm,0mm,0mm" style="mso-fit-shape-to-text:t;">
                <w:txbxContent>
                  <w:p w14:paraId="512D3CA7">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6F9F4">
    <w:pPr>
      <w:spacing w:line="171" w:lineRule="auto"/>
      <w:ind w:left="4167"/>
      <w:rPr>
        <w:rFonts w:ascii="仿宋" w:hAnsi="仿宋" w:eastAsia="仿宋" w:cs="仿宋"/>
        <w:sz w:val="21"/>
        <w:szCs w:val="21"/>
      </w:rPr>
    </w:pPr>
    <w:r>
      <w:rPr>
        <w:sz w:val="21"/>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A6B25">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EHFQ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gx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xBxUNAIAAGcEAAAOAAAAAAAAAAEAIAAAAB8BAABkcnMvZTJvRG9jLnhtbFBL&#10;BQYAAAAABgAGAFkBAADFBQAAAAA=&#10;">
              <v:fill on="f" focussize="0,0"/>
              <v:stroke on="f" weight="0.5pt"/>
              <v:imagedata o:title=""/>
              <o:lock v:ext="edit" aspectratio="f"/>
              <v:textbox inset="0mm,0mm,0mm,0mm" style="mso-fit-shape-to-text:t;">
                <w:txbxContent>
                  <w:p w14:paraId="2D2A6B25">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B04DC">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D89FD">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pQ4o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ejy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6UOKNAIAAGcEAAAOAAAAAAAAAAEAIAAAAB8BAABkcnMvZTJvRG9jLnhtbFBL&#10;BQYAAAAABgAGAFkBAADFBQAAAAA=&#10;">
              <v:fill on="f" focussize="0,0"/>
              <v:stroke on="f" weight="0.5pt"/>
              <v:imagedata o:title=""/>
              <o:lock v:ext="edit" aspectratio="f"/>
              <v:textbox inset="0mm,0mm,0mm,0mm" style="mso-fit-shape-to-text:t;">
                <w:txbxContent>
                  <w:p w14:paraId="111D89FD">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0F62B">
    <w:pPr>
      <w:spacing w:line="171" w:lineRule="auto"/>
      <w:ind w:left="6898"/>
      <w:rPr>
        <w:rFonts w:ascii="仿宋" w:hAnsi="仿宋" w:eastAsia="仿宋" w:cs="仿宋"/>
        <w:sz w:val="21"/>
        <w:szCs w:val="21"/>
      </w:rPr>
    </w:pPr>
    <w:r>
      <w:rPr>
        <w:sz w:val="21"/>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8C891">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Y0z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T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pjTMzUCAABnBAAADgAAAAAAAAABACAAAAAfAQAAZHJzL2Uyb0RvYy54bWxQ&#10;SwUGAAAAAAYABgBZAQAAxgUAAAAA&#10;">
              <v:fill on="f" focussize="0,0"/>
              <v:stroke on="f" weight="0.5pt"/>
              <v:imagedata o:title=""/>
              <o:lock v:ext="edit" aspectratio="f"/>
              <v:textbox inset="0mm,0mm,0mm,0mm" style="mso-fit-shape-to-text:t;">
                <w:txbxContent>
                  <w:p w14:paraId="2EF8C891">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D7FE7">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23742">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1jO0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xfT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WM7TUCAABnBAAADgAAAAAAAAABACAAAAAfAQAAZHJzL2Uyb0RvYy54bWxQ&#10;SwUGAAAAAAYABgBZAQAAxgUAAAAA&#10;">
              <v:fill on="f" focussize="0,0"/>
              <v:stroke on="f" weight="0.5pt"/>
              <v:imagedata o:title=""/>
              <o:lock v:ext="edit" aspectratio="f"/>
              <v:textbox inset="0mm,0mm,0mm,0mm" style="mso-fit-shape-to-text:t;">
                <w:txbxContent>
                  <w:p w14:paraId="14523742">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8AFEB">
    <w:pPr>
      <w:spacing w:line="171" w:lineRule="auto"/>
      <w:ind w:left="6871"/>
      <w:rPr>
        <w:rFonts w:ascii="仿宋" w:hAnsi="仿宋" w:eastAsia="仿宋" w:cs="仿宋"/>
        <w:sz w:val="21"/>
        <w:szCs w:val="21"/>
      </w:rPr>
    </w:pPr>
    <w:r>
      <w:rPr>
        <w:sz w:val="21"/>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22F86">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8gps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8gps2AgAAZwQAAA4AAAAAAAAAAQAgAAAAHwEAAGRycy9lMm9Eb2MueG1s&#10;UEsFBgAAAAAGAAYAWQEAAMcFAAAAAA==&#10;">
              <v:fill on="f" focussize="0,0"/>
              <v:stroke on="f" weight="0.5pt"/>
              <v:imagedata o:title=""/>
              <o:lock v:ext="edit" aspectratio="f"/>
              <v:textbox inset="0mm,0mm,0mm,0mm" style="mso-fit-shape-to-text:t;">
                <w:txbxContent>
                  <w:p w14:paraId="43022F86">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19911">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DFE12">
    <w:pPr>
      <w:spacing w:line="171" w:lineRule="auto"/>
      <w:ind w:left="6946"/>
      <w:rPr>
        <w:rFonts w:ascii="仿宋" w:hAnsi="仿宋" w:eastAsia="仿宋" w:cs="仿宋"/>
        <w:sz w:val="21"/>
        <w:szCs w:val="21"/>
      </w:rPr>
    </w:pPr>
    <w:r>
      <w:rPr>
        <w:sz w:val="21"/>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E6472">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R3U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R3UU2AgAAZwQAAA4AAAAAAAAAAQAgAAAAHwEAAGRycy9lMm9Eb2MueG1s&#10;UEsFBgAAAAAGAAYAWQEAAMcFAAAAAA==&#10;">
              <v:fill on="f" focussize="0,0"/>
              <v:stroke on="f" weight="0.5pt"/>
              <v:imagedata o:title=""/>
              <o:lock v:ext="edit" aspectratio="f"/>
              <v:textbox inset="0mm,0mm,0mm,0mm" style="mso-fit-shape-to-text:t;">
                <w:txbxContent>
                  <w:p w14:paraId="78BE6472">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F560">
    <w:pPr>
      <w:spacing w:line="171" w:lineRule="auto"/>
      <w:ind w:left="4450"/>
      <w:rPr>
        <w:rFonts w:ascii="仿宋" w:hAnsi="仿宋" w:eastAsia="仿宋" w:cs="仿宋"/>
        <w:sz w:val="21"/>
        <w:szCs w:val="21"/>
      </w:rPr>
    </w:pPr>
    <w:r>
      <w:rPr>
        <w:sz w:val="21"/>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8B559">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gTfw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eT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BN/DUCAABnBAAADgAAAAAAAAABACAAAAAfAQAAZHJzL2Uyb0RvYy54bWxQ&#10;SwUGAAAAAAYABgBZAQAAxgUAAAAA&#10;">
              <v:fill on="f" focussize="0,0"/>
              <v:stroke on="f" weight="0.5pt"/>
              <v:imagedata o:title=""/>
              <o:lock v:ext="edit" aspectratio="f"/>
              <v:textbox inset="0mm,0mm,0mm,0mm" style="mso-fit-shape-to-text:t;">
                <w:txbxContent>
                  <w:p w14:paraId="7968B559">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0A46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6CFD5">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iI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NEiI2AgAAZwQAAA4AAAAAAAAAAQAgAAAAHwEAAGRycy9lMm9Eb2MueG1s&#10;UEsFBgAAAAAGAAYAWQEAAMcFAAAAAA==&#10;">
              <v:fill on="f" focussize="0,0"/>
              <v:stroke on="f" weight="0.5pt"/>
              <v:imagedata o:title=""/>
              <o:lock v:ext="edit" aspectratio="f"/>
              <v:textbox inset="0mm,0mm,0mm,0mm" style="mso-fit-shape-to-text:t;">
                <w:txbxContent>
                  <w:p w14:paraId="0116CFD5">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2A7AD">
    <w:pPr>
      <w:spacing w:line="170" w:lineRule="auto"/>
      <w:ind w:left="4093"/>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A69A3">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zUBA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G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s1AQNAIAAGcEAAAOAAAAAAAAAAEAIAAAAB8BAABkcnMvZTJvRG9jLnhtbFBL&#10;BQYAAAAABgAGAFkBAADFBQAAAAA=&#10;">
              <v:fill on="f" focussize="0,0"/>
              <v:stroke on="f" weight="0.5pt"/>
              <v:imagedata o:title=""/>
              <o:lock v:ext="edit" aspectratio="f"/>
              <v:textbox inset="0mm,0mm,0mm,0mm" style="mso-fit-shape-to-text:t;">
                <w:txbxContent>
                  <w:p w14:paraId="33AA69A3">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A89C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37006">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14:paraId="0BB37006">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039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0" name="文本框 1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284D3">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afNA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p80DICAABnBAAADgAAAAAAAAABACAAAAAfAQAAZHJzL2Uyb0RvYy54bWxQSwUG&#10;AAAAAAYABgBZAQAAwwUAAAAA&#10;">
              <v:fill on="f" focussize="0,0"/>
              <v:stroke on="f" weight="0.5pt"/>
              <v:imagedata o:title=""/>
              <o:lock v:ext="edit" aspectratio="f"/>
              <v:textbox inset="0mm,0mm,0mm,0mm" style="mso-fit-shape-to-text:t;">
                <w:txbxContent>
                  <w:p w14:paraId="259284D3">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B2E8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DABC1">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14:paraId="758DABC1">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EE1A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794A3">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14:paraId="793794A3">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4D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30F6F">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14:paraId="32930F6F">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4E5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11F20">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v:fill on="f" focussize="0,0"/>
              <v:stroke on="f" weight="0.5pt"/>
              <v:imagedata o:title=""/>
              <o:lock v:ext="edit" aspectratio="f"/>
              <v:textbox inset="0mm,0mm,0mm,0mm" style="mso-fit-shape-to-text:t;">
                <w:txbxContent>
                  <w:p w14:paraId="21B11F20">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6CC6E">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1E62">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6A057"/>
    <w:multiLevelType w:val="singleLevel"/>
    <w:tmpl w:val="9AC6A057"/>
    <w:lvl w:ilvl="0" w:tentative="0">
      <w:start w:val="1"/>
      <w:numFmt w:val="decimal"/>
      <w:lvlText w:val="%1."/>
      <w:lvlJc w:val="left"/>
      <w:pPr>
        <w:tabs>
          <w:tab w:val="left" w:pos="312"/>
        </w:tabs>
      </w:pPr>
    </w:lvl>
  </w:abstractNum>
  <w:abstractNum w:abstractNumId="1">
    <w:nsid w:val="A438508D"/>
    <w:multiLevelType w:val="singleLevel"/>
    <w:tmpl w:val="A438508D"/>
    <w:lvl w:ilvl="0" w:tentative="0">
      <w:start w:val="10"/>
      <w:numFmt w:val="chineseCounting"/>
      <w:suff w:val="nothing"/>
      <w:lvlText w:val="%1、"/>
      <w:lvlJc w:val="left"/>
      <w:rPr>
        <w:rFonts w:hint="eastAsia"/>
      </w:rPr>
    </w:lvl>
  </w:abstractNum>
  <w:abstractNum w:abstractNumId="2">
    <w:nsid w:val="B3FE1153"/>
    <w:multiLevelType w:val="singleLevel"/>
    <w:tmpl w:val="B3FE1153"/>
    <w:lvl w:ilvl="0" w:tentative="0">
      <w:start w:val="3"/>
      <w:numFmt w:val="decimal"/>
      <w:suff w:val="nothing"/>
      <w:lvlText w:val="%1、"/>
      <w:lvlJc w:val="left"/>
    </w:lvl>
  </w:abstractNum>
  <w:abstractNum w:abstractNumId="3">
    <w:nsid w:val="F2A546DD"/>
    <w:multiLevelType w:val="multilevel"/>
    <w:tmpl w:val="F2A546DD"/>
    <w:lvl w:ilvl="0" w:tentative="0">
      <w:start w:val="6"/>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E1OGFiNGQ3MTJlYjQ0MmU4OGQyZmEwNjA1OGNiYTUifQ=="/>
  </w:docVars>
  <w:rsids>
    <w:rsidRoot w:val="00172A27"/>
    <w:rsid w:val="00DC7C1D"/>
    <w:rsid w:val="016A67D7"/>
    <w:rsid w:val="03EF696A"/>
    <w:rsid w:val="04332D4E"/>
    <w:rsid w:val="04DF2FDC"/>
    <w:rsid w:val="04E17011"/>
    <w:rsid w:val="05A21471"/>
    <w:rsid w:val="08B90902"/>
    <w:rsid w:val="09CE25DF"/>
    <w:rsid w:val="0C0401A1"/>
    <w:rsid w:val="0D8617F5"/>
    <w:rsid w:val="11636A4C"/>
    <w:rsid w:val="13E11558"/>
    <w:rsid w:val="18D0290A"/>
    <w:rsid w:val="19666E25"/>
    <w:rsid w:val="1AD92B76"/>
    <w:rsid w:val="211A030B"/>
    <w:rsid w:val="23F61FD4"/>
    <w:rsid w:val="26617B10"/>
    <w:rsid w:val="27551D07"/>
    <w:rsid w:val="27AF247D"/>
    <w:rsid w:val="29713B4C"/>
    <w:rsid w:val="2BFD0BBD"/>
    <w:rsid w:val="2C0D5E4C"/>
    <w:rsid w:val="2CEF1A4A"/>
    <w:rsid w:val="2DA86071"/>
    <w:rsid w:val="2EF05495"/>
    <w:rsid w:val="312608BD"/>
    <w:rsid w:val="31900060"/>
    <w:rsid w:val="346478AD"/>
    <w:rsid w:val="35633E8E"/>
    <w:rsid w:val="37982929"/>
    <w:rsid w:val="3846585A"/>
    <w:rsid w:val="38526AFA"/>
    <w:rsid w:val="385E26EA"/>
    <w:rsid w:val="38DA3888"/>
    <w:rsid w:val="38DF7CCF"/>
    <w:rsid w:val="39C074F5"/>
    <w:rsid w:val="3AB13ECA"/>
    <w:rsid w:val="3CEE1901"/>
    <w:rsid w:val="3EAB5CDE"/>
    <w:rsid w:val="3F283A52"/>
    <w:rsid w:val="3F9A3D6E"/>
    <w:rsid w:val="446213D4"/>
    <w:rsid w:val="447339C1"/>
    <w:rsid w:val="44906321"/>
    <w:rsid w:val="45BF2E99"/>
    <w:rsid w:val="46421419"/>
    <w:rsid w:val="49C17B6C"/>
    <w:rsid w:val="4C4D4AF8"/>
    <w:rsid w:val="4E141CB4"/>
    <w:rsid w:val="4E46275D"/>
    <w:rsid w:val="50190775"/>
    <w:rsid w:val="50B36F7D"/>
    <w:rsid w:val="511B16B0"/>
    <w:rsid w:val="528C7C8F"/>
    <w:rsid w:val="57356118"/>
    <w:rsid w:val="57FC08F2"/>
    <w:rsid w:val="58AE4B70"/>
    <w:rsid w:val="5FED7EEF"/>
    <w:rsid w:val="62354D49"/>
    <w:rsid w:val="6409316D"/>
    <w:rsid w:val="64510BFA"/>
    <w:rsid w:val="6569254B"/>
    <w:rsid w:val="65B816F3"/>
    <w:rsid w:val="6640690B"/>
    <w:rsid w:val="69674FF3"/>
    <w:rsid w:val="6B043599"/>
    <w:rsid w:val="6B587C7E"/>
    <w:rsid w:val="6BAE564F"/>
    <w:rsid w:val="6EA43A86"/>
    <w:rsid w:val="740735EA"/>
    <w:rsid w:val="7574140D"/>
    <w:rsid w:val="75A07E88"/>
    <w:rsid w:val="79BA7BFD"/>
    <w:rsid w:val="7BEB1AB4"/>
    <w:rsid w:val="7CF55598"/>
    <w:rsid w:val="7D765A02"/>
    <w:rsid w:val="7DF258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1"/>
      <w:szCs w:val="21"/>
      <w:lang w:val="en-US" w:eastAsia="en-US" w:bidi="ar-SA"/>
    </w:rPr>
  </w:style>
  <w:style w:type="paragraph" w:customStyle="1" w:styleId="12">
    <w:name w:val="Normal_11"/>
    <w:qFormat/>
    <w:uiPriority w:val="0"/>
    <w:rPr>
      <w:rFonts w:ascii="Times New Roman" w:hAnsi="Times New Roman" w:eastAsia="Times New Roman" w:cs="Times New Roman"/>
      <w:sz w:val="24"/>
      <w:szCs w:val="24"/>
    </w:rPr>
  </w:style>
  <w:style w:type="paragraph" w:customStyle="1" w:styleId="13">
    <w:name w:val="正文_0_0"/>
    <w:qFormat/>
    <w:uiPriority w:val="0"/>
    <w:pPr>
      <w:widowControl w:val="0"/>
      <w:jc w:val="both"/>
    </w:pPr>
    <w:rPr>
      <w:rFonts w:ascii="Calibri" w:hAnsi="Calibri" w:eastAsia="宋体" w:cs="Times New Roman"/>
      <w:lang w:val="en-US" w:eastAsia="zh-CN" w:bidi="ar-SA"/>
    </w:rPr>
  </w:style>
  <w:style w:type="paragraph" w:customStyle="1" w:styleId="14">
    <w:name w:val="正文_0_0_0"/>
    <w:qFormat/>
    <w:uiPriority w:val="99"/>
    <w:pPr>
      <w:jc w:val="both"/>
    </w:pPr>
    <w:rPr>
      <w:rFonts w:ascii="Times New Roman" w:hAnsi="Times New Roman" w:eastAsia="宋体" w:cs="Times New Roman"/>
      <w:lang w:val="en-US" w:eastAsia="zh-CN" w:bidi="ar-SA"/>
    </w:rPr>
  </w:style>
  <w:style w:type="paragraph" w:customStyle="1" w:styleId="15">
    <w:name w:val="标题 4_0"/>
    <w:basedOn w:val="13"/>
    <w:next w:val="13"/>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6">
    <w:name w:val="Normal_1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9" Type="http://schemas.openxmlformats.org/officeDocument/2006/relationships/fontTable" Target="fontTable.xml"/><Relationship Id="rId258" Type="http://schemas.openxmlformats.org/officeDocument/2006/relationships/numbering" Target="numbering.xml"/><Relationship Id="rId257" Type="http://schemas.openxmlformats.org/officeDocument/2006/relationships/customXml" Target="../customXml/item1.xml"/><Relationship Id="rId256" Type="http://schemas.openxmlformats.org/officeDocument/2006/relationships/image" Target="media/image2.png"/><Relationship Id="rId255" Type="http://schemas.openxmlformats.org/officeDocument/2006/relationships/image" Target="media/image1.png"/><Relationship Id="rId254" Type="http://schemas.openxmlformats.org/officeDocument/2006/relationships/theme" Target="theme/theme1.xml"/><Relationship Id="rId253" Type="http://schemas.openxmlformats.org/officeDocument/2006/relationships/footer" Target="footer247.xml"/><Relationship Id="rId252" Type="http://schemas.openxmlformats.org/officeDocument/2006/relationships/footer" Target="footer246.xml"/><Relationship Id="rId251" Type="http://schemas.openxmlformats.org/officeDocument/2006/relationships/footer" Target="footer245.xml"/><Relationship Id="rId250" Type="http://schemas.openxmlformats.org/officeDocument/2006/relationships/footer" Target="footer244.xml"/><Relationship Id="rId25" Type="http://schemas.openxmlformats.org/officeDocument/2006/relationships/footer" Target="footer21.xml"/><Relationship Id="rId249" Type="http://schemas.openxmlformats.org/officeDocument/2006/relationships/footer" Target="footer243.xml"/><Relationship Id="rId248" Type="http://schemas.openxmlformats.org/officeDocument/2006/relationships/footer" Target="footer242.xml"/><Relationship Id="rId247" Type="http://schemas.openxmlformats.org/officeDocument/2006/relationships/footer" Target="footer241.xml"/><Relationship Id="rId246" Type="http://schemas.openxmlformats.org/officeDocument/2006/relationships/footer" Target="footer240.xml"/><Relationship Id="rId245" Type="http://schemas.openxmlformats.org/officeDocument/2006/relationships/footer" Target="footer239.xml"/><Relationship Id="rId244" Type="http://schemas.openxmlformats.org/officeDocument/2006/relationships/footer" Target="footer238.xml"/><Relationship Id="rId243" Type="http://schemas.openxmlformats.org/officeDocument/2006/relationships/footer" Target="footer237.xml"/><Relationship Id="rId242" Type="http://schemas.openxmlformats.org/officeDocument/2006/relationships/footer" Target="footer236.xml"/><Relationship Id="rId241" Type="http://schemas.openxmlformats.org/officeDocument/2006/relationships/footer" Target="footer235.xml"/><Relationship Id="rId240" Type="http://schemas.openxmlformats.org/officeDocument/2006/relationships/footer" Target="footer234.xml"/><Relationship Id="rId24" Type="http://schemas.openxmlformats.org/officeDocument/2006/relationships/footer" Target="footer20.xml"/><Relationship Id="rId239" Type="http://schemas.openxmlformats.org/officeDocument/2006/relationships/footer" Target="footer233.xml"/><Relationship Id="rId238" Type="http://schemas.openxmlformats.org/officeDocument/2006/relationships/footer" Target="footer232.xml"/><Relationship Id="rId237" Type="http://schemas.openxmlformats.org/officeDocument/2006/relationships/footer" Target="footer231.xml"/><Relationship Id="rId236" Type="http://schemas.openxmlformats.org/officeDocument/2006/relationships/footer" Target="footer230.xml"/><Relationship Id="rId235" Type="http://schemas.openxmlformats.org/officeDocument/2006/relationships/footer" Target="footer229.xml"/><Relationship Id="rId234" Type="http://schemas.openxmlformats.org/officeDocument/2006/relationships/footer" Target="footer228.xml"/><Relationship Id="rId233" Type="http://schemas.openxmlformats.org/officeDocument/2006/relationships/footer" Target="footer227.xml"/><Relationship Id="rId232" Type="http://schemas.openxmlformats.org/officeDocument/2006/relationships/footer" Target="footer226.xml"/><Relationship Id="rId231" Type="http://schemas.openxmlformats.org/officeDocument/2006/relationships/footer" Target="footer225.xml"/><Relationship Id="rId230" Type="http://schemas.openxmlformats.org/officeDocument/2006/relationships/footer" Target="footer224.xml"/><Relationship Id="rId23" Type="http://schemas.openxmlformats.org/officeDocument/2006/relationships/footer" Target="footer19.xml"/><Relationship Id="rId229" Type="http://schemas.openxmlformats.org/officeDocument/2006/relationships/footer" Target="footer223.xml"/><Relationship Id="rId228" Type="http://schemas.openxmlformats.org/officeDocument/2006/relationships/footer" Target="footer222.xml"/><Relationship Id="rId227" Type="http://schemas.openxmlformats.org/officeDocument/2006/relationships/footer" Target="footer221.xml"/><Relationship Id="rId226" Type="http://schemas.openxmlformats.org/officeDocument/2006/relationships/footer" Target="footer220.xml"/><Relationship Id="rId225" Type="http://schemas.openxmlformats.org/officeDocument/2006/relationships/footer" Target="footer219.xml"/><Relationship Id="rId224" Type="http://schemas.openxmlformats.org/officeDocument/2006/relationships/footer" Target="footer218.xml"/><Relationship Id="rId223" Type="http://schemas.openxmlformats.org/officeDocument/2006/relationships/footer" Target="footer217.xml"/><Relationship Id="rId222" Type="http://schemas.openxmlformats.org/officeDocument/2006/relationships/footer" Target="footer216.xml"/><Relationship Id="rId221" Type="http://schemas.openxmlformats.org/officeDocument/2006/relationships/footer" Target="footer215.xml"/><Relationship Id="rId220" Type="http://schemas.openxmlformats.org/officeDocument/2006/relationships/footer" Target="footer214.xml"/><Relationship Id="rId22" Type="http://schemas.openxmlformats.org/officeDocument/2006/relationships/footer" Target="footer18.xml"/><Relationship Id="rId219" Type="http://schemas.openxmlformats.org/officeDocument/2006/relationships/footer" Target="footer213.xml"/><Relationship Id="rId218" Type="http://schemas.openxmlformats.org/officeDocument/2006/relationships/footer" Target="footer212.xml"/><Relationship Id="rId217" Type="http://schemas.openxmlformats.org/officeDocument/2006/relationships/footer" Target="footer211.xml"/><Relationship Id="rId216" Type="http://schemas.openxmlformats.org/officeDocument/2006/relationships/footer" Target="footer210.xml"/><Relationship Id="rId215" Type="http://schemas.openxmlformats.org/officeDocument/2006/relationships/footer" Target="footer209.xml"/><Relationship Id="rId214" Type="http://schemas.openxmlformats.org/officeDocument/2006/relationships/footer" Target="footer208.xml"/><Relationship Id="rId213" Type="http://schemas.openxmlformats.org/officeDocument/2006/relationships/footer" Target="footer207.xml"/><Relationship Id="rId212" Type="http://schemas.openxmlformats.org/officeDocument/2006/relationships/footer" Target="footer206.xml"/><Relationship Id="rId211" Type="http://schemas.openxmlformats.org/officeDocument/2006/relationships/footer" Target="footer205.xml"/><Relationship Id="rId210" Type="http://schemas.openxmlformats.org/officeDocument/2006/relationships/footer" Target="footer204.xml"/><Relationship Id="rId21" Type="http://schemas.openxmlformats.org/officeDocument/2006/relationships/footer" Target="footer17.xml"/><Relationship Id="rId209" Type="http://schemas.openxmlformats.org/officeDocument/2006/relationships/footer" Target="footer203.xml"/><Relationship Id="rId208" Type="http://schemas.openxmlformats.org/officeDocument/2006/relationships/footer" Target="footer202.xml"/><Relationship Id="rId207" Type="http://schemas.openxmlformats.org/officeDocument/2006/relationships/header" Target="header2.xml"/><Relationship Id="rId206" Type="http://schemas.openxmlformats.org/officeDocument/2006/relationships/footer" Target="footer201.xml"/><Relationship Id="rId205" Type="http://schemas.openxmlformats.org/officeDocument/2006/relationships/footer" Target="footer200.xml"/><Relationship Id="rId204" Type="http://schemas.openxmlformats.org/officeDocument/2006/relationships/footer" Target="footer199.xml"/><Relationship Id="rId203" Type="http://schemas.openxmlformats.org/officeDocument/2006/relationships/footer" Target="footer198.xml"/><Relationship Id="rId202" Type="http://schemas.openxmlformats.org/officeDocument/2006/relationships/footer" Target="footer197.xml"/><Relationship Id="rId201" Type="http://schemas.openxmlformats.org/officeDocument/2006/relationships/footer" Target="footer196.xml"/><Relationship Id="rId200" Type="http://schemas.openxmlformats.org/officeDocument/2006/relationships/footer" Target="footer195.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4.xml"/><Relationship Id="rId198" Type="http://schemas.openxmlformats.org/officeDocument/2006/relationships/footer" Target="footer193.xml"/><Relationship Id="rId197" Type="http://schemas.openxmlformats.org/officeDocument/2006/relationships/footer" Target="footer192.xml"/><Relationship Id="rId196" Type="http://schemas.openxmlformats.org/officeDocument/2006/relationships/footer" Target="footer191.xml"/><Relationship Id="rId195" Type="http://schemas.openxmlformats.org/officeDocument/2006/relationships/footer" Target="footer190.xml"/><Relationship Id="rId194" Type="http://schemas.openxmlformats.org/officeDocument/2006/relationships/footer" Target="footer189.xml"/><Relationship Id="rId193" Type="http://schemas.openxmlformats.org/officeDocument/2006/relationships/footer" Target="footer188.xml"/><Relationship Id="rId192" Type="http://schemas.openxmlformats.org/officeDocument/2006/relationships/footer" Target="footer187.xml"/><Relationship Id="rId191" Type="http://schemas.openxmlformats.org/officeDocument/2006/relationships/footer" Target="footer186.xml"/><Relationship Id="rId190" Type="http://schemas.openxmlformats.org/officeDocument/2006/relationships/footer" Target="footer185.xml"/><Relationship Id="rId19" Type="http://schemas.openxmlformats.org/officeDocument/2006/relationships/footer" Target="footer15.xml"/><Relationship Id="rId189" Type="http://schemas.openxmlformats.org/officeDocument/2006/relationships/footer" Target="footer184.xml"/><Relationship Id="rId188" Type="http://schemas.openxmlformats.org/officeDocument/2006/relationships/footer" Target="footer183.xml"/><Relationship Id="rId187" Type="http://schemas.openxmlformats.org/officeDocument/2006/relationships/footer" Target="footer182.xml"/><Relationship Id="rId186" Type="http://schemas.openxmlformats.org/officeDocument/2006/relationships/footer" Target="footer181.xml"/><Relationship Id="rId185" Type="http://schemas.openxmlformats.org/officeDocument/2006/relationships/footer" Target="footer180.xml"/><Relationship Id="rId184" Type="http://schemas.openxmlformats.org/officeDocument/2006/relationships/footer" Target="footer179.xml"/><Relationship Id="rId183" Type="http://schemas.openxmlformats.org/officeDocument/2006/relationships/footer" Target="footer178.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4.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3.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header" Target="header1.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282</Pages>
  <Words>8019</Words>
  <Characters>9651</Characters>
  <TotalTime>291</TotalTime>
  <ScaleCrop>false</ScaleCrop>
  <LinksUpToDate>false</LinksUpToDate>
  <CharactersWithSpaces>12692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崔大勇</cp:lastModifiedBy>
  <cp:lastPrinted>2025-08-21T11:50:00Z</cp:lastPrinted>
  <dcterms:modified xsi:type="dcterms:W3CDTF">2026-03-16T06:04:56Z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2052-12.1.0.25225</vt:lpwstr>
  </property>
  <property fmtid="{D5CDD505-2E9C-101B-9397-08002B2CF9AE}" pid="5" name="ICV">
    <vt:lpwstr>B5449DE0781C45208E9D8CDF38AE71BB_13</vt:lpwstr>
  </property>
  <property fmtid="{D5CDD505-2E9C-101B-9397-08002B2CF9AE}" pid="6" name="KSOTemplateDocerSaveRecord">
    <vt:lpwstr>eyJoZGlkIjoiZmY4MjA1Nzg4OWU2NGQyMDVhZTJhNmVjN2M5NzNlYzkiLCJ1c2VySWQiOiI0Mjg3OTUxOTIifQ==</vt:lpwstr>
  </property>
</Properties>
</file>